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9E259" w14:textId="77777777" w:rsidR="00D2256D" w:rsidRDefault="00D2256D"/>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434818" w:rsidRPr="00434818" w14:paraId="472ED823" w14:textId="77777777" w:rsidTr="00B6096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426D3C03" w14:textId="77777777" w:rsidR="00434818" w:rsidRPr="00434818" w:rsidRDefault="00434818" w:rsidP="00434818">
            <w:pPr>
              <w:spacing w:before="120" w:after="120"/>
              <w:jc w:val="center"/>
              <w:rPr>
                <w:rFonts w:ascii="Times New Roman" w:hAnsi="Times New Roman" w:cs="Times New Roman"/>
                <w:b/>
                <w:sz w:val="32"/>
                <w:szCs w:val="32"/>
              </w:rPr>
            </w:pPr>
            <w:r w:rsidRPr="00434818">
              <w:rPr>
                <w:rFonts w:ascii="Times New Roman" w:hAnsi="Times New Roman" w:cs="Times New Roman"/>
                <w:i/>
                <w:noProof/>
                <w:lang w:eastAsia="is-IS"/>
              </w:rPr>
              <w:drawing>
                <wp:inline distT="0" distB="0" distL="0" distR="0" wp14:anchorId="44881473" wp14:editId="338558D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3A40419" w14:textId="62B0946F" w:rsidR="00434818" w:rsidRPr="00434818" w:rsidRDefault="004B7F6A" w:rsidP="00434818">
            <w:pPr>
              <w:spacing w:before="400"/>
              <w:rPr>
                <w:rFonts w:ascii="Times New Roman" w:hAnsi="Times New Roman" w:cs="Times New Roman"/>
                <w:b/>
                <w:sz w:val="32"/>
                <w:szCs w:val="32"/>
              </w:rPr>
            </w:pPr>
            <w:r>
              <w:rPr>
                <w:rFonts w:ascii="Times New Roman" w:hAnsi="Times New Roman" w:cs="Times New Roman"/>
                <w:b/>
                <w:sz w:val="32"/>
                <w:szCs w:val="32"/>
              </w:rPr>
              <w:t>AFLEIDDAR GERÐIR</w:t>
            </w:r>
          </w:p>
          <w:p w14:paraId="763E1815" w14:textId="77777777" w:rsidR="00434818" w:rsidRPr="00434818" w:rsidRDefault="00434818" w:rsidP="00434818">
            <w:pPr>
              <w:spacing w:before="120"/>
              <w:rPr>
                <w:rFonts w:ascii="Times New Roman" w:hAnsi="Times New Roman" w:cs="Times New Roman"/>
                <w:i/>
              </w:rPr>
            </w:pPr>
            <w:r w:rsidRPr="00434818">
              <w:rPr>
                <w:rFonts w:ascii="Times New Roman" w:hAnsi="Times New Roman" w:cs="Times New Roman"/>
                <w:i/>
              </w:rPr>
              <w:t xml:space="preserve">              </w:t>
            </w:r>
          </w:p>
        </w:tc>
      </w:tr>
      <w:tr w:rsidR="00434818" w:rsidRPr="00434818" w14:paraId="1D939365" w14:textId="77777777" w:rsidTr="00B6096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B268FF4" w14:textId="77777777" w:rsidR="00434818" w:rsidRPr="00434818" w:rsidRDefault="00434818" w:rsidP="00355506">
            <w:pPr>
              <w:spacing w:before="60" w:after="60"/>
              <w:jc w:val="both"/>
              <w:rPr>
                <w:rFonts w:ascii="Times New Roman" w:hAnsi="Times New Roman" w:cs="Times New Roman"/>
                <w:b/>
              </w:rPr>
            </w:pPr>
            <w:r w:rsidRPr="00434818">
              <w:rPr>
                <w:rFonts w:ascii="Times New Roman" w:hAnsi="Times New Roman" w:cs="Times New Roman"/>
                <w:b/>
              </w:rPr>
              <w:t>Málsheiti og nr.</w:t>
            </w:r>
          </w:p>
        </w:tc>
        <w:sdt>
          <w:sdtPr>
            <w:rPr>
              <w:rFonts w:ascii="Times New Roman" w:hAnsi="Times New Roman" w:cs="Times New Roman"/>
            </w:rPr>
            <w:id w:val="764192880"/>
            <w:placeholder>
              <w:docPart w:val="FE1103C049504A74A7A2E8899D44C551"/>
            </w:placeholder>
          </w:sdtPr>
          <w:sdtEndPr/>
          <w:sdtContent>
            <w:tc>
              <w:tcPr>
                <w:tcW w:w="7479" w:type="dxa"/>
                <w:tcBorders>
                  <w:top w:val="single" w:sz="4" w:space="0" w:color="auto"/>
                  <w:bottom w:val="single" w:sz="4" w:space="0" w:color="auto"/>
                </w:tcBorders>
              </w:tcPr>
              <w:p w14:paraId="416D6A4B" w14:textId="2B3B5C0A" w:rsidR="00434818" w:rsidRPr="00434818" w:rsidRDefault="002D5C57" w:rsidP="00355506">
                <w:pPr>
                  <w:spacing w:before="60"/>
                  <w:jc w:val="both"/>
                  <w:rPr>
                    <w:rFonts w:ascii="Times New Roman" w:hAnsi="Times New Roman" w:cs="Times New Roman"/>
                  </w:rPr>
                </w:pPr>
                <w:r w:rsidRPr="002D5C57">
                  <w:rPr>
                    <w:rFonts w:ascii="Times New Roman" w:hAnsi="Times New Roman" w:cs="Times New Roman"/>
                  </w:rPr>
                  <w:t>Frumvarp til laga um</w:t>
                </w:r>
                <w:r w:rsidR="00DD372D">
                  <w:rPr>
                    <w:rFonts w:ascii="Times New Roman" w:hAnsi="Times New Roman" w:cs="Times New Roman"/>
                  </w:rPr>
                  <w:t xml:space="preserve"> fjárhagslegar</w:t>
                </w:r>
                <w:r w:rsidRPr="002D5C57">
                  <w:rPr>
                    <w:rFonts w:ascii="Times New Roman" w:hAnsi="Times New Roman" w:cs="Times New Roman"/>
                  </w:rPr>
                  <w:t xml:space="preserve"> viðmiðanir </w:t>
                </w:r>
                <w:r w:rsidR="00434818" w:rsidRPr="00434818">
                  <w:rPr>
                    <w:rFonts w:ascii="Times New Roman" w:hAnsi="Times New Roman" w:cs="Times New Roman"/>
                  </w:rPr>
                  <w:t xml:space="preserve">/ </w:t>
                </w:r>
                <w:r w:rsidRPr="002D5C57">
                  <w:rPr>
                    <w:rFonts w:ascii="Times New Roman" w:hAnsi="Times New Roman" w:cs="Times New Roman"/>
                  </w:rPr>
                  <w:t>FJR19040078</w:t>
                </w:r>
              </w:p>
            </w:tc>
          </w:sdtContent>
        </w:sdt>
      </w:tr>
      <w:tr w:rsidR="00434818" w:rsidRPr="00434818" w14:paraId="7422999E" w14:textId="77777777" w:rsidTr="00B6096D">
        <w:tblPrEx>
          <w:tblBorders>
            <w:insideH w:val="single" w:sz="4" w:space="0" w:color="auto"/>
            <w:insideV w:val="single" w:sz="4" w:space="0" w:color="auto"/>
          </w:tblBorders>
        </w:tblPrEx>
        <w:tc>
          <w:tcPr>
            <w:tcW w:w="1809" w:type="dxa"/>
            <w:tcBorders>
              <w:bottom w:val="single" w:sz="4" w:space="0" w:color="auto"/>
            </w:tcBorders>
          </w:tcPr>
          <w:p w14:paraId="418A3C7E" w14:textId="77777777" w:rsidR="00434818" w:rsidRPr="00434818" w:rsidRDefault="00434818" w:rsidP="00355506">
            <w:pPr>
              <w:spacing w:before="60" w:after="60"/>
              <w:jc w:val="both"/>
              <w:rPr>
                <w:rFonts w:ascii="Times New Roman" w:hAnsi="Times New Roman" w:cs="Times New Roman"/>
                <w:b/>
              </w:rPr>
            </w:pPr>
            <w:r w:rsidRPr="00434818">
              <w:rPr>
                <w:rFonts w:ascii="Times New Roman" w:hAnsi="Times New Roman" w:cs="Times New Roman"/>
                <w:b/>
              </w:rPr>
              <w:t xml:space="preserve">Ráðuneyti </w:t>
            </w:r>
          </w:p>
        </w:tc>
        <w:sdt>
          <w:sdtPr>
            <w:rPr>
              <w:rFonts w:ascii="Times New Roman" w:hAnsi="Times New Roman" w:cs="Times New Roman"/>
            </w:rPr>
            <w:id w:val="1126588465"/>
            <w:placeholder>
              <w:docPart w:val="53DA9D4026CC4B73B468A6044C78DB2C"/>
            </w:placeholder>
          </w:sdtPr>
          <w:sdtEndPr/>
          <w:sdtContent>
            <w:tc>
              <w:tcPr>
                <w:tcW w:w="7479" w:type="dxa"/>
                <w:tcBorders>
                  <w:bottom w:val="nil"/>
                </w:tcBorders>
              </w:tcPr>
              <w:p w14:paraId="6F3F8D74" w14:textId="1F46ACD3" w:rsidR="00434818" w:rsidRPr="00434818" w:rsidRDefault="00434818" w:rsidP="00355506">
                <w:pPr>
                  <w:spacing w:before="60"/>
                  <w:jc w:val="both"/>
                  <w:rPr>
                    <w:rFonts w:ascii="Times New Roman" w:hAnsi="Times New Roman" w:cs="Times New Roman"/>
                  </w:rPr>
                </w:pPr>
                <w:r w:rsidRPr="00434818">
                  <w:rPr>
                    <w:rFonts w:ascii="Times New Roman" w:hAnsi="Times New Roman" w:cs="Times New Roman"/>
                  </w:rPr>
                  <w:t>Fjármála- og efnahagsráðuneyti</w:t>
                </w:r>
              </w:p>
            </w:tc>
          </w:sdtContent>
        </w:sdt>
      </w:tr>
      <w:tr w:rsidR="00434818" w:rsidRPr="00434818" w14:paraId="01E6AF9B" w14:textId="77777777" w:rsidTr="00B6096D">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E6C339D" w14:textId="77777777" w:rsidR="00434818" w:rsidRPr="00434818" w:rsidRDefault="00434818" w:rsidP="00355506">
            <w:pPr>
              <w:spacing w:before="60" w:after="60"/>
              <w:jc w:val="both"/>
              <w:rPr>
                <w:rFonts w:ascii="Times New Roman" w:hAnsi="Times New Roman" w:cs="Times New Roman"/>
                <w:b/>
              </w:rPr>
            </w:pPr>
            <w:r w:rsidRPr="00434818">
              <w:rPr>
                <w:rFonts w:ascii="Times New Roman" w:hAnsi="Times New Roman" w:cs="Times New Roman"/>
                <w:b/>
              </w:rPr>
              <w:t>Dags.</w:t>
            </w:r>
          </w:p>
        </w:tc>
        <w:sdt>
          <w:sdtPr>
            <w:rPr>
              <w:rFonts w:ascii="Times New Roman" w:hAnsi="Times New Roman" w:cs="Times New Roman"/>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4804F98F" w14:textId="63831299" w:rsidR="00434818" w:rsidRPr="00434818" w:rsidRDefault="008D7535" w:rsidP="00355506">
                <w:pPr>
                  <w:spacing w:before="60"/>
                  <w:jc w:val="both"/>
                  <w:rPr>
                    <w:rFonts w:ascii="Times New Roman" w:hAnsi="Times New Roman" w:cs="Times New Roman"/>
                  </w:rPr>
                </w:pPr>
                <w:r>
                  <w:rPr>
                    <w:rFonts w:ascii="Times New Roman" w:hAnsi="Times New Roman" w:cs="Times New Roman"/>
                  </w:rPr>
                  <w:t>5</w:t>
                </w:r>
                <w:bookmarkStart w:id="0" w:name="_GoBack"/>
                <w:bookmarkEnd w:id="0"/>
                <w:r w:rsidR="00434818">
                  <w:rPr>
                    <w:rFonts w:ascii="Times New Roman" w:hAnsi="Times New Roman" w:cs="Times New Roman"/>
                  </w:rPr>
                  <w:t xml:space="preserve">. </w:t>
                </w:r>
                <w:r w:rsidR="008109AF">
                  <w:rPr>
                    <w:rFonts w:ascii="Times New Roman" w:hAnsi="Times New Roman" w:cs="Times New Roman"/>
                  </w:rPr>
                  <w:t>jú</w:t>
                </w:r>
                <w:r w:rsidR="00342C0A">
                  <w:rPr>
                    <w:rFonts w:ascii="Times New Roman" w:hAnsi="Times New Roman" w:cs="Times New Roman"/>
                  </w:rPr>
                  <w:t>l</w:t>
                </w:r>
                <w:r w:rsidR="008109AF">
                  <w:rPr>
                    <w:rFonts w:ascii="Times New Roman" w:hAnsi="Times New Roman" w:cs="Times New Roman"/>
                  </w:rPr>
                  <w:t>í</w:t>
                </w:r>
                <w:r w:rsidR="00434818">
                  <w:rPr>
                    <w:rFonts w:ascii="Times New Roman" w:hAnsi="Times New Roman" w:cs="Times New Roman"/>
                  </w:rPr>
                  <w:t xml:space="preserve"> </w:t>
                </w:r>
                <w:r w:rsidR="00434818" w:rsidRPr="00434818">
                  <w:rPr>
                    <w:rFonts w:ascii="Times New Roman" w:hAnsi="Times New Roman" w:cs="Times New Roman"/>
                  </w:rPr>
                  <w:t>201</w:t>
                </w:r>
                <w:r w:rsidR="002D5C57">
                  <w:rPr>
                    <w:rFonts w:ascii="Times New Roman" w:hAnsi="Times New Roman" w:cs="Times New Roman"/>
                  </w:rPr>
                  <w:t>9</w:t>
                </w:r>
              </w:p>
            </w:tc>
          </w:sdtContent>
        </w:sdt>
      </w:tr>
    </w:tbl>
    <w:p w14:paraId="2E08C721" w14:textId="3C3A25EF" w:rsidR="004B7F6A" w:rsidRPr="004B7F6A" w:rsidRDefault="004B7F6A" w:rsidP="00355506">
      <w:pPr>
        <w:spacing w:before="400"/>
        <w:jc w:val="both"/>
        <w:rPr>
          <w:rFonts w:ascii="Times New Roman" w:hAnsi="Times New Roman" w:cs="Times New Roman"/>
          <w:b/>
          <w:sz w:val="28"/>
          <w:szCs w:val="32"/>
        </w:rPr>
      </w:pPr>
      <w:r>
        <w:rPr>
          <w:rFonts w:ascii="Times New Roman" w:hAnsi="Times New Roman" w:cs="Times New Roman"/>
          <w:b/>
          <w:sz w:val="28"/>
          <w:szCs w:val="32"/>
        </w:rPr>
        <w:t>Afleiddar gerðir sem byggjast ekki á tæknistöðlum</w:t>
      </w:r>
    </w:p>
    <w:tbl>
      <w:tblPr>
        <w:tblW w:w="9206" w:type="dxa"/>
        <w:tblCellMar>
          <w:left w:w="0" w:type="dxa"/>
          <w:right w:w="0" w:type="dxa"/>
        </w:tblCellMar>
        <w:tblLook w:val="04A0" w:firstRow="1" w:lastRow="0" w:firstColumn="1" w:lastColumn="0" w:noHBand="0" w:noVBand="1"/>
      </w:tblPr>
      <w:tblGrid>
        <w:gridCol w:w="1227"/>
        <w:gridCol w:w="3694"/>
        <w:gridCol w:w="4285"/>
      </w:tblGrid>
      <w:tr w:rsidR="0038739E" w:rsidRPr="00434818" w14:paraId="2072A253" w14:textId="77777777" w:rsidTr="00AC5828">
        <w:trPr>
          <w:trHeight w:val="315"/>
        </w:trPr>
        <w:tc>
          <w:tcPr>
            <w:tcW w:w="1227" w:type="dxa"/>
            <w:tcBorders>
              <w:top w:val="single" w:sz="6" w:space="0" w:color="CCCCCC"/>
              <w:left w:val="single" w:sz="6" w:space="0" w:color="CCCCCC"/>
              <w:bottom w:val="single" w:sz="6" w:space="0" w:color="CCCCCC"/>
              <w:right w:val="single" w:sz="6" w:space="0" w:color="CCCCCC"/>
            </w:tcBorders>
            <w:shd w:val="clear" w:color="auto" w:fill="9CC2E5" w:themeFill="accent5" w:themeFillTint="99"/>
            <w:tcMar>
              <w:top w:w="30" w:type="dxa"/>
              <w:left w:w="45" w:type="dxa"/>
              <w:bottom w:w="30" w:type="dxa"/>
              <w:right w:w="45" w:type="dxa"/>
            </w:tcMar>
            <w:vAlign w:val="bottom"/>
            <w:hideMark/>
          </w:tcPr>
          <w:p w14:paraId="75553E0D" w14:textId="77777777" w:rsidR="00434818" w:rsidRPr="00434818" w:rsidRDefault="00434818" w:rsidP="00355506">
            <w:pPr>
              <w:spacing w:after="0" w:line="240" w:lineRule="auto"/>
              <w:jc w:val="both"/>
              <w:rPr>
                <w:rFonts w:ascii="Times New Roman" w:eastAsia="Times New Roman" w:hAnsi="Times New Roman" w:cs="Times New Roman"/>
                <w:b/>
                <w:bCs/>
                <w:lang w:eastAsia="is-IS"/>
              </w:rPr>
            </w:pPr>
            <w:r w:rsidRPr="00434818">
              <w:rPr>
                <w:rFonts w:ascii="Times New Roman" w:eastAsia="Times New Roman" w:hAnsi="Times New Roman" w:cs="Times New Roman"/>
                <w:b/>
                <w:bCs/>
                <w:lang w:eastAsia="is-IS"/>
              </w:rPr>
              <w:t>CELEX-nr.</w:t>
            </w:r>
          </w:p>
        </w:tc>
        <w:tc>
          <w:tcPr>
            <w:tcW w:w="3694" w:type="dxa"/>
            <w:tcBorders>
              <w:top w:val="single" w:sz="6" w:space="0" w:color="CCCCCC"/>
              <w:left w:val="single" w:sz="6" w:space="0" w:color="CCCCCC"/>
              <w:bottom w:val="single" w:sz="6" w:space="0" w:color="CCCCCC"/>
              <w:right w:val="single" w:sz="6" w:space="0" w:color="CCCCCC"/>
            </w:tcBorders>
            <w:shd w:val="clear" w:color="auto" w:fill="9CC2E5" w:themeFill="accent5" w:themeFillTint="99"/>
            <w:tcMar>
              <w:top w:w="30" w:type="dxa"/>
              <w:left w:w="45" w:type="dxa"/>
              <w:bottom w:w="30" w:type="dxa"/>
              <w:right w:w="45" w:type="dxa"/>
            </w:tcMar>
            <w:vAlign w:val="bottom"/>
            <w:hideMark/>
          </w:tcPr>
          <w:p w14:paraId="623A71BB" w14:textId="77777777" w:rsidR="00434818" w:rsidRPr="00434818" w:rsidRDefault="00434818" w:rsidP="00355506">
            <w:pPr>
              <w:spacing w:after="0" w:line="240" w:lineRule="auto"/>
              <w:jc w:val="both"/>
              <w:rPr>
                <w:rFonts w:ascii="Times New Roman" w:eastAsia="Times New Roman" w:hAnsi="Times New Roman" w:cs="Times New Roman"/>
                <w:b/>
                <w:bCs/>
                <w:lang w:eastAsia="is-IS"/>
              </w:rPr>
            </w:pPr>
            <w:r w:rsidRPr="00434818">
              <w:rPr>
                <w:rFonts w:ascii="Times New Roman" w:eastAsia="Times New Roman" w:hAnsi="Times New Roman" w:cs="Times New Roman"/>
                <w:b/>
                <w:bCs/>
                <w:lang w:eastAsia="is-IS"/>
              </w:rPr>
              <w:t>Heiti</w:t>
            </w:r>
          </w:p>
        </w:tc>
        <w:tc>
          <w:tcPr>
            <w:tcW w:w="4285" w:type="dxa"/>
            <w:tcBorders>
              <w:top w:val="single" w:sz="6" w:space="0" w:color="CCCCCC"/>
              <w:left w:val="single" w:sz="6" w:space="0" w:color="CCCCCC"/>
              <w:bottom w:val="single" w:sz="6" w:space="0" w:color="CCCCCC"/>
              <w:right w:val="single" w:sz="6" w:space="0" w:color="CCCCCC"/>
            </w:tcBorders>
            <w:shd w:val="clear" w:color="auto" w:fill="9CC2E5" w:themeFill="accent5" w:themeFillTint="99"/>
            <w:vAlign w:val="bottom"/>
          </w:tcPr>
          <w:p w14:paraId="7729FA42" w14:textId="77777777" w:rsidR="00434818" w:rsidRPr="00434818" w:rsidRDefault="00434818" w:rsidP="00AC5828">
            <w:pPr>
              <w:spacing w:after="0" w:line="240" w:lineRule="auto"/>
              <w:jc w:val="both"/>
              <w:rPr>
                <w:rFonts w:ascii="Times New Roman" w:eastAsia="Times New Roman" w:hAnsi="Times New Roman" w:cs="Times New Roman"/>
                <w:b/>
                <w:bCs/>
                <w:lang w:eastAsia="is-IS"/>
              </w:rPr>
            </w:pPr>
            <w:r w:rsidRPr="00434818">
              <w:rPr>
                <w:rFonts w:ascii="Times New Roman" w:eastAsia="Times New Roman" w:hAnsi="Times New Roman" w:cs="Times New Roman"/>
                <w:b/>
                <w:bCs/>
                <w:lang w:eastAsia="is-IS"/>
              </w:rPr>
              <w:t>Lýsing</w:t>
            </w:r>
          </w:p>
        </w:tc>
      </w:tr>
      <w:tr w:rsidR="00434818" w:rsidRPr="00434818" w14:paraId="1C213BE0" w14:textId="77777777" w:rsidTr="00EB2380">
        <w:trPr>
          <w:trHeight w:val="315"/>
        </w:trPr>
        <w:tc>
          <w:tcPr>
            <w:tcW w:w="12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8CA16CD" w14:textId="77777777" w:rsidR="00434818" w:rsidRPr="00434818" w:rsidRDefault="00434818" w:rsidP="00355506">
            <w:pPr>
              <w:spacing w:after="0" w:line="240" w:lineRule="auto"/>
              <w:jc w:val="both"/>
              <w:rPr>
                <w:rFonts w:ascii="Times New Roman" w:eastAsia="Times New Roman" w:hAnsi="Times New Roman" w:cs="Times New Roman"/>
                <w:lang w:eastAsia="is-IS"/>
              </w:rPr>
            </w:pPr>
            <w:r w:rsidRPr="00434818">
              <w:rPr>
                <w:rFonts w:ascii="Times New Roman" w:eastAsia="Times New Roman" w:hAnsi="Times New Roman" w:cs="Times New Roman"/>
                <w:lang w:eastAsia="is-IS"/>
              </w:rPr>
              <w:t>32016R1368</w:t>
            </w:r>
          </w:p>
        </w:tc>
        <w:tc>
          <w:tcPr>
            <w:tcW w:w="3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D9AFB5" w14:textId="016FC982" w:rsidR="00434818" w:rsidRPr="00434818" w:rsidRDefault="008D7535" w:rsidP="00355506">
            <w:pPr>
              <w:spacing w:after="0" w:line="240" w:lineRule="auto"/>
              <w:jc w:val="both"/>
              <w:rPr>
                <w:rFonts w:ascii="Times New Roman" w:eastAsia="Times New Roman" w:hAnsi="Times New Roman" w:cs="Times New Roman"/>
                <w:color w:val="0563C1"/>
                <w:u w:val="single"/>
                <w:lang w:eastAsia="is-IS"/>
              </w:rPr>
            </w:pPr>
            <w:hyperlink r:id="rId8" w:history="1">
              <w:r w:rsidR="00434818" w:rsidRPr="00134AF2">
                <w:rPr>
                  <w:rStyle w:val="Hyperlink"/>
                  <w:rFonts w:ascii="Times New Roman" w:eastAsia="Times New Roman" w:hAnsi="Times New Roman" w:cs="Times New Roman"/>
                  <w:lang w:eastAsia="is-IS"/>
                </w:rPr>
                <w:t>Commission Implementing Regulation (EU) 2016/1368 of 11 August 2016 establishing a list of critical benchmarks used in financial markets pursuant to Regulation (EU) 2016/1011 of the European Parliament and of the Council</w:t>
              </w:r>
            </w:hyperlink>
          </w:p>
        </w:tc>
        <w:tc>
          <w:tcPr>
            <w:tcW w:w="4285" w:type="dxa"/>
            <w:tcBorders>
              <w:top w:val="single" w:sz="6" w:space="0" w:color="CCCCCC"/>
              <w:left w:val="single" w:sz="6" w:space="0" w:color="CCCCCC"/>
              <w:bottom w:val="single" w:sz="6" w:space="0" w:color="CCCCCC"/>
              <w:right w:val="single" w:sz="6" w:space="0" w:color="CCCCCC"/>
            </w:tcBorders>
          </w:tcPr>
          <w:p w14:paraId="612CC773" w14:textId="1FB500CE" w:rsidR="00434818" w:rsidRDefault="008276A2" w:rsidP="00355506">
            <w:pPr>
              <w:spacing w:after="0" w:line="240" w:lineRule="auto"/>
              <w:jc w:val="both"/>
              <w:rPr>
                <w:rFonts w:ascii="Times New Roman" w:eastAsia="Times New Roman" w:hAnsi="Times New Roman" w:cs="Times New Roman"/>
                <w:color w:val="000000" w:themeColor="text1"/>
                <w:lang w:eastAsia="is-IS"/>
              </w:rPr>
            </w:pPr>
            <w:r w:rsidRPr="008276A2">
              <w:rPr>
                <w:rFonts w:ascii="Times New Roman" w:eastAsia="Times New Roman" w:hAnsi="Times New Roman" w:cs="Times New Roman"/>
                <w:color w:val="000000" w:themeColor="text1"/>
                <w:lang w:eastAsia="is-IS"/>
              </w:rPr>
              <w:t xml:space="preserve">Reglugerðin setur fram lista yfir </w:t>
            </w:r>
            <w:r w:rsidR="003A14E1">
              <w:rPr>
                <w:rFonts w:ascii="Times New Roman" w:eastAsia="Times New Roman" w:hAnsi="Times New Roman" w:cs="Times New Roman"/>
                <w:color w:val="000000" w:themeColor="text1"/>
                <w:lang w:eastAsia="is-IS"/>
              </w:rPr>
              <w:t>mjög mikilvægar</w:t>
            </w:r>
            <w:r w:rsidRPr="008276A2">
              <w:rPr>
                <w:rFonts w:ascii="Times New Roman" w:eastAsia="Times New Roman" w:hAnsi="Times New Roman" w:cs="Times New Roman"/>
                <w:color w:val="000000" w:themeColor="text1"/>
                <w:lang w:eastAsia="is-IS"/>
              </w:rPr>
              <w:t xml:space="preserve"> vísitölur samkvæmt 20. gr. </w:t>
            </w:r>
            <w:r w:rsidR="00015614">
              <w:rPr>
                <w:rFonts w:ascii="Times New Roman" w:eastAsia="Times New Roman" w:hAnsi="Times New Roman" w:cs="Times New Roman"/>
                <w:color w:val="000000" w:themeColor="text1"/>
                <w:lang w:eastAsia="is-IS"/>
              </w:rPr>
              <w:t>viðmiðanareglugerðarinnar</w:t>
            </w:r>
            <w:r w:rsidRPr="008276A2">
              <w:rPr>
                <w:rFonts w:ascii="Times New Roman" w:eastAsia="Times New Roman" w:hAnsi="Times New Roman" w:cs="Times New Roman"/>
                <w:color w:val="000000" w:themeColor="text1"/>
                <w:lang w:eastAsia="is-IS"/>
              </w:rPr>
              <w:t>.</w:t>
            </w:r>
          </w:p>
          <w:p w14:paraId="5936888C" w14:textId="02E68945" w:rsidR="009306EE" w:rsidRPr="009306EE" w:rsidRDefault="009306EE" w:rsidP="00355506">
            <w:pPr>
              <w:jc w:val="both"/>
              <w:rPr>
                <w:rFonts w:ascii="Times New Roman" w:eastAsia="Times New Roman" w:hAnsi="Times New Roman" w:cs="Times New Roman"/>
                <w:lang w:eastAsia="is-IS"/>
              </w:rPr>
            </w:pPr>
          </w:p>
        </w:tc>
      </w:tr>
      <w:tr w:rsidR="00434818" w:rsidRPr="00434818" w14:paraId="65D9A0C6" w14:textId="77777777" w:rsidTr="00EB2380">
        <w:trPr>
          <w:trHeight w:val="315"/>
        </w:trPr>
        <w:tc>
          <w:tcPr>
            <w:tcW w:w="12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202D21F" w14:textId="77777777" w:rsidR="00434818" w:rsidRPr="00434818" w:rsidRDefault="00434818" w:rsidP="00355506">
            <w:pPr>
              <w:spacing w:after="0" w:line="240" w:lineRule="auto"/>
              <w:jc w:val="both"/>
              <w:rPr>
                <w:rFonts w:ascii="Times New Roman" w:eastAsia="Times New Roman" w:hAnsi="Times New Roman" w:cs="Times New Roman"/>
                <w:lang w:eastAsia="is-IS"/>
              </w:rPr>
            </w:pPr>
            <w:r w:rsidRPr="00434818">
              <w:rPr>
                <w:rFonts w:ascii="Times New Roman" w:eastAsia="Times New Roman" w:hAnsi="Times New Roman" w:cs="Times New Roman"/>
                <w:lang w:eastAsia="is-IS"/>
              </w:rPr>
              <w:t>32017R1147</w:t>
            </w:r>
          </w:p>
        </w:tc>
        <w:tc>
          <w:tcPr>
            <w:tcW w:w="3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43CFA0" w14:textId="068F8AD0" w:rsidR="00434818" w:rsidRPr="00434818" w:rsidRDefault="008D7535" w:rsidP="00355506">
            <w:pPr>
              <w:spacing w:after="0" w:line="240" w:lineRule="auto"/>
              <w:jc w:val="both"/>
              <w:rPr>
                <w:rFonts w:ascii="Times New Roman" w:eastAsia="Times New Roman" w:hAnsi="Times New Roman" w:cs="Times New Roman"/>
                <w:color w:val="0563C1"/>
                <w:u w:val="single"/>
                <w:lang w:eastAsia="is-IS"/>
              </w:rPr>
            </w:pPr>
            <w:hyperlink r:id="rId9" w:history="1">
              <w:r w:rsidR="00434818" w:rsidRPr="00134AF2">
                <w:rPr>
                  <w:rStyle w:val="Hyperlink"/>
                  <w:rFonts w:ascii="Times New Roman" w:eastAsia="Times New Roman" w:hAnsi="Times New Roman" w:cs="Times New Roman"/>
                  <w:lang w:eastAsia="is-IS"/>
                </w:rPr>
                <w:t>Commission Implementing Regulation (EU) 2017/1147 of 28 June 2017 amending Implementing Regulation (EU) 2016/1368 establishing a list of critical benchmarks used in financial markets pursuant to Regulation (EU) 2016/1011 of the European Parliament and of the Council</w:t>
              </w:r>
            </w:hyperlink>
          </w:p>
        </w:tc>
        <w:tc>
          <w:tcPr>
            <w:tcW w:w="4285" w:type="dxa"/>
            <w:tcBorders>
              <w:top w:val="single" w:sz="6" w:space="0" w:color="CCCCCC"/>
              <w:left w:val="single" w:sz="6" w:space="0" w:color="CCCCCC"/>
              <w:bottom w:val="single" w:sz="6" w:space="0" w:color="CCCCCC"/>
              <w:right w:val="single" w:sz="6" w:space="0" w:color="CCCCCC"/>
            </w:tcBorders>
          </w:tcPr>
          <w:p w14:paraId="2180D0DE" w14:textId="7177077A" w:rsidR="00434818" w:rsidRPr="008276A2" w:rsidRDefault="008276A2" w:rsidP="00355506">
            <w:pPr>
              <w:spacing w:after="0" w:line="240" w:lineRule="auto"/>
              <w:jc w:val="both"/>
              <w:rPr>
                <w:rFonts w:ascii="Times New Roman" w:eastAsia="Times New Roman" w:hAnsi="Times New Roman" w:cs="Times New Roman"/>
                <w:color w:val="000000" w:themeColor="text1"/>
                <w:lang w:eastAsia="is-IS"/>
              </w:rPr>
            </w:pPr>
            <w:r w:rsidRPr="008276A2">
              <w:rPr>
                <w:rFonts w:ascii="Times New Roman" w:eastAsia="Times New Roman" w:hAnsi="Times New Roman" w:cs="Times New Roman"/>
                <w:color w:val="000000" w:themeColor="text1"/>
                <w:lang w:eastAsia="is-IS"/>
              </w:rPr>
              <w:t xml:space="preserve">Með reglugerðinni er </w:t>
            </w:r>
            <w:r w:rsidR="00807F55">
              <w:rPr>
                <w:rFonts w:ascii="Times New Roman" w:eastAsia="Times New Roman" w:hAnsi="Times New Roman" w:cs="Times New Roman"/>
                <w:color w:val="000000" w:themeColor="text1"/>
                <w:lang w:eastAsia="is-IS"/>
              </w:rPr>
              <w:t>viðmiðun</w:t>
            </w:r>
            <w:r w:rsidRPr="008276A2">
              <w:rPr>
                <w:rFonts w:ascii="Times New Roman" w:eastAsia="Times New Roman" w:hAnsi="Times New Roman" w:cs="Times New Roman"/>
                <w:color w:val="000000" w:themeColor="text1"/>
                <w:lang w:eastAsia="is-IS"/>
              </w:rPr>
              <w:t xml:space="preserve"> fyrir millibankadagvexti í evrum (EONIA) bætt við lista yfir </w:t>
            </w:r>
            <w:r w:rsidR="003A14E1">
              <w:rPr>
                <w:rFonts w:ascii="Times New Roman" w:eastAsia="Times New Roman" w:hAnsi="Times New Roman" w:cs="Times New Roman"/>
                <w:color w:val="000000" w:themeColor="text1"/>
                <w:lang w:eastAsia="is-IS"/>
              </w:rPr>
              <w:t>mjög mikilvægar</w:t>
            </w:r>
            <w:r w:rsidRPr="008276A2">
              <w:rPr>
                <w:rFonts w:ascii="Times New Roman" w:eastAsia="Times New Roman" w:hAnsi="Times New Roman" w:cs="Times New Roman"/>
                <w:color w:val="000000" w:themeColor="text1"/>
                <w:lang w:eastAsia="is-IS"/>
              </w:rPr>
              <w:t xml:space="preserve"> </w:t>
            </w:r>
            <w:r w:rsidR="00807F55">
              <w:rPr>
                <w:rFonts w:ascii="Times New Roman" w:eastAsia="Times New Roman" w:hAnsi="Times New Roman" w:cs="Times New Roman"/>
                <w:color w:val="000000" w:themeColor="text1"/>
                <w:lang w:eastAsia="is-IS"/>
              </w:rPr>
              <w:t>viðmiðanir</w:t>
            </w:r>
            <w:r w:rsidRPr="008276A2">
              <w:rPr>
                <w:rFonts w:ascii="Times New Roman" w:eastAsia="Times New Roman" w:hAnsi="Times New Roman" w:cs="Times New Roman"/>
                <w:color w:val="000000" w:themeColor="text1"/>
                <w:lang w:eastAsia="is-IS"/>
              </w:rPr>
              <w:t xml:space="preserve"> samkvæmt framkvæmdarreglugerð (ESB) 2016/1368.</w:t>
            </w:r>
          </w:p>
        </w:tc>
      </w:tr>
      <w:tr w:rsidR="00434818" w:rsidRPr="00434818" w14:paraId="56CB654B" w14:textId="77777777" w:rsidTr="00EB2380">
        <w:trPr>
          <w:trHeight w:val="315"/>
        </w:trPr>
        <w:tc>
          <w:tcPr>
            <w:tcW w:w="12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8F9C63F" w14:textId="77777777" w:rsidR="00434818" w:rsidRPr="00434818" w:rsidRDefault="00434818" w:rsidP="00355506">
            <w:pPr>
              <w:spacing w:after="0" w:line="240" w:lineRule="auto"/>
              <w:jc w:val="both"/>
              <w:rPr>
                <w:rFonts w:ascii="Times New Roman" w:eastAsia="Times New Roman" w:hAnsi="Times New Roman" w:cs="Times New Roman"/>
                <w:lang w:eastAsia="is-IS"/>
              </w:rPr>
            </w:pPr>
            <w:r w:rsidRPr="00434818">
              <w:rPr>
                <w:rFonts w:ascii="Times New Roman" w:eastAsia="Times New Roman" w:hAnsi="Times New Roman" w:cs="Times New Roman"/>
                <w:lang w:eastAsia="is-IS"/>
              </w:rPr>
              <w:t>32017R2446</w:t>
            </w:r>
          </w:p>
        </w:tc>
        <w:tc>
          <w:tcPr>
            <w:tcW w:w="3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376036" w14:textId="0A0CE064" w:rsidR="00434818" w:rsidRPr="00434818" w:rsidRDefault="008D7535" w:rsidP="00355506">
            <w:pPr>
              <w:spacing w:after="0" w:line="240" w:lineRule="auto"/>
              <w:jc w:val="both"/>
              <w:rPr>
                <w:rFonts w:ascii="Times New Roman" w:eastAsia="Times New Roman" w:hAnsi="Times New Roman" w:cs="Times New Roman"/>
                <w:color w:val="0563C1"/>
                <w:u w:val="single"/>
                <w:lang w:eastAsia="is-IS"/>
              </w:rPr>
            </w:pPr>
            <w:hyperlink r:id="rId10" w:history="1">
              <w:r w:rsidR="00434818" w:rsidRPr="00134AF2">
                <w:rPr>
                  <w:rStyle w:val="Hyperlink"/>
                  <w:rFonts w:ascii="Times New Roman" w:eastAsia="Times New Roman" w:hAnsi="Times New Roman" w:cs="Times New Roman"/>
                  <w:lang w:eastAsia="is-IS"/>
                </w:rPr>
                <w:t>Commission Implementing Regulation (EU) 2017/2446 of 19 December 2017 amending Implementing Regulation (EU) 2016/1368 establishing a list of critical benchmarks used in financial markets pursuant to Regulation (EU) 2016/1011 of the European Parliament and of the Council</w:t>
              </w:r>
            </w:hyperlink>
          </w:p>
        </w:tc>
        <w:tc>
          <w:tcPr>
            <w:tcW w:w="4285" w:type="dxa"/>
            <w:tcBorders>
              <w:top w:val="single" w:sz="6" w:space="0" w:color="CCCCCC"/>
              <w:left w:val="single" w:sz="6" w:space="0" w:color="CCCCCC"/>
              <w:bottom w:val="single" w:sz="6" w:space="0" w:color="CCCCCC"/>
              <w:right w:val="single" w:sz="6" w:space="0" w:color="CCCCCC"/>
            </w:tcBorders>
          </w:tcPr>
          <w:p w14:paraId="5472E516" w14:textId="6F0D73E1" w:rsidR="00434818" w:rsidRPr="008276A2" w:rsidRDefault="008276A2" w:rsidP="00355506">
            <w:pPr>
              <w:spacing w:after="0" w:line="240" w:lineRule="auto"/>
              <w:jc w:val="both"/>
              <w:rPr>
                <w:rFonts w:ascii="Times New Roman" w:eastAsia="Times New Roman" w:hAnsi="Times New Roman" w:cs="Times New Roman"/>
                <w:color w:val="000000" w:themeColor="text1"/>
                <w:lang w:eastAsia="is-IS"/>
              </w:rPr>
            </w:pPr>
            <w:r w:rsidRPr="008276A2">
              <w:rPr>
                <w:rFonts w:ascii="Times New Roman" w:eastAsia="Times New Roman" w:hAnsi="Times New Roman" w:cs="Times New Roman"/>
                <w:color w:val="000000" w:themeColor="text1"/>
                <w:lang w:eastAsia="is-IS"/>
              </w:rPr>
              <w:t xml:space="preserve">Með reglugerðinni er </w:t>
            </w:r>
            <w:r w:rsidR="00807F55">
              <w:rPr>
                <w:rFonts w:ascii="Times New Roman" w:eastAsia="Times New Roman" w:hAnsi="Times New Roman" w:cs="Times New Roman"/>
                <w:color w:val="000000" w:themeColor="text1"/>
                <w:lang w:eastAsia="is-IS"/>
              </w:rPr>
              <w:t>viðmiðun</w:t>
            </w:r>
            <w:r w:rsidRPr="008276A2">
              <w:rPr>
                <w:rFonts w:ascii="Times New Roman" w:eastAsia="Times New Roman" w:hAnsi="Times New Roman" w:cs="Times New Roman"/>
                <w:color w:val="000000" w:themeColor="text1"/>
                <w:lang w:eastAsia="is-IS"/>
              </w:rPr>
              <w:t xml:space="preserve"> fyrir millibankavexti í London (LIBOR) bætt við lista yfir </w:t>
            </w:r>
            <w:r w:rsidR="008E4F7D">
              <w:rPr>
                <w:rFonts w:ascii="Times New Roman" w:eastAsia="Times New Roman" w:hAnsi="Times New Roman" w:cs="Times New Roman"/>
                <w:color w:val="000000" w:themeColor="text1"/>
                <w:lang w:eastAsia="is-IS"/>
              </w:rPr>
              <w:t>mjög mikilvægar</w:t>
            </w:r>
            <w:r w:rsidRPr="008276A2">
              <w:rPr>
                <w:rFonts w:ascii="Times New Roman" w:eastAsia="Times New Roman" w:hAnsi="Times New Roman" w:cs="Times New Roman"/>
                <w:color w:val="000000" w:themeColor="text1"/>
                <w:lang w:eastAsia="is-IS"/>
              </w:rPr>
              <w:t xml:space="preserve"> </w:t>
            </w:r>
            <w:r w:rsidR="00807F55">
              <w:rPr>
                <w:rFonts w:ascii="Times New Roman" w:eastAsia="Times New Roman" w:hAnsi="Times New Roman" w:cs="Times New Roman"/>
                <w:color w:val="000000" w:themeColor="text1"/>
                <w:lang w:eastAsia="is-IS"/>
              </w:rPr>
              <w:t>viðmiðanir</w:t>
            </w:r>
            <w:r w:rsidRPr="008276A2">
              <w:rPr>
                <w:rFonts w:ascii="Times New Roman" w:eastAsia="Times New Roman" w:hAnsi="Times New Roman" w:cs="Times New Roman"/>
                <w:color w:val="000000" w:themeColor="text1"/>
                <w:lang w:eastAsia="is-IS"/>
              </w:rPr>
              <w:t xml:space="preserve"> samkvæmt framkvæmdarreglugerð (ESB) 2016/1368.</w:t>
            </w:r>
          </w:p>
        </w:tc>
      </w:tr>
      <w:tr w:rsidR="00434818" w:rsidRPr="00434818" w14:paraId="08A843D0" w14:textId="77777777" w:rsidTr="00EB2380">
        <w:trPr>
          <w:trHeight w:val="315"/>
        </w:trPr>
        <w:tc>
          <w:tcPr>
            <w:tcW w:w="12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3F9C217" w14:textId="77777777" w:rsidR="00434818" w:rsidRPr="00434818" w:rsidRDefault="00434818" w:rsidP="00355506">
            <w:pPr>
              <w:spacing w:after="0" w:line="240" w:lineRule="auto"/>
              <w:jc w:val="both"/>
              <w:rPr>
                <w:rFonts w:ascii="Times New Roman" w:eastAsia="Times New Roman" w:hAnsi="Times New Roman" w:cs="Times New Roman"/>
                <w:lang w:eastAsia="is-IS"/>
              </w:rPr>
            </w:pPr>
            <w:r w:rsidRPr="00434818">
              <w:rPr>
                <w:rFonts w:ascii="Times New Roman" w:eastAsia="Times New Roman" w:hAnsi="Times New Roman" w:cs="Times New Roman"/>
                <w:lang w:eastAsia="is-IS"/>
              </w:rPr>
              <w:t>32018R0064</w:t>
            </w:r>
          </w:p>
        </w:tc>
        <w:tc>
          <w:tcPr>
            <w:tcW w:w="3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97D003" w14:textId="614D93C2" w:rsidR="00434818" w:rsidRPr="00434818" w:rsidRDefault="008D7535" w:rsidP="00355506">
            <w:pPr>
              <w:spacing w:after="0" w:line="240" w:lineRule="auto"/>
              <w:jc w:val="both"/>
              <w:rPr>
                <w:rFonts w:ascii="Times New Roman" w:eastAsia="Times New Roman" w:hAnsi="Times New Roman" w:cs="Times New Roman"/>
                <w:color w:val="0563C1"/>
                <w:u w:val="single"/>
                <w:lang w:eastAsia="is-IS"/>
              </w:rPr>
            </w:pPr>
            <w:hyperlink r:id="rId11" w:history="1">
              <w:r w:rsidR="00434818" w:rsidRPr="00134AF2">
                <w:rPr>
                  <w:rStyle w:val="Hyperlink"/>
                  <w:rFonts w:ascii="Times New Roman" w:eastAsia="Times New Roman" w:hAnsi="Times New Roman" w:cs="Times New Roman"/>
                  <w:lang w:eastAsia="is-IS"/>
                </w:rPr>
                <w:t>Commission Delegated Regulation (EU) 2018/64 of 29 September 2017 supplementing Regulation (EU) 2016/1011 of the European Parliament and of the Council with regard to specifying how the criteria of Article 20(1)(c)(iii) are to be applied for assessing whether certain events would result in significant and adverse impacts on market integrity, financial stability, consumers, the real economy or the financing of households and businesses in one or more Member States</w:t>
              </w:r>
            </w:hyperlink>
          </w:p>
        </w:tc>
        <w:tc>
          <w:tcPr>
            <w:tcW w:w="4285" w:type="dxa"/>
            <w:tcBorders>
              <w:top w:val="single" w:sz="6" w:space="0" w:color="CCCCCC"/>
              <w:left w:val="single" w:sz="6" w:space="0" w:color="CCCCCC"/>
              <w:bottom w:val="single" w:sz="6" w:space="0" w:color="CCCCCC"/>
              <w:right w:val="single" w:sz="6" w:space="0" w:color="CCCCCC"/>
            </w:tcBorders>
          </w:tcPr>
          <w:p w14:paraId="6E13CCE4" w14:textId="62CAFE8C" w:rsidR="00434818" w:rsidRPr="008276A2" w:rsidRDefault="008276A2" w:rsidP="00355506">
            <w:pPr>
              <w:spacing w:after="0" w:line="240" w:lineRule="auto"/>
              <w:jc w:val="both"/>
              <w:rPr>
                <w:rFonts w:ascii="Times New Roman" w:eastAsia="Times New Roman" w:hAnsi="Times New Roman" w:cs="Times New Roman"/>
                <w:color w:val="000000" w:themeColor="text1"/>
                <w:lang w:eastAsia="is-IS"/>
              </w:rPr>
            </w:pPr>
            <w:r w:rsidRPr="008276A2">
              <w:rPr>
                <w:rFonts w:ascii="Times New Roman" w:eastAsia="Times New Roman" w:hAnsi="Times New Roman" w:cs="Times New Roman"/>
                <w:color w:val="000000" w:themeColor="text1"/>
                <w:lang w:eastAsia="is-IS"/>
              </w:rPr>
              <w:t xml:space="preserve">Reglugerðin útfærir hvernig metið skuli hvort annmarkar á </w:t>
            </w:r>
            <w:r w:rsidR="00807F55">
              <w:rPr>
                <w:rFonts w:ascii="Times New Roman" w:eastAsia="Times New Roman" w:hAnsi="Times New Roman" w:cs="Times New Roman"/>
                <w:color w:val="000000" w:themeColor="text1"/>
                <w:lang w:eastAsia="is-IS"/>
              </w:rPr>
              <w:t>viðmiðun</w:t>
            </w:r>
            <w:r w:rsidRPr="008276A2">
              <w:rPr>
                <w:rFonts w:ascii="Times New Roman" w:eastAsia="Times New Roman" w:hAnsi="Times New Roman" w:cs="Times New Roman"/>
                <w:color w:val="000000" w:themeColor="text1"/>
                <w:lang w:eastAsia="is-IS"/>
              </w:rPr>
              <w:t xml:space="preserve"> geti haft veruleg neikvæð áhrif á heildarvirkni markaðar, fjármálastöðugleika, neytendur, raunhagkerfið eða fjármögnun heimila eða fyrirtækja í skilningi iii-liðar c-liðar 1. mgr. 20. gr. </w:t>
            </w:r>
            <w:r w:rsidR="007C536B">
              <w:rPr>
                <w:rFonts w:ascii="Times New Roman" w:eastAsia="Times New Roman" w:hAnsi="Times New Roman" w:cs="Times New Roman"/>
                <w:color w:val="000000" w:themeColor="text1"/>
                <w:lang w:eastAsia="is-IS"/>
              </w:rPr>
              <w:t>viðmiðanareglugerðarinnar</w:t>
            </w:r>
            <w:r w:rsidRPr="008276A2">
              <w:rPr>
                <w:rFonts w:ascii="Times New Roman" w:eastAsia="Times New Roman" w:hAnsi="Times New Roman" w:cs="Times New Roman"/>
                <w:color w:val="000000" w:themeColor="text1"/>
                <w:lang w:eastAsia="is-IS"/>
              </w:rPr>
              <w:t>.</w:t>
            </w:r>
          </w:p>
        </w:tc>
      </w:tr>
      <w:tr w:rsidR="00434818" w:rsidRPr="00434818" w14:paraId="6E46576F" w14:textId="77777777" w:rsidTr="00EB2380">
        <w:trPr>
          <w:trHeight w:val="315"/>
        </w:trPr>
        <w:tc>
          <w:tcPr>
            <w:tcW w:w="12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A3E3524" w14:textId="77777777" w:rsidR="00434818" w:rsidRPr="00434818" w:rsidRDefault="00434818" w:rsidP="00355506">
            <w:pPr>
              <w:spacing w:after="0" w:line="240" w:lineRule="auto"/>
              <w:jc w:val="both"/>
              <w:rPr>
                <w:rFonts w:ascii="Times New Roman" w:eastAsia="Times New Roman" w:hAnsi="Times New Roman" w:cs="Times New Roman"/>
                <w:lang w:eastAsia="is-IS"/>
              </w:rPr>
            </w:pPr>
            <w:r w:rsidRPr="00434818">
              <w:rPr>
                <w:rFonts w:ascii="Times New Roman" w:eastAsia="Times New Roman" w:hAnsi="Times New Roman" w:cs="Times New Roman"/>
                <w:lang w:eastAsia="is-IS"/>
              </w:rPr>
              <w:lastRenderedPageBreak/>
              <w:t>32018R0065</w:t>
            </w:r>
          </w:p>
        </w:tc>
        <w:tc>
          <w:tcPr>
            <w:tcW w:w="3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8970DA" w14:textId="6A56B438" w:rsidR="00434818" w:rsidRPr="00434818" w:rsidRDefault="008D7535" w:rsidP="00355506">
            <w:pPr>
              <w:spacing w:after="0" w:line="240" w:lineRule="auto"/>
              <w:jc w:val="both"/>
              <w:rPr>
                <w:rFonts w:ascii="Times New Roman" w:eastAsia="Times New Roman" w:hAnsi="Times New Roman" w:cs="Times New Roman"/>
                <w:color w:val="0563C1"/>
                <w:u w:val="single"/>
                <w:lang w:eastAsia="is-IS"/>
              </w:rPr>
            </w:pPr>
            <w:hyperlink r:id="rId12" w:history="1">
              <w:r w:rsidR="00434818" w:rsidRPr="00134AF2">
                <w:rPr>
                  <w:rStyle w:val="Hyperlink"/>
                  <w:rFonts w:ascii="Times New Roman" w:eastAsia="Times New Roman" w:hAnsi="Times New Roman" w:cs="Times New Roman"/>
                  <w:lang w:eastAsia="is-IS"/>
                </w:rPr>
                <w:t>Commission Delegated Regulation (EU) 2018/65 of 29 September 2017 supplementing Regulation (EU) 2016/1011 of the European Parliament and of the Council specifying technical elements of the definitions laid down in paragraph 1 of Article 3 of the Regulation</w:t>
              </w:r>
            </w:hyperlink>
          </w:p>
        </w:tc>
        <w:tc>
          <w:tcPr>
            <w:tcW w:w="4285" w:type="dxa"/>
            <w:tcBorders>
              <w:top w:val="single" w:sz="6" w:space="0" w:color="CCCCCC"/>
              <w:left w:val="single" w:sz="6" w:space="0" w:color="CCCCCC"/>
              <w:bottom w:val="single" w:sz="6" w:space="0" w:color="CCCCCC"/>
              <w:right w:val="single" w:sz="6" w:space="0" w:color="CCCCCC"/>
            </w:tcBorders>
          </w:tcPr>
          <w:p w14:paraId="56BB6609" w14:textId="7203FAD2" w:rsidR="00434818" w:rsidRPr="008276A2" w:rsidRDefault="008276A2" w:rsidP="00355506">
            <w:pPr>
              <w:spacing w:after="0" w:line="240" w:lineRule="auto"/>
              <w:jc w:val="both"/>
              <w:rPr>
                <w:rFonts w:ascii="Times New Roman" w:eastAsia="Times New Roman" w:hAnsi="Times New Roman" w:cs="Times New Roman"/>
                <w:color w:val="000000" w:themeColor="text1"/>
                <w:lang w:eastAsia="is-IS"/>
              </w:rPr>
            </w:pPr>
            <w:r w:rsidRPr="008276A2">
              <w:rPr>
                <w:rFonts w:ascii="Times New Roman" w:eastAsia="Times New Roman" w:hAnsi="Times New Roman" w:cs="Times New Roman"/>
                <w:color w:val="000000" w:themeColor="text1"/>
                <w:lang w:eastAsia="is-IS"/>
              </w:rPr>
              <w:t xml:space="preserve">Reglugerðin útfærir hvenær vísitala telst hafa verið gerð almenningi aðgengileg í skilningi a-liðar 1. tölul. 1. mgr. 3. gr. </w:t>
            </w:r>
            <w:r w:rsidR="007C536B">
              <w:rPr>
                <w:rFonts w:ascii="Times New Roman" w:eastAsia="Times New Roman" w:hAnsi="Times New Roman" w:cs="Times New Roman"/>
                <w:color w:val="000000" w:themeColor="text1"/>
                <w:lang w:eastAsia="is-IS"/>
              </w:rPr>
              <w:t>viðmiðanareglugerðarinnar</w:t>
            </w:r>
            <w:r w:rsidR="007C536B" w:rsidRPr="008276A2">
              <w:rPr>
                <w:rFonts w:ascii="Times New Roman" w:eastAsia="Times New Roman" w:hAnsi="Times New Roman" w:cs="Times New Roman"/>
                <w:color w:val="000000" w:themeColor="text1"/>
                <w:lang w:eastAsia="is-IS"/>
              </w:rPr>
              <w:t xml:space="preserve"> </w:t>
            </w:r>
            <w:r w:rsidRPr="008276A2">
              <w:rPr>
                <w:rFonts w:ascii="Times New Roman" w:eastAsia="Times New Roman" w:hAnsi="Times New Roman" w:cs="Times New Roman"/>
                <w:color w:val="000000" w:themeColor="text1"/>
                <w:lang w:eastAsia="is-IS"/>
              </w:rPr>
              <w:t>og hvað telst til þess að stýra fyrirkomulagi við ákvörðun viðmiðunar í skilningi a-liðar 5. tölul. sömu málsgreinar.</w:t>
            </w:r>
          </w:p>
        </w:tc>
      </w:tr>
      <w:tr w:rsidR="00434818" w:rsidRPr="00434818" w14:paraId="749C6E84" w14:textId="77777777" w:rsidTr="00EB2380">
        <w:trPr>
          <w:trHeight w:val="315"/>
        </w:trPr>
        <w:tc>
          <w:tcPr>
            <w:tcW w:w="12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B953A4F" w14:textId="77777777" w:rsidR="00434818" w:rsidRPr="00434818" w:rsidRDefault="00434818" w:rsidP="00355506">
            <w:pPr>
              <w:spacing w:after="0" w:line="240" w:lineRule="auto"/>
              <w:jc w:val="both"/>
              <w:rPr>
                <w:rFonts w:ascii="Times New Roman" w:eastAsia="Times New Roman" w:hAnsi="Times New Roman" w:cs="Times New Roman"/>
                <w:lang w:eastAsia="is-IS"/>
              </w:rPr>
            </w:pPr>
            <w:r w:rsidRPr="00434818">
              <w:rPr>
                <w:rFonts w:ascii="Times New Roman" w:eastAsia="Times New Roman" w:hAnsi="Times New Roman" w:cs="Times New Roman"/>
                <w:lang w:eastAsia="is-IS"/>
              </w:rPr>
              <w:t>32018R0066</w:t>
            </w:r>
          </w:p>
        </w:tc>
        <w:tc>
          <w:tcPr>
            <w:tcW w:w="3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EA9B47" w14:textId="25C19470" w:rsidR="00434818" w:rsidRPr="00434818" w:rsidRDefault="008D7535" w:rsidP="00355506">
            <w:pPr>
              <w:spacing w:after="0" w:line="240" w:lineRule="auto"/>
              <w:jc w:val="both"/>
              <w:rPr>
                <w:rFonts w:ascii="Times New Roman" w:eastAsia="Times New Roman" w:hAnsi="Times New Roman" w:cs="Times New Roman"/>
                <w:color w:val="0563C1"/>
                <w:u w:val="single"/>
                <w:lang w:eastAsia="is-IS"/>
              </w:rPr>
            </w:pPr>
            <w:hyperlink r:id="rId13" w:history="1">
              <w:r w:rsidR="00434818" w:rsidRPr="00134AF2">
                <w:rPr>
                  <w:rStyle w:val="Hyperlink"/>
                  <w:rFonts w:ascii="Times New Roman" w:eastAsia="Times New Roman" w:hAnsi="Times New Roman" w:cs="Times New Roman"/>
                  <w:lang w:eastAsia="is-IS"/>
                </w:rPr>
                <w:t>Commission Delegated Regulation (EU) 2018/66 of 29 September 2017 supplementing Regulation (EU) 2016/1011 of the European Parliament and of the Council specifying how the nominal amount of financial instruments other than derivatives, the notional amount of derivatives and the net asset value of investment funds are to be assessed</w:t>
              </w:r>
            </w:hyperlink>
          </w:p>
        </w:tc>
        <w:tc>
          <w:tcPr>
            <w:tcW w:w="4285" w:type="dxa"/>
            <w:tcBorders>
              <w:top w:val="single" w:sz="6" w:space="0" w:color="CCCCCC"/>
              <w:left w:val="single" w:sz="6" w:space="0" w:color="CCCCCC"/>
              <w:bottom w:val="single" w:sz="6" w:space="0" w:color="CCCCCC"/>
              <w:right w:val="single" w:sz="6" w:space="0" w:color="CCCCCC"/>
            </w:tcBorders>
          </w:tcPr>
          <w:p w14:paraId="3153BD93" w14:textId="0A7BA6FB" w:rsidR="00434818" w:rsidRPr="008276A2" w:rsidRDefault="008276A2" w:rsidP="00355506">
            <w:pPr>
              <w:spacing w:after="0" w:line="240" w:lineRule="auto"/>
              <w:jc w:val="both"/>
              <w:rPr>
                <w:rFonts w:ascii="Times New Roman" w:eastAsia="Times New Roman" w:hAnsi="Times New Roman" w:cs="Times New Roman"/>
                <w:color w:val="000000" w:themeColor="text1"/>
                <w:lang w:eastAsia="is-IS"/>
              </w:rPr>
            </w:pPr>
            <w:r w:rsidRPr="008276A2">
              <w:rPr>
                <w:rFonts w:ascii="Times New Roman" w:eastAsia="Times New Roman" w:hAnsi="Times New Roman" w:cs="Times New Roman"/>
                <w:color w:val="000000" w:themeColor="text1"/>
                <w:lang w:eastAsia="is-IS"/>
              </w:rPr>
              <w:t>Reglugerðin útfærir hvernig ákvarða eigi virði fjármálagerninga, samninga og fjárfestingarsjóða sem vísa til viðmiðuna</w:t>
            </w:r>
            <w:r w:rsidR="00807F55">
              <w:rPr>
                <w:rFonts w:ascii="Times New Roman" w:eastAsia="Times New Roman" w:hAnsi="Times New Roman" w:cs="Times New Roman"/>
                <w:color w:val="000000" w:themeColor="text1"/>
                <w:lang w:eastAsia="is-IS"/>
              </w:rPr>
              <w:t>r</w:t>
            </w:r>
            <w:r w:rsidRPr="008276A2">
              <w:rPr>
                <w:rFonts w:ascii="Times New Roman" w:eastAsia="Times New Roman" w:hAnsi="Times New Roman" w:cs="Times New Roman"/>
                <w:color w:val="000000" w:themeColor="text1"/>
                <w:lang w:eastAsia="is-IS"/>
              </w:rPr>
              <w:t>.</w:t>
            </w:r>
          </w:p>
        </w:tc>
      </w:tr>
      <w:tr w:rsidR="00434818" w:rsidRPr="00434818" w14:paraId="7208D6EF" w14:textId="77777777" w:rsidTr="00EB2380">
        <w:trPr>
          <w:trHeight w:val="315"/>
        </w:trPr>
        <w:tc>
          <w:tcPr>
            <w:tcW w:w="12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048AE0C" w14:textId="77777777" w:rsidR="00434818" w:rsidRPr="00434818" w:rsidRDefault="00434818" w:rsidP="00355506">
            <w:pPr>
              <w:spacing w:after="0" w:line="240" w:lineRule="auto"/>
              <w:jc w:val="both"/>
              <w:rPr>
                <w:rFonts w:ascii="Times New Roman" w:eastAsia="Times New Roman" w:hAnsi="Times New Roman" w:cs="Times New Roman"/>
                <w:lang w:eastAsia="is-IS"/>
              </w:rPr>
            </w:pPr>
            <w:r w:rsidRPr="00434818">
              <w:rPr>
                <w:rFonts w:ascii="Times New Roman" w:eastAsia="Times New Roman" w:hAnsi="Times New Roman" w:cs="Times New Roman"/>
                <w:lang w:eastAsia="is-IS"/>
              </w:rPr>
              <w:t>32018R0067</w:t>
            </w:r>
          </w:p>
        </w:tc>
        <w:tc>
          <w:tcPr>
            <w:tcW w:w="3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49D201" w14:textId="537A839A" w:rsidR="00434818" w:rsidRPr="00434818" w:rsidRDefault="008D7535" w:rsidP="00355506">
            <w:pPr>
              <w:spacing w:after="0" w:line="240" w:lineRule="auto"/>
              <w:jc w:val="both"/>
              <w:rPr>
                <w:rFonts w:ascii="Times New Roman" w:eastAsia="Times New Roman" w:hAnsi="Times New Roman" w:cs="Times New Roman"/>
                <w:color w:val="0563C1"/>
                <w:u w:val="single"/>
                <w:lang w:eastAsia="is-IS"/>
              </w:rPr>
            </w:pPr>
            <w:hyperlink r:id="rId14" w:history="1">
              <w:r w:rsidR="00434818" w:rsidRPr="00134AF2">
                <w:rPr>
                  <w:rStyle w:val="Hyperlink"/>
                  <w:rFonts w:ascii="Times New Roman" w:eastAsia="Times New Roman" w:hAnsi="Times New Roman" w:cs="Times New Roman"/>
                  <w:lang w:eastAsia="is-IS"/>
                </w:rPr>
                <w:t>Commission Delegated Regulation (EU) 2018/67 of 3 October 2017 supplementing Regulation (EU) 2016/1011 of the European Parliament and of the Council with regard to the establishment of the conditions to assess the impact resulting from the cessation of or change to existing benchmarks</w:t>
              </w:r>
            </w:hyperlink>
          </w:p>
        </w:tc>
        <w:tc>
          <w:tcPr>
            <w:tcW w:w="4285" w:type="dxa"/>
            <w:tcBorders>
              <w:top w:val="single" w:sz="6" w:space="0" w:color="CCCCCC"/>
              <w:left w:val="single" w:sz="6" w:space="0" w:color="CCCCCC"/>
              <w:bottom w:val="single" w:sz="6" w:space="0" w:color="CCCCCC"/>
              <w:right w:val="single" w:sz="6" w:space="0" w:color="CCCCCC"/>
            </w:tcBorders>
          </w:tcPr>
          <w:p w14:paraId="7E0A73C9" w14:textId="1869A698" w:rsidR="00434818" w:rsidRPr="008276A2" w:rsidRDefault="008276A2" w:rsidP="00355506">
            <w:pPr>
              <w:spacing w:after="0" w:line="240" w:lineRule="auto"/>
              <w:jc w:val="both"/>
              <w:rPr>
                <w:rFonts w:ascii="Times New Roman" w:eastAsia="Times New Roman" w:hAnsi="Times New Roman" w:cs="Times New Roman"/>
                <w:color w:val="000000" w:themeColor="text1"/>
                <w:lang w:eastAsia="is-IS"/>
              </w:rPr>
            </w:pPr>
            <w:r w:rsidRPr="008276A2">
              <w:rPr>
                <w:rFonts w:ascii="Times New Roman" w:eastAsia="Times New Roman" w:hAnsi="Times New Roman" w:cs="Times New Roman"/>
                <w:color w:val="000000" w:themeColor="text1"/>
                <w:lang w:eastAsia="is-IS"/>
              </w:rPr>
              <w:t xml:space="preserve">Reglugerðin útfærir hvernig metið skuli hvort afnám eða breyting á viðmiðun til að fullnægja kröfum </w:t>
            </w:r>
            <w:r w:rsidR="007C536B">
              <w:rPr>
                <w:rFonts w:ascii="Times New Roman" w:eastAsia="Times New Roman" w:hAnsi="Times New Roman" w:cs="Times New Roman"/>
                <w:color w:val="000000" w:themeColor="text1"/>
                <w:lang w:eastAsia="is-IS"/>
              </w:rPr>
              <w:t>viðmiðanareglugerðarinnar</w:t>
            </w:r>
            <w:r w:rsidR="007C536B" w:rsidRPr="008276A2">
              <w:rPr>
                <w:rFonts w:ascii="Times New Roman" w:eastAsia="Times New Roman" w:hAnsi="Times New Roman" w:cs="Times New Roman"/>
                <w:color w:val="000000" w:themeColor="text1"/>
                <w:lang w:eastAsia="is-IS"/>
              </w:rPr>
              <w:t xml:space="preserve"> </w:t>
            </w:r>
            <w:r w:rsidRPr="008276A2">
              <w:rPr>
                <w:rFonts w:ascii="Times New Roman" w:eastAsia="Times New Roman" w:hAnsi="Times New Roman" w:cs="Times New Roman"/>
                <w:color w:val="000000" w:themeColor="text1"/>
                <w:lang w:eastAsia="is-IS"/>
              </w:rPr>
              <w:t>bryti gegn skilmálum í samningi eða fjármálagerningi eða reglum fjárfestingarsjóðs sem vísa til viðmiðun</w:t>
            </w:r>
            <w:r w:rsidR="00807F55">
              <w:rPr>
                <w:rFonts w:ascii="Times New Roman" w:eastAsia="Times New Roman" w:hAnsi="Times New Roman" w:cs="Times New Roman"/>
                <w:color w:val="000000" w:themeColor="text1"/>
                <w:lang w:eastAsia="is-IS"/>
              </w:rPr>
              <w:t>arinnar</w:t>
            </w:r>
            <w:r w:rsidRPr="008276A2">
              <w:rPr>
                <w:rFonts w:ascii="Times New Roman" w:eastAsia="Times New Roman" w:hAnsi="Times New Roman" w:cs="Times New Roman"/>
                <w:color w:val="000000" w:themeColor="text1"/>
                <w:lang w:eastAsia="is-IS"/>
              </w:rPr>
              <w:t xml:space="preserve"> í skilningi 4. mgr. 51. gr. </w:t>
            </w:r>
            <w:r w:rsidR="007C536B">
              <w:rPr>
                <w:rFonts w:ascii="Times New Roman" w:eastAsia="Times New Roman" w:hAnsi="Times New Roman" w:cs="Times New Roman"/>
                <w:color w:val="000000" w:themeColor="text1"/>
                <w:lang w:eastAsia="is-IS"/>
              </w:rPr>
              <w:t>viðmiðanareglugerðarinnar</w:t>
            </w:r>
            <w:r w:rsidRPr="008276A2">
              <w:rPr>
                <w:rFonts w:ascii="Times New Roman" w:eastAsia="Times New Roman" w:hAnsi="Times New Roman" w:cs="Times New Roman"/>
                <w:color w:val="000000" w:themeColor="text1"/>
                <w:lang w:eastAsia="is-IS"/>
              </w:rPr>
              <w:t>.</w:t>
            </w:r>
          </w:p>
        </w:tc>
      </w:tr>
      <w:tr w:rsidR="00434818" w:rsidRPr="00434818" w14:paraId="33404D34" w14:textId="77777777" w:rsidTr="00EB2380">
        <w:trPr>
          <w:trHeight w:val="315"/>
        </w:trPr>
        <w:tc>
          <w:tcPr>
            <w:tcW w:w="12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82A84D6" w14:textId="77777777" w:rsidR="00434818" w:rsidRPr="00434818" w:rsidRDefault="00434818" w:rsidP="00355506">
            <w:pPr>
              <w:spacing w:after="0" w:line="240" w:lineRule="auto"/>
              <w:jc w:val="both"/>
              <w:rPr>
                <w:rFonts w:ascii="Times New Roman" w:eastAsia="Times New Roman" w:hAnsi="Times New Roman" w:cs="Times New Roman"/>
                <w:lang w:eastAsia="is-IS"/>
              </w:rPr>
            </w:pPr>
            <w:r w:rsidRPr="00434818">
              <w:rPr>
                <w:rFonts w:ascii="Times New Roman" w:eastAsia="Times New Roman" w:hAnsi="Times New Roman" w:cs="Times New Roman"/>
                <w:lang w:eastAsia="is-IS"/>
              </w:rPr>
              <w:t>32018R1557</w:t>
            </w:r>
          </w:p>
        </w:tc>
        <w:tc>
          <w:tcPr>
            <w:tcW w:w="3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36E2E0" w14:textId="51897160" w:rsidR="00434818" w:rsidRPr="00434818" w:rsidRDefault="008D7535" w:rsidP="00355506">
            <w:pPr>
              <w:spacing w:after="0" w:line="240" w:lineRule="auto"/>
              <w:jc w:val="both"/>
              <w:rPr>
                <w:rFonts w:ascii="Times New Roman" w:eastAsia="Times New Roman" w:hAnsi="Times New Roman" w:cs="Times New Roman"/>
                <w:color w:val="0563C1"/>
                <w:u w:val="single"/>
                <w:lang w:eastAsia="is-IS"/>
              </w:rPr>
            </w:pPr>
            <w:hyperlink r:id="rId15" w:history="1">
              <w:r w:rsidR="00434818" w:rsidRPr="00134AF2">
                <w:rPr>
                  <w:rStyle w:val="Hyperlink"/>
                  <w:rFonts w:ascii="Times New Roman" w:eastAsia="Times New Roman" w:hAnsi="Times New Roman" w:cs="Times New Roman"/>
                  <w:lang w:eastAsia="is-IS"/>
                </w:rPr>
                <w:t>Commission Implementing Regulation (EU) 2018/1557 of 17 October 2018 amending Implementing Regulation (EU) 2016/1368 establishing a list of critical benchmarks used in financial markets pursuant to Regulation (EU) 2016/1011 of the European Parliament and of the Council</w:t>
              </w:r>
            </w:hyperlink>
          </w:p>
        </w:tc>
        <w:tc>
          <w:tcPr>
            <w:tcW w:w="4285" w:type="dxa"/>
            <w:tcBorders>
              <w:top w:val="single" w:sz="6" w:space="0" w:color="CCCCCC"/>
              <w:left w:val="single" w:sz="6" w:space="0" w:color="CCCCCC"/>
              <w:bottom w:val="single" w:sz="6" w:space="0" w:color="CCCCCC"/>
              <w:right w:val="single" w:sz="6" w:space="0" w:color="CCCCCC"/>
            </w:tcBorders>
          </w:tcPr>
          <w:p w14:paraId="3EAAA31C" w14:textId="18BBB922" w:rsidR="00434818" w:rsidRPr="008276A2" w:rsidRDefault="008276A2" w:rsidP="00355506">
            <w:pPr>
              <w:spacing w:after="0" w:line="240" w:lineRule="auto"/>
              <w:jc w:val="both"/>
              <w:rPr>
                <w:rFonts w:ascii="Times New Roman" w:eastAsia="Times New Roman" w:hAnsi="Times New Roman" w:cs="Times New Roman"/>
                <w:color w:val="000000" w:themeColor="text1"/>
                <w:lang w:eastAsia="is-IS"/>
              </w:rPr>
            </w:pPr>
            <w:r w:rsidRPr="008276A2">
              <w:rPr>
                <w:rFonts w:ascii="Times New Roman" w:eastAsia="Times New Roman" w:hAnsi="Times New Roman" w:cs="Times New Roman"/>
                <w:color w:val="000000" w:themeColor="text1"/>
                <w:lang w:eastAsia="is-IS"/>
              </w:rPr>
              <w:t xml:space="preserve">Með reglugerðinni er viðmiðun fyrir millibankavexti í Svíþjóð </w:t>
            </w:r>
            <w:r w:rsidR="00896CEC">
              <w:rPr>
                <w:rFonts w:ascii="Times New Roman" w:eastAsia="Times New Roman" w:hAnsi="Times New Roman" w:cs="Times New Roman"/>
                <w:color w:val="000000" w:themeColor="text1"/>
                <w:lang w:eastAsia="is-IS"/>
              </w:rPr>
              <w:t xml:space="preserve">(STIBOR) </w:t>
            </w:r>
            <w:r w:rsidRPr="008276A2">
              <w:rPr>
                <w:rFonts w:ascii="Times New Roman" w:eastAsia="Times New Roman" w:hAnsi="Times New Roman" w:cs="Times New Roman"/>
                <w:color w:val="000000" w:themeColor="text1"/>
                <w:lang w:eastAsia="is-IS"/>
              </w:rPr>
              <w:t xml:space="preserve">bætt við lista yfir </w:t>
            </w:r>
            <w:r w:rsidR="008E4F7D">
              <w:rPr>
                <w:rFonts w:ascii="Times New Roman" w:eastAsia="Times New Roman" w:hAnsi="Times New Roman" w:cs="Times New Roman"/>
                <w:color w:val="000000" w:themeColor="text1"/>
                <w:lang w:eastAsia="is-IS"/>
              </w:rPr>
              <w:t>mjög mikilvægar</w:t>
            </w:r>
            <w:r w:rsidRPr="008276A2">
              <w:rPr>
                <w:rFonts w:ascii="Times New Roman" w:eastAsia="Times New Roman" w:hAnsi="Times New Roman" w:cs="Times New Roman"/>
                <w:color w:val="000000" w:themeColor="text1"/>
                <w:lang w:eastAsia="is-IS"/>
              </w:rPr>
              <w:t xml:space="preserve"> viðmið</w:t>
            </w:r>
            <w:r w:rsidR="00807F55">
              <w:rPr>
                <w:rFonts w:ascii="Times New Roman" w:eastAsia="Times New Roman" w:hAnsi="Times New Roman" w:cs="Times New Roman"/>
                <w:color w:val="000000" w:themeColor="text1"/>
                <w:lang w:eastAsia="is-IS"/>
              </w:rPr>
              <w:t xml:space="preserve">anir </w:t>
            </w:r>
            <w:r w:rsidRPr="008276A2">
              <w:rPr>
                <w:rFonts w:ascii="Times New Roman" w:eastAsia="Times New Roman" w:hAnsi="Times New Roman" w:cs="Times New Roman"/>
                <w:color w:val="000000" w:themeColor="text1"/>
                <w:lang w:eastAsia="is-IS"/>
              </w:rPr>
              <w:t>samkvæmt framkvæmdarreglugerð (ESB) 2016/1368.</w:t>
            </w:r>
          </w:p>
        </w:tc>
      </w:tr>
      <w:tr w:rsidR="00434818" w:rsidRPr="00434818" w14:paraId="0213A356" w14:textId="77777777" w:rsidTr="00EB2380">
        <w:trPr>
          <w:trHeight w:val="315"/>
        </w:trPr>
        <w:tc>
          <w:tcPr>
            <w:tcW w:w="12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4DE8A2C" w14:textId="77777777" w:rsidR="00434818" w:rsidRPr="00434818" w:rsidRDefault="00434818" w:rsidP="00355506">
            <w:pPr>
              <w:spacing w:after="0" w:line="240" w:lineRule="auto"/>
              <w:jc w:val="both"/>
              <w:rPr>
                <w:rFonts w:ascii="Times New Roman" w:eastAsia="Times New Roman" w:hAnsi="Times New Roman" w:cs="Times New Roman"/>
                <w:lang w:eastAsia="is-IS"/>
              </w:rPr>
            </w:pPr>
            <w:r w:rsidRPr="00434818">
              <w:rPr>
                <w:rFonts w:ascii="Times New Roman" w:eastAsia="Times New Roman" w:hAnsi="Times New Roman" w:cs="Times New Roman"/>
                <w:lang w:eastAsia="is-IS"/>
              </w:rPr>
              <w:t>32019R0482</w:t>
            </w:r>
          </w:p>
        </w:tc>
        <w:tc>
          <w:tcPr>
            <w:tcW w:w="36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67A25C" w14:textId="71495785" w:rsidR="00434818" w:rsidRPr="00434818" w:rsidRDefault="008D7535" w:rsidP="00355506">
            <w:pPr>
              <w:spacing w:after="0" w:line="240" w:lineRule="auto"/>
              <w:jc w:val="both"/>
              <w:rPr>
                <w:rFonts w:ascii="Times New Roman" w:eastAsia="Times New Roman" w:hAnsi="Times New Roman" w:cs="Times New Roman"/>
                <w:color w:val="0563C1"/>
                <w:u w:val="single"/>
                <w:lang w:eastAsia="is-IS"/>
              </w:rPr>
            </w:pPr>
            <w:hyperlink r:id="rId16" w:history="1">
              <w:r w:rsidR="00434818" w:rsidRPr="00134AF2">
                <w:rPr>
                  <w:rStyle w:val="Hyperlink"/>
                  <w:rFonts w:ascii="Times New Roman" w:eastAsia="Times New Roman" w:hAnsi="Times New Roman" w:cs="Times New Roman"/>
                  <w:lang w:eastAsia="is-IS"/>
                </w:rPr>
                <w:t>Commission Implementing Regulation (EU) 2019/482 of 22 March 2019 amending Commission Implementing Regulation (EU) 2016/1368 establishing a list of critical benchmarks used in financial markets pursuant to Regulation (EU) 2016/1011 of the European Parliament and of the Council</w:t>
              </w:r>
            </w:hyperlink>
          </w:p>
        </w:tc>
        <w:tc>
          <w:tcPr>
            <w:tcW w:w="4285" w:type="dxa"/>
            <w:tcBorders>
              <w:top w:val="single" w:sz="6" w:space="0" w:color="CCCCCC"/>
              <w:left w:val="single" w:sz="6" w:space="0" w:color="CCCCCC"/>
              <w:bottom w:val="single" w:sz="6" w:space="0" w:color="CCCCCC"/>
              <w:right w:val="single" w:sz="6" w:space="0" w:color="CCCCCC"/>
            </w:tcBorders>
          </w:tcPr>
          <w:p w14:paraId="2ACC7E3D" w14:textId="56A402BE" w:rsidR="00434818" w:rsidRPr="008276A2" w:rsidRDefault="008276A2" w:rsidP="00355506">
            <w:pPr>
              <w:spacing w:after="0" w:line="240" w:lineRule="auto"/>
              <w:jc w:val="both"/>
              <w:rPr>
                <w:rFonts w:ascii="Times New Roman" w:eastAsia="Times New Roman" w:hAnsi="Times New Roman" w:cs="Times New Roman"/>
                <w:color w:val="000000" w:themeColor="text1"/>
                <w:lang w:eastAsia="is-IS"/>
              </w:rPr>
            </w:pPr>
            <w:r w:rsidRPr="008276A2">
              <w:rPr>
                <w:rFonts w:ascii="Times New Roman" w:eastAsia="Times New Roman" w:hAnsi="Times New Roman" w:cs="Times New Roman"/>
                <w:color w:val="000000" w:themeColor="text1"/>
                <w:lang w:eastAsia="is-IS"/>
              </w:rPr>
              <w:t xml:space="preserve">Með reglugerðinni er viðmiðun fyrir millibankavexti í Varsjá (WIBOR) bætt við lista yfir </w:t>
            </w:r>
            <w:r w:rsidR="0016693D">
              <w:rPr>
                <w:rFonts w:ascii="Times New Roman" w:eastAsia="Times New Roman" w:hAnsi="Times New Roman" w:cs="Times New Roman"/>
                <w:color w:val="000000" w:themeColor="text1"/>
                <w:lang w:eastAsia="is-IS"/>
              </w:rPr>
              <w:t>mjög mikilvægar</w:t>
            </w:r>
            <w:r w:rsidRPr="008276A2">
              <w:rPr>
                <w:rFonts w:ascii="Times New Roman" w:eastAsia="Times New Roman" w:hAnsi="Times New Roman" w:cs="Times New Roman"/>
                <w:color w:val="000000" w:themeColor="text1"/>
                <w:lang w:eastAsia="is-IS"/>
              </w:rPr>
              <w:t xml:space="preserve"> </w:t>
            </w:r>
            <w:r w:rsidR="00807F55" w:rsidRPr="008276A2">
              <w:rPr>
                <w:rFonts w:ascii="Times New Roman" w:eastAsia="Times New Roman" w:hAnsi="Times New Roman" w:cs="Times New Roman"/>
                <w:color w:val="000000" w:themeColor="text1"/>
                <w:lang w:eastAsia="is-IS"/>
              </w:rPr>
              <w:t>viðmið</w:t>
            </w:r>
            <w:r w:rsidR="00807F55">
              <w:rPr>
                <w:rFonts w:ascii="Times New Roman" w:eastAsia="Times New Roman" w:hAnsi="Times New Roman" w:cs="Times New Roman"/>
                <w:color w:val="000000" w:themeColor="text1"/>
                <w:lang w:eastAsia="is-IS"/>
              </w:rPr>
              <w:t xml:space="preserve">anir </w:t>
            </w:r>
            <w:r w:rsidRPr="008276A2">
              <w:rPr>
                <w:rFonts w:ascii="Times New Roman" w:eastAsia="Times New Roman" w:hAnsi="Times New Roman" w:cs="Times New Roman"/>
                <w:color w:val="000000" w:themeColor="text1"/>
                <w:lang w:eastAsia="is-IS"/>
              </w:rPr>
              <w:t>samkvæmt framkvæmdarreglugerð (ESB) 2016/1368.</w:t>
            </w:r>
          </w:p>
        </w:tc>
      </w:tr>
    </w:tbl>
    <w:p w14:paraId="66865DC2" w14:textId="37964461" w:rsidR="004B7F6A" w:rsidRPr="004B7F6A" w:rsidRDefault="004B7F6A" w:rsidP="00355506">
      <w:pPr>
        <w:spacing w:before="400"/>
        <w:jc w:val="both"/>
        <w:rPr>
          <w:rFonts w:ascii="Times New Roman" w:hAnsi="Times New Roman" w:cs="Times New Roman"/>
          <w:b/>
          <w:sz w:val="28"/>
          <w:szCs w:val="32"/>
        </w:rPr>
      </w:pPr>
      <w:r>
        <w:rPr>
          <w:rFonts w:ascii="Times New Roman" w:hAnsi="Times New Roman" w:cs="Times New Roman"/>
          <w:b/>
          <w:sz w:val="28"/>
          <w:szCs w:val="32"/>
        </w:rPr>
        <w:t>Afleiddar gerðir sem byggjast á tæknistöðlum</w:t>
      </w:r>
    </w:p>
    <w:tbl>
      <w:tblPr>
        <w:tblW w:w="9206" w:type="dxa"/>
        <w:tblCellMar>
          <w:left w:w="0" w:type="dxa"/>
          <w:right w:w="0" w:type="dxa"/>
        </w:tblCellMar>
        <w:tblLook w:val="04A0" w:firstRow="1" w:lastRow="0" w:firstColumn="1" w:lastColumn="0" w:noHBand="0" w:noVBand="1"/>
      </w:tblPr>
      <w:tblGrid>
        <w:gridCol w:w="1227"/>
        <w:gridCol w:w="7979"/>
      </w:tblGrid>
      <w:tr w:rsidR="004B7F6A" w:rsidRPr="00434818" w14:paraId="111E9F50" w14:textId="77777777" w:rsidTr="00AC5828">
        <w:trPr>
          <w:trHeight w:val="315"/>
        </w:trPr>
        <w:tc>
          <w:tcPr>
            <w:tcW w:w="1227" w:type="dxa"/>
            <w:tcBorders>
              <w:top w:val="single" w:sz="6" w:space="0" w:color="CCCCCC"/>
              <w:left w:val="single" w:sz="6" w:space="0" w:color="CCCCCC"/>
              <w:bottom w:val="single" w:sz="6" w:space="0" w:color="CCCCCC"/>
              <w:right w:val="single" w:sz="6" w:space="0" w:color="CCCCCC"/>
            </w:tcBorders>
            <w:shd w:val="clear" w:color="auto" w:fill="9CC2E5" w:themeFill="accent5" w:themeFillTint="99"/>
            <w:tcMar>
              <w:top w:w="30" w:type="dxa"/>
              <w:left w:w="45" w:type="dxa"/>
              <w:bottom w:w="30" w:type="dxa"/>
              <w:right w:w="45" w:type="dxa"/>
            </w:tcMar>
            <w:vAlign w:val="bottom"/>
            <w:hideMark/>
          </w:tcPr>
          <w:p w14:paraId="4B91AB9E" w14:textId="77777777" w:rsidR="004B7F6A" w:rsidRPr="00434818" w:rsidRDefault="004B7F6A" w:rsidP="00AC5828">
            <w:pPr>
              <w:spacing w:after="0" w:line="240" w:lineRule="auto"/>
              <w:jc w:val="both"/>
              <w:rPr>
                <w:rFonts w:ascii="Times New Roman" w:eastAsia="Times New Roman" w:hAnsi="Times New Roman" w:cs="Times New Roman"/>
                <w:b/>
                <w:bCs/>
                <w:lang w:eastAsia="is-IS"/>
              </w:rPr>
            </w:pPr>
            <w:r w:rsidRPr="00434818">
              <w:rPr>
                <w:rFonts w:ascii="Times New Roman" w:eastAsia="Times New Roman" w:hAnsi="Times New Roman" w:cs="Times New Roman"/>
                <w:b/>
                <w:bCs/>
                <w:lang w:eastAsia="is-IS"/>
              </w:rPr>
              <w:t>CELEX-nr.</w:t>
            </w:r>
          </w:p>
        </w:tc>
        <w:tc>
          <w:tcPr>
            <w:tcW w:w="7979" w:type="dxa"/>
            <w:tcBorders>
              <w:top w:val="single" w:sz="6" w:space="0" w:color="CCCCCC"/>
              <w:left w:val="single" w:sz="6" w:space="0" w:color="CCCCCC"/>
              <w:bottom w:val="single" w:sz="6" w:space="0" w:color="CCCCCC"/>
              <w:right w:val="single" w:sz="6" w:space="0" w:color="CCCCCC"/>
            </w:tcBorders>
            <w:shd w:val="clear" w:color="auto" w:fill="9CC2E5" w:themeFill="accent5" w:themeFillTint="99"/>
            <w:tcMar>
              <w:top w:w="30" w:type="dxa"/>
              <w:left w:w="45" w:type="dxa"/>
              <w:bottom w:w="30" w:type="dxa"/>
              <w:right w:w="45" w:type="dxa"/>
            </w:tcMar>
            <w:vAlign w:val="bottom"/>
            <w:hideMark/>
          </w:tcPr>
          <w:p w14:paraId="2E71977A" w14:textId="77777777" w:rsidR="004B7F6A" w:rsidRPr="00434818" w:rsidRDefault="004B7F6A" w:rsidP="00AC5828">
            <w:pPr>
              <w:spacing w:after="0" w:line="240" w:lineRule="auto"/>
              <w:jc w:val="both"/>
              <w:rPr>
                <w:rFonts w:ascii="Times New Roman" w:eastAsia="Times New Roman" w:hAnsi="Times New Roman" w:cs="Times New Roman"/>
                <w:b/>
                <w:bCs/>
                <w:lang w:eastAsia="is-IS"/>
              </w:rPr>
            </w:pPr>
            <w:r w:rsidRPr="00434818">
              <w:rPr>
                <w:rFonts w:ascii="Times New Roman" w:eastAsia="Times New Roman" w:hAnsi="Times New Roman" w:cs="Times New Roman"/>
                <w:b/>
                <w:bCs/>
                <w:lang w:eastAsia="is-IS"/>
              </w:rPr>
              <w:t>Heiti</w:t>
            </w:r>
          </w:p>
        </w:tc>
      </w:tr>
      <w:tr w:rsidR="004B7F6A" w:rsidRPr="00434818" w14:paraId="4EB6F5C6" w14:textId="77777777" w:rsidTr="004B7F6A">
        <w:trPr>
          <w:trHeight w:val="315"/>
        </w:trPr>
        <w:tc>
          <w:tcPr>
            <w:tcW w:w="12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ED26AD8" w14:textId="77777777" w:rsidR="004B7F6A" w:rsidRPr="00434818" w:rsidRDefault="004B7F6A" w:rsidP="00355506">
            <w:pPr>
              <w:spacing w:after="0" w:line="240" w:lineRule="auto"/>
              <w:jc w:val="both"/>
              <w:rPr>
                <w:rFonts w:ascii="Times New Roman" w:eastAsia="Times New Roman" w:hAnsi="Times New Roman" w:cs="Times New Roman"/>
                <w:lang w:eastAsia="is-IS"/>
              </w:rPr>
            </w:pPr>
            <w:r w:rsidRPr="00434818">
              <w:rPr>
                <w:rFonts w:ascii="Times New Roman" w:eastAsia="Times New Roman" w:hAnsi="Times New Roman" w:cs="Times New Roman"/>
                <w:lang w:eastAsia="is-IS"/>
              </w:rPr>
              <w:t>32018R1105</w:t>
            </w:r>
          </w:p>
        </w:tc>
        <w:tc>
          <w:tcPr>
            <w:tcW w:w="7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59D5CE" w14:textId="77777777" w:rsidR="004B7F6A" w:rsidRPr="00434818" w:rsidRDefault="008D7535" w:rsidP="00355506">
            <w:pPr>
              <w:spacing w:after="0" w:line="240" w:lineRule="auto"/>
              <w:jc w:val="both"/>
              <w:rPr>
                <w:rFonts w:ascii="Times New Roman" w:eastAsia="Times New Roman" w:hAnsi="Times New Roman" w:cs="Times New Roman"/>
                <w:color w:val="0563C1"/>
                <w:u w:val="single"/>
                <w:lang w:eastAsia="is-IS"/>
              </w:rPr>
            </w:pPr>
            <w:hyperlink r:id="rId17" w:history="1">
              <w:r w:rsidR="004B7F6A" w:rsidRPr="00134AF2">
                <w:rPr>
                  <w:rStyle w:val="Hyperlink"/>
                  <w:rFonts w:ascii="Times New Roman" w:eastAsia="Times New Roman" w:hAnsi="Times New Roman" w:cs="Times New Roman"/>
                  <w:lang w:eastAsia="is-IS"/>
                </w:rPr>
                <w:t>Commission Implementing Regulation (EU) 2018/1105 of 8 August 2018 laying down implementing technical standards with regard to procedures and forms for the provision of information by competent authorities to ESMA under Regulation (EU) 2016/1011 of the European Parliament and of the Council</w:t>
              </w:r>
            </w:hyperlink>
          </w:p>
        </w:tc>
      </w:tr>
      <w:tr w:rsidR="004B7F6A" w:rsidRPr="00434818" w14:paraId="6EC0E2B8" w14:textId="77777777" w:rsidTr="004B7F6A">
        <w:trPr>
          <w:trHeight w:val="315"/>
        </w:trPr>
        <w:tc>
          <w:tcPr>
            <w:tcW w:w="12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BFF918F" w14:textId="77777777" w:rsidR="004B7F6A" w:rsidRPr="00434818" w:rsidRDefault="004B7F6A" w:rsidP="00355506">
            <w:pPr>
              <w:spacing w:after="0" w:line="240" w:lineRule="auto"/>
              <w:jc w:val="both"/>
              <w:rPr>
                <w:rFonts w:ascii="Times New Roman" w:eastAsia="Times New Roman" w:hAnsi="Times New Roman" w:cs="Times New Roman"/>
                <w:lang w:eastAsia="is-IS"/>
              </w:rPr>
            </w:pPr>
            <w:r w:rsidRPr="00434818">
              <w:rPr>
                <w:rFonts w:ascii="Times New Roman" w:eastAsia="Times New Roman" w:hAnsi="Times New Roman" w:cs="Times New Roman"/>
                <w:lang w:eastAsia="is-IS"/>
              </w:rPr>
              <w:t>32018R1106</w:t>
            </w:r>
          </w:p>
        </w:tc>
        <w:tc>
          <w:tcPr>
            <w:tcW w:w="7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7FF29D" w14:textId="77777777" w:rsidR="004B7F6A" w:rsidRPr="00434818" w:rsidRDefault="008D7535" w:rsidP="00355506">
            <w:pPr>
              <w:spacing w:after="0" w:line="240" w:lineRule="auto"/>
              <w:jc w:val="both"/>
              <w:rPr>
                <w:rFonts w:ascii="Times New Roman" w:eastAsia="Times New Roman" w:hAnsi="Times New Roman" w:cs="Times New Roman"/>
                <w:color w:val="0563C1"/>
                <w:u w:val="single"/>
                <w:lang w:eastAsia="is-IS"/>
              </w:rPr>
            </w:pPr>
            <w:hyperlink r:id="rId18" w:history="1">
              <w:r w:rsidR="004B7F6A" w:rsidRPr="00134AF2">
                <w:rPr>
                  <w:rStyle w:val="Hyperlink"/>
                  <w:rFonts w:ascii="Times New Roman" w:eastAsia="Times New Roman" w:hAnsi="Times New Roman" w:cs="Times New Roman"/>
                  <w:lang w:eastAsia="is-IS"/>
                </w:rPr>
                <w:t xml:space="preserve">Commission Implementing Regulation (EU) 2018/1106 of 8 August 2018 laying down implementing technical standards with regard to templates for the compliance statement </w:t>
              </w:r>
              <w:r w:rsidR="004B7F6A" w:rsidRPr="00134AF2">
                <w:rPr>
                  <w:rStyle w:val="Hyperlink"/>
                  <w:rFonts w:ascii="Times New Roman" w:eastAsia="Times New Roman" w:hAnsi="Times New Roman" w:cs="Times New Roman"/>
                  <w:lang w:eastAsia="is-IS"/>
                </w:rPr>
                <w:lastRenderedPageBreak/>
                <w:t>to be published and maintained by administrators of significant and non-significant benchmarks pursuant to Regulation (EU) 2016/1011 of the European Parliament and of the Council</w:t>
              </w:r>
            </w:hyperlink>
          </w:p>
        </w:tc>
      </w:tr>
      <w:tr w:rsidR="004B7F6A" w:rsidRPr="00434818" w14:paraId="6F7202CE" w14:textId="77777777" w:rsidTr="004B7F6A">
        <w:trPr>
          <w:trHeight w:val="315"/>
        </w:trPr>
        <w:tc>
          <w:tcPr>
            <w:tcW w:w="12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8C69D88" w14:textId="77777777" w:rsidR="004B7F6A" w:rsidRPr="00434818" w:rsidRDefault="004B7F6A" w:rsidP="00355506">
            <w:pPr>
              <w:spacing w:after="0" w:line="240" w:lineRule="auto"/>
              <w:jc w:val="both"/>
              <w:rPr>
                <w:rFonts w:ascii="Times New Roman" w:eastAsia="Times New Roman" w:hAnsi="Times New Roman" w:cs="Times New Roman"/>
                <w:lang w:eastAsia="is-IS"/>
              </w:rPr>
            </w:pPr>
            <w:r w:rsidRPr="00434818">
              <w:rPr>
                <w:rFonts w:ascii="Times New Roman" w:eastAsia="Times New Roman" w:hAnsi="Times New Roman" w:cs="Times New Roman"/>
                <w:lang w:eastAsia="is-IS"/>
              </w:rPr>
              <w:lastRenderedPageBreak/>
              <w:t>32018R1637</w:t>
            </w:r>
          </w:p>
        </w:tc>
        <w:tc>
          <w:tcPr>
            <w:tcW w:w="7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9671CC" w14:textId="77777777" w:rsidR="004B7F6A" w:rsidRPr="00434818" w:rsidRDefault="008D7535" w:rsidP="00355506">
            <w:pPr>
              <w:spacing w:after="0" w:line="240" w:lineRule="auto"/>
              <w:jc w:val="both"/>
              <w:rPr>
                <w:rFonts w:ascii="Times New Roman" w:eastAsia="Times New Roman" w:hAnsi="Times New Roman" w:cs="Times New Roman"/>
                <w:color w:val="0563C1"/>
                <w:u w:val="single"/>
                <w:lang w:eastAsia="is-IS"/>
              </w:rPr>
            </w:pPr>
            <w:hyperlink r:id="rId19" w:history="1">
              <w:r w:rsidR="004B7F6A" w:rsidRPr="00134AF2">
                <w:rPr>
                  <w:rStyle w:val="Hyperlink"/>
                  <w:rFonts w:ascii="Times New Roman" w:eastAsia="Times New Roman" w:hAnsi="Times New Roman" w:cs="Times New Roman"/>
                  <w:lang w:eastAsia="is-IS"/>
                </w:rPr>
                <w:t>Commission Delegated Regulation (EU) 2018/1637 of 13 July 2018 supplementing Regulation (EU) 2016/1011 of the European Parliament and of the Council with regard to regulatory technical standards for the procedures and characteristics of the oversight function</w:t>
              </w:r>
            </w:hyperlink>
          </w:p>
        </w:tc>
      </w:tr>
      <w:tr w:rsidR="004B7F6A" w:rsidRPr="00434818" w14:paraId="7D8A2E5C" w14:textId="77777777" w:rsidTr="004B7F6A">
        <w:trPr>
          <w:trHeight w:val="315"/>
        </w:trPr>
        <w:tc>
          <w:tcPr>
            <w:tcW w:w="12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3E28DE1" w14:textId="77777777" w:rsidR="004B7F6A" w:rsidRPr="00434818" w:rsidRDefault="004B7F6A" w:rsidP="00355506">
            <w:pPr>
              <w:spacing w:after="0" w:line="240" w:lineRule="auto"/>
              <w:jc w:val="both"/>
              <w:rPr>
                <w:rFonts w:ascii="Times New Roman" w:eastAsia="Times New Roman" w:hAnsi="Times New Roman" w:cs="Times New Roman"/>
                <w:lang w:eastAsia="is-IS"/>
              </w:rPr>
            </w:pPr>
            <w:r w:rsidRPr="00434818">
              <w:rPr>
                <w:rFonts w:ascii="Times New Roman" w:eastAsia="Times New Roman" w:hAnsi="Times New Roman" w:cs="Times New Roman"/>
                <w:lang w:eastAsia="is-IS"/>
              </w:rPr>
              <w:t>32018R1638</w:t>
            </w:r>
          </w:p>
        </w:tc>
        <w:tc>
          <w:tcPr>
            <w:tcW w:w="7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6999BA" w14:textId="77777777" w:rsidR="004B7F6A" w:rsidRPr="00434818" w:rsidRDefault="008D7535" w:rsidP="00355506">
            <w:pPr>
              <w:spacing w:after="0" w:line="240" w:lineRule="auto"/>
              <w:jc w:val="both"/>
              <w:rPr>
                <w:rFonts w:ascii="Times New Roman" w:eastAsia="Times New Roman" w:hAnsi="Times New Roman" w:cs="Times New Roman"/>
                <w:color w:val="0563C1"/>
                <w:u w:val="single"/>
                <w:lang w:eastAsia="is-IS"/>
              </w:rPr>
            </w:pPr>
            <w:hyperlink r:id="rId20" w:history="1">
              <w:r w:rsidR="004B7F6A" w:rsidRPr="00134AF2">
                <w:rPr>
                  <w:rStyle w:val="Hyperlink"/>
                  <w:rFonts w:ascii="Times New Roman" w:eastAsia="Times New Roman" w:hAnsi="Times New Roman" w:cs="Times New Roman"/>
                  <w:lang w:eastAsia="is-IS"/>
                </w:rPr>
                <w:t>Commission Delegated Regulation (EU) 2018/1638 of 13 July 2018 supplementing Regulation (EU) 2016/1011 of the European Parliament and of the Council with regard to regulatory technical standards specifying further how to ensure that input data is appropriate and verifiable, and the internal oversight and verification procedures of a contributor that the administrator of a critical or significant benchmark has to ensure are in place where the input data is contributed from a front office function</w:t>
              </w:r>
            </w:hyperlink>
          </w:p>
        </w:tc>
      </w:tr>
      <w:tr w:rsidR="004B7F6A" w:rsidRPr="00434818" w14:paraId="7DCAABFD" w14:textId="77777777" w:rsidTr="004B7F6A">
        <w:trPr>
          <w:trHeight w:val="315"/>
        </w:trPr>
        <w:tc>
          <w:tcPr>
            <w:tcW w:w="12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9218C4A" w14:textId="77777777" w:rsidR="004B7F6A" w:rsidRPr="00434818" w:rsidRDefault="004B7F6A" w:rsidP="00355506">
            <w:pPr>
              <w:spacing w:after="0" w:line="240" w:lineRule="auto"/>
              <w:jc w:val="both"/>
              <w:rPr>
                <w:rFonts w:ascii="Times New Roman" w:eastAsia="Times New Roman" w:hAnsi="Times New Roman" w:cs="Times New Roman"/>
                <w:lang w:eastAsia="is-IS"/>
              </w:rPr>
            </w:pPr>
            <w:r w:rsidRPr="00434818">
              <w:rPr>
                <w:rFonts w:ascii="Times New Roman" w:eastAsia="Times New Roman" w:hAnsi="Times New Roman" w:cs="Times New Roman"/>
                <w:lang w:eastAsia="is-IS"/>
              </w:rPr>
              <w:t>32018R1639</w:t>
            </w:r>
          </w:p>
        </w:tc>
        <w:tc>
          <w:tcPr>
            <w:tcW w:w="7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0FB8F1" w14:textId="77777777" w:rsidR="004B7F6A" w:rsidRPr="00434818" w:rsidRDefault="008D7535" w:rsidP="00355506">
            <w:pPr>
              <w:spacing w:after="0" w:line="240" w:lineRule="auto"/>
              <w:jc w:val="both"/>
              <w:rPr>
                <w:rFonts w:ascii="Times New Roman" w:eastAsia="Times New Roman" w:hAnsi="Times New Roman" w:cs="Times New Roman"/>
                <w:color w:val="0563C1"/>
                <w:u w:val="single"/>
                <w:lang w:eastAsia="is-IS"/>
              </w:rPr>
            </w:pPr>
            <w:hyperlink r:id="rId21" w:history="1">
              <w:r w:rsidR="004B7F6A" w:rsidRPr="00134AF2">
                <w:rPr>
                  <w:rStyle w:val="Hyperlink"/>
                  <w:rFonts w:ascii="Times New Roman" w:eastAsia="Times New Roman" w:hAnsi="Times New Roman" w:cs="Times New Roman"/>
                  <w:lang w:eastAsia="is-IS"/>
                </w:rPr>
                <w:t>Commission Delegated Regulation (EU) 2018/1639 of 13 July 2018 supplementing Regulation (EU) 2016/1011 of the European Parliament and of the Council with regard to regulatory technical standards specifying further the elements of the code of conduct to be developed by administrators of benchmarks that are based on input data from contributors</w:t>
              </w:r>
            </w:hyperlink>
          </w:p>
        </w:tc>
      </w:tr>
      <w:tr w:rsidR="004B7F6A" w:rsidRPr="00434818" w14:paraId="5D6B2D89" w14:textId="77777777" w:rsidTr="004B7F6A">
        <w:trPr>
          <w:trHeight w:val="315"/>
        </w:trPr>
        <w:tc>
          <w:tcPr>
            <w:tcW w:w="12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3350DAE" w14:textId="77777777" w:rsidR="004B7F6A" w:rsidRPr="00434818" w:rsidRDefault="004B7F6A" w:rsidP="00355506">
            <w:pPr>
              <w:spacing w:after="0" w:line="240" w:lineRule="auto"/>
              <w:jc w:val="both"/>
              <w:rPr>
                <w:rFonts w:ascii="Times New Roman" w:eastAsia="Times New Roman" w:hAnsi="Times New Roman" w:cs="Times New Roman"/>
                <w:lang w:eastAsia="is-IS"/>
              </w:rPr>
            </w:pPr>
            <w:r w:rsidRPr="00434818">
              <w:rPr>
                <w:rFonts w:ascii="Times New Roman" w:eastAsia="Times New Roman" w:hAnsi="Times New Roman" w:cs="Times New Roman"/>
                <w:lang w:eastAsia="is-IS"/>
              </w:rPr>
              <w:t>32018R1640</w:t>
            </w:r>
          </w:p>
        </w:tc>
        <w:tc>
          <w:tcPr>
            <w:tcW w:w="7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5AC752" w14:textId="77777777" w:rsidR="004B7F6A" w:rsidRPr="00434818" w:rsidRDefault="008D7535" w:rsidP="00355506">
            <w:pPr>
              <w:spacing w:after="0" w:line="240" w:lineRule="auto"/>
              <w:jc w:val="both"/>
              <w:rPr>
                <w:rFonts w:ascii="Times New Roman" w:eastAsia="Times New Roman" w:hAnsi="Times New Roman" w:cs="Times New Roman"/>
                <w:color w:val="0563C1"/>
                <w:u w:val="single"/>
                <w:lang w:eastAsia="is-IS"/>
              </w:rPr>
            </w:pPr>
            <w:hyperlink r:id="rId22" w:history="1">
              <w:r w:rsidR="004B7F6A" w:rsidRPr="00134AF2">
                <w:rPr>
                  <w:rStyle w:val="Hyperlink"/>
                  <w:rFonts w:ascii="Times New Roman" w:eastAsia="Times New Roman" w:hAnsi="Times New Roman" w:cs="Times New Roman"/>
                  <w:lang w:eastAsia="is-IS"/>
                </w:rPr>
                <w:t>Commission Delegated Regulation (EU) 2018/1640 of 13 July 2018 supplementing Regulation (EU) 2016/1011 of the European Parliament and of the Council with regard to regulatory technical standards specifying further the governance and control requirements for supervised contributors</w:t>
              </w:r>
            </w:hyperlink>
          </w:p>
        </w:tc>
      </w:tr>
      <w:tr w:rsidR="004B7F6A" w:rsidRPr="00434818" w14:paraId="7158F409" w14:textId="77777777" w:rsidTr="004B7F6A">
        <w:trPr>
          <w:trHeight w:val="315"/>
        </w:trPr>
        <w:tc>
          <w:tcPr>
            <w:tcW w:w="12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3BEBBE1" w14:textId="77777777" w:rsidR="004B7F6A" w:rsidRPr="00434818" w:rsidRDefault="004B7F6A" w:rsidP="00355506">
            <w:pPr>
              <w:spacing w:after="0" w:line="240" w:lineRule="auto"/>
              <w:jc w:val="both"/>
              <w:rPr>
                <w:rFonts w:ascii="Times New Roman" w:eastAsia="Times New Roman" w:hAnsi="Times New Roman" w:cs="Times New Roman"/>
                <w:lang w:eastAsia="is-IS"/>
              </w:rPr>
            </w:pPr>
            <w:r w:rsidRPr="00434818">
              <w:rPr>
                <w:rFonts w:ascii="Times New Roman" w:eastAsia="Times New Roman" w:hAnsi="Times New Roman" w:cs="Times New Roman"/>
                <w:lang w:eastAsia="is-IS"/>
              </w:rPr>
              <w:t>32018R1641</w:t>
            </w:r>
          </w:p>
        </w:tc>
        <w:tc>
          <w:tcPr>
            <w:tcW w:w="7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3AA224" w14:textId="77777777" w:rsidR="004B7F6A" w:rsidRPr="00434818" w:rsidRDefault="008D7535" w:rsidP="00355506">
            <w:pPr>
              <w:spacing w:after="0" w:line="240" w:lineRule="auto"/>
              <w:jc w:val="both"/>
              <w:rPr>
                <w:rFonts w:ascii="Times New Roman" w:eastAsia="Times New Roman" w:hAnsi="Times New Roman" w:cs="Times New Roman"/>
                <w:color w:val="0563C1"/>
                <w:u w:val="single"/>
                <w:lang w:eastAsia="is-IS"/>
              </w:rPr>
            </w:pPr>
            <w:hyperlink r:id="rId23" w:history="1">
              <w:r w:rsidR="004B7F6A" w:rsidRPr="00134AF2">
                <w:rPr>
                  <w:rStyle w:val="Hyperlink"/>
                  <w:rFonts w:ascii="Times New Roman" w:eastAsia="Times New Roman" w:hAnsi="Times New Roman" w:cs="Times New Roman"/>
                  <w:lang w:eastAsia="is-IS"/>
                </w:rPr>
                <w:t>Commission Delegated Regulation (EU) 2018/1641 of 13 July 2018 supplementing Regulation (EU) 2016/1011 of the European Parliament and of the Council with regard to regulatory technical standards specifying further the information to be provided by administrators of critical or significant benchmarks on the methodology used to determine the benchmark, the internal review and approval of the methodology and on the procedures for making material changes in the methodology</w:t>
              </w:r>
            </w:hyperlink>
          </w:p>
        </w:tc>
      </w:tr>
      <w:tr w:rsidR="004B7F6A" w:rsidRPr="00434818" w14:paraId="25CCE9D3" w14:textId="77777777" w:rsidTr="004B7F6A">
        <w:trPr>
          <w:trHeight w:val="315"/>
        </w:trPr>
        <w:tc>
          <w:tcPr>
            <w:tcW w:w="12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C970317" w14:textId="77777777" w:rsidR="004B7F6A" w:rsidRPr="00434818" w:rsidRDefault="004B7F6A" w:rsidP="00355506">
            <w:pPr>
              <w:spacing w:after="0" w:line="240" w:lineRule="auto"/>
              <w:jc w:val="both"/>
              <w:rPr>
                <w:rFonts w:ascii="Times New Roman" w:eastAsia="Times New Roman" w:hAnsi="Times New Roman" w:cs="Times New Roman"/>
                <w:lang w:eastAsia="is-IS"/>
              </w:rPr>
            </w:pPr>
            <w:r w:rsidRPr="00434818">
              <w:rPr>
                <w:rFonts w:ascii="Times New Roman" w:eastAsia="Times New Roman" w:hAnsi="Times New Roman" w:cs="Times New Roman"/>
                <w:lang w:eastAsia="is-IS"/>
              </w:rPr>
              <w:t>32018R1642</w:t>
            </w:r>
          </w:p>
        </w:tc>
        <w:tc>
          <w:tcPr>
            <w:tcW w:w="7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5E7314" w14:textId="77777777" w:rsidR="004B7F6A" w:rsidRPr="00434818" w:rsidRDefault="008D7535" w:rsidP="00355506">
            <w:pPr>
              <w:spacing w:after="0" w:line="240" w:lineRule="auto"/>
              <w:jc w:val="both"/>
              <w:rPr>
                <w:rFonts w:ascii="Times New Roman" w:eastAsia="Times New Roman" w:hAnsi="Times New Roman" w:cs="Times New Roman"/>
                <w:color w:val="0563C1"/>
                <w:u w:val="single"/>
                <w:lang w:eastAsia="is-IS"/>
              </w:rPr>
            </w:pPr>
            <w:hyperlink r:id="rId24" w:history="1">
              <w:r w:rsidR="004B7F6A" w:rsidRPr="00134AF2">
                <w:rPr>
                  <w:rStyle w:val="Hyperlink"/>
                  <w:rFonts w:ascii="Times New Roman" w:eastAsia="Times New Roman" w:hAnsi="Times New Roman" w:cs="Times New Roman"/>
                  <w:lang w:eastAsia="is-IS"/>
                </w:rPr>
                <w:t>Commission Delegated Regulation (EU) 2018/1642 of 13 July 2018 supplementing Regulation (EU) 2016/1011 of the European Parliament and of the Council with regard to regulatory technical standards specifying further the criteria to be taken into account by competent authorities when assessing whether administrators of significant benchmarks should apply certain requirements</w:t>
              </w:r>
            </w:hyperlink>
          </w:p>
        </w:tc>
      </w:tr>
      <w:tr w:rsidR="004B7F6A" w:rsidRPr="00434818" w14:paraId="0432BBC9" w14:textId="77777777" w:rsidTr="004B7F6A">
        <w:trPr>
          <w:trHeight w:val="315"/>
        </w:trPr>
        <w:tc>
          <w:tcPr>
            <w:tcW w:w="12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1331074" w14:textId="77777777" w:rsidR="004B7F6A" w:rsidRPr="00434818" w:rsidRDefault="004B7F6A" w:rsidP="00355506">
            <w:pPr>
              <w:spacing w:after="0" w:line="240" w:lineRule="auto"/>
              <w:jc w:val="both"/>
              <w:rPr>
                <w:rFonts w:ascii="Times New Roman" w:eastAsia="Times New Roman" w:hAnsi="Times New Roman" w:cs="Times New Roman"/>
                <w:lang w:eastAsia="is-IS"/>
              </w:rPr>
            </w:pPr>
            <w:r w:rsidRPr="00434818">
              <w:rPr>
                <w:rFonts w:ascii="Times New Roman" w:eastAsia="Times New Roman" w:hAnsi="Times New Roman" w:cs="Times New Roman"/>
                <w:lang w:eastAsia="is-IS"/>
              </w:rPr>
              <w:t>32018R1643</w:t>
            </w:r>
          </w:p>
        </w:tc>
        <w:tc>
          <w:tcPr>
            <w:tcW w:w="7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0B12F2" w14:textId="77777777" w:rsidR="004B7F6A" w:rsidRPr="00434818" w:rsidRDefault="008D7535" w:rsidP="00355506">
            <w:pPr>
              <w:spacing w:after="0" w:line="240" w:lineRule="auto"/>
              <w:jc w:val="both"/>
              <w:rPr>
                <w:rFonts w:ascii="Times New Roman" w:eastAsia="Times New Roman" w:hAnsi="Times New Roman" w:cs="Times New Roman"/>
                <w:color w:val="0563C1"/>
                <w:u w:val="single"/>
                <w:lang w:eastAsia="is-IS"/>
              </w:rPr>
            </w:pPr>
            <w:hyperlink r:id="rId25" w:history="1">
              <w:r w:rsidR="004B7F6A" w:rsidRPr="00134AF2">
                <w:rPr>
                  <w:rStyle w:val="Hyperlink"/>
                  <w:rFonts w:ascii="Times New Roman" w:eastAsia="Times New Roman" w:hAnsi="Times New Roman" w:cs="Times New Roman"/>
                  <w:lang w:eastAsia="is-IS"/>
                </w:rPr>
                <w:t>Commission Delegated Regulation (EU) 2018/1643 of 13 July 2018 supplementing Regulation (EU) 2016/1011 of the European Parliament and of the Council with regard to regulatory technical standards specifying further the contents of, and cases where updates are required to, the benchmark statement to be published by the administrator of a benchmark</w:t>
              </w:r>
            </w:hyperlink>
          </w:p>
        </w:tc>
      </w:tr>
      <w:tr w:rsidR="004B7F6A" w:rsidRPr="00434818" w14:paraId="6193F21F" w14:textId="77777777" w:rsidTr="004B7F6A">
        <w:trPr>
          <w:trHeight w:val="315"/>
        </w:trPr>
        <w:tc>
          <w:tcPr>
            <w:tcW w:w="12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95AB25D" w14:textId="77777777" w:rsidR="004B7F6A" w:rsidRPr="00434818" w:rsidRDefault="004B7F6A" w:rsidP="00355506">
            <w:pPr>
              <w:spacing w:after="0" w:line="240" w:lineRule="auto"/>
              <w:jc w:val="both"/>
              <w:rPr>
                <w:rFonts w:ascii="Times New Roman" w:eastAsia="Times New Roman" w:hAnsi="Times New Roman" w:cs="Times New Roman"/>
                <w:lang w:eastAsia="is-IS"/>
              </w:rPr>
            </w:pPr>
            <w:r w:rsidRPr="00434818">
              <w:rPr>
                <w:rFonts w:ascii="Times New Roman" w:eastAsia="Times New Roman" w:hAnsi="Times New Roman" w:cs="Times New Roman"/>
                <w:lang w:eastAsia="is-IS"/>
              </w:rPr>
              <w:t>32018R1644</w:t>
            </w:r>
          </w:p>
        </w:tc>
        <w:tc>
          <w:tcPr>
            <w:tcW w:w="7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7950EF" w14:textId="77777777" w:rsidR="004B7F6A" w:rsidRPr="00434818" w:rsidRDefault="008D7535" w:rsidP="00355506">
            <w:pPr>
              <w:spacing w:after="0" w:line="240" w:lineRule="auto"/>
              <w:jc w:val="both"/>
              <w:rPr>
                <w:rFonts w:ascii="Times New Roman" w:eastAsia="Times New Roman" w:hAnsi="Times New Roman" w:cs="Times New Roman"/>
                <w:color w:val="0563C1"/>
                <w:u w:val="single"/>
                <w:lang w:eastAsia="is-IS"/>
              </w:rPr>
            </w:pPr>
            <w:hyperlink r:id="rId26" w:history="1">
              <w:r w:rsidR="004B7F6A" w:rsidRPr="00134AF2">
                <w:rPr>
                  <w:rStyle w:val="Hyperlink"/>
                  <w:rFonts w:ascii="Times New Roman" w:eastAsia="Times New Roman" w:hAnsi="Times New Roman" w:cs="Times New Roman"/>
                  <w:lang w:eastAsia="is-IS"/>
                </w:rPr>
                <w:t>Commission Delegated Regulation (EU) 2018/1644 of 13 July 2018 supplementing Regulation (EU) 2016/1011 of the European Parliament and of the Council with regard to regulatory technical standards determining the minimum content of cooperation arrangements with competent authorities of third countries whose legal framework and supervisory practices have been recognised as equivalent</w:t>
              </w:r>
            </w:hyperlink>
          </w:p>
        </w:tc>
      </w:tr>
      <w:tr w:rsidR="004B7F6A" w:rsidRPr="00434818" w14:paraId="1C39CB6F" w14:textId="77777777" w:rsidTr="004B7F6A">
        <w:trPr>
          <w:trHeight w:val="315"/>
        </w:trPr>
        <w:tc>
          <w:tcPr>
            <w:tcW w:w="12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3BC6FD9" w14:textId="77777777" w:rsidR="004B7F6A" w:rsidRPr="00434818" w:rsidRDefault="004B7F6A" w:rsidP="00355506">
            <w:pPr>
              <w:spacing w:after="0" w:line="240" w:lineRule="auto"/>
              <w:jc w:val="both"/>
              <w:rPr>
                <w:rFonts w:ascii="Times New Roman" w:eastAsia="Times New Roman" w:hAnsi="Times New Roman" w:cs="Times New Roman"/>
                <w:lang w:eastAsia="is-IS"/>
              </w:rPr>
            </w:pPr>
            <w:r w:rsidRPr="00434818">
              <w:rPr>
                <w:rFonts w:ascii="Times New Roman" w:eastAsia="Times New Roman" w:hAnsi="Times New Roman" w:cs="Times New Roman"/>
                <w:lang w:eastAsia="is-IS"/>
              </w:rPr>
              <w:t>32018R1645</w:t>
            </w:r>
          </w:p>
        </w:tc>
        <w:tc>
          <w:tcPr>
            <w:tcW w:w="7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1B907A" w14:textId="77777777" w:rsidR="004B7F6A" w:rsidRPr="00434818" w:rsidRDefault="008D7535" w:rsidP="00355506">
            <w:pPr>
              <w:spacing w:after="0" w:line="240" w:lineRule="auto"/>
              <w:jc w:val="both"/>
              <w:rPr>
                <w:rFonts w:ascii="Times New Roman" w:eastAsia="Times New Roman" w:hAnsi="Times New Roman" w:cs="Times New Roman"/>
                <w:color w:val="0563C1"/>
                <w:u w:val="single"/>
                <w:lang w:eastAsia="is-IS"/>
              </w:rPr>
            </w:pPr>
            <w:hyperlink r:id="rId27" w:history="1">
              <w:r w:rsidR="004B7F6A" w:rsidRPr="00134AF2">
                <w:rPr>
                  <w:rStyle w:val="Hyperlink"/>
                  <w:rFonts w:ascii="Times New Roman" w:eastAsia="Times New Roman" w:hAnsi="Times New Roman" w:cs="Times New Roman"/>
                  <w:lang w:eastAsia="is-IS"/>
                </w:rPr>
                <w:t>Commission Delegated Regulation (EU) 2018/1645 of 13 July 2018 supplementing Regulation (EU) 2016/1011 of the European Parliament and of the Council with regard to regulatory technical standards for the form and content of the application for recognition with the competent authority of the Member State of reference and of the presentation of information in the notification to European Securities and Markets Authority (ESMA)</w:t>
              </w:r>
            </w:hyperlink>
          </w:p>
        </w:tc>
      </w:tr>
      <w:tr w:rsidR="004B7F6A" w:rsidRPr="00434818" w14:paraId="6DFA54DB" w14:textId="77777777" w:rsidTr="004B7F6A">
        <w:trPr>
          <w:trHeight w:val="315"/>
        </w:trPr>
        <w:tc>
          <w:tcPr>
            <w:tcW w:w="12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03E2A01" w14:textId="77777777" w:rsidR="004B7F6A" w:rsidRPr="00434818" w:rsidRDefault="004B7F6A" w:rsidP="00355506">
            <w:pPr>
              <w:spacing w:after="0" w:line="240" w:lineRule="auto"/>
              <w:jc w:val="both"/>
              <w:rPr>
                <w:rFonts w:ascii="Times New Roman" w:eastAsia="Times New Roman" w:hAnsi="Times New Roman" w:cs="Times New Roman"/>
                <w:lang w:eastAsia="is-IS"/>
              </w:rPr>
            </w:pPr>
            <w:r w:rsidRPr="00434818">
              <w:rPr>
                <w:rFonts w:ascii="Times New Roman" w:eastAsia="Times New Roman" w:hAnsi="Times New Roman" w:cs="Times New Roman"/>
                <w:lang w:eastAsia="is-IS"/>
              </w:rPr>
              <w:t>32018R1646</w:t>
            </w:r>
          </w:p>
        </w:tc>
        <w:tc>
          <w:tcPr>
            <w:tcW w:w="7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DE498C" w14:textId="77777777" w:rsidR="004B7F6A" w:rsidRPr="00434818" w:rsidRDefault="008D7535" w:rsidP="00355506">
            <w:pPr>
              <w:spacing w:after="0" w:line="240" w:lineRule="auto"/>
              <w:jc w:val="both"/>
              <w:rPr>
                <w:rFonts w:ascii="Times New Roman" w:eastAsia="Times New Roman" w:hAnsi="Times New Roman" w:cs="Times New Roman"/>
                <w:color w:val="0563C1"/>
                <w:u w:val="single"/>
                <w:lang w:eastAsia="is-IS"/>
              </w:rPr>
            </w:pPr>
            <w:hyperlink r:id="rId28" w:history="1">
              <w:r w:rsidR="004B7F6A" w:rsidRPr="00134AF2">
                <w:rPr>
                  <w:rStyle w:val="Hyperlink"/>
                  <w:rFonts w:ascii="Times New Roman" w:eastAsia="Times New Roman" w:hAnsi="Times New Roman" w:cs="Times New Roman"/>
                  <w:lang w:eastAsia="is-IS"/>
                </w:rPr>
                <w:t>Commission Delegated Regulation (EU) 2018/1646 of 13 July 2018 supplementing Regulation (EU) 2016/1011 of the European Parliament and of the Council with regard to regulatory technical standards for the information to be provided in an application for authorisation and in an application for registration</w:t>
              </w:r>
            </w:hyperlink>
          </w:p>
        </w:tc>
      </w:tr>
    </w:tbl>
    <w:p w14:paraId="171F0A6F" w14:textId="77777777" w:rsidR="004B7F6A" w:rsidRDefault="004B7F6A" w:rsidP="00355506"/>
    <w:sectPr w:rsidR="004B7F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5C7A4" w14:textId="77777777" w:rsidR="000F034B" w:rsidRDefault="000F034B" w:rsidP="000F034B">
      <w:pPr>
        <w:spacing w:after="0" w:line="240" w:lineRule="auto"/>
      </w:pPr>
      <w:r>
        <w:separator/>
      </w:r>
    </w:p>
  </w:endnote>
  <w:endnote w:type="continuationSeparator" w:id="0">
    <w:p w14:paraId="3512BBD9" w14:textId="77777777" w:rsidR="000F034B" w:rsidRDefault="000F034B" w:rsidP="000F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6EFD4" w14:textId="77777777" w:rsidR="000F034B" w:rsidRDefault="000F034B" w:rsidP="000F034B">
      <w:pPr>
        <w:spacing w:after="0" w:line="240" w:lineRule="auto"/>
      </w:pPr>
      <w:r>
        <w:separator/>
      </w:r>
    </w:p>
  </w:footnote>
  <w:footnote w:type="continuationSeparator" w:id="0">
    <w:p w14:paraId="73895EB3" w14:textId="77777777" w:rsidR="000F034B" w:rsidRDefault="000F034B" w:rsidP="000F0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doNotDisplayPageBoundarie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18"/>
    <w:rsid w:val="00015614"/>
    <w:rsid w:val="000926E1"/>
    <w:rsid w:val="000F034B"/>
    <w:rsid w:val="0010697E"/>
    <w:rsid w:val="001333AF"/>
    <w:rsid w:val="00134AF2"/>
    <w:rsid w:val="0016693D"/>
    <w:rsid w:val="001B03E0"/>
    <w:rsid w:val="001D3E5A"/>
    <w:rsid w:val="00203D81"/>
    <w:rsid w:val="00285991"/>
    <w:rsid w:val="002D5C57"/>
    <w:rsid w:val="003137A2"/>
    <w:rsid w:val="00325CC5"/>
    <w:rsid w:val="00342C0A"/>
    <w:rsid w:val="00355506"/>
    <w:rsid w:val="0038739E"/>
    <w:rsid w:val="003A14E1"/>
    <w:rsid w:val="00434818"/>
    <w:rsid w:val="00492573"/>
    <w:rsid w:val="004B7F6A"/>
    <w:rsid w:val="0065678A"/>
    <w:rsid w:val="007043BE"/>
    <w:rsid w:val="007329A3"/>
    <w:rsid w:val="007C536B"/>
    <w:rsid w:val="00807F55"/>
    <w:rsid w:val="008109AF"/>
    <w:rsid w:val="008276A2"/>
    <w:rsid w:val="00885796"/>
    <w:rsid w:val="00896CEC"/>
    <w:rsid w:val="008D7535"/>
    <w:rsid w:val="008E4F7D"/>
    <w:rsid w:val="009306EE"/>
    <w:rsid w:val="00AC5828"/>
    <w:rsid w:val="00B42F07"/>
    <w:rsid w:val="00D2256D"/>
    <w:rsid w:val="00DB0864"/>
    <w:rsid w:val="00DD372D"/>
    <w:rsid w:val="00E33CDB"/>
    <w:rsid w:val="00EB2380"/>
    <w:rsid w:val="00F01E8C"/>
    <w:rsid w:val="00F71F7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36D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F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81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818"/>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2D5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57"/>
    <w:rPr>
      <w:rFonts w:ascii="Segoe UI" w:hAnsi="Segoe UI" w:cs="Segoe UI"/>
      <w:sz w:val="18"/>
      <w:szCs w:val="18"/>
    </w:rPr>
  </w:style>
  <w:style w:type="character" w:styleId="Hyperlink">
    <w:name w:val="Hyperlink"/>
    <w:basedOn w:val="DefaultParagraphFont"/>
    <w:uiPriority w:val="99"/>
    <w:unhideWhenUsed/>
    <w:rsid w:val="00134AF2"/>
    <w:rPr>
      <w:color w:val="0563C1" w:themeColor="hyperlink"/>
      <w:u w:val="single"/>
    </w:rPr>
  </w:style>
  <w:style w:type="character" w:styleId="UnresolvedMention">
    <w:name w:val="Unresolved Mention"/>
    <w:basedOn w:val="DefaultParagraphFont"/>
    <w:uiPriority w:val="99"/>
    <w:semiHidden/>
    <w:unhideWhenUsed/>
    <w:rsid w:val="00134AF2"/>
    <w:rPr>
      <w:color w:val="605E5C"/>
      <w:shd w:val="clear" w:color="auto" w:fill="E1DFDD"/>
    </w:rPr>
  </w:style>
  <w:style w:type="character" w:styleId="FollowedHyperlink">
    <w:name w:val="FollowedHyperlink"/>
    <w:basedOn w:val="DefaultParagraphFont"/>
    <w:uiPriority w:val="99"/>
    <w:semiHidden/>
    <w:unhideWhenUsed/>
    <w:rsid w:val="00325CC5"/>
    <w:rPr>
      <w:color w:val="954F72" w:themeColor="followedHyperlink"/>
      <w:u w:val="single"/>
    </w:rPr>
  </w:style>
  <w:style w:type="character" w:customStyle="1" w:styleId="Heading1Char">
    <w:name w:val="Heading 1 Char"/>
    <w:basedOn w:val="DefaultParagraphFont"/>
    <w:link w:val="Heading1"/>
    <w:uiPriority w:val="9"/>
    <w:rsid w:val="004B7F6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F0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34B"/>
  </w:style>
  <w:style w:type="paragraph" w:styleId="Footer">
    <w:name w:val="footer"/>
    <w:basedOn w:val="Normal"/>
    <w:link w:val="FooterChar"/>
    <w:uiPriority w:val="99"/>
    <w:unhideWhenUsed/>
    <w:rsid w:val="000F0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36522">
      <w:bodyDiv w:val="1"/>
      <w:marLeft w:val="0"/>
      <w:marRight w:val="0"/>
      <w:marTop w:val="0"/>
      <w:marBottom w:val="0"/>
      <w:divBdr>
        <w:top w:val="none" w:sz="0" w:space="0" w:color="auto"/>
        <w:left w:val="none" w:sz="0" w:space="0" w:color="auto"/>
        <w:bottom w:val="none" w:sz="0" w:space="0" w:color="auto"/>
        <w:right w:val="none" w:sz="0" w:space="0" w:color="auto"/>
      </w:divBdr>
      <w:divsChild>
        <w:div w:id="358822254">
          <w:marLeft w:val="0"/>
          <w:marRight w:val="0"/>
          <w:marTop w:val="0"/>
          <w:marBottom w:val="0"/>
          <w:divBdr>
            <w:top w:val="none" w:sz="0" w:space="0" w:color="auto"/>
            <w:left w:val="none" w:sz="0" w:space="0" w:color="auto"/>
            <w:bottom w:val="none" w:sz="0" w:space="0" w:color="auto"/>
            <w:right w:val="none" w:sz="0" w:space="0" w:color="auto"/>
          </w:divBdr>
          <w:divsChild>
            <w:div w:id="1302727768">
              <w:marLeft w:val="0"/>
              <w:marRight w:val="0"/>
              <w:marTop w:val="0"/>
              <w:marBottom w:val="0"/>
              <w:divBdr>
                <w:top w:val="none" w:sz="0" w:space="0" w:color="auto"/>
                <w:left w:val="none" w:sz="0" w:space="0" w:color="auto"/>
                <w:bottom w:val="none" w:sz="0" w:space="0" w:color="auto"/>
                <w:right w:val="none" w:sz="0" w:space="0" w:color="auto"/>
              </w:divBdr>
              <w:divsChild>
                <w:div w:id="550118561">
                  <w:marLeft w:val="0"/>
                  <w:marRight w:val="0"/>
                  <w:marTop w:val="0"/>
                  <w:marBottom w:val="0"/>
                  <w:divBdr>
                    <w:top w:val="none" w:sz="0" w:space="0" w:color="auto"/>
                    <w:left w:val="none" w:sz="0" w:space="0" w:color="auto"/>
                    <w:bottom w:val="none" w:sz="0" w:space="0" w:color="auto"/>
                    <w:right w:val="none" w:sz="0" w:space="0" w:color="auto"/>
                  </w:divBdr>
                  <w:divsChild>
                    <w:div w:id="1440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6603">
      <w:bodyDiv w:val="1"/>
      <w:marLeft w:val="0"/>
      <w:marRight w:val="0"/>
      <w:marTop w:val="0"/>
      <w:marBottom w:val="0"/>
      <w:divBdr>
        <w:top w:val="none" w:sz="0" w:space="0" w:color="auto"/>
        <w:left w:val="none" w:sz="0" w:space="0" w:color="auto"/>
        <w:bottom w:val="none" w:sz="0" w:space="0" w:color="auto"/>
        <w:right w:val="none" w:sz="0" w:space="0" w:color="auto"/>
      </w:divBdr>
      <w:divsChild>
        <w:div w:id="1302997775">
          <w:marLeft w:val="0"/>
          <w:marRight w:val="0"/>
          <w:marTop w:val="0"/>
          <w:marBottom w:val="0"/>
          <w:divBdr>
            <w:top w:val="none" w:sz="0" w:space="0" w:color="auto"/>
            <w:left w:val="none" w:sz="0" w:space="0" w:color="auto"/>
            <w:bottom w:val="none" w:sz="0" w:space="0" w:color="auto"/>
            <w:right w:val="none" w:sz="0" w:space="0" w:color="auto"/>
          </w:divBdr>
          <w:divsChild>
            <w:div w:id="92478198">
              <w:marLeft w:val="0"/>
              <w:marRight w:val="0"/>
              <w:marTop w:val="0"/>
              <w:marBottom w:val="0"/>
              <w:divBdr>
                <w:top w:val="none" w:sz="0" w:space="0" w:color="auto"/>
                <w:left w:val="none" w:sz="0" w:space="0" w:color="auto"/>
                <w:bottom w:val="none" w:sz="0" w:space="0" w:color="auto"/>
                <w:right w:val="none" w:sz="0" w:space="0" w:color="auto"/>
              </w:divBdr>
              <w:divsChild>
                <w:div w:id="334917930">
                  <w:marLeft w:val="0"/>
                  <w:marRight w:val="0"/>
                  <w:marTop w:val="0"/>
                  <w:marBottom w:val="0"/>
                  <w:divBdr>
                    <w:top w:val="none" w:sz="0" w:space="0" w:color="auto"/>
                    <w:left w:val="none" w:sz="0" w:space="0" w:color="auto"/>
                    <w:bottom w:val="none" w:sz="0" w:space="0" w:color="auto"/>
                    <w:right w:val="none" w:sz="0" w:space="0" w:color="auto"/>
                  </w:divBdr>
                  <w:divsChild>
                    <w:div w:id="4309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445626">
      <w:bodyDiv w:val="1"/>
      <w:marLeft w:val="0"/>
      <w:marRight w:val="0"/>
      <w:marTop w:val="0"/>
      <w:marBottom w:val="0"/>
      <w:divBdr>
        <w:top w:val="none" w:sz="0" w:space="0" w:color="auto"/>
        <w:left w:val="none" w:sz="0" w:space="0" w:color="auto"/>
        <w:bottom w:val="none" w:sz="0" w:space="0" w:color="auto"/>
        <w:right w:val="none" w:sz="0" w:space="0" w:color="auto"/>
      </w:divBdr>
      <w:divsChild>
        <w:div w:id="2090419048">
          <w:marLeft w:val="0"/>
          <w:marRight w:val="0"/>
          <w:marTop w:val="0"/>
          <w:marBottom w:val="0"/>
          <w:divBdr>
            <w:top w:val="none" w:sz="0" w:space="0" w:color="auto"/>
            <w:left w:val="none" w:sz="0" w:space="0" w:color="auto"/>
            <w:bottom w:val="none" w:sz="0" w:space="0" w:color="auto"/>
            <w:right w:val="none" w:sz="0" w:space="0" w:color="auto"/>
          </w:divBdr>
          <w:divsChild>
            <w:div w:id="1125198420">
              <w:marLeft w:val="0"/>
              <w:marRight w:val="0"/>
              <w:marTop w:val="0"/>
              <w:marBottom w:val="0"/>
              <w:divBdr>
                <w:top w:val="none" w:sz="0" w:space="0" w:color="auto"/>
                <w:left w:val="none" w:sz="0" w:space="0" w:color="auto"/>
                <w:bottom w:val="none" w:sz="0" w:space="0" w:color="auto"/>
                <w:right w:val="none" w:sz="0" w:space="0" w:color="auto"/>
              </w:divBdr>
              <w:divsChild>
                <w:div w:id="1448544662">
                  <w:marLeft w:val="0"/>
                  <w:marRight w:val="0"/>
                  <w:marTop w:val="0"/>
                  <w:marBottom w:val="0"/>
                  <w:divBdr>
                    <w:top w:val="none" w:sz="0" w:space="0" w:color="auto"/>
                    <w:left w:val="none" w:sz="0" w:space="0" w:color="auto"/>
                    <w:bottom w:val="none" w:sz="0" w:space="0" w:color="auto"/>
                    <w:right w:val="none" w:sz="0" w:space="0" w:color="auto"/>
                  </w:divBdr>
                  <w:divsChild>
                    <w:div w:id="3942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10928">
      <w:bodyDiv w:val="1"/>
      <w:marLeft w:val="0"/>
      <w:marRight w:val="0"/>
      <w:marTop w:val="0"/>
      <w:marBottom w:val="0"/>
      <w:divBdr>
        <w:top w:val="none" w:sz="0" w:space="0" w:color="auto"/>
        <w:left w:val="none" w:sz="0" w:space="0" w:color="auto"/>
        <w:bottom w:val="none" w:sz="0" w:space="0" w:color="auto"/>
        <w:right w:val="none" w:sz="0" w:space="0" w:color="auto"/>
      </w:divBdr>
      <w:divsChild>
        <w:div w:id="1124542070">
          <w:marLeft w:val="0"/>
          <w:marRight w:val="0"/>
          <w:marTop w:val="0"/>
          <w:marBottom w:val="0"/>
          <w:divBdr>
            <w:top w:val="none" w:sz="0" w:space="0" w:color="auto"/>
            <w:left w:val="none" w:sz="0" w:space="0" w:color="auto"/>
            <w:bottom w:val="none" w:sz="0" w:space="0" w:color="auto"/>
            <w:right w:val="none" w:sz="0" w:space="0" w:color="auto"/>
          </w:divBdr>
          <w:divsChild>
            <w:div w:id="1549797698">
              <w:marLeft w:val="0"/>
              <w:marRight w:val="0"/>
              <w:marTop w:val="0"/>
              <w:marBottom w:val="0"/>
              <w:divBdr>
                <w:top w:val="none" w:sz="0" w:space="0" w:color="auto"/>
                <w:left w:val="none" w:sz="0" w:space="0" w:color="auto"/>
                <w:bottom w:val="none" w:sz="0" w:space="0" w:color="auto"/>
                <w:right w:val="none" w:sz="0" w:space="0" w:color="auto"/>
              </w:divBdr>
              <w:divsChild>
                <w:div w:id="783811156">
                  <w:marLeft w:val="0"/>
                  <w:marRight w:val="0"/>
                  <w:marTop w:val="0"/>
                  <w:marBottom w:val="0"/>
                  <w:divBdr>
                    <w:top w:val="none" w:sz="0" w:space="0" w:color="auto"/>
                    <w:left w:val="none" w:sz="0" w:space="0" w:color="auto"/>
                    <w:bottom w:val="none" w:sz="0" w:space="0" w:color="auto"/>
                    <w:right w:val="none" w:sz="0" w:space="0" w:color="auto"/>
                  </w:divBdr>
                  <w:divsChild>
                    <w:div w:id="7382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63966">
      <w:bodyDiv w:val="1"/>
      <w:marLeft w:val="0"/>
      <w:marRight w:val="0"/>
      <w:marTop w:val="0"/>
      <w:marBottom w:val="0"/>
      <w:divBdr>
        <w:top w:val="none" w:sz="0" w:space="0" w:color="auto"/>
        <w:left w:val="none" w:sz="0" w:space="0" w:color="auto"/>
        <w:bottom w:val="none" w:sz="0" w:space="0" w:color="auto"/>
        <w:right w:val="none" w:sz="0" w:space="0" w:color="auto"/>
      </w:divBdr>
    </w:div>
    <w:div w:id="1755126568">
      <w:bodyDiv w:val="1"/>
      <w:marLeft w:val="0"/>
      <w:marRight w:val="0"/>
      <w:marTop w:val="0"/>
      <w:marBottom w:val="0"/>
      <w:divBdr>
        <w:top w:val="none" w:sz="0" w:space="0" w:color="auto"/>
        <w:left w:val="none" w:sz="0" w:space="0" w:color="auto"/>
        <w:bottom w:val="none" w:sz="0" w:space="0" w:color="auto"/>
        <w:right w:val="none" w:sz="0" w:space="0" w:color="auto"/>
      </w:divBdr>
    </w:div>
    <w:div w:id="1802727792">
      <w:bodyDiv w:val="1"/>
      <w:marLeft w:val="0"/>
      <w:marRight w:val="0"/>
      <w:marTop w:val="0"/>
      <w:marBottom w:val="0"/>
      <w:divBdr>
        <w:top w:val="none" w:sz="0" w:space="0" w:color="auto"/>
        <w:left w:val="none" w:sz="0" w:space="0" w:color="auto"/>
        <w:bottom w:val="none" w:sz="0" w:space="0" w:color="auto"/>
        <w:right w:val="none" w:sz="0" w:space="0" w:color="auto"/>
      </w:divBdr>
      <w:divsChild>
        <w:div w:id="831216254">
          <w:marLeft w:val="0"/>
          <w:marRight w:val="0"/>
          <w:marTop w:val="0"/>
          <w:marBottom w:val="0"/>
          <w:divBdr>
            <w:top w:val="none" w:sz="0" w:space="0" w:color="auto"/>
            <w:left w:val="none" w:sz="0" w:space="0" w:color="auto"/>
            <w:bottom w:val="none" w:sz="0" w:space="0" w:color="auto"/>
            <w:right w:val="none" w:sz="0" w:space="0" w:color="auto"/>
          </w:divBdr>
          <w:divsChild>
            <w:div w:id="15694688">
              <w:marLeft w:val="0"/>
              <w:marRight w:val="0"/>
              <w:marTop w:val="0"/>
              <w:marBottom w:val="0"/>
              <w:divBdr>
                <w:top w:val="none" w:sz="0" w:space="0" w:color="auto"/>
                <w:left w:val="none" w:sz="0" w:space="0" w:color="auto"/>
                <w:bottom w:val="none" w:sz="0" w:space="0" w:color="auto"/>
                <w:right w:val="none" w:sz="0" w:space="0" w:color="auto"/>
              </w:divBdr>
              <w:divsChild>
                <w:div w:id="166287419">
                  <w:marLeft w:val="0"/>
                  <w:marRight w:val="0"/>
                  <w:marTop w:val="0"/>
                  <w:marBottom w:val="0"/>
                  <w:divBdr>
                    <w:top w:val="none" w:sz="0" w:space="0" w:color="auto"/>
                    <w:left w:val="none" w:sz="0" w:space="0" w:color="auto"/>
                    <w:bottom w:val="none" w:sz="0" w:space="0" w:color="auto"/>
                    <w:right w:val="none" w:sz="0" w:space="0" w:color="auto"/>
                  </w:divBdr>
                  <w:divsChild>
                    <w:div w:id="1754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43368">
      <w:bodyDiv w:val="1"/>
      <w:marLeft w:val="0"/>
      <w:marRight w:val="0"/>
      <w:marTop w:val="0"/>
      <w:marBottom w:val="0"/>
      <w:divBdr>
        <w:top w:val="none" w:sz="0" w:space="0" w:color="auto"/>
        <w:left w:val="none" w:sz="0" w:space="0" w:color="auto"/>
        <w:bottom w:val="none" w:sz="0" w:space="0" w:color="auto"/>
        <w:right w:val="none" w:sz="0" w:space="0" w:color="auto"/>
      </w:divBdr>
      <w:divsChild>
        <w:div w:id="1335379932">
          <w:marLeft w:val="0"/>
          <w:marRight w:val="0"/>
          <w:marTop w:val="0"/>
          <w:marBottom w:val="0"/>
          <w:divBdr>
            <w:top w:val="none" w:sz="0" w:space="0" w:color="auto"/>
            <w:left w:val="none" w:sz="0" w:space="0" w:color="auto"/>
            <w:bottom w:val="none" w:sz="0" w:space="0" w:color="auto"/>
            <w:right w:val="none" w:sz="0" w:space="0" w:color="auto"/>
          </w:divBdr>
          <w:divsChild>
            <w:div w:id="196285363">
              <w:marLeft w:val="0"/>
              <w:marRight w:val="0"/>
              <w:marTop w:val="0"/>
              <w:marBottom w:val="0"/>
              <w:divBdr>
                <w:top w:val="none" w:sz="0" w:space="0" w:color="auto"/>
                <w:left w:val="none" w:sz="0" w:space="0" w:color="auto"/>
                <w:bottom w:val="none" w:sz="0" w:space="0" w:color="auto"/>
                <w:right w:val="none" w:sz="0" w:space="0" w:color="auto"/>
              </w:divBdr>
              <w:divsChild>
                <w:div w:id="1904944087">
                  <w:marLeft w:val="0"/>
                  <w:marRight w:val="0"/>
                  <w:marTop w:val="0"/>
                  <w:marBottom w:val="0"/>
                  <w:divBdr>
                    <w:top w:val="none" w:sz="0" w:space="0" w:color="auto"/>
                    <w:left w:val="none" w:sz="0" w:space="0" w:color="auto"/>
                    <w:bottom w:val="none" w:sz="0" w:space="0" w:color="auto"/>
                    <w:right w:val="none" w:sz="0" w:space="0" w:color="auto"/>
                  </w:divBdr>
                  <w:divsChild>
                    <w:div w:id="6312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23460">
      <w:bodyDiv w:val="1"/>
      <w:marLeft w:val="0"/>
      <w:marRight w:val="0"/>
      <w:marTop w:val="0"/>
      <w:marBottom w:val="0"/>
      <w:divBdr>
        <w:top w:val="none" w:sz="0" w:space="0" w:color="auto"/>
        <w:left w:val="none" w:sz="0" w:space="0" w:color="auto"/>
        <w:bottom w:val="none" w:sz="0" w:space="0" w:color="auto"/>
        <w:right w:val="none" w:sz="0" w:space="0" w:color="auto"/>
      </w:divBdr>
      <w:divsChild>
        <w:div w:id="1809005930">
          <w:marLeft w:val="0"/>
          <w:marRight w:val="0"/>
          <w:marTop w:val="0"/>
          <w:marBottom w:val="0"/>
          <w:divBdr>
            <w:top w:val="none" w:sz="0" w:space="0" w:color="auto"/>
            <w:left w:val="none" w:sz="0" w:space="0" w:color="auto"/>
            <w:bottom w:val="none" w:sz="0" w:space="0" w:color="auto"/>
            <w:right w:val="none" w:sz="0" w:space="0" w:color="auto"/>
          </w:divBdr>
          <w:divsChild>
            <w:div w:id="1099528557">
              <w:marLeft w:val="0"/>
              <w:marRight w:val="0"/>
              <w:marTop w:val="0"/>
              <w:marBottom w:val="0"/>
              <w:divBdr>
                <w:top w:val="none" w:sz="0" w:space="0" w:color="auto"/>
                <w:left w:val="none" w:sz="0" w:space="0" w:color="auto"/>
                <w:bottom w:val="none" w:sz="0" w:space="0" w:color="auto"/>
                <w:right w:val="none" w:sz="0" w:space="0" w:color="auto"/>
              </w:divBdr>
              <w:divsChild>
                <w:div w:id="547574101">
                  <w:marLeft w:val="0"/>
                  <w:marRight w:val="0"/>
                  <w:marTop w:val="0"/>
                  <w:marBottom w:val="0"/>
                  <w:divBdr>
                    <w:top w:val="none" w:sz="0" w:space="0" w:color="auto"/>
                    <w:left w:val="none" w:sz="0" w:space="0" w:color="auto"/>
                    <w:bottom w:val="none" w:sz="0" w:space="0" w:color="auto"/>
                    <w:right w:val="none" w:sz="0" w:space="0" w:color="auto"/>
                  </w:divBdr>
                  <w:divsChild>
                    <w:div w:id="5722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755720">
      <w:bodyDiv w:val="1"/>
      <w:marLeft w:val="0"/>
      <w:marRight w:val="0"/>
      <w:marTop w:val="0"/>
      <w:marBottom w:val="0"/>
      <w:divBdr>
        <w:top w:val="none" w:sz="0" w:space="0" w:color="auto"/>
        <w:left w:val="none" w:sz="0" w:space="0" w:color="auto"/>
        <w:bottom w:val="none" w:sz="0" w:space="0" w:color="auto"/>
        <w:right w:val="none" w:sz="0" w:space="0" w:color="auto"/>
      </w:divBdr>
    </w:div>
    <w:div w:id="1999262389">
      <w:bodyDiv w:val="1"/>
      <w:marLeft w:val="0"/>
      <w:marRight w:val="0"/>
      <w:marTop w:val="0"/>
      <w:marBottom w:val="0"/>
      <w:divBdr>
        <w:top w:val="none" w:sz="0" w:space="0" w:color="auto"/>
        <w:left w:val="none" w:sz="0" w:space="0" w:color="auto"/>
        <w:bottom w:val="none" w:sz="0" w:space="0" w:color="auto"/>
        <w:right w:val="none" w:sz="0" w:space="0" w:color="auto"/>
      </w:divBdr>
      <w:divsChild>
        <w:div w:id="1571425422">
          <w:marLeft w:val="0"/>
          <w:marRight w:val="0"/>
          <w:marTop w:val="0"/>
          <w:marBottom w:val="0"/>
          <w:divBdr>
            <w:top w:val="none" w:sz="0" w:space="0" w:color="auto"/>
            <w:left w:val="none" w:sz="0" w:space="0" w:color="auto"/>
            <w:bottom w:val="none" w:sz="0" w:space="0" w:color="auto"/>
            <w:right w:val="none" w:sz="0" w:space="0" w:color="auto"/>
          </w:divBdr>
          <w:divsChild>
            <w:div w:id="973176460">
              <w:marLeft w:val="0"/>
              <w:marRight w:val="0"/>
              <w:marTop w:val="0"/>
              <w:marBottom w:val="0"/>
              <w:divBdr>
                <w:top w:val="none" w:sz="0" w:space="0" w:color="auto"/>
                <w:left w:val="none" w:sz="0" w:space="0" w:color="auto"/>
                <w:bottom w:val="none" w:sz="0" w:space="0" w:color="auto"/>
                <w:right w:val="none" w:sz="0" w:space="0" w:color="auto"/>
              </w:divBdr>
              <w:divsChild>
                <w:div w:id="2071079413">
                  <w:marLeft w:val="0"/>
                  <w:marRight w:val="0"/>
                  <w:marTop w:val="0"/>
                  <w:marBottom w:val="0"/>
                  <w:divBdr>
                    <w:top w:val="none" w:sz="0" w:space="0" w:color="auto"/>
                    <w:left w:val="none" w:sz="0" w:space="0" w:color="auto"/>
                    <w:bottom w:val="none" w:sz="0" w:space="0" w:color="auto"/>
                    <w:right w:val="none" w:sz="0" w:space="0" w:color="auto"/>
                  </w:divBdr>
                  <w:divsChild>
                    <w:div w:id="13974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6R1368" TargetMode="External"/><Relationship Id="rId13" Type="http://schemas.openxmlformats.org/officeDocument/2006/relationships/hyperlink" Target="https://eur-lex.europa.eu/legal-content/EN/ALL/?uri=CELEX%3A32018R0066" TargetMode="External"/><Relationship Id="rId18" Type="http://schemas.openxmlformats.org/officeDocument/2006/relationships/hyperlink" Target="https://eur-lex.europa.eu/legal-content/GA/TXT/?uri=CELEX:32018R1106" TargetMode="External"/><Relationship Id="rId26" Type="http://schemas.openxmlformats.org/officeDocument/2006/relationships/hyperlink" Target="https://eur-lex.europa.eu/legal-content/EN/ALL/?uri=CELEX%3A32018R1644" TargetMode="External"/><Relationship Id="rId3" Type="http://schemas.openxmlformats.org/officeDocument/2006/relationships/settings" Target="settings.xml"/><Relationship Id="rId21" Type="http://schemas.openxmlformats.org/officeDocument/2006/relationships/hyperlink" Target="https://eur-lex.europa.eu/legal-content/EN/ALL/?uri=CELEX%3A32018R1639" TargetMode="External"/><Relationship Id="rId7" Type="http://schemas.openxmlformats.org/officeDocument/2006/relationships/image" Target="media/image1.emf"/><Relationship Id="rId12" Type="http://schemas.openxmlformats.org/officeDocument/2006/relationships/hyperlink" Target="https://eur-lex.europa.eu/legal-content/EN/ALL/?uri=CELEX:32018R0065" TargetMode="External"/><Relationship Id="rId17" Type="http://schemas.openxmlformats.org/officeDocument/2006/relationships/hyperlink" Target="https://eur-lex.europa.eu/legal-content/EN/TXT/?uri=CELEX%3A32018R1105" TargetMode="External"/><Relationship Id="rId25" Type="http://schemas.openxmlformats.org/officeDocument/2006/relationships/hyperlink" Target="https://eur-lex.europa.eu/legal-content/EN/ALL/?uri=CELEX%3A32018R1643" TargetMode="External"/><Relationship Id="rId2" Type="http://schemas.openxmlformats.org/officeDocument/2006/relationships/styles" Target="styles.xml"/><Relationship Id="rId16" Type="http://schemas.openxmlformats.org/officeDocument/2006/relationships/hyperlink" Target="https://eur-lex.europa.eu/legal-content/EN/ALL/?uri=uriserv:OJ.L_.2019.082.01.0026.01.ENG" TargetMode="External"/><Relationship Id="rId20" Type="http://schemas.openxmlformats.org/officeDocument/2006/relationships/hyperlink" Target="https://eur-lex.europa.eu/eli/reg_del/2018/1638/o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GA/TXT/?uri=CELEX:32018R0064" TargetMode="External"/><Relationship Id="rId24" Type="http://schemas.openxmlformats.org/officeDocument/2006/relationships/hyperlink" Target="https://eur-lex.europa.eu/legal-content/EN/ALL/?uri=CELEX%3A32018R1642" TargetMode="External"/><Relationship Id="rId5" Type="http://schemas.openxmlformats.org/officeDocument/2006/relationships/footnotes" Target="footnotes.xml"/><Relationship Id="rId15" Type="http://schemas.openxmlformats.org/officeDocument/2006/relationships/hyperlink" Target="https://eur-lex.europa.eu/legal-content/EN/ALL/?uri=CELEX%3A32018R1557" TargetMode="External"/><Relationship Id="rId23" Type="http://schemas.openxmlformats.org/officeDocument/2006/relationships/hyperlink" Target="https://eur-lex.europa.eu/legal-content/EN/ALL/?uri=CELEX%3A32018R1641" TargetMode="External"/><Relationship Id="rId28" Type="http://schemas.openxmlformats.org/officeDocument/2006/relationships/hyperlink" Target="https://eur-lex.europa.eu/legal-content/EN/TXT/?uri=CELEX%3A32018R1646" TargetMode="External"/><Relationship Id="rId10" Type="http://schemas.openxmlformats.org/officeDocument/2006/relationships/hyperlink" Target="https://eur-lex.europa.eu/legal-content/EN/TXT/?uri=CELEX%3A32017R2446" TargetMode="External"/><Relationship Id="rId19" Type="http://schemas.openxmlformats.org/officeDocument/2006/relationships/hyperlink" Target="https://eur-lex.europa.eu/eli/reg_del/2018/1637/o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lex.europa.eu/legal-content/EN/TXT/?uri=CELEX%3A32017R1147" TargetMode="External"/><Relationship Id="rId14" Type="http://schemas.openxmlformats.org/officeDocument/2006/relationships/hyperlink" Target="https://eur-lex.europa.eu/legal-content/EN/ALL/?uri=CELEX%3A32018R0067" TargetMode="External"/><Relationship Id="rId22" Type="http://schemas.openxmlformats.org/officeDocument/2006/relationships/hyperlink" Target="https://eur-lex.europa.eu/eli/reg_del/2018/1640/oj" TargetMode="External"/><Relationship Id="rId27" Type="http://schemas.openxmlformats.org/officeDocument/2006/relationships/hyperlink" Target="https://eur-lex.europa.eu/legal-content/EN/ALL/?uri=CELEX%3A32018R1645"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1103C049504A74A7A2E8899D44C551"/>
        <w:category>
          <w:name w:val="General"/>
          <w:gallery w:val="placeholder"/>
        </w:category>
        <w:types>
          <w:type w:val="bbPlcHdr"/>
        </w:types>
        <w:behaviors>
          <w:behavior w:val="content"/>
        </w:behaviors>
        <w:guid w:val="{01E50DFD-C638-4291-8B1C-BCAD9F05DE05}"/>
      </w:docPartPr>
      <w:docPartBody>
        <w:p w:rsidR="007B6654" w:rsidRDefault="003B74BC" w:rsidP="003B74BC">
          <w:pPr>
            <w:pStyle w:val="FE1103C049504A74A7A2E8899D44C551"/>
          </w:pPr>
          <w:r>
            <w:rPr>
              <w:rFonts w:ascii="Times New Roman" w:hAnsi="Times New Roman" w:cs="Times New Roman"/>
            </w:rPr>
            <w:t>Textasvæði</w:t>
          </w:r>
        </w:p>
      </w:docPartBody>
    </w:docPart>
    <w:docPart>
      <w:docPartPr>
        <w:name w:val="53DA9D4026CC4B73B468A6044C78DB2C"/>
        <w:category>
          <w:name w:val="General"/>
          <w:gallery w:val="placeholder"/>
        </w:category>
        <w:types>
          <w:type w:val="bbPlcHdr"/>
        </w:types>
        <w:behaviors>
          <w:behavior w:val="content"/>
        </w:behaviors>
        <w:guid w:val="{D9B9FCC9-A1B1-4615-AAFC-91868959F821}"/>
      </w:docPartPr>
      <w:docPartBody>
        <w:p w:rsidR="007B6654" w:rsidRDefault="003B74BC" w:rsidP="003B74BC">
          <w:pPr>
            <w:pStyle w:val="53DA9D4026CC4B73B468A6044C78DB2C"/>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BC"/>
    <w:rsid w:val="003B74BC"/>
    <w:rsid w:val="007B665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10E974DDEE4599BEB5384A04114914">
    <w:name w:val="3110E974DDEE4599BEB5384A04114914"/>
    <w:rsid w:val="003B74BC"/>
  </w:style>
  <w:style w:type="paragraph" w:customStyle="1" w:styleId="764C094E249D4D61BA208F9741CA6732">
    <w:name w:val="764C094E249D4D61BA208F9741CA6732"/>
    <w:rsid w:val="003B74BC"/>
  </w:style>
  <w:style w:type="paragraph" w:customStyle="1" w:styleId="0684322ED98840A49337B3D8F4D96259">
    <w:name w:val="0684322ED98840A49337B3D8F4D96259"/>
    <w:rsid w:val="003B74BC"/>
  </w:style>
  <w:style w:type="paragraph" w:customStyle="1" w:styleId="B87BFBB07B124998A16E35055A32CAB3">
    <w:name w:val="B87BFBB07B124998A16E35055A32CAB3"/>
    <w:rsid w:val="003B74BC"/>
  </w:style>
  <w:style w:type="paragraph" w:customStyle="1" w:styleId="FE1103C049504A74A7A2E8899D44C551">
    <w:name w:val="FE1103C049504A74A7A2E8899D44C551"/>
    <w:rsid w:val="003B74BC"/>
  </w:style>
  <w:style w:type="paragraph" w:customStyle="1" w:styleId="53DA9D4026CC4B73B468A6044C78DB2C">
    <w:name w:val="53DA9D4026CC4B73B468A6044C78DB2C"/>
    <w:rsid w:val="003B74BC"/>
  </w:style>
  <w:style w:type="paragraph" w:customStyle="1" w:styleId="5DCC660ABB75435095B1D6FDA5E281A8">
    <w:name w:val="5DCC660ABB75435095B1D6FDA5E281A8"/>
    <w:rsid w:val="003B74BC"/>
  </w:style>
  <w:style w:type="paragraph" w:customStyle="1" w:styleId="743DFAA4A4234A7288A06BDAB3DB989D">
    <w:name w:val="743DFAA4A4234A7288A06BDAB3DB989D"/>
    <w:rsid w:val="003B7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9417</Characters>
  <Application>Microsoft Office Word</Application>
  <DocSecurity>0</DocSecurity>
  <Lines>78</Lines>
  <Paragraphs>22</Paragraphs>
  <ScaleCrop>false</ScaleCrop>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2019-07-04T13:47:00Z</dcterms:created>
  <dcterms:modified xsi:type="dcterms:W3CDTF">2019-07-05T08:32:00Z</dcterms:modified>
</cp:coreProperties>
</file>