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44613" w14:textId="77777777" w:rsidR="00E71F27" w:rsidRDefault="00E71F27" w:rsidP="00E71F27">
      <w:pPr>
        <w:pStyle w:val="Nmeringsskjalsmls"/>
      </w:pPr>
      <w:bookmarkStart w:id="0" w:name="_Toc303616026"/>
      <w:bookmarkStart w:id="1" w:name="_Toc303616027"/>
      <w:bookmarkStart w:id="2" w:name="_GoBack"/>
      <w:bookmarkEnd w:id="2"/>
      <w:r>
        <w:t>14</w:t>
      </w:r>
      <w:r w:rsidR="005303CF">
        <w:t>9</w:t>
      </w:r>
      <w:r>
        <w:t>. löggjafarþing 201</w:t>
      </w:r>
      <w:bookmarkEnd w:id="0"/>
      <w:r w:rsidR="005303CF">
        <w:t>8</w:t>
      </w:r>
      <w:r>
        <w:t>–201</w:t>
      </w:r>
      <w:r w:rsidR="005303CF">
        <w:t>9</w:t>
      </w:r>
      <w:r>
        <w:t xml:space="preserve">. </w:t>
      </w:r>
    </w:p>
    <w:p w14:paraId="0071223E" w14:textId="77777777" w:rsidR="00E71F27" w:rsidRDefault="00E71F27" w:rsidP="00E71F27">
      <w:pPr>
        <w:pStyle w:val="Nmeringsskjalsmls"/>
      </w:pPr>
      <w:r>
        <w:t>Þingskjal x — x. mál</w:t>
      </w:r>
      <w:bookmarkEnd w:id="1"/>
      <w:r>
        <w:t>.</w:t>
      </w:r>
    </w:p>
    <w:p w14:paraId="0F3B681D" w14:textId="77777777" w:rsidR="00E71F27" w:rsidRDefault="00E71F27" w:rsidP="00E71F27">
      <w:pPr>
        <w:pStyle w:val="Nmeringsskjalsmls"/>
      </w:pPr>
      <w:r>
        <w:t xml:space="preserve">Stjórnarfrumvarp. </w:t>
      </w:r>
    </w:p>
    <w:p w14:paraId="7515CDDD" w14:textId="77777777" w:rsidR="00E71F27" w:rsidRPr="002675EE" w:rsidRDefault="00E71F27" w:rsidP="002675EE">
      <w:pPr>
        <w:pStyle w:val="Fyrirsgn-skjalategund"/>
      </w:pPr>
      <w:r w:rsidRPr="002675EE">
        <w:t>Frumvarp til laga</w:t>
      </w:r>
    </w:p>
    <w:p w14:paraId="60879EDE" w14:textId="77777777" w:rsidR="00B35848" w:rsidRDefault="00E71F27" w:rsidP="002675EE">
      <w:pPr>
        <w:pStyle w:val="Fyrirsgn-undirfyrirsgn"/>
      </w:pPr>
      <w:r w:rsidRPr="002675EE">
        <w:t xml:space="preserve">um </w:t>
      </w:r>
      <w:r w:rsidR="00E9418E">
        <w:t xml:space="preserve">ráðstafanir vegna </w:t>
      </w:r>
      <w:r w:rsidR="00E9418E" w:rsidRPr="00CD69C5">
        <w:t>útgöngu</w:t>
      </w:r>
      <w:r w:rsidR="00E9418E">
        <w:t xml:space="preserve"> Bretlands úr Evrópusambandinu og </w:t>
      </w:r>
    </w:p>
    <w:p w14:paraId="4DE68B61" w14:textId="77777777" w:rsidR="00E71F27" w:rsidRPr="002675EE" w:rsidRDefault="00E9418E" w:rsidP="002675EE">
      <w:pPr>
        <w:pStyle w:val="Fyrirsgn-undirfyrirsgn"/>
      </w:pPr>
      <w:r>
        <w:t>Evrópska efnahagssvæðinu</w:t>
      </w:r>
      <w:r w:rsidR="0030284F">
        <w:t>.</w:t>
      </w:r>
    </w:p>
    <w:p w14:paraId="207DF530" w14:textId="77777777" w:rsidR="005D5AEE" w:rsidRPr="005D5AEE" w:rsidRDefault="005D5AEE" w:rsidP="005D5AEE"/>
    <w:p w14:paraId="1B33E9F6" w14:textId="77777777" w:rsidR="00E71F27" w:rsidRDefault="00E71F27" w:rsidP="00E71F27">
      <w:pPr>
        <w:pStyle w:val="Frrherra"/>
      </w:pPr>
      <w:r>
        <w:t xml:space="preserve">Frá </w:t>
      </w:r>
      <w:r w:rsidR="00E9418E">
        <w:t>utanríkis</w:t>
      </w:r>
      <w:r>
        <w:t xml:space="preserve">ráðherra. </w:t>
      </w:r>
    </w:p>
    <w:p w14:paraId="31A34CB2" w14:textId="77777777" w:rsidR="00E71F27" w:rsidRPr="005B08E3" w:rsidRDefault="00E71F27" w:rsidP="00E71F27"/>
    <w:p w14:paraId="60C229B2" w14:textId="77777777" w:rsidR="00E71F27" w:rsidRDefault="00E71F27" w:rsidP="00E71F27"/>
    <w:p w14:paraId="13C6741F" w14:textId="77777777" w:rsidR="00C25839" w:rsidRDefault="00C25839" w:rsidP="00C25839">
      <w:pPr>
        <w:pStyle w:val="Kaflanmer"/>
      </w:pPr>
      <w:r>
        <w:t>I. kafli</w:t>
      </w:r>
    </w:p>
    <w:p w14:paraId="3F6196AA" w14:textId="6EFD883B" w:rsidR="00B30EC1" w:rsidRPr="00C25839" w:rsidRDefault="00C25839" w:rsidP="00943B67">
      <w:pPr>
        <w:pStyle w:val="Greinarnmer"/>
        <w:rPr>
          <w:b/>
        </w:rPr>
      </w:pPr>
      <w:r w:rsidRPr="00C25839">
        <w:rPr>
          <w:b/>
        </w:rPr>
        <w:t>Staðfesting samning</w:t>
      </w:r>
      <w:r w:rsidR="002F12FD">
        <w:rPr>
          <w:b/>
        </w:rPr>
        <w:t>a</w:t>
      </w:r>
      <w:r w:rsidRPr="00C25839">
        <w:rPr>
          <w:b/>
        </w:rPr>
        <w:t xml:space="preserve"> vegna útgöngu Bretlands</w:t>
      </w:r>
      <w:r w:rsidR="00B35848">
        <w:rPr>
          <w:b/>
        </w:rPr>
        <w:t>.</w:t>
      </w:r>
    </w:p>
    <w:p w14:paraId="2FA31D69" w14:textId="4A0BFE07" w:rsidR="002F12FD" w:rsidRDefault="002F12FD" w:rsidP="002F12FD">
      <w:pPr>
        <w:pStyle w:val="Greinarnmer"/>
      </w:pPr>
      <w:r>
        <w:t>1. gr.</w:t>
      </w:r>
    </w:p>
    <w:p w14:paraId="448D6181" w14:textId="77777777" w:rsidR="002F12FD" w:rsidRDefault="002F12FD" w:rsidP="002F12FD">
      <w:pPr>
        <w:pStyle w:val="Greinarfyrirsgn"/>
      </w:pPr>
      <w:r>
        <w:t>Samningur Íslands, Liechtenstein, Noregs og Bretlands vegna útgöngu Bretlands úr Evrópusambandinu og Evrópska efnahagssvæðinu á grundvelli samnings.</w:t>
      </w:r>
    </w:p>
    <w:p w14:paraId="7EE258BE" w14:textId="77777777" w:rsidR="002F12FD" w:rsidRDefault="002F12FD" w:rsidP="002F12FD">
      <w:r>
        <w:t xml:space="preserve">Heimilt er að staðfesta fyrir Íslands samning um fyrirkomulag milli Íslands, Furstadæmisins Liechtenstein, Konungsríkisins Noregs og hins Sameinaða Konungsríkis Stóra-Bretlands og Norður-Írlands í kjölfar úrsagnar þess úr EES-samningnum og öðrum samningum sem gilda milli Bretlands og EFTA-ríkjanna innan EES í krafi aðildar Bretlands að Evrópusambandinu. </w:t>
      </w:r>
    </w:p>
    <w:p w14:paraId="347F2686" w14:textId="02811FD1" w:rsidR="002F12FD" w:rsidRDefault="002F12FD" w:rsidP="00943B67">
      <w:pPr>
        <w:pStyle w:val="Greinarnmer"/>
      </w:pPr>
    </w:p>
    <w:p w14:paraId="2EAE5930" w14:textId="77777777" w:rsidR="002F12FD" w:rsidRPr="002F12FD" w:rsidRDefault="002F12FD" w:rsidP="0065307D"/>
    <w:p w14:paraId="1DDDC396" w14:textId="0F6040B0" w:rsidR="00C35574" w:rsidRDefault="002F12FD" w:rsidP="00943B67">
      <w:pPr>
        <w:pStyle w:val="Greinarnmer"/>
      </w:pPr>
      <w:r>
        <w:t>2</w:t>
      </w:r>
      <w:r w:rsidR="00C35574">
        <w:t>. gr.</w:t>
      </w:r>
    </w:p>
    <w:p w14:paraId="5FA52470" w14:textId="78D36519" w:rsidR="00B30EC1" w:rsidRDefault="00B30EC1" w:rsidP="00B30EC1">
      <w:pPr>
        <w:pStyle w:val="Greinarfyrirsgn"/>
      </w:pPr>
      <w:r>
        <w:t>Samningur Íslands, Liechtenstein, Noregs og Bretlands vegna útgöngu Bretlands úr Evrópusambandinu og Evrópska efnahagssvæðinu</w:t>
      </w:r>
      <w:r w:rsidR="00D65612">
        <w:t xml:space="preserve"> án samnings</w:t>
      </w:r>
      <w:r>
        <w:t>.</w:t>
      </w:r>
    </w:p>
    <w:p w14:paraId="5D73B972" w14:textId="77777777" w:rsidR="00913F80" w:rsidRDefault="00913F80" w:rsidP="000A3ED0">
      <w:r>
        <w:t xml:space="preserve">Heimilt er að fullgilda fyrir Íslands hönd samning </w:t>
      </w:r>
      <w:r w:rsidR="00DA14AB">
        <w:t>um fyrirkomulag milli Íslands, F</w:t>
      </w:r>
      <w:r>
        <w:t>ursta</w:t>
      </w:r>
      <w:r w:rsidR="000A3ED0">
        <w:softHyphen/>
      </w:r>
      <w:r>
        <w:t>dæmis</w:t>
      </w:r>
      <w:r w:rsidR="004D741A">
        <w:softHyphen/>
      </w:r>
      <w:r>
        <w:t xml:space="preserve">ins Liechtenstein, Konungsríkisins Noregs og hins Sameinaða Konungsríkis Stóra-Bretlands og Norður-Írlands </w:t>
      </w:r>
      <w:bookmarkStart w:id="3" w:name="_Hlk2693649"/>
      <w:r>
        <w:t xml:space="preserve">um </w:t>
      </w:r>
      <w:r w:rsidR="00DA14AB">
        <w:t xml:space="preserve">réttindi borgara í kjölfar úrsagnar Bretlands </w:t>
      </w:r>
      <w:r>
        <w:t>úr Evrópusam</w:t>
      </w:r>
      <w:r w:rsidR="004D741A">
        <w:softHyphen/>
      </w:r>
      <w:r>
        <w:t>band</w:t>
      </w:r>
      <w:r w:rsidR="004D741A">
        <w:softHyphen/>
      </w:r>
      <w:r>
        <w:t xml:space="preserve">inu og </w:t>
      </w:r>
      <w:r w:rsidR="00DA14AB">
        <w:t>EES-samningnum</w:t>
      </w:r>
      <w:bookmarkEnd w:id="3"/>
      <w:r>
        <w:t xml:space="preserve"> sem undirritaður var í </w:t>
      </w:r>
      <w:r w:rsidR="00A8226B">
        <w:t>London</w:t>
      </w:r>
      <w:r>
        <w:t xml:space="preserve"> hinn </w:t>
      </w:r>
      <w:r w:rsidR="00A8226B">
        <w:t xml:space="preserve">2. </w:t>
      </w:r>
      <w:r w:rsidR="0030284F">
        <w:t>a</w:t>
      </w:r>
      <w:r w:rsidR="00A8226B">
        <w:t>príl</w:t>
      </w:r>
      <w:r>
        <w:t xml:space="preserve"> 201</w:t>
      </w:r>
      <w:r w:rsidR="006F5083">
        <w:t>9</w:t>
      </w:r>
      <w:r>
        <w:t>.</w:t>
      </w:r>
    </w:p>
    <w:p w14:paraId="3B9E45AC" w14:textId="77777777" w:rsidR="00C25839" w:rsidRDefault="00C25839" w:rsidP="00943B67"/>
    <w:p w14:paraId="78EAECC5" w14:textId="77777777" w:rsidR="00D65612" w:rsidRDefault="00D65612" w:rsidP="00D65612"/>
    <w:p w14:paraId="678A2E96" w14:textId="77777777" w:rsidR="00D65612" w:rsidRDefault="00D65612" w:rsidP="00D65612">
      <w:pPr>
        <w:pStyle w:val="Kaflanmer"/>
      </w:pPr>
      <w:r>
        <w:t>II. kafli</w:t>
      </w:r>
    </w:p>
    <w:p w14:paraId="3B2A156C" w14:textId="77777777" w:rsidR="00D65612" w:rsidRDefault="00D65612" w:rsidP="00D65612">
      <w:pPr>
        <w:pStyle w:val="Kaflafyrirsgn"/>
      </w:pPr>
      <w:r>
        <w:t>Bráðabirgðatímabil.</w:t>
      </w:r>
    </w:p>
    <w:p w14:paraId="58849D69" w14:textId="77777777" w:rsidR="00D65612" w:rsidRDefault="00D65612" w:rsidP="00D65612">
      <w:pPr>
        <w:jc w:val="center"/>
      </w:pPr>
    </w:p>
    <w:p w14:paraId="7297A26D" w14:textId="281BD1A1" w:rsidR="00D65612" w:rsidRDefault="001715B9" w:rsidP="00D65612">
      <w:pPr>
        <w:pStyle w:val="Greinarnmer"/>
      </w:pPr>
      <w:r>
        <w:t>3</w:t>
      </w:r>
      <w:r w:rsidR="00D65612">
        <w:t>. gr.</w:t>
      </w:r>
    </w:p>
    <w:p w14:paraId="3E3F3545" w14:textId="77777777" w:rsidR="00D65612" w:rsidRDefault="00D65612" w:rsidP="00D65612">
      <w:pPr>
        <w:pStyle w:val="Greinarfyrirsgn"/>
      </w:pPr>
      <w:r>
        <w:t>Bráðabirgðatímabil.</w:t>
      </w:r>
    </w:p>
    <w:p w14:paraId="19EB73B5" w14:textId="108BB8FD" w:rsidR="00D65612" w:rsidRPr="00913F80" w:rsidRDefault="00D65612" w:rsidP="00D65612">
      <w:r>
        <w:t xml:space="preserve">Með bráðabirgðatímabili samkvæmt lögum þessum er átt við tímabil sem ákvarðað er í samningi Bretlands og Evrópusambandsins, sem gerður hefur verið á grundvelli 50. gr. stofnsáttmála Evrópusambandsins, og felur í sér að Bretland skuldbindi sig tímabundið til þess að beita löggjöf og reglum Evrópusambandsins eftir að aðild þess að Evrópusambandinu er formlega lokið. Skal bráðabirgðatímabilið standa frá því að formleg úrsögn Bretlands úr Evrópusambandinu hefur tekið gildi til 31. </w:t>
      </w:r>
      <w:r w:rsidR="00191C1E">
        <w:t>desember</w:t>
      </w:r>
      <w:r>
        <w:t xml:space="preserve"> 2020.</w:t>
      </w:r>
    </w:p>
    <w:p w14:paraId="78C29FD9" w14:textId="77777777" w:rsidR="00D65612" w:rsidRDefault="00D65612" w:rsidP="00D65612">
      <w:r>
        <w:lastRenderedPageBreak/>
        <w:t xml:space="preserve">Á meðan bráðabirgðatímabilinu stendur skal við framkvæmd ákvæða í lögum, reglugerðum eða öðrum stjórnvaldsfyrirmælum sem fela í sér innleiðingu skuldbindinga sem Ísland hefur undirgengist samkvæmt samningnum um Evrópska efnahagssvæðið frá 2. maí 1992 fara með Bretland með sama hætti og önnur EES-ríki. Jafnframt skal við framkvæmd ákvæða laga, reglugerða eða annarra stjórnvaldsfyrirmæla, sem fela í sér innleiðingu skuldbindinga sem Ísland hefur undirgengist samkvæmt öðrum samningum við Evrópusambandið eða samningum sem bæði Ísland og Evrópusambandið eiga aðild að, fara með Bretland með sama hætti og fara skal með aðildarríki Evrópuambandsins skv. viðkomandi samningum. </w:t>
      </w:r>
    </w:p>
    <w:p w14:paraId="5D7B3168" w14:textId="77777777" w:rsidR="00D65612" w:rsidRDefault="00D65612" w:rsidP="00D65612">
      <w:r>
        <w:t xml:space="preserve">Breskir ríkisborgarar og lögaðilar skulu á meðan bráðabirgðatímabilinu stendur njóta sömu réttinda og skyldna og ríkisborgarar og lögaðilar frá aðildarríkjum Evrópusambandsins skv. ákvæðum þeirra laga, reglugerða eða stjórnvaldsfyrirmæla sem vísað er til í 2. mgr. </w:t>
      </w:r>
    </w:p>
    <w:p w14:paraId="3252A6B9" w14:textId="77777777" w:rsidR="00D65612" w:rsidRDefault="00D65612" w:rsidP="00C25839">
      <w:pPr>
        <w:pStyle w:val="Kaflanmer"/>
      </w:pPr>
    </w:p>
    <w:p w14:paraId="23FC2E0A" w14:textId="77777777" w:rsidR="00D65612" w:rsidRDefault="00D65612" w:rsidP="00C25839">
      <w:pPr>
        <w:pStyle w:val="Kaflanmer"/>
      </w:pPr>
    </w:p>
    <w:p w14:paraId="093F604B" w14:textId="77777777" w:rsidR="00D65612" w:rsidRDefault="00D65612" w:rsidP="00C25839">
      <w:pPr>
        <w:pStyle w:val="Kaflanmer"/>
      </w:pPr>
    </w:p>
    <w:p w14:paraId="41E3A99B" w14:textId="06F3CD7F" w:rsidR="00C25839" w:rsidRDefault="00C25839" w:rsidP="00C25839">
      <w:pPr>
        <w:pStyle w:val="Kaflanmer"/>
      </w:pPr>
      <w:r>
        <w:t>I</w:t>
      </w:r>
      <w:r w:rsidR="00D65612">
        <w:t>I</w:t>
      </w:r>
      <w:r>
        <w:t>i. kafli</w:t>
      </w:r>
    </w:p>
    <w:p w14:paraId="55EE7C25" w14:textId="77777777" w:rsidR="00C25839" w:rsidRDefault="00C25839" w:rsidP="00C25839">
      <w:pPr>
        <w:pStyle w:val="Kaflafyrirsgn"/>
      </w:pPr>
      <w:r>
        <w:t xml:space="preserve">Breytingar á </w:t>
      </w:r>
      <w:bookmarkStart w:id="4" w:name="_Hlk5713563"/>
      <w:r>
        <w:t xml:space="preserve">lögum </w:t>
      </w:r>
      <w:r w:rsidR="00DD36C5">
        <w:t xml:space="preserve">um </w:t>
      </w:r>
      <w:r>
        <w:t>útlendinga</w:t>
      </w:r>
      <w:r w:rsidR="00071A42">
        <w:t>,</w:t>
      </w:r>
      <w:r>
        <w:t xml:space="preserve"> nr. 80/2016, með síðari breytingum</w:t>
      </w:r>
      <w:bookmarkEnd w:id="4"/>
      <w:r w:rsidR="00B35848">
        <w:t>.</w:t>
      </w:r>
    </w:p>
    <w:p w14:paraId="391D734E" w14:textId="7A9E6026" w:rsidR="00C25839" w:rsidRDefault="001715B9" w:rsidP="00C25839">
      <w:pPr>
        <w:pStyle w:val="Greinarnmer"/>
      </w:pPr>
      <w:r>
        <w:t>4</w:t>
      </w:r>
      <w:r w:rsidR="00C25839">
        <w:t>. gr.</w:t>
      </w:r>
    </w:p>
    <w:p w14:paraId="30168527" w14:textId="56C98014" w:rsidR="00081087" w:rsidRPr="00081087" w:rsidRDefault="00081087" w:rsidP="00081087">
      <w:pPr>
        <w:pStyle w:val="Greinarfyrirsgn"/>
        <w:jc w:val="both"/>
        <w:rPr>
          <w:i w:val="0"/>
        </w:rPr>
      </w:pPr>
      <w:r>
        <w:rPr>
          <w:i w:val="0"/>
        </w:rPr>
        <w:tab/>
      </w:r>
      <w:r>
        <w:rPr>
          <w:i w:val="0"/>
        </w:rPr>
        <w:tab/>
      </w:r>
      <w:r w:rsidR="00BA2FFA">
        <w:rPr>
          <w:i w:val="0"/>
        </w:rPr>
        <w:t xml:space="preserve">Á eftir ákvæði til bráðabirgða II. bætast </w:t>
      </w:r>
      <w:r w:rsidR="00372F0A">
        <w:rPr>
          <w:i w:val="0"/>
        </w:rPr>
        <w:t>átta</w:t>
      </w:r>
      <w:r w:rsidR="00BA2FFA">
        <w:rPr>
          <w:i w:val="0"/>
        </w:rPr>
        <w:t xml:space="preserve"> ný ákvæði til bráðabirgða, svohljóðandi: </w:t>
      </w:r>
    </w:p>
    <w:p w14:paraId="513D96C4" w14:textId="75E2E6BE" w:rsidR="00081087" w:rsidRDefault="00081087" w:rsidP="00D262A4">
      <w:pPr>
        <w:pStyle w:val="Greinarfyrirsgn"/>
      </w:pPr>
    </w:p>
    <w:p w14:paraId="1CBB0EF2" w14:textId="670B9612" w:rsidR="00BA2FFA" w:rsidRPr="00BA2FFA" w:rsidRDefault="00BA2FFA" w:rsidP="008D20F9">
      <w:pPr>
        <w:pStyle w:val="ListParagraph"/>
        <w:numPr>
          <w:ilvl w:val="0"/>
          <w:numId w:val="23"/>
        </w:numPr>
      </w:pPr>
      <w:r>
        <w:t>(Ákvæði til bráðabirgða III).</w:t>
      </w:r>
    </w:p>
    <w:p w14:paraId="39DD4556" w14:textId="6AFEEFAC" w:rsidR="00D262A4" w:rsidRDefault="00D262A4" w:rsidP="00D262A4">
      <w:pPr>
        <w:pStyle w:val="Greinarfyrirsgn"/>
      </w:pPr>
      <w:r>
        <w:t xml:space="preserve">Réttur breskra ríkisborgara </w:t>
      </w:r>
      <w:r w:rsidR="0090184D">
        <w:t xml:space="preserve">sem skráðir eru fyrir útgöngudag </w:t>
      </w:r>
      <w:r>
        <w:t>til dvalar.</w:t>
      </w:r>
    </w:p>
    <w:p w14:paraId="78B9D173" w14:textId="77777777" w:rsidR="00D262A4" w:rsidRDefault="00D262A4" w:rsidP="00D262A4">
      <w:r>
        <w:t>Breskir ríkisborgarar sem skráð hafa dvöl sína hér á landi í samræmi við 84. gr. laga þessara skulu eiga rétt til dvalar hér á landi áfram í samræmi við 84. gr</w:t>
      </w:r>
      <w:r w:rsidR="00DD7D43">
        <w:t>.</w:t>
      </w:r>
      <w:r>
        <w:t xml:space="preserve"> eftir að Bretland hefur gengið úr Evrópusambandinu. </w:t>
      </w:r>
    </w:p>
    <w:p w14:paraId="0BA5277C" w14:textId="77777777" w:rsidR="00C25839" w:rsidRDefault="00C25839" w:rsidP="00C25839"/>
    <w:p w14:paraId="59E87984" w14:textId="221F90ED" w:rsidR="00C25839" w:rsidRDefault="00BA2FFA" w:rsidP="00191C1E">
      <w:pPr>
        <w:pStyle w:val="Greinarnmer"/>
        <w:ind w:firstLine="284"/>
        <w:jc w:val="both"/>
      </w:pPr>
      <w:r>
        <w:t>b. (Ákvæði til bráðabirgða IV).</w:t>
      </w:r>
    </w:p>
    <w:p w14:paraId="468AA301" w14:textId="77777777" w:rsidR="00D262A4" w:rsidRDefault="00D262A4" w:rsidP="00D262A4">
      <w:pPr>
        <w:pStyle w:val="Greinarfyrirsgn"/>
      </w:pPr>
      <w:r>
        <w:t xml:space="preserve">Réttur aðstandenda breskra ríkisborgara </w:t>
      </w:r>
      <w:r w:rsidR="0090184D">
        <w:t xml:space="preserve">sem skráðir eru fyrir útgöngudag </w:t>
      </w:r>
      <w:r>
        <w:t>til dvalar.</w:t>
      </w:r>
    </w:p>
    <w:p w14:paraId="4F9C4656" w14:textId="30079A02" w:rsidR="00D262A4" w:rsidRDefault="00D262A4" w:rsidP="00D262A4">
      <w:r>
        <w:t xml:space="preserve">Aðstandandi bresks ríkisborgara skv. </w:t>
      </w:r>
      <w:r w:rsidR="00BA2FFA">
        <w:t>84</w:t>
      </w:r>
      <w:r>
        <w:t xml:space="preserve">. gr. skal eiga rétt til dvalar hér á landi í samræmi við 85. og 86. gr. ef: </w:t>
      </w:r>
    </w:p>
    <w:p w14:paraId="39433D70" w14:textId="77777777" w:rsidR="00D262A4" w:rsidRDefault="00D262A4" w:rsidP="00D2541F">
      <w:pPr>
        <w:pStyle w:val="ListParagraph"/>
        <w:numPr>
          <w:ilvl w:val="0"/>
          <w:numId w:val="18"/>
        </w:numPr>
      </w:pPr>
      <w:r>
        <w:t xml:space="preserve">viðkomandi aðstandandi hefur skráð dvöl sína hér á landi skv. 85. eða 86. gr. áður en Bretland gekk úr Evrópusambandinu, </w:t>
      </w:r>
    </w:p>
    <w:p w14:paraId="6398D69D" w14:textId="2EAC0443" w:rsidR="00D262A4" w:rsidRDefault="00D262A4" w:rsidP="00D2541F">
      <w:pPr>
        <w:pStyle w:val="ListParagraph"/>
        <w:numPr>
          <w:ilvl w:val="0"/>
          <w:numId w:val="18"/>
        </w:numPr>
      </w:pPr>
      <w:r>
        <w:t xml:space="preserve">viðkomandi telst til aðstandanda skv. 2. mgr. 82. gr. og hafi ekki verið kominn til landsins fyrir útgöngudag ef hann hyggst dveljast með breskum ríkisborgara sem hefur rétt til dvalar skv. </w:t>
      </w:r>
      <w:r w:rsidR="00BA2FFA">
        <w:t>84</w:t>
      </w:r>
      <w:r>
        <w:t xml:space="preserve">. gr. hér á landi, enda hafi fjölskyldutengsl orðið til fyrir útgöngudag eða </w:t>
      </w:r>
    </w:p>
    <w:p w14:paraId="796E3892" w14:textId="182C4766" w:rsidR="00D262A4" w:rsidRDefault="00D262A4" w:rsidP="00D2541F">
      <w:pPr>
        <w:pStyle w:val="ListParagraph"/>
        <w:numPr>
          <w:ilvl w:val="0"/>
          <w:numId w:val="18"/>
        </w:numPr>
      </w:pPr>
      <w:r>
        <w:t xml:space="preserve">viðkomandi er barn bresks ríkisborgara skv. </w:t>
      </w:r>
      <w:r w:rsidR="00BA2FFA">
        <w:t>84</w:t>
      </w:r>
      <w:r>
        <w:t>. gr., fæðist eftir útgöngudag, fullnægir skilyrðum 2. mgr. 82. gr</w:t>
      </w:r>
      <w:r w:rsidR="00DD7D43">
        <w:t>.</w:t>
      </w:r>
      <w:r>
        <w:t xml:space="preserve"> og: </w:t>
      </w:r>
    </w:p>
    <w:p w14:paraId="147D3CB1" w14:textId="75BBCB59" w:rsidR="004D741A" w:rsidRPr="004D741A" w:rsidRDefault="004D741A" w:rsidP="00D2541F">
      <w:pPr>
        <w:pStyle w:val="ListParagraph"/>
        <w:numPr>
          <w:ilvl w:val="3"/>
          <w:numId w:val="22"/>
        </w:numPr>
        <w:ind w:left="709" w:hanging="142"/>
      </w:pPr>
      <w:r w:rsidRPr="004D741A">
        <w:t xml:space="preserve">báðir foreldrar barnsins hafa rétt skv. </w:t>
      </w:r>
      <w:r w:rsidR="00BA2FFA">
        <w:t>84</w:t>
      </w:r>
      <w:r w:rsidRPr="004D741A">
        <w:t xml:space="preserve">. gr., </w:t>
      </w:r>
    </w:p>
    <w:p w14:paraId="238E0B53" w14:textId="4075177C" w:rsidR="004D741A" w:rsidRPr="004D741A" w:rsidRDefault="004D741A" w:rsidP="00D2541F">
      <w:pPr>
        <w:pStyle w:val="ListParagraph"/>
        <w:numPr>
          <w:ilvl w:val="1"/>
          <w:numId w:val="22"/>
        </w:numPr>
      </w:pPr>
      <w:r w:rsidRPr="004D741A">
        <w:t xml:space="preserve">annað foreldri hefur rétt skv. </w:t>
      </w:r>
      <w:r w:rsidR="00BA2FFA">
        <w:t>84</w:t>
      </w:r>
      <w:r w:rsidRPr="004D741A">
        <w:t xml:space="preserve">. gr. og hitt foreldrið er íslenskur ríkisborgari eða </w:t>
      </w:r>
    </w:p>
    <w:p w14:paraId="1B552B66" w14:textId="6712B727" w:rsidR="00C25839" w:rsidRPr="004D741A" w:rsidRDefault="004D741A" w:rsidP="00D2541F">
      <w:pPr>
        <w:pStyle w:val="ListParagraph"/>
        <w:numPr>
          <w:ilvl w:val="1"/>
          <w:numId w:val="22"/>
        </w:numPr>
      </w:pPr>
      <w:r w:rsidRPr="004D741A">
        <w:t xml:space="preserve">annað foreldri hefur rétt skv. </w:t>
      </w:r>
      <w:r w:rsidR="00BA2FFA">
        <w:t>84</w:t>
      </w:r>
      <w:r w:rsidRPr="004D741A">
        <w:t>. gr. og fer eitt með forsjá barnsins eða sameiginlega forsjá yfir barninu í samræmi við landslög.</w:t>
      </w:r>
    </w:p>
    <w:p w14:paraId="2D6E9D08" w14:textId="77777777" w:rsidR="004D741A" w:rsidRDefault="004D741A" w:rsidP="004D741A">
      <w:pPr>
        <w:ind w:firstLine="0"/>
      </w:pPr>
    </w:p>
    <w:p w14:paraId="22F28CEC" w14:textId="6162E217" w:rsidR="00BA2FFA" w:rsidRDefault="00BA2FFA" w:rsidP="008D20F9">
      <w:pPr>
        <w:pStyle w:val="Greinarnmer"/>
        <w:ind w:firstLine="284"/>
        <w:jc w:val="both"/>
      </w:pPr>
      <w:r>
        <w:t>c. (Ákvæði til bráðabirgða V).</w:t>
      </w:r>
    </w:p>
    <w:p w14:paraId="7A785877" w14:textId="77777777" w:rsidR="00B35848" w:rsidRDefault="00D262A4" w:rsidP="00D262A4">
      <w:pPr>
        <w:pStyle w:val="Greinarfyrirsgn"/>
      </w:pPr>
      <w:r>
        <w:t xml:space="preserve">Réttur breskra ríkisborgara og aðstandenda þeirra </w:t>
      </w:r>
    </w:p>
    <w:p w14:paraId="75E6C94F" w14:textId="77777777" w:rsidR="00D262A4" w:rsidRDefault="00D262A4" w:rsidP="00D262A4">
      <w:pPr>
        <w:pStyle w:val="Greinarfyrirsgn"/>
      </w:pPr>
      <w:r>
        <w:t>sem skráðir eru fyrir útgöngudag til ótímabundinnar dvalar.</w:t>
      </w:r>
    </w:p>
    <w:p w14:paraId="31C5D41C" w14:textId="77777777" w:rsidR="00D262A4" w:rsidRDefault="00D262A4" w:rsidP="00D262A4">
      <w:r>
        <w:lastRenderedPageBreak/>
        <w:t>Breskir ríkisborgarar og aðstandendur þeirra sem skráð hafa dvöl sína skv. 84., 85., og 86.</w:t>
      </w:r>
      <w:r w:rsidR="004D741A">
        <w:t> </w:t>
      </w:r>
      <w:r>
        <w:t>gr. áður en Bretland gengur úr Evrópusambandinu skulu öðlast rétt til ótíma</w:t>
      </w:r>
      <w:r w:rsidR="004D741A">
        <w:softHyphen/>
      </w:r>
      <w:r>
        <w:t>bund</w:t>
      </w:r>
      <w:r w:rsidR="004D741A">
        <w:softHyphen/>
      </w:r>
      <w:r>
        <w:t>innar dvalar hér á landi í samræmi við ákvæði 87. og 88. gr</w:t>
      </w:r>
      <w:r w:rsidR="00DD7D43">
        <w:t>.</w:t>
      </w:r>
    </w:p>
    <w:p w14:paraId="0D670C1E" w14:textId="77777777" w:rsidR="00D262A4" w:rsidRDefault="00D262A4" w:rsidP="00D262A4">
      <w:r w:rsidRPr="00BF6264">
        <w:t xml:space="preserve">Réttur </w:t>
      </w:r>
      <w:r>
        <w:t>breskra ríkisborgara</w:t>
      </w:r>
      <w:r w:rsidRPr="00BF6264">
        <w:t xml:space="preserve"> og aðstandenda þeirra sem öðlast hafa rétt til ótímabundinnar dvalar skv. 87. gr. og 88. gr. fellur niður þegar viðkomandi hefur dvalist utan landsins í fimm ár samfellt.</w:t>
      </w:r>
    </w:p>
    <w:p w14:paraId="45489B7D" w14:textId="77777777" w:rsidR="00C25839" w:rsidRDefault="00C25839" w:rsidP="00C25839">
      <w:pPr>
        <w:pStyle w:val="Greinarnmer"/>
      </w:pPr>
    </w:p>
    <w:p w14:paraId="6C3C2451" w14:textId="77777777" w:rsidR="00191C1E" w:rsidRDefault="00372F0A" w:rsidP="00191C1E">
      <w:pPr>
        <w:pStyle w:val="Greinarfyrirsgn"/>
        <w:ind w:firstLine="284"/>
        <w:jc w:val="both"/>
      </w:pPr>
      <w:r w:rsidRPr="00191C1E">
        <w:rPr>
          <w:i w:val="0"/>
        </w:rPr>
        <w:t>d. (Á</w:t>
      </w:r>
      <w:r w:rsidR="005C19D9" w:rsidRPr="00191C1E">
        <w:rPr>
          <w:i w:val="0"/>
        </w:rPr>
        <w:t>kvæði til bráðabirga VI</w:t>
      </w:r>
      <w:r w:rsidR="005C19D9">
        <w:t>)</w:t>
      </w:r>
    </w:p>
    <w:p w14:paraId="48AB991D" w14:textId="122D3AF9" w:rsidR="00D262A4" w:rsidRDefault="00D262A4" w:rsidP="00D262A4">
      <w:pPr>
        <w:pStyle w:val="Greinarfyrirsgn"/>
      </w:pPr>
      <w:r>
        <w:t>Brottvísun breskra ríkisborgara vegna vegna háttsemi fyrir útgöngu.</w:t>
      </w:r>
    </w:p>
    <w:p w14:paraId="7A1DD6F5" w14:textId="77777777" w:rsidR="00D262A4" w:rsidRDefault="00D262A4" w:rsidP="00D262A4">
      <w:r>
        <w:t xml:space="preserve">Heimilt er að vísa breskum ríkisborgara og aðstandanda hans úr landi samkvæmt 95. gr. vegna háttsemi sem átti sér stað fyrir útgöngu Bretlands úr Evrópusambandinu. </w:t>
      </w:r>
    </w:p>
    <w:p w14:paraId="65CC64A5" w14:textId="77777777" w:rsidR="00C25839" w:rsidRDefault="00C25839" w:rsidP="00D2541F">
      <w:pPr>
        <w:pStyle w:val="Greinarnmer"/>
        <w:jc w:val="both"/>
      </w:pPr>
    </w:p>
    <w:p w14:paraId="6CBECF71" w14:textId="77777777" w:rsidR="00191C1E" w:rsidRPr="00191C1E" w:rsidRDefault="00BA2FFA" w:rsidP="00191C1E">
      <w:pPr>
        <w:pStyle w:val="Greinarfyrirsgn"/>
        <w:ind w:firstLine="284"/>
        <w:jc w:val="both"/>
        <w:rPr>
          <w:i w:val="0"/>
        </w:rPr>
      </w:pPr>
      <w:r w:rsidRPr="00191C1E">
        <w:rPr>
          <w:i w:val="0"/>
        </w:rPr>
        <w:t>e. (Ákvæði til bráðabirgða VIII).</w:t>
      </w:r>
    </w:p>
    <w:p w14:paraId="7EAC0A63" w14:textId="3103757B" w:rsidR="00D262A4" w:rsidRDefault="00D262A4" w:rsidP="00D262A4">
      <w:pPr>
        <w:pStyle w:val="Greinarfyrirsgn"/>
      </w:pPr>
      <w:r>
        <w:t>Endurkomubann breskra ríkisborgara vegna háttsemi fyrir útgöngu.</w:t>
      </w:r>
    </w:p>
    <w:p w14:paraId="291784C2" w14:textId="19BBBA19" w:rsidR="00C25839" w:rsidRDefault="00D262A4">
      <w:r>
        <w:t>Brottvísun skv. 5. gr. felur í sér bann við endurkomu síðar samkvæmt ákvæðum 9</w:t>
      </w:r>
      <w:r w:rsidR="00027682">
        <w:t>5</w:t>
      </w:r>
      <w:r>
        <w:t xml:space="preserve">. gr. við ákvörðun endurkomubanns. </w:t>
      </w:r>
    </w:p>
    <w:p w14:paraId="064CC5A5" w14:textId="77777777" w:rsidR="00C25839" w:rsidRDefault="00C25839" w:rsidP="00C25839">
      <w:pPr>
        <w:pStyle w:val="Greinarnmer"/>
      </w:pPr>
    </w:p>
    <w:p w14:paraId="23593553" w14:textId="1FCA370B" w:rsidR="00BA2FFA" w:rsidRDefault="00BA2FFA" w:rsidP="00372F0A">
      <w:pPr>
        <w:pStyle w:val="Greinarnmer"/>
        <w:ind w:firstLine="284"/>
        <w:jc w:val="both"/>
      </w:pPr>
      <w:r>
        <w:t>f. (Ákvæði til bráðabirgða IX).</w:t>
      </w:r>
    </w:p>
    <w:p w14:paraId="21503866" w14:textId="77777777" w:rsidR="00B35848" w:rsidRDefault="00D262A4" w:rsidP="00D262A4">
      <w:pPr>
        <w:pStyle w:val="Greinarfyrirsgn"/>
      </w:pPr>
      <w:bookmarkStart w:id="5" w:name="_Hlk4668769"/>
      <w:r>
        <w:t xml:space="preserve">Brottvísun breskra ríkisborgara og aðstandanda þeirra </w:t>
      </w:r>
    </w:p>
    <w:p w14:paraId="1D905D00" w14:textId="77777777" w:rsidR="00D262A4" w:rsidRDefault="00D262A4" w:rsidP="00D262A4">
      <w:pPr>
        <w:pStyle w:val="Greinarfyrirsgn"/>
      </w:pPr>
      <w:r>
        <w:t>með rétt til dvalar vegna háttsemi eftir útgöngu.</w:t>
      </w:r>
    </w:p>
    <w:p w14:paraId="464C8877" w14:textId="1142DF5C" w:rsidR="00D262A4" w:rsidRDefault="00027682" w:rsidP="00D262A4">
      <w:r w:rsidRPr="00DA73FA">
        <w:t>Heimilt er að vísa úr landi skv. 99. gr. breskum ríkisborgurum og aðstandendum þeirra, sem rétt hafa til dvalar hér á landi í samræmi við 84., 85. og 86. gr., fyrir háttsemi sem átti sér stað eftir að Bretland gekk úr Evrópusambandinu hafi viðkomandi verið búsettur hér á landi skemur en í þrjú ár. Slík ákvörðun skal hafa sömu réttaráhrif og brottvísun útlendings sem hefur dvalarleyfi.</w:t>
      </w:r>
      <w:r>
        <w:t>”</w:t>
      </w:r>
      <w:r w:rsidR="00D262A4">
        <w:t xml:space="preserve">. </w:t>
      </w:r>
    </w:p>
    <w:bookmarkEnd w:id="5"/>
    <w:p w14:paraId="011C114E" w14:textId="77777777" w:rsidR="00C25839" w:rsidRDefault="00C25839" w:rsidP="00C25839">
      <w:pPr>
        <w:pStyle w:val="Greinarnmer"/>
      </w:pPr>
    </w:p>
    <w:p w14:paraId="012D974C" w14:textId="2BAE76F1" w:rsidR="00BA2FFA" w:rsidRDefault="00BA2FFA" w:rsidP="008D20F9">
      <w:pPr>
        <w:pStyle w:val="Greinarnmer"/>
        <w:ind w:firstLine="284"/>
        <w:jc w:val="both"/>
      </w:pPr>
      <w:r>
        <w:t>g. (Ákvæði til bráðabirgða X).</w:t>
      </w:r>
    </w:p>
    <w:p w14:paraId="572B1A6D" w14:textId="77777777" w:rsidR="00B35848" w:rsidRDefault="00D262A4" w:rsidP="00D262A4">
      <w:pPr>
        <w:pStyle w:val="Greinarfyrirsgn"/>
      </w:pPr>
      <w:r>
        <w:t xml:space="preserve">Brottvísun breskra ríkisborgara og aðstandanda þeirra </w:t>
      </w:r>
    </w:p>
    <w:p w14:paraId="2BA1AAD7" w14:textId="77777777" w:rsidR="00D262A4" w:rsidRDefault="00D262A4" w:rsidP="00D262A4">
      <w:pPr>
        <w:pStyle w:val="Greinarfyrirsgn"/>
      </w:pPr>
      <w:r>
        <w:t>með ótímabund</w:t>
      </w:r>
      <w:r w:rsidR="0090184D">
        <w:t>inn</w:t>
      </w:r>
      <w:r>
        <w:t xml:space="preserve"> rétt til dvalar vegna háttsemi eftir útgöngu. </w:t>
      </w:r>
    </w:p>
    <w:p w14:paraId="7423D72A" w14:textId="76EBADAC" w:rsidR="00C25839" w:rsidRDefault="00027682" w:rsidP="004D741A">
      <w:r w:rsidRPr="00DA73FA">
        <w:t xml:space="preserve">Heimilt er að vísa úr landi skv. 100. gr. </w:t>
      </w:r>
      <w:r>
        <w:t xml:space="preserve">breskum ríkisborgurum </w:t>
      </w:r>
      <w:r w:rsidRPr="00DA73FA">
        <w:t>og aðstandendum þeirra, sem rétt hafa til dvalar hér á landi í samræmi við 84., 85., 86., 87. eða 88. gr., fyrir háttsemi sem átti sér stað eftir að Bretland gekk úr Evrópusambandinu hafi viðkomandi verið búsettur hér á landi lengur en í þrjú ár. Slík ákvörðun skal hafa sömu réttaráhrif og brottvísun útlendings sem hefur ótímabundið dvalarleyfi</w:t>
      </w:r>
    </w:p>
    <w:p w14:paraId="1E025707" w14:textId="77777777" w:rsidR="00C25839" w:rsidRDefault="00C25839" w:rsidP="00C25839">
      <w:pPr>
        <w:pStyle w:val="Greinarnmer"/>
      </w:pPr>
    </w:p>
    <w:p w14:paraId="7A46F238" w14:textId="34424300" w:rsidR="00BA2FFA" w:rsidRDefault="00BA2FFA" w:rsidP="008D20F9">
      <w:pPr>
        <w:pStyle w:val="Greinarnmer"/>
        <w:ind w:firstLine="284"/>
        <w:jc w:val="both"/>
      </w:pPr>
      <w:r>
        <w:t>h. (Ákvæði til bráðabirgða XI).</w:t>
      </w:r>
    </w:p>
    <w:p w14:paraId="2EBFC7EB" w14:textId="77777777" w:rsidR="00D262A4" w:rsidRDefault="00D262A4" w:rsidP="00D262A4">
      <w:pPr>
        <w:pStyle w:val="Greinarfyrirsgn"/>
      </w:pPr>
      <w:r>
        <w:t>Ú</w:t>
      </w:r>
      <w:r w:rsidR="0090184D">
        <w:t>t</w:t>
      </w:r>
      <w:r>
        <w:t>gáfa dvalarskírteinis fyrir breska ríkisborgara.</w:t>
      </w:r>
    </w:p>
    <w:p w14:paraId="0E654C07" w14:textId="5EFACAE4" w:rsidR="00D262A4" w:rsidRDefault="00D262A4" w:rsidP="00D262A4">
      <w:r>
        <w:t xml:space="preserve">Breskir ríkisborgarar sem hafa rétt til dvalar samkvæmt 84. gr. </w:t>
      </w:r>
      <w:r w:rsidR="00027682">
        <w:t xml:space="preserve">og 87. gr. </w:t>
      </w:r>
      <w:r>
        <w:t>skulu fá útgefin dvalar</w:t>
      </w:r>
      <w:r w:rsidR="00C73AAF">
        <w:softHyphen/>
      </w:r>
      <w:r>
        <w:t xml:space="preserve">skírteini í samræmi við 90. gr. </w:t>
      </w:r>
    </w:p>
    <w:p w14:paraId="5F227139" w14:textId="77777777" w:rsidR="000E36A4" w:rsidRDefault="000E36A4" w:rsidP="000E36A4">
      <w:r>
        <w:t xml:space="preserve">Ráðherra er heimilt að setja í reglugerð nánari fyrirmæli samkvæmt þessu ákvæði, þar á meðal um gjald sem heimilt er að taka fyrir útgáfu þeirra. </w:t>
      </w:r>
    </w:p>
    <w:p w14:paraId="3B7B8085" w14:textId="77777777" w:rsidR="00C25839" w:rsidRDefault="00C25839" w:rsidP="00D2541F">
      <w:pPr>
        <w:ind w:firstLine="0"/>
      </w:pPr>
    </w:p>
    <w:p w14:paraId="0BFE4DEE" w14:textId="28DB8532" w:rsidR="00C25839" w:rsidRDefault="00C25839" w:rsidP="00C25839">
      <w:pPr>
        <w:pStyle w:val="Kaflanmer"/>
      </w:pPr>
      <w:bookmarkStart w:id="6" w:name="_Hlk2085713"/>
      <w:r>
        <w:t>I</w:t>
      </w:r>
      <w:r w:rsidR="00D65612">
        <w:t>V</w:t>
      </w:r>
      <w:r>
        <w:t>. kafli</w:t>
      </w:r>
    </w:p>
    <w:p w14:paraId="36004E3F" w14:textId="77777777" w:rsidR="00C25839" w:rsidRDefault="00C25839" w:rsidP="00C25839">
      <w:pPr>
        <w:pStyle w:val="Kaflafyrirsgn"/>
      </w:pPr>
      <w:r>
        <w:t>Breytingar á lögum um atvinnuréttindi útlendinga</w:t>
      </w:r>
      <w:r w:rsidR="00071A42">
        <w:t>,</w:t>
      </w:r>
      <w:r>
        <w:t xml:space="preserve"> nr. 97/200</w:t>
      </w:r>
      <w:r w:rsidR="00C73AAF">
        <w:t>2</w:t>
      </w:r>
      <w:r>
        <w:t>, með síðari breytingum</w:t>
      </w:r>
      <w:r w:rsidR="00B35848">
        <w:t>.</w:t>
      </w:r>
    </w:p>
    <w:p w14:paraId="44C695DC" w14:textId="08919E84" w:rsidR="00C25839" w:rsidRPr="00C25839" w:rsidRDefault="001715B9" w:rsidP="00C25839">
      <w:pPr>
        <w:pStyle w:val="Greinarnmer"/>
      </w:pPr>
      <w:r>
        <w:t>5</w:t>
      </w:r>
      <w:r w:rsidR="00C25839" w:rsidRPr="00C25839">
        <w:t>. gr.</w:t>
      </w:r>
    </w:p>
    <w:p w14:paraId="117003FF" w14:textId="77777777" w:rsidR="006239A9" w:rsidRPr="009661F7" w:rsidRDefault="006239A9" w:rsidP="006239A9">
      <w:r w:rsidRPr="009661F7">
        <w:t>Við lögin bætist nýtt ákvæði til bráðabirgða, svohljóðandi:</w:t>
      </w:r>
    </w:p>
    <w:p w14:paraId="115616C5" w14:textId="77777777" w:rsidR="006239A9" w:rsidRPr="009661F7" w:rsidRDefault="006239A9" w:rsidP="006239A9">
      <w:r w:rsidRPr="009661F7">
        <w:lastRenderedPageBreak/>
        <w:t>Ríkisborgarar Bretlands eru undanþegnir kröfu um atvinnuleyfi, enda sé þeim heimilt að dvelja hér á landi á grundvelli ákvæðis til bráðabirgða III við lög um útlendinga</w:t>
      </w:r>
      <w:r w:rsidR="009D66AA">
        <w:t>,</w:t>
      </w:r>
      <w:r w:rsidRPr="009661F7">
        <w:t xml:space="preserve"> nr. 80/2016, með síðari breytingum.</w:t>
      </w:r>
    </w:p>
    <w:p w14:paraId="2EB441D5" w14:textId="77777777" w:rsidR="006239A9" w:rsidRDefault="006239A9" w:rsidP="006239A9">
      <w:r w:rsidRPr="009661F7">
        <w:t>Aðstandendur ríkisborgara Bretlands eru undanþegnir kröfu um atvinnuleyfi, enda sé þeim heimilt að dvelja hér á landi á grundvelli ákvæðis til bráðabirgða IV við lög um útlendinga</w:t>
      </w:r>
      <w:r w:rsidR="009D66AA">
        <w:t>,</w:t>
      </w:r>
      <w:r w:rsidRPr="009661F7">
        <w:t xml:space="preserve"> nr. 80/2016, með síðari breytingum.</w:t>
      </w:r>
    </w:p>
    <w:p w14:paraId="544E600B" w14:textId="77777777" w:rsidR="006239A9" w:rsidRDefault="006239A9" w:rsidP="006239A9"/>
    <w:bookmarkEnd w:id="6"/>
    <w:p w14:paraId="5DC773C4" w14:textId="5725743B" w:rsidR="00A33101" w:rsidRDefault="00A33101" w:rsidP="00A33101">
      <w:pPr>
        <w:pStyle w:val="Kaflanmer"/>
      </w:pPr>
      <w:r>
        <w:t>V. kafli</w:t>
      </w:r>
    </w:p>
    <w:p w14:paraId="47B10403" w14:textId="77777777" w:rsidR="00A33101" w:rsidRDefault="00A33101" w:rsidP="00A33101">
      <w:pPr>
        <w:pStyle w:val="Kaflafyrirsgn"/>
      </w:pPr>
      <w:r>
        <w:t>Breytingar á lögum um lögheimili og aðsetur</w:t>
      </w:r>
      <w:r w:rsidR="00071A42">
        <w:t>,</w:t>
      </w:r>
      <w:r>
        <w:t xml:space="preserve"> nr. </w:t>
      </w:r>
      <w:r w:rsidR="00C73AAF">
        <w:t>8</w:t>
      </w:r>
      <w:r>
        <w:t>0/2018, með síðari breytingum.</w:t>
      </w:r>
    </w:p>
    <w:p w14:paraId="6CF3D0D0" w14:textId="52E8E7DB" w:rsidR="00A33101" w:rsidRPr="00A33101" w:rsidRDefault="001715B9" w:rsidP="00A33101">
      <w:pPr>
        <w:pStyle w:val="Greinarfyrirsgn"/>
        <w:rPr>
          <w:i w:val="0"/>
        </w:rPr>
      </w:pPr>
      <w:bookmarkStart w:id="7" w:name="_Hlk2587897"/>
      <w:r>
        <w:rPr>
          <w:i w:val="0"/>
        </w:rPr>
        <w:t>6</w:t>
      </w:r>
      <w:r w:rsidR="0030284F">
        <w:rPr>
          <w:i w:val="0"/>
        </w:rPr>
        <w:t>.</w:t>
      </w:r>
      <w:r w:rsidR="00A33101" w:rsidRPr="00A33101">
        <w:rPr>
          <w:i w:val="0"/>
        </w:rPr>
        <w:t xml:space="preserve"> gr.</w:t>
      </w:r>
    </w:p>
    <w:p w14:paraId="609EA0B7" w14:textId="77777777" w:rsidR="0047386A" w:rsidRDefault="0047386A" w:rsidP="0047386A">
      <w:r>
        <w:t>Við lögin bætist nýtt ákvæði til bráðabirgða, svohljóðandi:</w:t>
      </w:r>
    </w:p>
    <w:p w14:paraId="40886EB6" w14:textId="59EC1083" w:rsidR="0047386A" w:rsidRDefault="0047386A" w:rsidP="0047386A">
      <w:bookmarkStart w:id="8" w:name="_Hlk3792334"/>
      <w:r w:rsidRPr="001A6435">
        <w:t>Ríkisborgarar Bretlands og aðstandendur þeirra sem koma hér til dvalar er heimilt að dvelja hér allt að 3 mánuði án skráningar eftir að aðild Bretlands úr Evrópusambandinu og Evrópska efna</w:t>
      </w:r>
      <w:r w:rsidR="004D741A">
        <w:softHyphen/>
      </w:r>
      <w:r w:rsidRPr="001A6435">
        <w:t>hagssvæðinu</w:t>
      </w:r>
      <w:r w:rsidR="00FA745D">
        <w:t xml:space="preserve"> lauk</w:t>
      </w:r>
      <w:r w:rsidRPr="001A6435">
        <w:t>, enda geta þeir sýnt fram á að þeir hafi komið til landsins áður en framan</w:t>
      </w:r>
      <w:r w:rsidR="004D741A">
        <w:softHyphen/>
      </w:r>
      <w:r w:rsidRPr="001A6435">
        <w:t xml:space="preserve">greindu tímabili </w:t>
      </w:r>
      <w:r w:rsidR="00FA745D">
        <w:t xml:space="preserve">lauk </w:t>
      </w:r>
      <w:r w:rsidRPr="001A6435">
        <w:t xml:space="preserve">eða fyrir útgöngu Bretlands úr Evrópusambandinu, hvort sem </w:t>
      </w:r>
      <w:r w:rsidR="00FA745D">
        <w:t>kom</w:t>
      </w:r>
      <w:r w:rsidR="00FA745D" w:rsidRPr="001A6435">
        <w:t xml:space="preserve"> </w:t>
      </w:r>
      <w:r w:rsidRPr="001A6435">
        <w:t>fyrr. Sé sýnt fram á að dvöl sé vegna atvinnuleitar er ríkisborgurum Bretlands og að</w:t>
      </w:r>
      <w:r w:rsidR="004D741A">
        <w:softHyphen/>
      </w:r>
      <w:r w:rsidRPr="001A6435">
        <w:t>stand</w:t>
      </w:r>
      <w:r w:rsidR="004D741A">
        <w:softHyphen/>
      </w:r>
      <w:r w:rsidRPr="001A6435">
        <w:t>endum þeirra heimilt að dvelja hér á landi í allt að 6 mánuði án skráningar eftir að bráða</w:t>
      </w:r>
      <w:r w:rsidR="004D741A">
        <w:softHyphen/>
      </w:r>
      <w:r w:rsidRPr="001A6435">
        <w:t>birgðatímabili samkvæmt samningi lýkur, get</w:t>
      </w:r>
      <w:r w:rsidR="002419DD">
        <w:t>i</w:t>
      </w:r>
      <w:r w:rsidRPr="001A6435">
        <w:t xml:space="preserve"> þeir sýnt fram á að þeir hafi komið til landsins áður en framangreindu tímabili </w:t>
      </w:r>
      <w:r w:rsidR="00FA745D">
        <w:t>lauk</w:t>
      </w:r>
      <w:r w:rsidR="00FA745D" w:rsidRPr="001A6435">
        <w:t xml:space="preserve"> </w:t>
      </w:r>
      <w:r w:rsidRPr="001A6435">
        <w:t>eða</w:t>
      </w:r>
      <w:r>
        <w:t xml:space="preserve"> fyrir útgöngu Bretlands úr Evrópusambandinu hvort sem </w:t>
      </w:r>
      <w:r w:rsidR="00FA745D">
        <w:t xml:space="preserve">kom </w:t>
      </w:r>
      <w:r>
        <w:t>fyrr.</w:t>
      </w:r>
    </w:p>
    <w:bookmarkEnd w:id="8"/>
    <w:p w14:paraId="4D0C1AFA" w14:textId="77777777" w:rsidR="00A33101" w:rsidRDefault="00A33101" w:rsidP="00A33101"/>
    <w:bookmarkEnd w:id="7"/>
    <w:p w14:paraId="6473C102" w14:textId="015E080B" w:rsidR="0047386A" w:rsidRDefault="0047386A" w:rsidP="0047386A">
      <w:pPr>
        <w:pStyle w:val="Kaflanmer"/>
      </w:pPr>
      <w:r>
        <w:t>V</w:t>
      </w:r>
      <w:r w:rsidR="00D65612">
        <w:t>I</w:t>
      </w:r>
      <w:r>
        <w:t>. kafli</w:t>
      </w:r>
    </w:p>
    <w:p w14:paraId="47C061E9" w14:textId="77777777" w:rsidR="0047386A" w:rsidRDefault="0047386A" w:rsidP="0047386A">
      <w:pPr>
        <w:pStyle w:val="Kaflafyrirsgn"/>
      </w:pPr>
      <w:r>
        <w:t>Breytingar á lögum um verðbréfaviðskipti, nr. 108/2007, með síðari breytingum.</w:t>
      </w:r>
    </w:p>
    <w:p w14:paraId="3A790EF9" w14:textId="1DF7C841" w:rsidR="0047386A" w:rsidRDefault="001715B9" w:rsidP="0047386A">
      <w:pPr>
        <w:pStyle w:val="Greinarnmer"/>
      </w:pPr>
      <w:r>
        <w:t>7</w:t>
      </w:r>
      <w:r w:rsidR="0047386A">
        <w:t>. gr.</w:t>
      </w:r>
    </w:p>
    <w:p w14:paraId="51402C70" w14:textId="77777777" w:rsidR="0047386A" w:rsidRDefault="0047386A" w:rsidP="0047386A">
      <w:r>
        <w:t>Eftirfarandi breytingar verða á 42. gr. laganna:</w:t>
      </w:r>
    </w:p>
    <w:p w14:paraId="25F5B78E" w14:textId="77777777" w:rsidR="0047386A" w:rsidRDefault="0047386A" w:rsidP="0047386A">
      <w:pPr>
        <w:pStyle w:val="ListParagraph"/>
        <w:numPr>
          <w:ilvl w:val="0"/>
          <w:numId w:val="17"/>
        </w:numPr>
      </w:pPr>
      <w:r>
        <w:t>Í stað orðanna ,,eða seðlabönkum ríkjanna“ í 2. tölul. 2. mgr. kemur: seðlabönkum ríkjanna, Englandsbanka eða Lánasýslu Bretlands.</w:t>
      </w:r>
    </w:p>
    <w:p w14:paraId="5E8F8785" w14:textId="77777777" w:rsidR="0047386A" w:rsidRDefault="0047386A" w:rsidP="0047386A">
      <w:pPr>
        <w:pStyle w:val="ListParagraph"/>
        <w:numPr>
          <w:ilvl w:val="0"/>
          <w:numId w:val="17"/>
        </w:numPr>
      </w:pPr>
      <w:r>
        <w:t xml:space="preserve">Við 3. tölul. </w:t>
      </w:r>
      <w:r w:rsidR="002419DD">
        <w:t xml:space="preserve">2. mgr. </w:t>
      </w:r>
      <w:r>
        <w:t>bætist: Englandsbanka og Lánasýslu Bretlands.</w:t>
      </w:r>
    </w:p>
    <w:p w14:paraId="434ED75A" w14:textId="77777777" w:rsidR="0047386A" w:rsidRPr="00B95299" w:rsidRDefault="0047386A" w:rsidP="0047386A"/>
    <w:p w14:paraId="42A86FF6" w14:textId="45CA3A5B" w:rsidR="0047386A" w:rsidRDefault="001715B9" w:rsidP="0047386A">
      <w:pPr>
        <w:pStyle w:val="Greinarnmer"/>
      </w:pPr>
      <w:r>
        <w:t>8</w:t>
      </w:r>
      <w:r w:rsidR="0047386A">
        <w:t>. gr.</w:t>
      </w:r>
    </w:p>
    <w:p w14:paraId="52DC0928" w14:textId="77777777" w:rsidR="0047386A" w:rsidRDefault="0047386A" w:rsidP="0047386A">
      <w:r>
        <w:t>Við 1. mgr. 56. gr., 3. mgr. 88. gr. og 2. tölul. 3. mgr. 115. gr.</w:t>
      </w:r>
      <w:r w:rsidR="0030284F">
        <w:t xml:space="preserve"> </w:t>
      </w:r>
      <w:r>
        <w:t>laganna bætist nýr málsliður, svohljóðandi: Sama á við um Englandsbanka og Lánasýslu Bretlands.</w:t>
      </w:r>
    </w:p>
    <w:p w14:paraId="5E5826BC" w14:textId="77777777" w:rsidR="0047386A" w:rsidRDefault="0047386A" w:rsidP="0047386A">
      <w:pPr>
        <w:pStyle w:val="Greinarnmer"/>
      </w:pPr>
    </w:p>
    <w:p w14:paraId="76D2E704" w14:textId="7A2D9F9A" w:rsidR="0047386A" w:rsidRDefault="001715B9" w:rsidP="0047386A">
      <w:pPr>
        <w:pStyle w:val="Greinarnmer"/>
      </w:pPr>
      <w:r>
        <w:t>9</w:t>
      </w:r>
      <w:r w:rsidR="0047386A">
        <w:t>. gr.</w:t>
      </w:r>
    </w:p>
    <w:p w14:paraId="13F573CD" w14:textId="77777777" w:rsidR="009D66AA" w:rsidRDefault="0047386A" w:rsidP="0047386A">
      <w:r>
        <w:t xml:space="preserve">4. mgr. 123. gr. laganna orðast svo: </w:t>
      </w:r>
    </w:p>
    <w:p w14:paraId="4A682FF3" w14:textId="77777777" w:rsidR="0047386A" w:rsidRDefault="0047386A" w:rsidP="0047386A">
      <w:r w:rsidRPr="006F16F6">
        <w:t>Ákvæði 1. mgr. á ekki við um viðskipti ríkja eða seðla</w:t>
      </w:r>
      <w:r w:rsidR="006D47C9">
        <w:softHyphen/>
      </w:r>
      <w:r w:rsidRPr="006F16F6">
        <w:t>banka innan Evrópska efna</w:t>
      </w:r>
      <w:r w:rsidR="002419DD">
        <w:softHyphen/>
      </w:r>
      <w:r w:rsidRPr="006F16F6">
        <w:t>hags</w:t>
      </w:r>
      <w:r w:rsidR="002419DD">
        <w:softHyphen/>
      </w:r>
      <w:r w:rsidRPr="006F16F6">
        <w:t xml:space="preserve">svæðisins eða aðila sem annast viðskipti fyrir þeirra hönd, enda séu viðskiptin liður í stefnu þessara aðila í peningamálum, gengismálum eða lánasýslu. </w:t>
      </w:r>
      <w:r>
        <w:t>S</w:t>
      </w:r>
      <w:r w:rsidRPr="006F16F6">
        <w:t xml:space="preserve">ama á við um viðskipti Englandsbanka og </w:t>
      </w:r>
      <w:r>
        <w:t>Lánasýslu Bretlands</w:t>
      </w:r>
      <w:r w:rsidRPr="006F16F6">
        <w:t>.</w:t>
      </w:r>
    </w:p>
    <w:p w14:paraId="1A046B20" w14:textId="30571497" w:rsidR="00C25839" w:rsidRDefault="00C25839" w:rsidP="00D2541F">
      <w:pPr>
        <w:ind w:firstLine="0"/>
      </w:pPr>
    </w:p>
    <w:p w14:paraId="2542C732" w14:textId="77777777" w:rsidR="00D65612" w:rsidRDefault="00D65612" w:rsidP="00D65612">
      <w:pPr>
        <w:pStyle w:val="Kaflanmer"/>
      </w:pPr>
      <w:r>
        <w:t>VII. kafli</w:t>
      </w:r>
    </w:p>
    <w:p w14:paraId="368E690B" w14:textId="1109CB28" w:rsidR="00B30EC1" w:rsidRDefault="00D65612" w:rsidP="00B30EC1">
      <w:pPr>
        <w:pStyle w:val="Greinarnmer"/>
      </w:pPr>
      <w:r>
        <w:t>Gildistaka</w:t>
      </w:r>
      <w:r w:rsidR="001715B9">
        <w:t>10</w:t>
      </w:r>
      <w:r w:rsidR="0030284F">
        <w:t>.</w:t>
      </w:r>
      <w:r w:rsidR="00B30EC1">
        <w:t xml:space="preserve"> gr.</w:t>
      </w:r>
    </w:p>
    <w:p w14:paraId="10608A3D" w14:textId="77777777" w:rsidR="00B30EC1" w:rsidRDefault="00B30EC1" w:rsidP="00B30EC1">
      <w:pPr>
        <w:pStyle w:val="Greinarfyrirsgn"/>
      </w:pPr>
      <w:r>
        <w:t>Gildistaka</w:t>
      </w:r>
      <w:r w:rsidR="00B35848">
        <w:t>.</w:t>
      </w:r>
    </w:p>
    <w:p w14:paraId="5207859E" w14:textId="77777777" w:rsidR="00D65612" w:rsidRDefault="00D65612" w:rsidP="00D65612">
      <w:r>
        <w:t xml:space="preserve">Lög þessi öðlast gildi og koma til framkvæmda sem hér segir: </w:t>
      </w:r>
    </w:p>
    <w:p w14:paraId="059DE3A1" w14:textId="77777777" w:rsidR="00D65612" w:rsidRDefault="00D65612" w:rsidP="00D65612">
      <w:pPr>
        <w:pStyle w:val="Nmeringsskjalsmls"/>
        <w:numPr>
          <w:ilvl w:val="1"/>
          <w:numId w:val="29"/>
        </w:numPr>
        <w:rPr>
          <w:b w:val="0"/>
        </w:rPr>
      </w:pPr>
      <w:r>
        <w:rPr>
          <w:b w:val="0"/>
        </w:rPr>
        <w:t>Ákvæði I. kafla öðlast þegar gildi.</w:t>
      </w:r>
    </w:p>
    <w:p w14:paraId="1A58F7E5" w14:textId="3971F7FB" w:rsidR="00E63BCF" w:rsidRDefault="00D65612" w:rsidP="005B1A2C">
      <w:pPr>
        <w:pStyle w:val="ListParagraph"/>
        <w:numPr>
          <w:ilvl w:val="1"/>
          <w:numId w:val="29"/>
        </w:numPr>
      </w:pPr>
      <w:r>
        <w:lastRenderedPageBreak/>
        <w:t>Ákvæði II. kafla öðlast gildi og koma til framkvæmda ef bráðabirgðatímabil skv. II. kafla kemur til framkvæmda.</w:t>
      </w:r>
      <w:r w:rsidR="00E63BCF">
        <w:t xml:space="preserve"> </w:t>
      </w:r>
      <w:r w:rsidR="005B1A2C">
        <w:t>Tilkynna skal um upphaf bráðabirgðatímabilsins með auglýsingu í A-deild Stjórnartíðinda.</w:t>
      </w:r>
    </w:p>
    <w:p w14:paraId="47BA3D26" w14:textId="77777777" w:rsidR="00D65612" w:rsidRDefault="00D65612" w:rsidP="00D65612">
      <w:pPr>
        <w:pStyle w:val="ListParagraph"/>
        <w:numPr>
          <w:ilvl w:val="1"/>
          <w:numId w:val="29"/>
        </w:numPr>
      </w:pPr>
      <w:r>
        <w:t xml:space="preserve">Ákvæði III. – V. kafla öðlast gildi og koma til framkvæmda þegar annar hvor þeirra samninga sem vísað er til í I. kafla laga þessara hafa tekið gildi eða þeim beitt  hvað Ísland varðar. </w:t>
      </w:r>
    </w:p>
    <w:p w14:paraId="4EC8BB9D" w14:textId="77777777" w:rsidR="00D65612" w:rsidRDefault="00D65612" w:rsidP="00D65612">
      <w:pPr>
        <w:pStyle w:val="ListParagraph"/>
        <w:numPr>
          <w:ilvl w:val="1"/>
          <w:numId w:val="29"/>
        </w:numPr>
      </w:pPr>
      <w:r>
        <w:t>Ákvæði VI. kafla öðlast því aðeins gildi og koma til framkvæmda komi til úrsagnar Bretlands úr Evrópusambandinu án samnings grundvelli 50. gr. stofnsáttmála Evrópusambandsins.</w:t>
      </w:r>
    </w:p>
    <w:p w14:paraId="7A666BCB" w14:textId="77777777" w:rsidR="004F093F" w:rsidRDefault="004F093F" w:rsidP="00D2541F">
      <w:pPr>
        <w:ind w:firstLine="0"/>
      </w:pPr>
    </w:p>
    <w:p w14:paraId="4642536A" w14:textId="77777777" w:rsidR="00E71F27" w:rsidRDefault="00E71F27" w:rsidP="00E71F27">
      <w:pPr>
        <w:pStyle w:val="Fyrirsgn-greinarger"/>
      </w:pPr>
      <w:r w:rsidRPr="001B6AC6">
        <w:t>Greinargerð</w:t>
      </w:r>
      <w:r>
        <w:t>.</w:t>
      </w:r>
    </w:p>
    <w:p w14:paraId="7986EF55" w14:textId="77777777" w:rsidR="004F093F" w:rsidRDefault="004F093F" w:rsidP="004F093F">
      <w:pPr>
        <w:pStyle w:val="Millifyrirsgn1"/>
      </w:pPr>
      <w:r>
        <w:t xml:space="preserve">1. Inngangur. </w:t>
      </w:r>
    </w:p>
    <w:p w14:paraId="5F342259" w14:textId="6F8C4C05" w:rsidR="00D65612" w:rsidRDefault="00E9418E" w:rsidP="00CD69C5">
      <w:pPr>
        <w:rPr>
          <w:color w:val="000000"/>
          <w:szCs w:val="21"/>
        </w:rPr>
      </w:pPr>
      <w:r w:rsidRPr="004F093F">
        <w:rPr>
          <w:color w:val="000000"/>
          <w:szCs w:val="21"/>
        </w:rPr>
        <w:t xml:space="preserve">Bresk stjórnvöld tilkynntu formlega hinn 29. mars 2017 um útgöngu sína úr Evrópusambandinu (ESB) í kjölfar þjóðaratkvæðagreiðslu í Bretlandi hinn 23. júní 2016. Með hliðsjón af framangreindri tilkynningu og í ljósi 50. gr. sáttmálans um Evrópusambandið </w:t>
      </w:r>
      <w:r w:rsidR="00E376AE">
        <w:rPr>
          <w:color w:val="000000"/>
          <w:szCs w:val="21"/>
        </w:rPr>
        <w:t xml:space="preserve">hefði </w:t>
      </w:r>
      <w:r w:rsidRPr="004F093F">
        <w:rPr>
          <w:color w:val="000000"/>
          <w:szCs w:val="21"/>
        </w:rPr>
        <w:t xml:space="preserve">Bretland </w:t>
      </w:r>
      <w:r w:rsidR="00E376AE">
        <w:rPr>
          <w:color w:val="000000"/>
          <w:szCs w:val="21"/>
        </w:rPr>
        <w:t xml:space="preserve">áð óbreyttu </w:t>
      </w:r>
      <w:r w:rsidR="008D20F9">
        <w:rPr>
          <w:color w:val="000000"/>
          <w:szCs w:val="21"/>
        </w:rPr>
        <w:t>gengið</w:t>
      </w:r>
      <w:r w:rsidR="008D20F9" w:rsidRPr="004F093F">
        <w:rPr>
          <w:color w:val="000000"/>
          <w:szCs w:val="21"/>
        </w:rPr>
        <w:t xml:space="preserve"> </w:t>
      </w:r>
      <w:r w:rsidRPr="004F093F">
        <w:rPr>
          <w:color w:val="000000"/>
          <w:szCs w:val="21"/>
        </w:rPr>
        <w:t>úr ESB hinn 29. mars 2019.</w:t>
      </w:r>
      <w:r w:rsidR="00E376AE">
        <w:rPr>
          <w:color w:val="000000"/>
          <w:szCs w:val="21"/>
        </w:rPr>
        <w:t xml:space="preserve"> </w:t>
      </w:r>
      <w:r w:rsidR="00D65612">
        <w:rPr>
          <w:color w:val="000000"/>
          <w:szCs w:val="21"/>
        </w:rPr>
        <w:t xml:space="preserve">Leiðtogaráð Evrópusambandsins hefur hins vegar tvívegis ákveðið að fresta útgöngu Bretlands, að beiðni breskra stjórnvalda. Í fyrra skipti var útgöngunni frestað til </w:t>
      </w:r>
      <w:r w:rsidR="00E376AE">
        <w:rPr>
          <w:color w:val="000000"/>
          <w:szCs w:val="21"/>
        </w:rPr>
        <w:t>12. apríl 2019</w:t>
      </w:r>
      <w:r w:rsidR="00D65612">
        <w:rPr>
          <w:color w:val="000000"/>
          <w:szCs w:val="21"/>
        </w:rPr>
        <w:t xml:space="preserve"> en í síðara skiptið var ákveðið að fresta útgöngunni til 3</w:t>
      </w:r>
      <w:r w:rsidR="0094415C">
        <w:rPr>
          <w:color w:val="000000"/>
          <w:szCs w:val="21"/>
        </w:rPr>
        <w:t>1</w:t>
      </w:r>
      <w:r w:rsidR="00D65612">
        <w:rPr>
          <w:color w:val="000000"/>
          <w:szCs w:val="21"/>
        </w:rPr>
        <w:t xml:space="preserve"> október 2019. Síðari ákvörðunin var þó með ákveðnum fyrirvörum og er því hugsanlegt að af útgöngu Bretlands geti orðið áður</w:t>
      </w:r>
      <w:r w:rsidR="00E376AE">
        <w:rPr>
          <w:color w:val="000000"/>
          <w:szCs w:val="21"/>
        </w:rPr>
        <w:t>.</w:t>
      </w:r>
      <w:r w:rsidRPr="004F093F">
        <w:rPr>
          <w:color w:val="000000"/>
          <w:szCs w:val="21"/>
        </w:rPr>
        <w:t xml:space="preserve"> </w:t>
      </w:r>
    </w:p>
    <w:p w14:paraId="722D166C" w14:textId="54ADD622" w:rsidR="009157AC" w:rsidRDefault="006F5083" w:rsidP="00CD69C5">
      <w:pPr>
        <w:rPr>
          <w:color w:val="000000"/>
          <w:szCs w:val="21"/>
        </w:rPr>
      </w:pPr>
      <w:r>
        <w:rPr>
          <w:color w:val="000000"/>
          <w:szCs w:val="21"/>
        </w:rPr>
        <w:t>Frá júní 2017 til nóvember 2018 áttu Bretland og Evrópusambandið í samningaviðræðum um gerð samnings um útgöngu Bretlands. Útgöngu</w:t>
      </w:r>
      <w:r w:rsidR="006D47C9">
        <w:rPr>
          <w:color w:val="000000"/>
          <w:szCs w:val="21"/>
        </w:rPr>
        <w:softHyphen/>
      </w:r>
      <w:r>
        <w:rPr>
          <w:color w:val="000000"/>
          <w:szCs w:val="21"/>
        </w:rPr>
        <w:t>samn</w:t>
      </w:r>
      <w:r w:rsidR="006D47C9">
        <w:rPr>
          <w:color w:val="000000"/>
          <w:szCs w:val="21"/>
        </w:rPr>
        <w:softHyphen/>
      </w:r>
      <w:r>
        <w:rPr>
          <w:color w:val="000000"/>
          <w:szCs w:val="21"/>
        </w:rPr>
        <w:t xml:space="preserve">ingurinn </w:t>
      </w:r>
      <w:r w:rsidR="00D65612">
        <w:rPr>
          <w:color w:val="000000"/>
          <w:szCs w:val="21"/>
        </w:rPr>
        <w:t xml:space="preserve">hefur </w:t>
      </w:r>
      <w:r>
        <w:rPr>
          <w:color w:val="000000"/>
          <w:szCs w:val="21"/>
        </w:rPr>
        <w:t xml:space="preserve">hins vegar </w:t>
      </w:r>
      <w:r w:rsidR="00D65612">
        <w:rPr>
          <w:color w:val="000000"/>
          <w:szCs w:val="21"/>
        </w:rPr>
        <w:t xml:space="preserve">reynst umdeildur í Bretlandi </w:t>
      </w:r>
      <w:r w:rsidR="009157AC">
        <w:rPr>
          <w:color w:val="000000"/>
          <w:szCs w:val="21"/>
        </w:rPr>
        <w:t>og í ítrekuðum atkvæðagreiðslum í breska þinginu hefur meirihluti þingmanna greitt atkvæði gegn samningnum. Þrátt fyrir framangreinda frestu</w:t>
      </w:r>
      <w:r w:rsidR="0094415C">
        <w:rPr>
          <w:color w:val="000000"/>
          <w:szCs w:val="21"/>
        </w:rPr>
        <w:t>n</w:t>
      </w:r>
      <w:r w:rsidR="009157AC">
        <w:rPr>
          <w:color w:val="000000"/>
          <w:szCs w:val="21"/>
        </w:rPr>
        <w:t xml:space="preserve"> á fyrirhugaðri úrsögn Bretlands úr Evrópusambandinu ríkir því enn veruleg óvissa um með hvaða hætt staðið verður að útgöngu Bretlands úr Evrópusambandinu. </w:t>
      </w:r>
    </w:p>
    <w:p w14:paraId="535D731E" w14:textId="2BFCC685" w:rsidR="009157AC" w:rsidRDefault="009157AC" w:rsidP="00CD69C5">
      <w:pPr>
        <w:rPr>
          <w:color w:val="000000"/>
          <w:szCs w:val="21"/>
        </w:rPr>
      </w:pPr>
      <w:r>
        <w:rPr>
          <w:color w:val="000000"/>
          <w:szCs w:val="21"/>
        </w:rPr>
        <w:t>Ljóst er að útganga Bretlands úr Evrópusambandinu mun hafa verleg áhrif hér á landi. Bretland er aðili að samningnum um Evrópska efnahagssvæðið í kraf</w:t>
      </w:r>
      <w:r w:rsidR="0094415C">
        <w:rPr>
          <w:color w:val="000000"/>
          <w:szCs w:val="21"/>
        </w:rPr>
        <w:t>ti</w:t>
      </w:r>
      <w:r>
        <w:rPr>
          <w:color w:val="000000"/>
          <w:szCs w:val="21"/>
        </w:rPr>
        <w:t xml:space="preserve"> aðildar sinnar að Evrópusambandinu, sem og margvíslegum öðrum alþjóðsamningnum sem Ísland hefur annað hvort gert við ESB eða bæði Ísland og Evrópusambandið eiga aðild að. Af þessum sökum hafa íslensk stjórnvöld lagt á það ríka áherslu allt frá því að niðurstaðan var ljós í þjóðaratkvæðagreiðslunni hinn 23. júní 2016 </w:t>
      </w:r>
      <w:r w:rsidR="0094415C">
        <w:rPr>
          <w:color w:val="000000"/>
          <w:szCs w:val="21"/>
        </w:rPr>
        <w:t xml:space="preserve">að </w:t>
      </w:r>
      <w:r>
        <w:rPr>
          <w:color w:val="000000"/>
          <w:szCs w:val="21"/>
        </w:rPr>
        <w:t xml:space="preserve">undirbúa vandlega ráðstafanir vegna útgöngu Bretlands úr Evrópusambandinu og vinna samhliða að því að móta nýja umgjörð um framtíðarsamskipti Íslands við Bretland. </w:t>
      </w:r>
    </w:p>
    <w:p w14:paraId="48988A50" w14:textId="4CA629E4" w:rsidR="00D90A77" w:rsidRDefault="009157AC" w:rsidP="00CD69C5">
      <w:pPr>
        <w:rPr>
          <w:color w:val="000000"/>
          <w:szCs w:val="21"/>
        </w:rPr>
      </w:pPr>
      <w:r>
        <w:rPr>
          <w:color w:val="000000"/>
          <w:szCs w:val="21"/>
        </w:rPr>
        <w:t>Ísland hefur í þeim efnum átt í nánum samskiptum við hin EFTA-ríkin innan EES (Noreg og Liechtenstein). Þannig h</w:t>
      </w:r>
      <w:r w:rsidR="0094415C">
        <w:rPr>
          <w:color w:val="000000"/>
          <w:szCs w:val="21"/>
        </w:rPr>
        <w:t>afa</w:t>
      </w:r>
      <w:r>
        <w:rPr>
          <w:color w:val="000000"/>
          <w:szCs w:val="21"/>
        </w:rPr>
        <w:t xml:space="preserve"> </w:t>
      </w:r>
      <w:r w:rsidR="00D90A77">
        <w:rPr>
          <w:color w:val="000000"/>
          <w:szCs w:val="21"/>
        </w:rPr>
        <w:t xml:space="preserve">Ísland, Liechtenstein, Noregur </w:t>
      </w:r>
      <w:r>
        <w:rPr>
          <w:color w:val="000000"/>
          <w:szCs w:val="21"/>
        </w:rPr>
        <w:t xml:space="preserve">lokið við gerð tveggja samninga við </w:t>
      </w:r>
      <w:r w:rsidR="00D90A77">
        <w:rPr>
          <w:color w:val="000000"/>
          <w:szCs w:val="21"/>
        </w:rPr>
        <w:t>Bretlan</w:t>
      </w:r>
      <w:r w:rsidR="0094270D">
        <w:rPr>
          <w:color w:val="000000"/>
          <w:szCs w:val="21"/>
        </w:rPr>
        <w:t>d</w:t>
      </w:r>
      <w:r>
        <w:rPr>
          <w:color w:val="000000"/>
          <w:szCs w:val="21"/>
        </w:rPr>
        <w:t xml:space="preserve"> sem með þessu frumarpi er óskað eftir heimildar Alþingis til að fullgilda fyrir Íslands hönd. Fyrri samningurinn mælir fyrir </w:t>
      </w:r>
      <w:r w:rsidR="00D90A77">
        <w:t>um ráðstafanir vegna útgöngu Bretlands úr Evrópusambandinu og Evrópska efnahagssvæðin</w:t>
      </w:r>
      <w:r w:rsidR="006F5083">
        <w:t xml:space="preserve">u en ákvæði þess samnings byggðu á þeirri forsendu að áðurnefndur útgöngusamningur Bretlands og Evrópusambandsins </w:t>
      </w:r>
      <w:r w:rsidR="006F5083">
        <w:rPr>
          <w:color w:val="000000"/>
          <w:szCs w:val="21"/>
        </w:rPr>
        <w:t xml:space="preserve">öðlaðist gildi. </w:t>
      </w:r>
      <w:r>
        <w:rPr>
          <w:color w:val="000000"/>
          <w:szCs w:val="21"/>
        </w:rPr>
        <w:t>Viðræðum um gerð þess samnings lauk í nóvember 2018 en þar sem útgöngusamningurinn hefur enn ekki verið undirritaður hefur undirritun þess samnings verið frestað. Hinn samningurinn var gerður í kjölfarið t</w:t>
      </w:r>
      <w:r w:rsidR="006F5083">
        <w:rPr>
          <w:color w:val="000000"/>
          <w:szCs w:val="21"/>
        </w:rPr>
        <w:t xml:space="preserve">il þess að bregðast við þeim möguleika að </w:t>
      </w:r>
      <w:r>
        <w:rPr>
          <w:color w:val="000000"/>
          <w:szCs w:val="21"/>
        </w:rPr>
        <w:t xml:space="preserve">fyrri </w:t>
      </w:r>
      <w:r w:rsidR="006F5083">
        <w:rPr>
          <w:color w:val="000000"/>
          <w:szCs w:val="21"/>
        </w:rPr>
        <w:t>samn</w:t>
      </w:r>
      <w:r w:rsidR="006D47C9">
        <w:rPr>
          <w:color w:val="000000"/>
          <w:szCs w:val="21"/>
        </w:rPr>
        <w:softHyphen/>
      </w:r>
      <w:r w:rsidR="006F5083">
        <w:rPr>
          <w:color w:val="000000"/>
          <w:szCs w:val="21"/>
        </w:rPr>
        <w:t>ingur</w:t>
      </w:r>
      <w:r>
        <w:rPr>
          <w:color w:val="000000"/>
          <w:szCs w:val="21"/>
        </w:rPr>
        <w:t>inn myndi ekki</w:t>
      </w:r>
      <w:r w:rsidR="006F5083">
        <w:rPr>
          <w:color w:val="000000"/>
          <w:szCs w:val="21"/>
        </w:rPr>
        <w:t xml:space="preserve"> </w:t>
      </w:r>
      <w:r w:rsidR="00AC2291">
        <w:rPr>
          <w:color w:val="000000"/>
          <w:szCs w:val="21"/>
        </w:rPr>
        <w:t xml:space="preserve">öðlaðist </w:t>
      </w:r>
      <w:r w:rsidR="006F5083">
        <w:rPr>
          <w:color w:val="000000"/>
          <w:szCs w:val="21"/>
        </w:rPr>
        <w:t xml:space="preserve">gildi </w:t>
      </w:r>
      <w:r>
        <w:rPr>
          <w:color w:val="000000"/>
          <w:szCs w:val="21"/>
        </w:rPr>
        <w:t xml:space="preserve">(sökum þess að gildistaka hans er háð því að útgöngusamningur ESB og Bretlands taki gildi). Er þeim samningi </w:t>
      </w:r>
      <w:r w:rsidR="00A258CD">
        <w:rPr>
          <w:color w:val="000000"/>
          <w:szCs w:val="21"/>
        </w:rPr>
        <w:t xml:space="preserve">ætlað að tryggja réttindi ríkisborgara þessara ríkja </w:t>
      </w:r>
      <w:r w:rsidR="007E2DFD">
        <w:rPr>
          <w:color w:val="000000"/>
          <w:szCs w:val="21"/>
        </w:rPr>
        <w:t>færi svo að</w:t>
      </w:r>
      <w:r w:rsidR="00A258CD">
        <w:rPr>
          <w:color w:val="000000"/>
          <w:szCs w:val="21"/>
        </w:rPr>
        <w:t xml:space="preserve"> Bretland geng</w:t>
      </w:r>
      <w:r w:rsidR="007E2DFD">
        <w:rPr>
          <w:color w:val="000000"/>
          <w:szCs w:val="21"/>
        </w:rPr>
        <w:t>i</w:t>
      </w:r>
      <w:r w:rsidR="00A258CD">
        <w:rPr>
          <w:color w:val="000000"/>
          <w:szCs w:val="21"/>
        </w:rPr>
        <w:t xml:space="preserve"> úr Evrópusambandinu án samnings. </w:t>
      </w:r>
      <w:r w:rsidR="00A258CD">
        <w:rPr>
          <w:color w:val="000000"/>
          <w:szCs w:val="21"/>
        </w:rPr>
        <w:lastRenderedPageBreak/>
        <w:t xml:space="preserve">Viðræðum um gerð samnings </w:t>
      </w:r>
      <w:r w:rsidR="00AC2291">
        <w:rPr>
          <w:color w:val="000000"/>
          <w:szCs w:val="21"/>
        </w:rPr>
        <w:t xml:space="preserve">ríkjanna fjögurra </w:t>
      </w:r>
      <w:r w:rsidR="00A258CD">
        <w:rPr>
          <w:color w:val="000000"/>
          <w:szCs w:val="21"/>
        </w:rPr>
        <w:t xml:space="preserve">lauk í febrúar 2019 og var hann undirritaður </w:t>
      </w:r>
      <w:r w:rsidR="00A8226B">
        <w:rPr>
          <w:color w:val="000000"/>
          <w:szCs w:val="21"/>
        </w:rPr>
        <w:t xml:space="preserve">í London </w:t>
      </w:r>
      <w:r w:rsidR="00A258CD">
        <w:rPr>
          <w:color w:val="000000"/>
          <w:szCs w:val="21"/>
        </w:rPr>
        <w:t xml:space="preserve">hinn </w:t>
      </w:r>
      <w:r w:rsidR="00A8226B" w:rsidRPr="009661F7">
        <w:rPr>
          <w:color w:val="000000"/>
          <w:szCs w:val="21"/>
        </w:rPr>
        <w:t xml:space="preserve">2. apríl </w:t>
      </w:r>
      <w:r w:rsidR="00A258CD">
        <w:rPr>
          <w:color w:val="000000"/>
          <w:szCs w:val="21"/>
        </w:rPr>
        <w:t>2019.</w:t>
      </w:r>
    </w:p>
    <w:p w14:paraId="2640F8F1" w14:textId="70ED2DAE" w:rsidR="00AC6FFE" w:rsidRDefault="00AC6FFE" w:rsidP="00D2541F">
      <w:pPr>
        <w:rPr>
          <w:color w:val="000000"/>
          <w:szCs w:val="21"/>
        </w:rPr>
      </w:pPr>
    </w:p>
    <w:p w14:paraId="1EFEF169" w14:textId="3DCCE8CB" w:rsidR="00C317DB" w:rsidRDefault="00AC6FFE" w:rsidP="00D2541F">
      <w:r>
        <w:rPr>
          <w:color w:val="000000"/>
          <w:szCs w:val="21"/>
        </w:rPr>
        <w:t xml:space="preserve">Sú óvissa sem ríkt hefur um útgöngu Bretlands úr Evrópusambandinu undanfarna mánuði þ.m.t. tímasetningu útgöngunnar og hvort til útgöngunnar komi á grundvelli fyrirliggjandi samnings Bretlands og Evrópusambandsins, án samnings eða á öðrum grundvelli, hefur mótað verulega undirbúning þessa frumvarps. Mikilvægt er að þegar til Bretland gangi úr Evrópusambandinu geti íslensk stjórnvöld gripið til nauðsynlegra úrræða af þeim sökum m,.a. til að tryggja réttindi bæði íslenskra og breskra ríkisborgara. </w:t>
      </w:r>
      <w:r w:rsidR="00A2696C">
        <w:rPr>
          <w:color w:val="000000"/>
          <w:szCs w:val="21"/>
        </w:rPr>
        <w:t xml:space="preserve">Í þessu frumvarpi er því farin sú leið að veita íslenskum stjórnvöldum heimildir til að grípa til nauðsynlegra úrræða, hvort sem fyrirhuguð útganga Bretlands verði á grundvelli áðurnefnds útgöngusamnings eða án samnings. </w:t>
      </w:r>
      <w:r w:rsidR="009329F2">
        <w:rPr>
          <w:color w:val="000000"/>
          <w:szCs w:val="21"/>
        </w:rPr>
        <w:t xml:space="preserve">Megintilgangur þessa frumvarps er </w:t>
      </w:r>
      <w:r w:rsidR="00A2696C">
        <w:rPr>
          <w:color w:val="000000"/>
          <w:szCs w:val="21"/>
        </w:rPr>
        <w:t xml:space="preserve">því </w:t>
      </w:r>
      <w:r w:rsidR="0094415C">
        <w:rPr>
          <w:color w:val="000000"/>
          <w:szCs w:val="21"/>
        </w:rPr>
        <w:t xml:space="preserve">að </w:t>
      </w:r>
      <w:r w:rsidR="00D90A77">
        <w:rPr>
          <w:color w:val="000000"/>
          <w:szCs w:val="21"/>
        </w:rPr>
        <w:t xml:space="preserve">afla heimildar Alþingis til að </w:t>
      </w:r>
      <w:r w:rsidR="009157AC">
        <w:rPr>
          <w:color w:val="000000"/>
          <w:szCs w:val="21"/>
        </w:rPr>
        <w:t xml:space="preserve">staðfesta framangreinda samninga, </w:t>
      </w:r>
      <w:r w:rsidR="00945163">
        <w:rPr>
          <w:color w:val="000000"/>
          <w:szCs w:val="21"/>
        </w:rPr>
        <w:t>leggja til nauðsynlegar lagabreytingar til framkv</w:t>
      </w:r>
      <w:r w:rsidR="001A31D2">
        <w:rPr>
          <w:color w:val="000000"/>
          <w:szCs w:val="21"/>
        </w:rPr>
        <w:t>æ</w:t>
      </w:r>
      <w:r w:rsidR="00945163">
        <w:rPr>
          <w:color w:val="000000"/>
          <w:szCs w:val="21"/>
        </w:rPr>
        <w:t xml:space="preserve">mdar </w:t>
      </w:r>
      <w:r w:rsidR="00A2696C">
        <w:rPr>
          <w:color w:val="000000"/>
          <w:szCs w:val="21"/>
        </w:rPr>
        <w:t xml:space="preserve">þeim </w:t>
      </w:r>
      <w:r w:rsidR="009157AC">
        <w:rPr>
          <w:color w:val="000000"/>
          <w:szCs w:val="21"/>
        </w:rPr>
        <w:t xml:space="preserve">og leggja jafnframt til aðrar nauðsynlegar lagabreytingar </w:t>
      </w:r>
      <w:r>
        <w:rPr>
          <w:color w:val="000000"/>
          <w:szCs w:val="21"/>
        </w:rPr>
        <w:t>vegna útgöngu Bretlands úr Evrópusambandinu</w:t>
      </w:r>
      <w:r w:rsidR="00A2696C">
        <w:rPr>
          <w:color w:val="000000"/>
          <w:szCs w:val="21"/>
        </w:rPr>
        <w:t>.</w:t>
      </w:r>
      <w:r w:rsidR="00945163">
        <w:rPr>
          <w:color w:val="000000"/>
          <w:szCs w:val="21"/>
        </w:rPr>
        <w:t xml:space="preserve"> </w:t>
      </w:r>
    </w:p>
    <w:p w14:paraId="35801486" w14:textId="77777777" w:rsidR="00E9418E" w:rsidRDefault="00E9418E" w:rsidP="00D0740D"/>
    <w:p w14:paraId="0DA0282F" w14:textId="77777777" w:rsidR="00D0740D" w:rsidRDefault="00E71F27" w:rsidP="00D0740D">
      <w:pPr>
        <w:pStyle w:val="Millifyrirsgn1"/>
      </w:pPr>
      <w:r>
        <w:t>2</w:t>
      </w:r>
      <w:r w:rsidR="00D0740D">
        <w:t xml:space="preserve">. Tilefni og nauðsyn lagasetningar. </w:t>
      </w:r>
    </w:p>
    <w:p w14:paraId="54323BD6" w14:textId="69920B67" w:rsidR="00A258CD" w:rsidRPr="00E376AE" w:rsidRDefault="00D64DE9" w:rsidP="00A258CD">
      <w:r>
        <w:t xml:space="preserve">Þessu frumvarpi er ætlað að </w:t>
      </w:r>
      <w:r w:rsidR="00D90A77">
        <w:t xml:space="preserve">leggja til </w:t>
      </w:r>
      <w:r>
        <w:t xml:space="preserve">nauðsynlegar breytingar á </w:t>
      </w:r>
      <w:r w:rsidR="0062680B">
        <w:t>lögum vegna fram</w:t>
      </w:r>
      <w:r w:rsidR="006D47C9">
        <w:softHyphen/>
      </w:r>
      <w:r w:rsidR="0062680B">
        <w:t>kvæmdar samning</w:t>
      </w:r>
      <w:r w:rsidR="0094415C">
        <w:t>a</w:t>
      </w:r>
      <w:r w:rsidR="0062680B">
        <w:t xml:space="preserve"> </w:t>
      </w:r>
      <w:r w:rsidR="00D90A77">
        <w:t xml:space="preserve">milli Íslands, Liechtenstein, Noregs og Bretlands </w:t>
      </w:r>
      <w:r w:rsidR="0062680B">
        <w:t>um réttindi borgara í kjölfar úrsagnar Bretlands úr Evrópusambandinu og EES-samningnum</w:t>
      </w:r>
      <w:r w:rsidR="00A258CD">
        <w:t>. Framkvæmd samn</w:t>
      </w:r>
      <w:r w:rsidR="006D47C9">
        <w:softHyphen/>
      </w:r>
      <w:r w:rsidR="00A258CD">
        <w:t>ing</w:t>
      </w:r>
      <w:r w:rsidR="0094415C">
        <w:t>anna</w:t>
      </w:r>
      <w:r w:rsidR="00A258CD">
        <w:t xml:space="preserve"> kallar á breytingar á lögum útlendinga</w:t>
      </w:r>
      <w:r w:rsidR="00AC2291">
        <w:t>,</w:t>
      </w:r>
      <w:r w:rsidR="00A258CD">
        <w:t xml:space="preserve"> nr. 80/2016, með síðari breytingum, lögum um at</w:t>
      </w:r>
      <w:r w:rsidR="006D47C9">
        <w:softHyphen/>
      </w:r>
      <w:r w:rsidR="00A258CD">
        <w:t>vinnu</w:t>
      </w:r>
      <w:r w:rsidR="006D47C9">
        <w:softHyphen/>
      </w:r>
      <w:r w:rsidR="00A258CD">
        <w:t>réttindi útlendinga</w:t>
      </w:r>
      <w:r w:rsidR="00AC2291">
        <w:t>,</w:t>
      </w:r>
      <w:r w:rsidR="00A258CD">
        <w:t xml:space="preserve"> nr. 97/2007, með síðari breytingum og lögum um lögheimili og aðsetur</w:t>
      </w:r>
      <w:r w:rsidR="00AC2291">
        <w:t>,</w:t>
      </w:r>
      <w:r w:rsidR="00A258CD">
        <w:t xml:space="preserve"> nr. 90/2018, með síðari breytingum og er í II – IV. kafla frumvarps þessa er að finna tillögur að nauðsynlegum lagabreytingum til að framkvæm</w:t>
      </w:r>
      <w:r w:rsidR="0094415C">
        <w:t>a</w:t>
      </w:r>
      <w:r w:rsidR="00A258CD">
        <w:t xml:space="preserve"> þessi ákvæði samningsins</w:t>
      </w:r>
      <w:r w:rsidR="00A258CD" w:rsidRPr="00E376AE">
        <w:rPr>
          <w:szCs w:val="21"/>
        </w:rPr>
        <w:t>.</w:t>
      </w:r>
      <w:r w:rsidR="00E376AE" w:rsidRPr="00E376AE">
        <w:rPr>
          <w:szCs w:val="21"/>
        </w:rPr>
        <w:t xml:space="preserve"> Þá er í V. kafla að finna tillögur að breytingum </w:t>
      </w:r>
      <w:r w:rsidR="00E376AE" w:rsidRPr="008D20F9">
        <w:rPr>
          <w:color w:val="000000"/>
          <w:szCs w:val="21"/>
        </w:rPr>
        <w:t>á lögum um verðabré</w:t>
      </w:r>
      <w:r w:rsidR="0094415C">
        <w:rPr>
          <w:color w:val="000000"/>
          <w:szCs w:val="21"/>
        </w:rPr>
        <w:t>f</w:t>
      </w:r>
      <w:r w:rsidR="00E376AE" w:rsidRPr="008D20F9">
        <w:rPr>
          <w:color w:val="000000"/>
          <w:szCs w:val="21"/>
        </w:rPr>
        <w:t>aviðskipti, nr. 108/2007, til þess að viðhalda nánar tilgreindum undanþágum Bretlands og tilgreindum stofnunum þess samkvæmt lögum um verðbréfaviðskipti.</w:t>
      </w:r>
    </w:p>
    <w:p w14:paraId="262E5364" w14:textId="77777777" w:rsidR="00D0740D" w:rsidRDefault="00D0740D" w:rsidP="00D2541F">
      <w:pPr>
        <w:ind w:firstLine="0"/>
      </w:pPr>
    </w:p>
    <w:p w14:paraId="5A41E437" w14:textId="77777777" w:rsidR="00D0740D" w:rsidRDefault="00E71F27" w:rsidP="00D2541F">
      <w:pPr>
        <w:pStyle w:val="Millifyrirsgn1"/>
        <w:keepNext/>
      </w:pPr>
      <w:r>
        <w:t>3</w:t>
      </w:r>
      <w:r w:rsidR="00D0740D">
        <w:t xml:space="preserve">. Meginefni frumvarpsins. </w:t>
      </w:r>
    </w:p>
    <w:p w14:paraId="2CDCF75C" w14:textId="182EA12C" w:rsidR="0021227A" w:rsidRDefault="0021227A" w:rsidP="00D2541F">
      <w:pPr>
        <w:keepNext/>
        <w:rPr>
          <w:color w:val="000000"/>
          <w:szCs w:val="21"/>
        </w:rPr>
      </w:pPr>
      <w:r>
        <w:rPr>
          <w:color w:val="000000"/>
          <w:szCs w:val="21"/>
        </w:rPr>
        <w:t xml:space="preserve">Efni þessa frumvarps er í meginatriðum </w:t>
      </w:r>
      <w:r w:rsidR="00214837">
        <w:rPr>
          <w:color w:val="000000"/>
          <w:szCs w:val="21"/>
        </w:rPr>
        <w:t>fjórþætt:</w:t>
      </w:r>
    </w:p>
    <w:p w14:paraId="340A550C" w14:textId="483F5823" w:rsidR="0021227A" w:rsidRDefault="0021227A" w:rsidP="0021227A">
      <w:pPr>
        <w:rPr>
          <w:color w:val="000000"/>
          <w:szCs w:val="21"/>
        </w:rPr>
      </w:pPr>
      <w:r>
        <w:rPr>
          <w:i/>
          <w:color w:val="000000"/>
          <w:szCs w:val="21"/>
        </w:rPr>
        <w:t xml:space="preserve">Í fyrsta lagi </w:t>
      </w:r>
      <w:r>
        <w:rPr>
          <w:color w:val="000000"/>
          <w:szCs w:val="21"/>
        </w:rPr>
        <w:t>er með frumvarpi þessu óskað eftir heimild Alþingis til þess að fullgilda samn</w:t>
      </w:r>
      <w:r w:rsidR="006D47C9">
        <w:rPr>
          <w:color w:val="000000"/>
          <w:szCs w:val="21"/>
        </w:rPr>
        <w:softHyphen/>
      </w:r>
      <w:r>
        <w:rPr>
          <w:color w:val="000000"/>
          <w:szCs w:val="21"/>
        </w:rPr>
        <w:t>ing</w:t>
      </w:r>
      <w:r w:rsidR="00A2696C">
        <w:rPr>
          <w:color w:val="000000"/>
          <w:szCs w:val="21"/>
        </w:rPr>
        <w:t>a</w:t>
      </w:r>
      <w:r>
        <w:rPr>
          <w:color w:val="000000"/>
          <w:szCs w:val="21"/>
        </w:rPr>
        <w:t xml:space="preserve"> sem Ísland, Liechtenstein og Noregur hafa gert við Bretland vegna ráðstafana vegna út</w:t>
      </w:r>
      <w:r w:rsidR="006D47C9">
        <w:rPr>
          <w:color w:val="000000"/>
          <w:szCs w:val="21"/>
        </w:rPr>
        <w:softHyphen/>
      </w:r>
      <w:r>
        <w:rPr>
          <w:color w:val="000000"/>
          <w:szCs w:val="21"/>
        </w:rPr>
        <w:t xml:space="preserve">göngu Bretlands úr ESB. </w:t>
      </w:r>
      <w:r w:rsidR="00A2696C">
        <w:rPr>
          <w:color w:val="000000"/>
          <w:szCs w:val="21"/>
        </w:rPr>
        <w:t xml:space="preserve">Annars vegar er um að ræða samning sem byggir á þeirri forsendu að útganga Bretlands úr ESB byggi á svonefndum útgöngusamningi ESB og Bretlands, hins vegar samning sem kæmi í stað fyrrnefnds samnings komi til þess að útganga Bretlands úr ESV verði án samnings. </w:t>
      </w:r>
    </w:p>
    <w:p w14:paraId="0B6D71EC" w14:textId="05927F15" w:rsidR="0021227A" w:rsidRDefault="00A2696C" w:rsidP="0021227A">
      <w:pPr>
        <w:rPr>
          <w:color w:val="000000"/>
          <w:szCs w:val="21"/>
        </w:rPr>
      </w:pPr>
      <w:r w:rsidRPr="00BF7366">
        <w:rPr>
          <w:i/>
          <w:color w:val="000000"/>
          <w:szCs w:val="21"/>
        </w:rPr>
        <w:t>Í öðru lagi</w:t>
      </w:r>
      <w:r>
        <w:rPr>
          <w:color w:val="000000"/>
          <w:szCs w:val="21"/>
        </w:rPr>
        <w:t xml:space="preserve"> er með frumvarpinu lagt til að sett verði lagaákvæði um stöðu Bretlands, breskra ríkisborgara og breskra lögaðila hér á landi á meðan svonefndu bráðabirgðatímbili stendur</w:t>
      </w:r>
      <w:r w:rsidR="00681BC9">
        <w:rPr>
          <w:color w:val="000000"/>
          <w:szCs w:val="21"/>
        </w:rPr>
        <w:t>, komi til þess að útganga Bretlands verði á grundvelli útgöngusamningsins.</w:t>
      </w:r>
      <w:r w:rsidR="0021227A" w:rsidRPr="00BF7366">
        <w:rPr>
          <w:i/>
          <w:color w:val="000000"/>
          <w:szCs w:val="21"/>
        </w:rPr>
        <w:t xml:space="preserve"> </w:t>
      </w:r>
      <w:r w:rsidR="0094415C">
        <w:rPr>
          <w:i/>
          <w:color w:val="000000"/>
          <w:szCs w:val="21"/>
        </w:rPr>
        <w:t xml:space="preserve">Í </w:t>
      </w:r>
      <w:r>
        <w:rPr>
          <w:i/>
          <w:color w:val="000000"/>
          <w:szCs w:val="21"/>
        </w:rPr>
        <w:t>þriðja</w:t>
      </w:r>
      <w:r w:rsidRPr="00BF7366">
        <w:rPr>
          <w:i/>
          <w:color w:val="000000"/>
          <w:szCs w:val="21"/>
        </w:rPr>
        <w:t xml:space="preserve"> </w:t>
      </w:r>
      <w:r w:rsidR="0021227A" w:rsidRPr="00BF7366">
        <w:rPr>
          <w:i/>
          <w:color w:val="000000"/>
          <w:szCs w:val="21"/>
        </w:rPr>
        <w:t>lagi</w:t>
      </w:r>
      <w:r w:rsidR="0021227A">
        <w:rPr>
          <w:color w:val="000000"/>
          <w:szCs w:val="21"/>
        </w:rPr>
        <w:t xml:space="preserve"> er með frumvarpinu mælt fyrir þeim lagabreytingum sem nauðsynlegar eru vegna fullgildingar </w:t>
      </w:r>
      <w:r w:rsidR="0094415C">
        <w:rPr>
          <w:color w:val="000000"/>
          <w:szCs w:val="21"/>
        </w:rPr>
        <w:t xml:space="preserve">á </w:t>
      </w:r>
      <w:r w:rsidR="0021227A">
        <w:rPr>
          <w:color w:val="000000"/>
          <w:szCs w:val="21"/>
        </w:rPr>
        <w:t>framangreind</w:t>
      </w:r>
      <w:r>
        <w:rPr>
          <w:color w:val="000000"/>
          <w:szCs w:val="21"/>
        </w:rPr>
        <w:t xml:space="preserve">um </w:t>
      </w:r>
      <w:r w:rsidR="0021227A">
        <w:rPr>
          <w:color w:val="000000"/>
          <w:szCs w:val="21"/>
        </w:rPr>
        <w:t>samning</w:t>
      </w:r>
      <w:r w:rsidR="0094415C">
        <w:rPr>
          <w:color w:val="000000"/>
          <w:szCs w:val="21"/>
        </w:rPr>
        <w:t>um</w:t>
      </w:r>
      <w:r w:rsidR="0021227A">
        <w:rPr>
          <w:color w:val="000000"/>
          <w:szCs w:val="21"/>
        </w:rPr>
        <w:t xml:space="preserve"> Íslands, Liechtenstein</w:t>
      </w:r>
      <w:r w:rsidR="00EA1BF2">
        <w:rPr>
          <w:color w:val="000000"/>
          <w:szCs w:val="21"/>
        </w:rPr>
        <w:t xml:space="preserve">, </w:t>
      </w:r>
      <w:r w:rsidR="0021227A">
        <w:rPr>
          <w:color w:val="000000"/>
          <w:szCs w:val="21"/>
        </w:rPr>
        <w:t xml:space="preserve">Noregs </w:t>
      </w:r>
      <w:r w:rsidR="00EA1BF2">
        <w:rPr>
          <w:color w:val="000000"/>
          <w:szCs w:val="21"/>
        </w:rPr>
        <w:t>og</w:t>
      </w:r>
      <w:r w:rsidR="0021227A">
        <w:rPr>
          <w:color w:val="000000"/>
          <w:szCs w:val="21"/>
        </w:rPr>
        <w:t xml:space="preserve"> Bretland</w:t>
      </w:r>
      <w:r w:rsidR="00EA1BF2">
        <w:rPr>
          <w:color w:val="000000"/>
          <w:szCs w:val="21"/>
        </w:rPr>
        <w:t>s</w:t>
      </w:r>
      <w:r w:rsidR="0021227A">
        <w:rPr>
          <w:color w:val="000000"/>
          <w:szCs w:val="21"/>
        </w:rPr>
        <w:t>.</w:t>
      </w:r>
    </w:p>
    <w:p w14:paraId="00B825EF" w14:textId="134D03EC" w:rsidR="00C317DB" w:rsidRDefault="0047386A" w:rsidP="00D0740D">
      <w:r w:rsidRPr="009661F7">
        <w:rPr>
          <w:i/>
        </w:rPr>
        <w:t xml:space="preserve">Í </w:t>
      </w:r>
      <w:r w:rsidR="00681BC9">
        <w:rPr>
          <w:i/>
        </w:rPr>
        <w:t>fjórða</w:t>
      </w:r>
      <w:r w:rsidR="00681BC9" w:rsidRPr="009661F7">
        <w:rPr>
          <w:i/>
        </w:rPr>
        <w:t xml:space="preserve"> </w:t>
      </w:r>
      <w:r w:rsidRPr="009661F7">
        <w:rPr>
          <w:i/>
        </w:rPr>
        <w:t>lagi</w:t>
      </w:r>
      <w:r>
        <w:t xml:space="preserve"> er með frumvarpinu mælt fyrir um að viðhalda undanþágum frá tilteknum ákvæð</w:t>
      </w:r>
      <w:r w:rsidR="006D47C9">
        <w:softHyphen/>
      </w:r>
      <w:r>
        <w:t>um laga um verðbréfaviðskipti</w:t>
      </w:r>
      <w:r w:rsidR="00AC2291">
        <w:t>,</w:t>
      </w:r>
      <w:r>
        <w:t xml:space="preserve"> nr. 108/2007</w:t>
      </w:r>
      <w:r w:rsidR="00681BC9">
        <w:t>, komi til útgöngu Bretlands úr ESB án samnings</w:t>
      </w:r>
    </w:p>
    <w:p w14:paraId="3393E1F8" w14:textId="77777777" w:rsidR="0047386A" w:rsidRDefault="0047386A" w:rsidP="00D0740D"/>
    <w:p w14:paraId="4B50BE03" w14:textId="567DDD99" w:rsidR="00A30D1B" w:rsidRDefault="00C317DB" w:rsidP="0065307D">
      <w:pPr>
        <w:pStyle w:val="Millifyrirsgn2"/>
        <w:numPr>
          <w:ilvl w:val="2"/>
          <w:numId w:val="29"/>
        </w:numPr>
      </w:pPr>
      <w:r>
        <w:t>S</w:t>
      </w:r>
      <w:r w:rsidRPr="004F093F">
        <w:t>amning</w:t>
      </w:r>
      <w:r w:rsidR="00681BC9">
        <w:t>a</w:t>
      </w:r>
      <w:r w:rsidRPr="004F093F">
        <w:t>r EFTA-ríkjanna innan EES og Bretlands vegna útgöngu Bretlands úr ESB og EES</w:t>
      </w:r>
      <w:r w:rsidR="006D47C9">
        <w:t>.</w:t>
      </w:r>
    </w:p>
    <w:p w14:paraId="23356F03" w14:textId="38BC4E30" w:rsidR="00681BC9" w:rsidRDefault="007E2DFD" w:rsidP="00C317DB">
      <w:pPr>
        <w:rPr>
          <w:color w:val="000000"/>
          <w:szCs w:val="21"/>
        </w:rPr>
      </w:pPr>
      <w:r>
        <w:rPr>
          <w:color w:val="000000"/>
          <w:szCs w:val="21"/>
        </w:rPr>
        <w:lastRenderedPageBreak/>
        <w:t>Ísland og Bretland hafa átt í margvíslegum samskiptum um útgöngu Bretlands úr Evópusambandinu, bæði tvíhliða og í samstarfi við hin EFTA-ríkin innan EES (Liechtenstein og Noreg). Í júní 2018 hófu EFTA-ríkin innan EES og Bretland viðræður um gerð samnings sín á milli um ráðstafanir vegna útgöngu Bretlands úr ESB og EES</w:t>
      </w:r>
      <w:r w:rsidR="00681BC9">
        <w:rPr>
          <w:color w:val="000000"/>
          <w:szCs w:val="21"/>
        </w:rPr>
        <w:t xml:space="preserve"> sem endurspegla myndi þau ákvæ</w:t>
      </w:r>
      <w:r w:rsidR="0094415C">
        <w:rPr>
          <w:color w:val="000000"/>
          <w:szCs w:val="21"/>
        </w:rPr>
        <w:t>ði</w:t>
      </w:r>
      <w:r w:rsidR="00681BC9">
        <w:rPr>
          <w:color w:val="000000"/>
          <w:szCs w:val="21"/>
        </w:rPr>
        <w:t xml:space="preserve"> útgöngusamnings Bretlands og Evrópusambandsins sem vörðuðu þessi ríki</w:t>
      </w:r>
      <w:r>
        <w:rPr>
          <w:color w:val="000000"/>
          <w:szCs w:val="21"/>
        </w:rPr>
        <w:t xml:space="preserve">. Þeim viðræðum lauk í nóvember sl. </w:t>
      </w:r>
      <w:r w:rsidR="00681BC9">
        <w:rPr>
          <w:color w:val="000000"/>
          <w:szCs w:val="21"/>
        </w:rPr>
        <w:t>Í framhaldinu gerðu þessi ríki með sér annan samning sem tekur eingöngu til réttinda borgaranna</w:t>
      </w:r>
      <w:r w:rsidR="001715B9">
        <w:rPr>
          <w:color w:val="000000"/>
          <w:szCs w:val="21"/>
        </w:rPr>
        <w:t>, kæmi til útgöngu Bretlands úr ESB án samnings.</w:t>
      </w:r>
    </w:p>
    <w:p w14:paraId="34249C94" w14:textId="77777777" w:rsidR="00681BC9" w:rsidRDefault="00681BC9" w:rsidP="00C317DB">
      <w:pPr>
        <w:rPr>
          <w:color w:val="000000"/>
          <w:szCs w:val="21"/>
        </w:rPr>
      </w:pPr>
    </w:p>
    <w:p w14:paraId="5999B83C" w14:textId="77777777" w:rsidR="00681BC9" w:rsidRDefault="00681BC9" w:rsidP="0065307D">
      <w:pPr>
        <w:pStyle w:val="Normalmija"/>
      </w:pPr>
      <w:r w:rsidRPr="00A84435">
        <w:rPr>
          <w:i/>
        </w:rPr>
        <w:t>Samningur Íslands, Liechtenstein, Noregs og Bretlands vegna útgöngu Bretlands úr Evrópusambandinu og Evrópska efnahagssvæðinu á grundvelli samnings</w:t>
      </w:r>
      <w:r>
        <w:t>.</w:t>
      </w:r>
    </w:p>
    <w:p w14:paraId="408B4C07" w14:textId="77777777" w:rsidR="00681BC9" w:rsidRDefault="00681BC9" w:rsidP="00C317DB">
      <w:pPr>
        <w:rPr>
          <w:color w:val="000000"/>
          <w:szCs w:val="21"/>
        </w:rPr>
      </w:pPr>
    </w:p>
    <w:p w14:paraId="4C3F2257" w14:textId="0EE30E20" w:rsidR="001715B9" w:rsidRDefault="001715B9" w:rsidP="001715B9">
      <w:pPr>
        <w:ind w:firstLine="0"/>
        <w:rPr>
          <w:color w:val="000000"/>
          <w:szCs w:val="21"/>
        </w:rPr>
      </w:pPr>
      <w:r>
        <w:rPr>
          <w:color w:val="000000"/>
          <w:szCs w:val="21"/>
        </w:rPr>
        <w:t>Við gerð samningsins höfðu samningsaðilar hliðsjón af útgöngusamningi Bretlands og Evrópusambandsins. Markmið samningsgerðarinnar var að tryggja að ríkisborgarar þessara ríkja myndu njóta sömu réttinda og Bretland og Evrópusambandið urðu ásátt um í útgöngusamningnum og að sömu efnislegu reglur skyld</w:t>
      </w:r>
      <w:r w:rsidR="0094415C">
        <w:rPr>
          <w:color w:val="000000"/>
          <w:szCs w:val="21"/>
        </w:rPr>
        <w:t>u</w:t>
      </w:r>
      <w:r>
        <w:rPr>
          <w:color w:val="000000"/>
          <w:szCs w:val="21"/>
        </w:rPr>
        <w:t xml:space="preserve"> gilda um svonefnd önnur útgöngumál og samið hafði verið um </w:t>
      </w:r>
      <w:r w:rsidR="0094415C">
        <w:rPr>
          <w:color w:val="000000"/>
          <w:szCs w:val="21"/>
        </w:rPr>
        <w:t xml:space="preserve">í </w:t>
      </w:r>
      <w:r>
        <w:rPr>
          <w:color w:val="000000"/>
          <w:szCs w:val="21"/>
        </w:rPr>
        <w:t>útgöngusamningnum, að því marki sem ákvæði útgöngusamningsins vörðurðu málefni sem falla undir gildissvið samningsins um Evrópska efnahagssvæðisins eða annarra samninga sem Ísland, Liechtenstein og Noregur hafa gert við ESB eða ESB á einnig aðild að. Á hinn bóginn var ljóst að form, stofna</w:t>
      </w:r>
      <w:r w:rsidR="0094415C">
        <w:rPr>
          <w:color w:val="000000"/>
          <w:szCs w:val="21"/>
        </w:rPr>
        <w:t>na</w:t>
      </w:r>
      <w:r>
        <w:rPr>
          <w:color w:val="000000"/>
          <w:szCs w:val="21"/>
        </w:rPr>
        <w:t xml:space="preserve">uppbygging og réttaráhrif þessa samnings yrðu að vera önnur en í útgöngusamningnum. Efni samningins hefur því tekið mið af framangreindu. </w:t>
      </w:r>
    </w:p>
    <w:p w14:paraId="2D154F81" w14:textId="77777777" w:rsidR="001715B9" w:rsidRDefault="001715B9" w:rsidP="001715B9">
      <w:pPr>
        <w:rPr>
          <w:color w:val="000000"/>
          <w:szCs w:val="21"/>
        </w:rPr>
      </w:pPr>
      <w:r>
        <w:rPr>
          <w:color w:val="000000"/>
          <w:szCs w:val="21"/>
        </w:rPr>
        <w:t xml:space="preserve">Samningurinn skiptist í fjóra hluta. </w:t>
      </w:r>
    </w:p>
    <w:p w14:paraId="2597D0EC" w14:textId="5520F85E" w:rsidR="001715B9" w:rsidRDefault="001715B9" w:rsidP="001715B9">
      <w:pPr>
        <w:ind w:firstLine="0"/>
      </w:pPr>
      <w:r>
        <w:rPr>
          <w:color w:val="000000"/>
          <w:szCs w:val="21"/>
        </w:rPr>
        <w:tab/>
        <w:t>Í fyrsta hluta samningsins er að finna sameiginleg ákvæði. Þar er m.a. að finna ákvæði um að markmið samningsins sé að setja fram fyrirkomulag vegna útgöngu Bretlands úr ESB og samning</w:t>
      </w:r>
      <w:r w:rsidR="0094415C">
        <w:rPr>
          <w:color w:val="000000"/>
          <w:szCs w:val="21"/>
        </w:rPr>
        <w:t>n</w:t>
      </w:r>
      <w:r>
        <w:rPr>
          <w:color w:val="000000"/>
          <w:szCs w:val="21"/>
        </w:rPr>
        <w:t>um um Evrópska efnahagssvæðið vegna annars vegar réttinda ríkisborgara þessara ríkja og hins vegar annarra atriða sem tengjast útgöngunni. Þá er í fjórða grein samnings</w:t>
      </w:r>
      <w:r w:rsidR="0094415C">
        <w:rPr>
          <w:color w:val="000000"/>
          <w:szCs w:val="21"/>
        </w:rPr>
        <w:t>ins</w:t>
      </w:r>
      <w:r>
        <w:rPr>
          <w:color w:val="000000"/>
          <w:szCs w:val="21"/>
        </w:rPr>
        <w:t xml:space="preserve"> mælt fyrir um hvernig skuli framkvæma og túlka ákvæði samningsins. Samkvæmt ákvæðinu skulu samningsaðilar </w:t>
      </w:r>
      <w:r>
        <w:t>gera allar nauðsynlegar ráðstafanir til þess að framfylgja ákvæðum samningsins og til þess að innleiða þau réttindi sem viðurkennd eru í samning</w:t>
      </w:r>
      <w:r w:rsidR="0094415C">
        <w:t>n</w:t>
      </w:r>
      <w:r>
        <w:t>um í löggjöf sína. Þá skulu stjórnvöld og dómstólar samningsaðilanna taka tilhlýðilegt tillit til ákvæða samningsins við beitingu löggjafar sem felur í sér innleiðingu samningsins. Ennfremur skal við túlkun ákvæða II. og III. hluta samnings</w:t>
      </w:r>
      <w:r w:rsidR="0094415C">
        <w:t>ins</w:t>
      </w:r>
      <w:r>
        <w:t xml:space="preserve"> gæta samræmis við túlkun samhljóðandi ákvæða útgöngusamnings Bretlands og ESB. Framangreindum ákvæðum er ætlað að tryggja samræmi í framkvæmd og túlkun samningsins, þannig að ríkisborgarar EFTA-ríkjanna innan EES sitji við sama borð við framkvæmd og beitingu samnings</w:t>
      </w:r>
      <w:r w:rsidR="0094415C">
        <w:t>ins</w:t>
      </w:r>
      <w:r>
        <w:t xml:space="preserve"> og ríkisborgarar aðildarríkja Evrópusambandsins. </w:t>
      </w:r>
    </w:p>
    <w:p w14:paraId="4C36A508" w14:textId="76086487" w:rsidR="001715B9" w:rsidRPr="0042745B" w:rsidRDefault="001715B9" w:rsidP="001715B9">
      <w:r>
        <w:rPr>
          <w:color w:val="000000"/>
          <w:szCs w:val="21"/>
        </w:rPr>
        <w:tab/>
        <w:t xml:space="preserve">Ákvæði annars hluta samningsins mæla fyrir um réttindi borgaranna. Þessi ákvæði eru efnislega að mestu samhljóða ákvæðum útgöngusamningsins og </w:t>
      </w:r>
      <w:r>
        <w:t>er þar að finna ákvæði um réttindi ríkisborgara EFTA-ríkjanna innan EES og breskra ríkisborgara, sem og aðstandenda þeirra, til dvalar í gistiríkinu. Í  14. gr. samningsins er mælt fyrir um rétt til ótímabundinnar dvalar en réttinn öðlast þeir sem búsettir hafa verið með löglegum hætti í gistiríkinu í fimm ár samfleytt. Þá mælir 15. gr. samningsins fyrir um að þeir sem hafa dvalið skemur en fimm ár eigi rétt til ótímabundinnar dvalar þegar þeir hafa lokið nauðsynlegum búsetutímabilum skv. 14. gr. Ennfremur er að finna ákvæði um réttindi launafólks og sjálfstætt starfandi ein</w:t>
      </w:r>
      <w:r w:rsidR="0094415C">
        <w:t>s</w:t>
      </w:r>
      <w:r>
        <w:t>taklinga og heimild atvinnuríkis til að krefja ríkisborgara EFTA-ríkja innan EES og breska ríkisborgara um skjal sem staðfestir réttindi þeirra sem sækja vinnu yfir landamæri. Einnig eru ákvæði um viðurkenningu á faglegri menntun og hæfi og mælir 26. gr. samningsins</w:t>
      </w:r>
      <w:r w:rsidRPr="00585544">
        <w:t xml:space="preserve"> </w:t>
      </w:r>
      <w:r>
        <w:t xml:space="preserve">fyrir </w:t>
      </w:r>
      <w:r w:rsidR="0094415C">
        <w:t xml:space="preserve">um </w:t>
      </w:r>
      <w:r>
        <w:t xml:space="preserve">að </w:t>
      </w:r>
      <w:r>
        <w:lastRenderedPageBreak/>
        <w:t>viðurkenning skuli halda áhrifum sínum í viðkomandi landi að uppfylltum ákveðnum skilyrðum. Samningurinn tekur einnig til samræmingu almannatryggingakerfa. Skulu samningsaðilar miðla upplýsingum um réttindi og skyldur einstaklinga sem heyra undir þennan hluta samningsins, meðal annars með herferðum til vitundarvakningar í fjölmiðlum á landsvísu. Þá mælir 37. gr. samningsins fyrir um að einstaklingar sem heyra undir samninginn njóti réttinda í viðeigandi bálkum ævilangt að því undanskildu að þeir uppfylli ekki lengur skilyrði sem sett eru fram í þeim bálkum.</w:t>
      </w:r>
    </w:p>
    <w:p w14:paraId="6765FFB1" w14:textId="3B0597CA" w:rsidR="001715B9" w:rsidRDefault="001715B9" w:rsidP="001715B9">
      <w:pPr>
        <w:ind w:firstLine="0"/>
        <w:rPr>
          <w:color w:val="000000"/>
          <w:szCs w:val="21"/>
        </w:rPr>
      </w:pPr>
      <w:r>
        <w:rPr>
          <w:color w:val="000000"/>
          <w:szCs w:val="21"/>
        </w:rPr>
        <w:tab/>
        <w:t>Þriðji hluti samningsins ber heitið „Önnur útgönguatriði“. Í útgöngusamningnum er með hugtakinu „önnur útgönguatriði“ átt við þau efnisákvæði útgöngusamningsins sem ekki varða réttindi borgaranna. Í samningi Íslands, Liechtenstein, Noregs og Bretlands eru ákvæði um þau önnur útgönguatriði sem falla undir efni þeirra samninga sem þessi ríki hafa gert við Evrópusambandið. Í þeim efnum vega ákvæði EES-samningsins mestu en samningurinn tekur einnig til samninga sem þessi ríki hafa gert við ESB sem varða samstarf á sviði dóms- og innanríkismála, einkum framkvæmd Schengen-samstarfsins og öðrum samningum því tengdu. Í þessum kafla er því að finna ákvæði um vörur sem settar hafa verið á markað, hugverkaréttindi, samvinnu á sviði lögreglu- og dómsmála</w:t>
      </w:r>
      <w:r w:rsidRPr="00C00FD5">
        <w:rPr>
          <w:color w:val="000000"/>
          <w:szCs w:val="21"/>
        </w:rPr>
        <w:t>, persónuvernd,</w:t>
      </w:r>
      <w:r>
        <w:rPr>
          <w:color w:val="000000"/>
          <w:szCs w:val="21"/>
        </w:rPr>
        <w:t xml:space="preserve"> opinber innkaup og meðferð dómsmál</w:t>
      </w:r>
      <w:r w:rsidR="0094415C">
        <w:rPr>
          <w:color w:val="000000"/>
          <w:szCs w:val="21"/>
        </w:rPr>
        <w:t>a</w:t>
      </w:r>
      <w:r>
        <w:rPr>
          <w:color w:val="000000"/>
          <w:szCs w:val="21"/>
        </w:rPr>
        <w:t xml:space="preserve">. Almennt má segja að ákvæði samningsins um framangreind atriði feli í sér nokkurs konar lagaskilareglur, þ.e.a.s. að með þessum ákvæðum er leitast við að setja markalínur hvenær skuli beita ákvæðum EES-samningsins og annarra samninga við ESB í einstökum tilvikum sem kunna að koma upp við lok bráðabirgðatímabilsins, t.d. í tengslum við viðskipti með vörur sem settar hafa verið á markað fyrir lok þess tímabils, framkvæmd útboða sem hafa hafist fyrir sömu tímamörk eða beiðni um réttaraðstoð sem sendar hafa verið fyrir lok þessa tímabils. Rétt er vekja athygli á því að hugsanlegt er að ekki komi til þess að þessum ákvæðum verði beitt en það ræðst að því hvernig samningum um framtíðarsamskipti þessarar ríkja verður háttað. </w:t>
      </w:r>
    </w:p>
    <w:p w14:paraId="4F0F16B2" w14:textId="37A1AD74" w:rsidR="001715B9" w:rsidRDefault="001715B9" w:rsidP="001715B9">
      <w:pPr>
        <w:ind w:firstLine="0"/>
        <w:rPr>
          <w:color w:val="000000"/>
          <w:szCs w:val="21"/>
        </w:rPr>
      </w:pPr>
      <w:r>
        <w:rPr>
          <w:color w:val="000000"/>
          <w:szCs w:val="21"/>
        </w:rPr>
        <w:tab/>
        <w:t>Fjórði hluti samningsins mælir fyrir um stofnanlegt fyrirkomulag samningsins. Samkvæmt samning</w:t>
      </w:r>
      <w:r w:rsidR="00A84435">
        <w:rPr>
          <w:color w:val="000000"/>
          <w:szCs w:val="21"/>
        </w:rPr>
        <w:t>n</w:t>
      </w:r>
      <w:r>
        <w:rPr>
          <w:color w:val="000000"/>
          <w:szCs w:val="21"/>
        </w:rPr>
        <w:t>um skal sérstakri óháðri eftirlitsstofnu</w:t>
      </w:r>
      <w:r w:rsidR="00A84435">
        <w:rPr>
          <w:color w:val="000000"/>
          <w:szCs w:val="21"/>
        </w:rPr>
        <w:t>n</w:t>
      </w:r>
      <w:r>
        <w:rPr>
          <w:color w:val="000000"/>
          <w:szCs w:val="21"/>
        </w:rPr>
        <w:t xml:space="preserve"> sem komið var á fót með útgöngusamningi Bretlands og ESB hafa eftirlit með framkvæmd þeirra ákvæða samningsins sem varðar réttindi borgaranna gagnvart breskum stjórnvöldum og geta ríkisborgarar Íslands, Liechtenstein og Noregs leitað til stofnunarinnar telji þeir á rétti sínum brotið í Bretlandi. Ennfremur getur stofnunin að eigin frumkvæði tekið upp framkvæmd samningins í Bretlandi og getur stofnunin höfðað mál gegn breskum stjórnvöldum fyrir dómstólum í Bretlandi, telji hún að bresk stjornvöld virði ekki ákvæði samningsins um þetta efni. Þetta atriði er afar mikilvægur þáttur til að tryggja að ríkisborgarar Íslands, Liechtenstein og Noregs standi jafnfætis gagnvart ríkisborgurum aðildarríkja ESB í Bretlandi. Skv. samning</w:t>
      </w:r>
      <w:r w:rsidR="00A84435">
        <w:rPr>
          <w:color w:val="000000"/>
          <w:szCs w:val="21"/>
        </w:rPr>
        <w:t>n</w:t>
      </w:r>
      <w:r>
        <w:rPr>
          <w:color w:val="000000"/>
          <w:szCs w:val="21"/>
        </w:rPr>
        <w:t>um skal Eftirlitsstofnun EFTA falið að hafa eftirlit með framkvæmd samningsins á Íslandi, í Liechtenstein og Noregi. Með þessari nálgun er í raun verið að viðhalda núverandi fyrirkomulagi með því að framlengja núverandi hlutverk stofnunarinnar gagnvart þeim bresku borgurum sem féllu áður undir EES-samninginn en munu nú falla undir ákvæði samnings Ísland, Liechtenstein, Noregs og Bretlands. Að öðru leyti er sameiginlegri nefnd samningsaðila falin framkvæmd samningsaðila og skal sameiginlegu nefndinni m.a. vera heimilt að taka ákvarðanir um tilteknar breytingar á samningnum og er henni ennfremur falið að leysa úr deilumálum vegna ágreinings samningsaðila um túlkun og framkvæmd samningsins.</w:t>
      </w:r>
    </w:p>
    <w:p w14:paraId="759D744C" w14:textId="62E7943D" w:rsidR="001715B9" w:rsidRDefault="001715B9" w:rsidP="00C317DB">
      <w:pPr>
        <w:rPr>
          <w:color w:val="000000"/>
          <w:szCs w:val="21"/>
        </w:rPr>
      </w:pPr>
    </w:p>
    <w:p w14:paraId="692ECDB0" w14:textId="56CB0A5F" w:rsidR="001715B9" w:rsidRPr="0065307D" w:rsidRDefault="001715B9" w:rsidP="0065307D">
      <w:pPr>
        <w:pStyle w:val="Millifyrirsgn2"/>
        <w:jc w:val="center"/>
      </w:pPr>
      <w:r w:rsidRPr="001715B9">
        <w:t>Samningur Íslands, Liechtenstein, Noregs og Bretlands vegna útgöngu Bretlands úr Evrópusambandinu og Evrópska efnahagssvæðinu án samnings</w:t>
      </w:r>
    </w:p>
    <w:p w14:paraId="7396530A" w14:textId="50880E16" w:rsidR="007E2DFD" w:rsidRDefault="007E2DFD" w:rsidP="00C317DB">
      <w:pPr>
        <w:rPr>
          <w:color w:val="000000"/>
          <w:szCs w:val="21"/>
        </w:rPr>
      </w:pPr>
      <w:r>
        <w:rPr>
          <w:color w:val="000000"/>
          <w:szCs w:val="21"/>
        </w:rPr>
        <w:lastRenderedPageBreak/>
        <w:t>Til þess að bregðast við þeim mögu</w:t>
      </w:r>
      <w:r w:rsidR="006D47C9">
        <w:rPr>
          <w:color w:val="000000"/>
          <w:szCs w:val="21"/>
        </w:rPr>
        <w:softHyphen/>
      </w:r>
      <w:r>
        <w:rPr>
          <w:color w:val="000000"/>
          <w:szCs w:val="21"/>
        </w:rPr>
        <w:t xml:space="preserve">leika að Bretland kynni að hverfa úr Evrópusambandinu án samnings ákváðu þessi ríki að gera annan samning, að mestu byggðan á fyrri samningi, sem tæki þó </w:t>
      </w:r>
      <w:r w:rsidR="001715B9">
        <w:rPr>
          <w:color w:val="000000"/>
          <w:szCs w:val="21"/>
        </w:rPr>
        <w:t xml:space="preserve">hins vegar eingöngu til </w:t>
      </w:r>
      <w:r>
        <w:rPr>
          <w:color w:val="000000"/>
          <w:szCs w:val="21"/>
        </w:rPr>
        <w:t>réttinda þeirra ríkis</w:t>
      </w:r>
      <w:r w:rsidR="006D47C9">
        <w:rPr>
          <w:color w:val="000000"/>
          <w:szCs w:val="21"/>
        </w:rPr>
        <w:softHyphen/>
      </w:r>
      <w:r>
        <w:rPr>
          <w:color w:val="000000"/>
          <w:szCs w:val="21"/>
        </w:rPr>
        <w:t xml:space="preserve">borgara þessara ríkja sem </w:t>
      </w:r>
      <w:r w:rsidR="000025DC">
        <w:rPr>
          <w:color w:val="000000"/>
          <w:szCs w:val="21"/>
        </w:rPr>
        <w:t>nýtt hafa ákvæði EES-samning</w:t>
      </w:r>
      <w:r w:rsidR="00A84435">
        <w:rPr>
          <w:color w:val="000000"/>
          <w:szCs w:val="21"/>
        </w:rPr>
        <w:t>s</w:t>
      </w:r>
      <w:r w:rsidR="000025DC">
        <w:rPr>
          <w:color w:val="000000"/>
          <w:szCs w:val="21"/>
        </w:rPr>
        <w:t xml:space="preserve">ins um frjálsa för til að dveljast og/eða stunda atvinnu í annað hvort Bretlandi eða í EFTA-ríkjunum innan EES. </w:t>
      </w:r>
      <w:r w:rsidR="001715B9">
        <w:rPr>
          <w:color w:val="000000"/>
          <w:szCs w:val="21"/>
        </w:rPr>
        <w:t>Efni þess samnings er því nokkuð einfaldara en fyrri samningsins.</w:t>
      </w:r>
    </w:p>
    <w:p w14:paraId="68FC95F9" w14:textId="77777777" w:rsidR="00A30D1B" w:rsidRDefault="00A30D1B" w:rsidP="00EA1BF2">
      <w:pPr>
        <w:rPr>
          <w:color w:val="000000"/>
          <w:szCs w:val="21"/>
        </w:rPr>
      </w:pPr>
      <w:r>
        <w:rPr>
          <w:color w:val="000000"/>
          <w:szCs w:val="21"/>
        </w:rPr>
        <w:t xml:space="preserve">Samningurinn skiptist í </w:t>
      </w:r>
      <w:r w:rsidR="000025DC">
        <w:rPr>
          <w:color w:val="000000"/>
          <w:szCs w:val="21"/>
        </w:rPr>
        <w:t xml:space="preserve">þrjá </w:t>
      </w:r>
      <w:r>
        <w:rPr>
          <w:color w:val="000000"/>
          <w:szCs w:val="21"/>
        </w:rPr>
        <w:t xml:space="preserve">hluta. </w:t>
      </w:r>
    </w:p>
    <w:p w14:paraId="3D126EAA" w14:textId="3EE088C0" w:rsidR="000025DC" w:rsidRDefault="00A30D1B" w:rsidP="00D2541F">
      <w:r>
        <w:t>Í fyrsta hluta samningsins er að finna sameiginleg ákvæði.</w:t>
      </w:r>
      <w:r w:rsidR="000025DC">
        <w:t xml:space="preserve"> Er þar </w:t>
      </w:r>
      <w:r w:rsidR="00A84435">
        <w:t xml:space="preserve">á </w:t>
      </w:r>
      <w:r w:rsidR="000025DC">
        <w:t>m</w:t>
      </w:r>
      <w:r w:rsidR="00AC2291">
        <w:t>eðal annars</w:t>
      </w:r>
      <w:r w:rsidR="000025DC">
        <w:t xml:space="preserve"> mælt fyrir um skyldu samningsaðila til að tryggja að allar nauðsynlegar ráðstafanir séu gerðar ti</w:t>
      </w:r>
      <w:r w:rsidR="0062680B">
        <w:t>l</w:t>
      </w:r>
      <w:r w:rsidR="000025DC">
        <w:t xml:space="preserve"> að koma ákvæðum samningsins til framkv</w:t>
      </w:r>
      <w:r w:rsidR="00A944EE">
        <w:t>æ</w:t>
      </w:r>
      <w:r w:rsidR="000025DC">
        <w:t>mda og koma þeim réttindum sem viðurkennd eru í samningnum inn í landsrétt sinn með löggjöf. Þá skulu stjórnvöld og dómstólar samnin</w:t>
      </w:r>
      <w:r w:rsidR="00A944EE">
        <w:t>g</w:t>
      </w:r>
      <w:r w:rsidR="000025DC">
        <w:t>saðila enn</w:t>
      </w:r>
      <w:r w:rsidR="00AC2291">
        <w:t xml:space="preserve"> </w:t>
      </w:r>
      <w:r w:rsidR="000025DC">
        <w:t>fremur taka tilhlýðilegt tillit til samnings</w:t>
      </w:r>
      <w:r w:rsidR="00A84435">
        <w:t>ins</w:t>
      </w:r>
      <w:r w:rsidR="000025DC">
        <w:t xml:space="preserve"> við túlkun og beitingu löggjafar sem sett hefur verið til fram</w:t>
      </w:r>
      <w:r w:rsidR="006D47C9">
        <w:softHyphen/>
      </w:r>
      <w:r w:rsidR="000025DC">
        <w:t>kvæmdar samningnum.</w:t>
      </w:r>
      <w:r w:rsidR="0030284F">
        <w:t xml:space="preserve"> </w:t>
      </w:r>
    </w:p>
    <w:p w14:paraId="072C373E" w14:textId="0E913EC2" w:rsidR="00F536AA" w:rsidRPr="009661F7" w:rsidRDefault="00F536AA" w:rsidP="00D2541F">
      <w:r>
        <w:rPr>
          <w:color w:val="000000"/>
          <w:szCs w:val="21"/>
        </w:rPr>
        <w:t>Ákvæði annars hluta samningsins mæla fyrir um réttindi borgaranna</w:t>
      </w:r>
      <w:r w:rsidR="0079288D">
        <w:rPr>
          <w:color w:val="000000"/>
          <w:szCs w:val="21"/>
        </w:rPr>
        <w:t xml:space="preserve"> og </w:t>
      </w:r>
      <w:r w:rsidR="00B86BBC">
        <w:t xml:space="preserve">er </w:t>
      </w:r>
      <w:r w:rsidR="0079288D">
        <w:t xml:space="preserve">þar </w:t>
      </w:r>
      <w:r w:rsidR="00B86BBC">
        <w:t>að finna ákvæði um réttindi ríkisborgara EFTA-ríkjanna innan EES og breskra ríkisborgara</w:t>
      </w:r>
      <w:r w:rsidR="008C71BB">
        <w:t>, sem</w:t>
      </w:r>
      <w:r w:rsidR="0030284F">
        <w:t xml:space="preserve"> </w:t>
      </w:r>
      <w:r w:rsidR="00B86BBC">
        <w:t>og aðstandend</w:t>
      </w:r>
      <w:r w:rsidR="00591CAD">
        <w:t>a</w:t>
      </w:r>
      <w:r w:rsidR="00B86BBC">
        <w:t xml:space="preserve"> þeirra</w:t>
      </w:r>
      <w:r w:rsidR="008C71BB">
        <w:t>,</w:t>
      </w:r>
      <w:r w:rsidR="00B86BBC">
        <w:t xml:space="preserve"> til dvalar í gistiríkinu. Í</w:t>
      </w:r>
      <w:r w:rsidR="0030284F">
        <w:t xml:space="preserve"> </w:t>
      </w:r>
      <w:r w:rsidR="008C71BB">
        <w:t xml:space="preserve">14. gr. </w:t>
      </w:r>
      <w:r w:rsidR="00B86BBC">
        <w:t xml:space="preserve">samningsins </w:t>
      </w:r>
      <w:r w:rsidR="008C71BB">
        <w:t xml:space="preserve">er </w:t>
      </w:r>
      <w:r w:rsidR="00B86BBC">
        <w:t xml:space="preserve">mælt fyrir um rétt til ótímabundinnar dvalar en réttinn öðlast þeir sem búsettir hafa verið </w:t>
      </w:r>
      <w:r w:rsidR="008C71BB">
        <w:t xml:space="preserve">með </w:t>
      </w:r>
      <w:r w:rsidR="00B86BBC">
        <w:t>löglegum hætti í gisti</w:t>
      </w:r>
      <w:r w:rsidR="00AC2291">
        <w:softHyphen/>
      </w:r>
      <w:r w:rsidR="00B86BBC">
        <w:t xml:space="preserve">ríkinu í fimm ár samfleytt. Þá mælir 15. gr. samningsins fyrir um að þeir sem hafa dvalið skemur en fimm </w:t>
      </w:r>
      <w:r w:rsidR="00AC2291">
        <w:t xml:space="preserve">ár </w:t>
      </w:r>
      <w:r w:rsidR="00B86BBC">
        <w:t>eigi rétt til ótímabundinnar dvalar þegar þeir hafa lokið nauðsynlegum bú</w:t>
      </w:r>
      <w:r w:rsidR="006D47C9">
        <w:softHyphen/>
      </w:r>
      <w:r w:rsidR="00B86BBC">
        <w:t>setu</w:t>
      </w:r>
      <w:r w:rsidR="006D47C9">
        <w:softHyphen/>
      </w:r>
      <w:r w:rsidR="00B86BBC">
        <w:t xml:space="preserve">tímabilum skv. 14. gr. </w:t>
      </w:r>
      <w:r w:rsidR="0079288D">
        <w:t>Enn</w:t>
      </w:r>
      <w:r w:rsidR="00AC2291">
        <w:t xml:space="preserve"> </w:t>
      </w:r>
      <w:r w:rsidR="0079288D">
        <w:t xml:space="preserve">fremur er </w:t>
      </w:r>
      <w:r w:rsidR="0029759B">
        <w:t xml:space="preserve">að </w:t>
      </w:r>
      <w:r w:rsidR="008C71BB">
        <w:t>finna</w:t>
      </w:r>
      <w:r w:rsidR="00B86BBC">
        <w:t xml:space="preserve"> ákvæði um réttindi launafólks og sjálf</w:t>
      </w:r>
      <w:r w:rsidR="00AC2291">
        <w:softHyphen/>
      </w:r>
      <w:r w:rsidR="00B86BBC">
        <w:t>stætt starfandi ein</w:t>
      </w:r>
      <w:r w:rsidR="00AC2291">
        <w:t>s</w:t>
      </w:r>
      <w:r w:rsidR="00B86BBC">
        <w:t>taklinga</w:t>
      </w:r>
      <w:r w:rsidR="0079288D">
        <w:t xml:space="preserve">, </w:t>
      </w:r>
      <w:r w:rsidR="00B86BBC">
        <w:t>ákvæði um viðurkenning</w:t>
      </w:r>
      <w:r w:rsidR="00AC2291">
        <w:t>u</w:t>
      </w:r>
      <w:r w:rsidR="00B86BBC">
        <w:t xml:space="preserve"> á faglegri menntun og hæfi</w:t>
      </w:r>
      <w:r w:rsidR="0079288D">
        <w:t xml:space="preserve">. </w:t>
      </w:r>
      <w:r w:rsidR="00B86BBC">
        <w:t xml:space="preserve">25. gr. samningsins </w:t>
      </w:r>
      <w:r w:rsidR="00AC2291">
        <w:t xml:space="preserve">mælir </w:t>
      </w:r>
      <w:r w:rsidR="00B86BBC">
        <w:t xml:space="preserve">fyrir </w:t>
      </w:r>
      <w:r w:rsidR="00AC2291">
        <w:t xml:space="preserve">um </w:t>
      </w:r>
      <w:r w:rsidR="00B86BBC">
        <w:t>að viðurkenning sk</w:t>
      </w:r>
      <w:r w:rsidR="00A84435">
        <w:t>u</w:t>
      </w:r>
      <w:r w:rsidR="00B86BBC">
        <w:t>l</w:t>
      </w:r>
      <w:r w:rsidR="00A84435">
        <w:t>i</w:t>
      </w:r>
      <w:r w:rsidR="00B86BBC">
        <w:t xml:space="preserve"> halda áhrifum sínum í viðkomandi landi að uppfylltum ákveðnum skilyrðum. </w:t>
      </w:r>
      <w:r w:rsidR="00591CAD">
        <w:t xml:space="preserve">Samningurinn tekur einnig til samræmingu </w:t>
      </w:r>
      <w:r w:rsidR="00B86BBC">
        <w:t>almanna</w:t>
      </w:r>
      <w:r w:rsidR="00AC2291">
        <w:softHyphen/>
      </w:r>
      <w:r w:rsidR="00B86BBC">
        <w:t>tryggingakerf</w:t>
      </w:r>
      <w:r w:rsidR="00591CAD">
        <w:t>a</w:t>
      </w:r>
      <w:r w:rsidR="00B86BBC">
        <w:t xml:space="preserve">. </w:t>
      </w:r>
      <w:r w:rsidR="00591CAD">
        <w:t>S</w:t>
      </w:r>
      <w:r w:rsidR="00B86BBC">
        <w:t>kulu samningsaðilar miðla upplýsingum um réttindi og skyldur einstaklinga sem heyra undir þennan hluta samningsins, m</w:t>
      </w:r>
      <w:r w:rsidR="008C71BB">
        <w:t>eðal annars</w:t>
      </w:r>
      <w:r w:rsidR="00B86BBC">
        <w:t xml:space="preserve"> með herferðum til vitundarvakningar í fjölmiðlum á lands</w:t>
      </w:r>
      <w:r w:rsidR="006D47C9">
        <w:softHyphen/>
      </w:r>
      <w:r w:rsidR="00B86BBC">
        <w:t xml:space="preserve">vísu. Þá mælir 36. gr. samningsins fyrir </w:t>
      </w:r>
      <w:r w:rsidR="00AC2291">
        <w:t xml:space="preserve">um </w:t>
      </w:r>
      <w:r w:rsidR="00B86BBC">
        <w:t>að einstaklingar njóti réttinda í viðeigandi bálk</w:t>
      </w:r>
      <w:r w:rsidR="006D47C9">
        <w:softHyphen/>
      </w:r>
      <w:r w:rsidR="00B86BBC">
        <w:t>um ævilangt nema þeir uppfylli ekki lengur skilyrði sem sett eru fram í þeim bálkum.</w:t>
      </w:r>
    </w:p>
    <w:p w14:paraId="465003F0" w14:textId="77777777" w:rsidR="003549BD" w:rsidRDefault="000025DC" w:rsidP="00D2541F">
      <w:r>
        <w:t xml:space="preserve">Þriðji </w:t>
      </w:r>
      <w:r w:rsidR="003549BD">
        <w:t xml:space="preserve">hluti samningsins mælir fyrir um stofnanlegt fyrirkomulag samningsins. </w:t>
      </w:r>
      <w:r>
        <w:t>Samkvæmt þessum hluta</w:t>
      </w:r>
      <w:r w:rsidR="0030284F">
        <w:t xml:space="preserve"> </w:t>
      </w:r>
      <w:r>
        <w:t xml:space="preserve">skal </w:t>
      </w:r>
      <w:r w:rsidR="00D1466F">
        <w:t xml:space="preserve">sameiginlegri nefnd samningsaðila falin framkvæmd </w:t>
      </w:r>
      <w:r>
        <w:t xml:space="preserve">samningsins </w:t>
      </w:r>
      <w:r w:rsidR="00D1466F">
        <w:t>og skal sam</w:t>
      </w:r>
      <w:r w:rsidR="006D47C9">
        <w:softHyphen/>
      </w:r>
      <w:r w:rsidR="00D1466F">
        <w:t xml:space="preserve">eiginlegu nefndinni </w:t>
      </w:r>
      <w:r w:rsidR="006D47C9">
        <w:t>meðal annars</w:t>
      </w:r>
      <w:r w:rsidR="00D1466F">
        <w:t xml:space="preserve"> vera heimilt að taka ákvarðanir um tilteknar breytingar á samningnum og er henni enn</w:t>
      </w:r>
      <w:r w:rsidR="00AC2291">
        <w:t xml:space="preserve"> </w:t>
      </w:r>
      <w:r w:rsidR="00D1466F">
        <w:t>fremur falið að leysa úr deilumálum vegna ágreinings samn</w:t>
      </w:r>
      <w:r w:rsidR="006D47C9">
        <w:softHyphen/>
      </w:r>
      <w:r w:rsidR="00D1466F">
        <w:t>ingsaðila um túlkun og framkvæmd samningsins.</w:t>
      </w:r>
    </w:p>
    <w:p w14:paraId="06B3F3CB" w14:textId="77777777" w:rsidR="007C7E7A" w:rsidRPr="004F093F" w:rsidRDefault="007C7E7A" w:rsidP="00D2541F">
      <w:pPr>
        <w:ind w:firstLine="0"/>
        <w:rPr>
          <w:color w:val="000000"/>
          <w:szCs w:val="21"/>
        </w:rPr>
      </w:pPr>
    </w:p>
    <w:p w14:paraId="409C71E9" w14:textId="75214701" w:rsidR="001D2E0D" w:rsidRPr="004F093F" w:rsidRDefault="007E2DFD" w:rsidP="00D2541F">
      <w:pPr>
        <w:pStyle w:val="Millifyrirsgn2"/>
      </w:pPr>
      <w:r>
        <w:t>2</w:t>
      </w:r>
      <w:r w:rsidR="001D2E0D" w:rsidRPr="004F093F">
        <w:t>.</w:t>
      </w:r>
      <w:r w:rsidR="00B35848">
        <w:t xml:space="preserve"> </w:t>
      </w:r>
      <w:r w:rsidR="001D2E0D">
        <w:t>Lagabreytingar vegna innleiðingar samning</w:t>
      </w:r>
      <w:r w:rsidR="001715B9">
        <w:t>a</w:t>
      </w:r>
      <w:r w:rsidR="001D2E0D">
        <w:t xml:space="preserve"> Íslands, Liechtenstein, Noregs og Bretlands</w:t>
      </w:r>
      <w:r w:rsidR="006D47C9">
        <w:t>.</w:t>
      </w:r>
    </w:p>
    <w:p w14:paraId="4CCAD634" w14:textId="62F106AB" w:rsidR="00DA7860" w:rsidRPr="005F2F6F" w:rsidRDefault="00DA7860" w:rsidP="00DA7860">
      <w:pPr>
        <w:rPr>
          <w:rFonts w:eastAsia="Times New Roman"/>
          <w:sz w:val="22"/>
        </w:rPr>
      </w:pPr>
      <w:r w:rsidRPr="009661F7">
        <w:rPr>
          <w:rFonts w:eastAsia="Times New Roman"/>
          <w:szCs w:val="21"/>
        </w:rPr>
        <w:t xml:space="preserve">Til þess að hrinda megi ákvæðum annars </w:t>
      </w:r>
      <w:r w:rsidR="001715B9">
        <w:rPr>
          <w:rFonts w:eastAsia="Times New Roman"/>
          <w:szCs w:val="21"/>
        </w:rPr>
        <w:t>framangreind</w:t>
      </w:r>
      <w:r w:rsidR="00A84435">
        <w:rPr>
          <w:rFonts w:eastAsia="Times New Roman"/>
          <w:szCs w:val="21"/>
        </w:rPr>
        <w:t>r</w:t>
      </w:r>
      <w:r w:rsidR="001715B9">
        <w:rPr>
          <w:rFonts w:eastAsia="Times New Roman"/>
          <w:szCs w:val="21"/>
        </w:rPr>
        <w:t xml:space="preserve">a </w:t>
      </w:r>
      <w:r w:rsidRPr="009661F7">
        <w:rPr>
          <w:rFonts w:eastAsia="Times New Roman"/>
          <w:szCs w:val="21"/>
        </w:rPr>
        <w:t>samning</w:t>
      </w:r>
      <w:r w:rsidR="001715B9">
        <w:rPr>
          <w:rFonts w:eastAsia="Times New Roman"/>
          <w:szCs w:val="21"/>
        </w:rPr>
        <w:t>a</w:t>
      </w:r>
      <w:r w:rsidRPr="009661F7">
        <w:rPr>
          <w:rFonts w:eastAsia="Times New Roman"/>
          <w:szCs w:val="21"/>
        </w:rPr>
        <w:t xml:space="preserve"> Íslands, Liechtenste</w:t>
      </w:r>
      <w:r w:rsidR="00AC2291">
        <w:rPr>
          <w:rFonts w:eastAsia="Times New Roman"/>
          <w:szCs w:val="21"/>
        </w:rPr>
        <w:t>in</w:t>
      </w:r>
      <w:r w:rsidRPr="009661F7">
        <w:rPr>
          <w:rFonts w:eastAsia="Times New Roman"/>
          <w:szCs w:val="21"/>
        </w:rPr>
        <w:t>, Noregs og Bretlands vegna útgöngu Bretlands úr ESB í framkvæmd hér á landi er nauðsynlegt að gera breytingar á lögum um útlendinga</w:t>
      </w:r>
      <w:r w:rsidR="00AC2291">
        <w:rPr>
          <w:rFonts w:eastAsia="Times New Roman"/>
          <w:szCs w:val="21"/>
        </w:rPr>
        <w:t>,</w:t>
      </w:r>
      <w:r w:rsidRPr="009661F7">
        <w:rPr>
          <w:rFonts w:eastAsia="Times New Roman"/>
          <w:szCs w:val="21"/>
        </w:rPr>
        <w:t xml:space="preserve"> nr. 80/2016. Þær breytingar sem gerðar eru á útlendinga</w:t>
      </w:r>
      <w:r w:rsidR="006D47C9">
        <w:rPr>
          <w:rFonts w:eastAsia="Times New Roman"/>
          <w:szCs w:val="21"/>
        </w:rPr>
        <w:softHyphen/>
      </w:r>
      <w:r w:rsidRPr="009661F7">
        <w:rPr>
          <w:rFonts w:eastAsia="Times New Roman"/>
          <w:szCs w:val="21"/>
        </w:rPr>
        <w:t>lögum með frumvarpi þessu lúta að því að tryggja rétt þeirra ríkisborgara Bretlands og að</w:t>
      </w:r>
      <w:r w:rsidR="006D47C9">
        <w:rPr>
          <w:rFonts w:eastAsia="Times New Roman"/>
          <w:szCs w:val="21"/>
        </w:rPr>
        <w:softHyphen/>
      </w:r>
      <w:r w:rsidRPr="009661F7">
        <w:rPr>
          <w:rFonts w:eastAsia="Times New Roman"/>
          <w:szCs w:val="21"/>
        </w:rPr>
        <w:t>stand</w:t>
      </w:r>
      <w:r w:rsidR="006D47C9">
        <w:rPr>
          <w:rFonts w:eastAsia="Times New Roman"/>
          <w:szCs w:val="21"/>
        </w:rPr>
        <w:softHyphen/>
      </w:r>
      <w:r w:rsidRPr="009661F7">
        <w:rPr>
          <w:rFonts w:eastAsia="Times New Roman"/>
          <w:szCs w:val="21"/>
        </w:rPr>
        <w:t>enda þeirra sem hafa skráð dvöl sína í landinu fyrir útgöngudag. Jafnframt er í ein</w:t>
      </w:r>
      <w:r w:rsidR="00AC2291">
        <w:rPr>
          <w:rFonts w:eastAsia="Times New Roman"/>
          <w:szCs w:val="21"/>
        </w:rPr>
        <w:softHyphen/>
      </w:r>
      <w:r w:rsidRPr="009661F7">
        <w:rPr>
          <w:rFonts w:eastAsia="Times New Roman"/>
          <w:szCs w:val="21"/>
        </w:rPr>
        <w:t>hverjum tilvikum tryggður réttur aðstandenda breskra ríkisborgara til að koma til landsins eftir útgöngudag þrátt fyrir að hafa ekki skráð dvöl sína hér á landi fyrir þann tíma</w:t>
      </w:r>
      <w:r w:rsidRPr="009661F7">
        <w:rPr>
          <w:rFonts w:eastAsia="Times New Roman"/>
          <w:sz w:val="22"/>
        </w:rPr>
        <w:t xml:space="preserve">. </w:t>
      </w:r>
      <w:r w:rsidRPr="009661F7">
        <w:t>Með frum</w:t>
      </w:r>
      <w:r w:rsidR="006D47C9">
        <w:softHyphen/>
      </w:r>
      <w:r w:rsidRPr="009661F7">
        <w:t xml:space="preserve">varpinu er jafnframt gert ráð fyrir breytingum á lögum </w:t>
      </w:r>
      <w:r w:rsidR="00AC2291" w:rsidRPr="009661F7">
        <w:t>um atvinnuréttindi útlendinga</w:t>
      </w:r>
      <w:r w:rsidR="00AC2291">
        <w:t>,</w:t>
      </w:r>
      <w:r w:rsidR="00AC2291" w:rsidRPr="009661F7">
        <w:t xml:space="preserve"> </w:t>
      </w:r>
      <w:r w:rsidRPr="009661F7">
        <w:t>nr. 97/2002, þannig að þeir ríkisborgarar Bretlands og aðstandendur þeirra sem koma til með að dvelja löglega hér á landi á grundvelli framangreindra breytinga</w:t>
      </w:r>
      <w:r w:rsidR="00AC2291">
        <w:t>,</w:t>
      </w:r>
      <w:r w:rsidRPr="009661F7">
        <w:t xml:space="preserve"> sem gert er ráð fyrir að verði á lögum um útlendinga</w:t>
      </w:r>
      <w:r w:rsidR="00AC2291">
        <w:t>,</w:t>
      </w:r>
      <w:r w:rsidRPr="009661F7">
        <w:t xml:space="preserve"> verði jafnframt undanþegnir kröfu um atvinnuleyfi.</w:t>
      </w:r>
    </w:p>
    <w:p w14:paraId="1C886B93" w14:textId="77777777" w:rsidR="001D2E0D" w:rsidRDefault="001D2E0D" w:rsidP="00D0740D"/>
    <w:p w14:paraId="3893A259" w14:textId="77777777" w:rsidR="001D2E0D" w:rsidRDefault="00B35848" w:rsidP="00D2541F">
      <w:pPr>
        <w:pStyle w:val="Millifyrirsgn2"/>
      </w:pPr>
      <w:r>
        <w:lastRenderedPageBreak/>
        <w:t>3</w:t>
      </w:r>
      <w:r w:rsidR="0047386A" w:rsidRPr="009661F7">
        <w:t>.</w:t>
      </w:r>
      <w:r>
        <w:t xml:space="preserve"> </w:t>
      </w:r>
      <w:r w:rsidR="0047386A" w:rsidRPr="009661F7">
        <w:t>Breytingar á lögum um verðbréfaviðskipti</w:t>
      </w:r>
      <w:r w:rsidR="006D47C9">
        <w:t>.</w:t>
      </w:r>
    </w:p>
    <w:p w14:paraId="12C7EFCD" w14:textId="2FB256B6" w:rsidR="0047386A" w:rsidRDefault="0047386A" w:rsidP="009661F7">
      <w:r>
        <w:t>Við útgöngu Bretlands úr Evrópusambandinu mun það ekki að óbreyttu viðhalda undan</w:t>
      </w:r>
      <w:r w:rsidR="006D47C9">
        <w:softHyphen/>
      </w:r>
      <w:r>
        <w:t>þágum frá tilteknum ákvæðum laga um verðbréfaviðskipti, nr. 108/2007, sem ætlaðar eru aðildarríkjum og stofnunum þeirra. Bretar hafa samið við Evrópusambandið um að fá að við</w:t>
      </w:r>
      <w:r w:rsidR="006D47C9">
        <w:softHyphen/>
      </w:r>
      <w:r>
        <w:t>halda þessum undanþágum að Evrópurétti að því gefnu að ríki ESB njóti sambærilegra undan</w:t>
      </w:r>
      <w:r w:rsidR="006D47C9">
        <w:softHyphen/>
      </w:r>
      <w:r>
        <w:t xml:space="preserve">þágna í Bretlandi. Í viðræðum </w:t>
      </w:r>
      <w:r w:rsidR="00E376AE">
        <w:t xml:space="preserve">EFTA-ríkjanna innan EES </w:t>
      </w:r>
      <w:r>
        <w:t>við Bretland vegna BREXIT hefur komið fram vilji aðila til að koma á sams</w:t>
      </w:r>
      <w:r w:rsidR="00AC2291">
        <w:t xml:space="preserve"> </w:t>
      </w:r>
      <w:r>
        <w:t>konar fyrirkomulagi á milli ríkjanna fjögurra. Með frum</w:t>
      </w:r>
      <w:r w:rsidR="00AC2291">
        <w:softHyphen/>
      </w:r>
      <w:r>
        <w:t xml:space="preserve">varpi þessu er því lagt til að Bretland og tilgreindar stofnanir þess viðhaldi </w:t>
      </w:r>
      <w:r w:rsidR="00E376AE">
        <w:t xml:space="preserve">tilgreindum </w:t>
      </w:r>
      <w:r>
        <w:t>undanþágum sem þær hafa hér á landi samkvæmt lögum um verðbréfaviðskipti. Að sama skapi mun Ísland og tilgreindar stofnanir þess viðhalda sambærilegum undanþágum vegna verðbréfaviðskipta í Bretlandi.</w:t>
      </w:r>
    </w:p>
    <w:p w14:paraId="1B47392E" w14:textId="77777777" w:rsidR="0047386A" w:rsidRDefault="0047386A" w:rsidP="00D2541F">
      <w:pPr>
        <w:ind w:firstLine="0"/>
      </w:pPr>
    </w:p>
    <w:p w14:paraId="16696BE9" w14:textId="77777777" w:rsidR="00D0740D" w:rsidRDefault="00E71F27" w:rsidP="00D0740D">
      <w:pPr>
        <w:pStyle w:val="Millifyrirsgn1"/>
      </w:pPr>
      <w:r>
        <w:t>4</w:t>
      </w:r>
      <w:r w:rsidR="00D0740D">
        <w:t xml:space="preserve">. Samræmi við stjórnarskrá og alþjóðlegar skuldbindingar. </w:t>
      </w:r>
    </w:p>
    <w:p w14:paraId="655D8715" w14:textId="77777777" w:rsidR="004B500C" w:rsidRDefault="004B500C" w:rsidP="00D2541F">
      <w:r>
        <w:t>Efni frumvarpsins gefur ekki tilefni til að ætla að tillögur þess stangist á við stjórnarskrá. Eins og rakið hefur verið hér að framan felur frum</w:t>
      </w:r>
      <w:r w:rsidR="00DC7DA1">
        <w:t>v</w:t>
      </w:r>
      <w:r>
        <w:t>arpið í sér heimild til fullgildingar og inn</w:t>
      </w:r>
      <w:r w:rsidR="006D47C9">
        <w:softHyphen/>
      </w:r>
      <w:r>
        <w:t xml:space="preserve">leiðingu samnings Íslands, Liechtenstein, Noregs og Bretlands vegna útgöngu Bretlands úr Evrópusambandinu og EES, sem undirritaður var í </w:t>
      </w:r>
      <w:r w:rsidR="00A8226B">
        <w:t>London</w:t>
      </w:r>
      <w:r>
        <w:t xml:space="preserve"> hinn </w:t>
      </w:r>
      <w:r w:rsidR="00A8226B">
        <w:t>2 apríl 2019</w:t>
      </w:r>
      <w:r>
        <w:t xml:space="preserve">. Frumvarpið felur ekki í sér árekstra við aðrar alþjóðlegar skuldbindingar sem Ísland hefur gengist undir. </w:t>
      </w:r>
    </w:p>
    <w:p w14:paraId="50142EBC" w14:textId="77777777" w:rsidR="00D0740D" w:rsidRDefault="00D0740D" w:rsidP="00D0740D"/>
    <w:p w14:paraId="3151B0AC" w14:textId="77777777" w:rsidR="00D0740D" w:rsidRDefault="00E71F27" w:rsidP="00D0740D">
      <w:pPr>
        <w:pStyle w:val="Millifyrirsgn1"/>
      </w:pPr>
      <w:r>
        <w:t>5</w:t>
      </w:r>
      <w:r w:rsidR="00D0740D">
        <w:t xml:space="preserve">. Samráð. </w:t>
      </w:r>
    </w:p>
    <w:p w14:paraId="25F3902D" w14:textId="77777777" w:rsidR="00F935FC" w:rsidRDefault="00AF482F" w:rsidP="00AF482F">
      <w:r>
        <w:t xml:space="preserve">Allt frá því að niðurstaða þjóðaratkvæðagreiðslunnar í Bretlandi hinn 23. júní 2016 lá fyrir hefur utanríkisráðuneytið átt í víðtæku samráði um viðbrögð íslenskra stjórnvalda við útgöngu Bretlands úr ESB. </w:t>
      </w:r>
      <w:r w:rsidR="00AC2291">
        <w:t>Utanríkisráðherra</w:t>
      </w:r>
      <w:r>
        <w:t xml:space="preserve"> </w:t>
      </w:r>
      <w:r w:rsidR="00AA06FF">
        <w:t xml:space="preserve">skipaði </w:t>
      </w:r>
      <w:r w:rsidR="00AC2291">
        <w:t xml:space="preserve">meðal annars </w:t>
      </w:r>
      <w:r w:rsidR="00AA06FF">
        <w:t>stýrihóp um Brexit og fimm vinnu</w:t>
      </w:r>
      <w:r w:rsidR="00AC2291">
        <w:softHyphen/>
      </w:r>
      <w:r w:rsidR="00AA06FF">
        <w:t>hópa með full</w:t>
      </w:r>
      <w:r w:rsidR="00AC2291">
        <w:t>t</w:t>
      </w:r>
      <w:r w:rsidR="00AA06FF">
        <w:t>rúum allra ráðuneyta. Vinnuhóparnir hafa átt í umtalsverðu samráði við hags</w:t>
      </w:r>
      <w:r w:rsidR="00AC2291">
        <w:softHyphen/>
      </w:r>
      <w:r w:rsidR="00AA06FF">
        <w:t>muna</w:t>
      </w:r>
      <w:r w:rsidR="00AC2291">
        <w:softHyphen/>
      </w:r>
      <w:r w:rsidR="00AA06FF">
        <w:t xml:space="preserve">aðila og í framhaldi af vinnu þeirra var gefin út í nóvember 2017 skýrslan: </w:t>
      </w:r>
      <w:r w:rsidR="00AA06FF" w:rsidRPr="00A61E88">
        <w:rPr>
          <w:i/>
        </w:rPr>
        <w:t>Ísland og Brexit – greining hagsmuna vegna útgöngu Bretlands úr EES.</w:t>
      </w:r>
      <w:r w:rsidR="0030284F" w:rsidRPr="00A61E88">
        <w:rPr>
          <w:i/>
        </w:rPr>
        <w:t xml:space="preserve"> </w:t>
      </w:r>
      <w:r w:rsidR="00A8226B">
        <w:t>Samráð við hagsmunaaðila hefur verið haldið áfram í kjölfarið jafnframt því sem utanríkismálanefnd Alþingis hefur reglulega verið upp</w:t>
      </w:r>
      <w:r w:rsidR="006D47C9">
        <w:softHyphen/>
      </w:r>
      <w:r w:rsidR="00A8226B">
        <w:t>lýst um framvindu viðræðna um útgöngu Bretlands úr ESB og EES</w:t>
      </w:r>
      <w:r w:rsidR="0047386A">
        <w:t xml:space="preserve">. </w:t>
      </w:r>
      <w:r w:rsidR="00A8226B">
        <w:t>Til að breðast við þeim möguleika að útganga Bretlands úr ESB kynni að verða án samnings var m</w:t>
      </w:r>
      <w:r w:rsidR="00326E7A">
        <w:t>eðal annars</w:t>
      </w:r>
      <w:r w:rsidR="00A8226B">
        <w:t xml:space="preserve"> ákveðið í sam</w:t>
      </w:r>
      <w:r w:rsidR="006D47C9">
        <w:softHyphen/>
      </w:r>
      <w:r w:rsidR="00A8226B">
        <w:t xml:space="preserve">ráði við Liechtenstein og Noreg að hefja viðræður </w:t>
      </w:r>
      <w:r w:rsidR="00326E7A">
        <w:t>við</w:t>
      </w:r>
      <w:r w:rsidR="00A8226B">
        <w:t xml:space="preserve"> Bretland um gerð samnings um réttindi borgara í kjölfar úrsagnar Bretlands úr Evrópusambandinu og EES-samningnum. </w:t>
      </w:r>
      <w:r w:rsidR="0047386A">
        <w:t>Við vinnslu ákvæða um breytingar á lögum um verðbréfaviðskipti var haft samráð við Fjármálaeftirlitið og Seðlabanka Íslands.</w:t>
      </w:r>
    </w:p>
    <w:p w14:paraId="0BEED216" w14:textId="77777777" w:rsidR="00D0740D" w:rsidRDefault="00D0740D" w:rsidP="00D2541F">
      <w:pPr>
        <w:ind w:firstLine="0"/>
      </w:pPr>
    </w:p>
    <w:p w14:paraId="63FE5142" w14:textId="77777777" w:rsidR="00D0740D" w:rsidRDefault="00E71F27" w:rsidP="00D0740D">
      <w:pPr>
        <w:pStyle w:val="Millifyrirsgn1"/>
      </w:pPr>
      <w:r>
        <w:t>6</w:t>
      </w:r>
      <w:r w:rsidR="00D0740D">
        <w:t xml:space="preserve">. Mat á áhrifum. </w:t>
      </w:r>
    </w:p>
    <w:p w14:paraId="2E8044D1" w14:textId="77777777" w:rsidR="00AA06FF" w:rsidRDefault="00285640" w:rsidP="00D0740D">
      <w:r>
        <w:t>Fullgildin</w:t>
      </w:r>
      <w:r w:rsidR="00E323BD">
        <w:t>g</w:t>
      </w:r>
      <w:r>
        <w:t xml:space="preserve"> samnings Íslands, Liechtenstein, </w:t>
      </w:r>
      <w:r w:rsidR="00E323BD">
        <w:t>Noregs og Bretlands mun tryggja stöðu þeirra íslens</w:t>
      </w:r>
      <w:r w:rsidR="0062680B">
        <w:t>k</w:t>
      </w:r>
      <w:r w:rsidR="00E323BD">
        <w:t>u ríkisborgara sem nú dvelja í Bretlandi</w:t>
      </w:r>
      <w:r w:rsidR="00326E7A">
        <w:t>,</w:t>
      </w:r>
      <w:r w:rsidR="00E323BD">
        <w:t xml:space="preserve"> t.d. vegna náms eða atvinnu</w:t>
      </w:r>
      <w:r w:rsidR="00326E7A">
        <w:t>,</w:t>
      </w:r>
      <w:r w:rsidR="00E323BD">
        <w:t xml:space="preserve"> og heimila þeim áframhaldandi dvöl í Bretlandi. Innleiðing ákvæða þessa samnings hér á landi mun enn</w:t>
      </w:r>
      <w:r w:rsidR="00AC2291">
        <w:t xml:space="preserve"> </w:t>
      </w:r>
      <w:r w:rsidR="00E323BD">
        <w:t>fremur tryggja réttindi þeirra bresku ríksborgara sem dvelja eða hafa dvalið hér á landi.</w:t>
      </w:r>
      <w:r w:rsidR="0030284F">
        <w:t xml:space="preserve"> </w:t>
      </w:r>
      <w:r w:rsidR="00E323BD">
        <w:t xml:space="preserve">Lögfesting frumvarpsins er því mikilvæg til að tryggja </w:t>
      </w:r>
      <w:r w:rsidR="000025DC">
        <w:t xml:space="preserve">bæði </w:t>
      </w:r>
      <w:r w:rsidR="00E323BD">
        <w:t>réttindi íslenskra ríkisborgara í Bretland</w:t>
      </w:r>
      <w:r w:rsidR="000025DC">
        <w:t xml:space="preserve"> sem og réttindi breskra ríkisborgara </w:t>
      </w:r>
      <w:r w:rsidR="00E323BD">
        <w:t>hér á landi</w:t>
      </w:r>
      <w:r w:rsidR="000025DC">
        <w:t xml:space="preserve"> eftir útgöngu Bretlands úr Evrópusambandinu.</w:t>
      </w:r>
    </w:p>
    <w:p w14:paraId="09DCD8BA" w14:textId="77777777" w:rsidR="00E323BD" w:rsidRDefault="00E323BD" w:rsidP="00D0740D"/>
    <w:p w14:paraId="78730007" w14:textId="77777777" w:rsidR="00D0740D" w:rsidRDefault="00D0740D" w:rsidP="00943B67"/>
    <w:p w14:paraId="6ED5100A" w14:textId="77777777" w:rsidR="00E71F27" w:rsidRDefault="00E71F27" w:rsidP="00D2541F">
      <w:pPr>
        <w:pStyle w:val="Greinarfyrirsgn"/>
        <w:keepNext/>
      </w:pPr>
      <w:r w:rsidRPr="009627CF">
        <w:lastRenderedPageBreak/>
        <w:t>Um einstakar greinar frumvarpsins.</w:t>
      </w:r>
    </w:p>
    <w:p w14:paraId="7ED54771" w14:textId="77777777" w:rsidR="00E71F27" w:rsidRDefault="00E71F27" w:rsidP="00D2541F">
      <w:pPr>
        <w:pStyle w:val="Greinarnmer"/>
        <w:keepNext/>
      </w:pPr>
      <w:r>
        <w:t>Um 1. gr.</w:t>
      </w:r>
    </w:p>
    <w:p w14:paraId="5722A4F9" w14:textId="3CA2846E" w:rsidR="00C35574" w:rsidRDefault="00E323BD" w:rsidP="00943B67">
      <w:r>
        <w:t>Lagt er til að Alþingi veiti ríkisstjórninni heimild til að fullgilda fyrir Íslands hönd samning Íslands, Liechtenstein, Noregs og Bretlands</w:t>
      </w:r>
      <w:r w:rsidR="001715B9">
        <w:t xml:space="preserve"> vegna útgöngu </w:t>
      </w:r>
      <w:r w:rsidR="00A84435">
        <w:t xml:space="preserve">Bretlands úr ESB </w:t>
      </w:r>
      <w:r w:rsidR="001715B9">
        <w:t>á grundvelli samningsins</w:t>
      </w:r>
      <w:r>
        <w:t xml:space="preserve">. </w:t>
      </w:r>
      <w:r w:rsidR="00362349">
        <w:t xml:space="preserve">Nánar er fjallað um efni samningsins </w:t>
      </w:r>
      <w:r w:rsidR="00326E7A">
        <w:t>í greinar</w:t>
      </w:r>
      <w:r w:rsidR="00326E7A">
        <w:softHyphen/>
        <w:t>gerð með frumvarpinu</w:t>
      </w:r>
      <w:r w:rsidR="00362349">
        <w:t>.</w:t>
      </w:r>
    </w:p>
    <w:p w14:paraId="671FC616" w14:textId="59D2EEB3" w:rsidR="00AA06FF" w:rsidRDefault="00AA06FF" w:rsidP="00943B67"/>
    <w:p w14:paraId="40E51C80" w14:textId="2C97C348" w:rsidR="001715B9" w:rsidRDefault="001715B9" w:rsidP="001715B9">
      <w:pPr>
        <w:pStyle w:val="Greinarnmer"/>
        <w:keepNext/>
      </w:pPr>
      <w:r>
        <w:t>Um 2. gr.</w:t>
      </w:r>
    </w:p>
    <w:p w14:paraId="30832DAC" w14:textId="5399A9FB" w:rsidR="001715B9" w:rsidRDefault="001715B9" w:rsidP="001715B9">
      <w:r>
        <w:t>Lagt er til að Alþingi veiti ríkisstjórninni heimild til að fullgilda fyrir Íslands hönd samning Íslands, Liechtenstein, Noregs og Bretlands vegna útgöngu</w:t>
      </w:r>
      <w:r w:rsidR="00A84435">
        <w:t xml:space="preserve"> Bretlands úr ESB</w:t>
      </w:r>
      <w:r>
        <w:t xml:space="preserve"> án samnings. Nánar er fjallað um efni samningsins í greinar</w:t>
      </w:r>
      <w:r>
        <w:softHyphen/>
        <w:t>gerð með frumvarpinu.</w:t>
      </w:r>
    </w:p>
    <w:p w14:paraId="0C1C33BB" w14:textId="00014578" w:rsidR="001715B9" w:rsidRDefault="001715B9" w:rsidP="00943B67"/>
    <w:p w14:paraId="79D3F266" w14:textId="4A82F23B" w:rsidR="0052572C" w:rsidRDefault="0052572C" w:rsidP="0052572C">
      <w:pPr>
        <w:pStyle w:val="Greinarnmer"/>
      </w:pPr>
      <w:r>
        <w:t>Um 3. gr.</w:t>
      </w:r>
    </w:p>
    <w:p w14:paraId="53072924" w14:textId="491AF68C" w:rsidR="0052572C" w:rsidRDefault="0052572C" w:rsidP="0052572C">
      <w:pPr>
        <w:ind w:firstLine="0"/>
      </w:pPr>
      <w:r>
        <w:t xml:space="preserve">Með ákvæðinu er svonefnd bráðabirgðatímabil skv. útgöngusamningi Bretlands og ESB skilgreint og mælt fyrir um að meðan </w:t>
      </w:r>
      <w:r w:rsidR="00A84435">
        <w:t xml:space="preserve">á </w:t>
      </w:r>
      <w:r>
        <w:t>því standi skuli fara með Bretland eins og önnur EES-ríki við framkvæmd laga, reglugerða og annarra stjórnsýslufyrirmæla sem sett hafa verið til innleiðingar EES-reglna. Með sama hætti skal á bráðabirgðatímabilinu fara með Bretland líkt og aðildarríki ESB við framkvæmd laga, reglugerða og annarra stjórnsýslufyrirmæla sem fela í sér framkvæmd annarra samninga sem Ísland hefur annað hvort gert við Evrópusambandið eða bæði Ísland og Evrópusambandið eiga aðild að. Helstu samningar Íslands við Evrópusambandið sem fela í sér slíkar skyldur eru, utan samningins um Evrópska efnahagssvæðisins, samningar sem gerðir hafa verið í tengslum við Schengen-samstarfið, þ.m.t. samningur sem ráð Evrópusambandsins og Lýðveldið Ísland og Konungsríkið Noregur gerðu með sér um afnám persónueftirlits á sameiginlegum landamærum frá 19. desember 1999 og Lúganó-samningurinn um dómsvald og viðurkenninug og fullnustu dóma í einkamálum frá 30. október 2007. Þá er 3. mgr. ætlað að taka öll tvímæli um að við framkvæmd 2. mgr. skuli breskir ríkisborgarar og lögaðilar skv. framangreindu njóta bæði þeirra réttinda og skyldna sem þeim ber skv. bæði EES-samningnum og öðrum þeim samningum sem vísað er til í 2. mgr. 2. gr. á meðan</w:t>
      </w:r>
      <w:r w:rsidR="00A84435">
        <w:t xml:space="preserve"> á</w:t>
      </w:r>
      <w:r>
        <w:t xml:space="preserve"> bráðabirgðatímabilinu stendur </w:t>
      </w:r>
    </w:p>
    <w:p w14:paraId="4BD2BF2C" w14:textId="77777777" w:rsidR="0052572C" w:rsidRDefault="0052572C" w:rsidP="00943B67"/>
    <w:p w14:paraId="7A6C53EA" w14:textId="77777777" w:rsidR="001715B9" w:rsidRDefault="001715B9" w:rsidP="00943B67"/>
    <w:p w14:paraId="48FF2DD5" w14:textId="2A713612" w:rsidR="00C25839" w:rsidRDefault="00C25839" w:rsidP="00C25839">
      <w:pPr>
        <w:pStyle w:val="Greinarnmer"/>
      </w:pPr>
      <w:r>
        <w:t xml:space="preserve">Um </w:t>
      </w:r>
      <w:r w:rsidR="001715B9">
        <w:t>4</w:t>
      </w:r>
      <w:r>
        <w:t>. gr.</w:t>
      </w:r>
    </w:p>
    <w:p w14:paraId="78F6E76E" w14:textId="49BF674F" w:rsidR="00821B08" w:rsidRDefault="008D20F9" w:rsidP="00D262A4">
      <w:r>
        <w:t xml:space="preserve">Með þessari grein eru lagaðar til </w:t>
      </w:r>
      <w:r w:rsidR="00821B08">
        <w:t>eftirfarandi ný ákvæð</w:t>
      </w:r>
      <w:r>
        <w:t>i</w:t>
      </w:r>
      <w:r w:rsidR="00821B08">
        <w:t xml:space="preserve"> til bráðabirgða í lögum um útlendinga, nr. 80/2016, með síðari breytingum</w:t>
      </w:r>
      <w:r>
        <w:t>:</w:t>
      </w:r>
    </w:p>
    <w:p w14:paraId="1C63C3C1" w14:textId="77777777" w:rsidR="00821B08" w:rsidRDefault="00821B08" w:rsidP="00D262A4"/>
    <w:p w14:paraId="6F6AE693" w14:textId="3E290F7C" w:rsidR="00821B08" w:rsidRDefault="00821B08" w:rsidP="00D262A4">
      <w:r>
        <w:t>a-liður:</w:t>
      </w:r>
    </w:p>
    <w:p w14:paraId="008E172E" w14:textId="733C67E6" w:rsidR="00D262A4" w:rsidRDefault="00D262A4" w:rsidP="00D262A4">
      <w:r>
        <w:t>Í ákvæðinu er kveðið á um rétt breskra ríkisborgara sem skráð hafa dvöl sína hér á landi í samræmi við ákvæði XI. kafla laganna haldi sömu stöðu og þeir hefðu haft hefði Bretland ekki gengið úr Evrópusambandinu og njóti því áfram sömu réttinda og ríkisborgarar í aðildarríkjum samnings</w:t>
      </w:r>
      <w:r w:rsidR="00326E7A">
        <w:t>ins</w:t>
      </w:r>
      <w:r>
        <w:t xml:space="preserve"> um Evrópska efnahagssvæðið eða stofnsamnings Fríverslunarsamtaka Evrópu. </w:t>
      </w:r>
    </w:p>
    <w:p w14:paraId="661BE82C" w14:textId="77777777" w:rsidR="00C25839" w:rsidRDefault="00C25839" w:rsidP="00D2541F">
      <w:pPr>
        <w:ind w:firstLine="0"/>
      </w:pPr>
    </w:p>
    <w:p w14:paraId="32B22B19" w14:textId="6B5C58F1" w:rsidR="00C25839" w:rsidRDefault="00821B08" w:rsidP="00C25839">
      <w:pPr>
        <w:ind w:firstLine="0"/>
      </w:pPr>
      <w:r>
        <w:t>b-liður:</w:t>
      </w:r>
      <w:r w:rsidR="00D262A4">
        <w:t>Í ákvæðinu er að finna reglur um aðstandendur breskra ríkisborgara sem skráð hafa dvöl sína hér á landi í samræmi við ákvæði XI. kafla laganna haldi rétti sínum en einnig er fjallað um réttindi aðstandenda breskra ríkisborgara sem ekki eru með skráningu fyrir útgöngudag</w:t>
      </w:r>
      <w:r w:rsidR="00326E7A">
        <w:t>.</w:t>
      </w:r>
    </w:p>
    <w:p w14:paraId="782C39F1" w14:textId="77777777" w:rsidR="00D262A4" w:rsidRDefault="00D262A4" w:rsidP="00C25839">
      <w:pPr>
        <w:ind w:firstLine="0"/>
      </w:pPr>
    </w:p>
    <w:p w14:paraId="4C56DC4B" w14:textId="0FC9D3B3" w:rsidR="00C25839" w:rsidRDefault="00821B08">
      <w:r>
        <w:t xml:space="preserve">c-liður: </w:t>
      </w:r>
      <w:r w:rsidR="00D262A4">
        <w:t xml:space="preserve">Í ákvæðinu er fjallað um rétt breskra ríkisborgara og aðstandenda þeirra sem skráð hafa dvöl sína hér á landi í samræmi við ákvæði XI. kafla laganna til þess að öðlast </w:t>
      </w:r>
      <w:r w:rsidR="00D262A4">
        <w:lastRenderedPageBreak/>
        <w:t>ótímabundinn rétt. Er þetta í samræmi við 14. gr. og 15. gr. samnings EFTA</w:t>
      </w:r>
      <w:r w:rsidR="00326E7A">
        <w:t>-</w:t>
      </w:r>
      <w:r w:rsidR="00D262A4">
        <w:t xml:space="preserve">ríkjanna við Bretland vegna útgöngu Bretlands úr Evrópusambandinu. Réttur til ótímabundinnar dvalar skal falla niður þegar viðkomandi hefur dvalið utan landsins í lengri tíma en fimm ár samfellt. </w:t>
      </w:r>
    </w:p>
    <w:p w14:paraId="3B4E088E" w14:textId="77777777" w:rsidR="00C25839" w:rsidRDefault="00C25839" w:rsidP="00C25839">
      <w:pPr>
        <w:ind w:firstLine="0"/>
      </w:pPr>
    </w:p>
    <w:p w14:paraId="2BDA692B" w14:textId="7FBF3426" w:rsidR="00D262A4" w:rsidRPr="003E6A37" w:rsidRDefault="00821B08" w:rsidP="00D262A4">
      <w:r>
        <w:t xml:space="preserve">d-liður: </w:t>
      </w:r>
      <w:r w:rsidR="00D262A4">
        <w:t>Í greininni er kveðið á um brottvísun breskra ríkisborgara og aðstandenda þeirra úr landi. Ákvæðið á við um þá einstaklinga sem fremja brot fyrir þann tíma sem Bretland gengur úr Evrópusambandinu en þá gilda ákvæði XI. kafla um brottvísun þeirra. Er þetta í samræmi við 18. gr. samningsins milli EFTA</w:t>
      </w:r>
      <w:r w:rsidR="00326E7A">
        <w:t>-</w:t>
      </w:r>
      <w:r w:rsidR="00D262A4">
        <w:t>ríkjanna og Bretlands um útgöngu Bretlands úr Evrópu</w:t>
      </w:r>
      <w:r w:rsidR="006D47C9">
        <w:softHyphen/>
      </w:r>
      <w:r w:rsidR="00D262A4">
        <w:t>sam</w:t>
      </w:r>
      <w:r w:rsidR="006D47C9">
        <w:softHyphen/>
      </w:r>
      <w:r w:rsidR="00D262A4">
        <w:t xml:space="preserve">bandinu án samnings. </w:t>
      </w:r>
    </w:p>
    <w:p w14:paraId="750159D4" w14:textId="77777777" w:rsidR="00C25839" w:rsidRDefault="00C25839" w:rsidP="00C25839">
      <w:pPr>
        <w:pStyle w:val="Greinarnmer"/>
      </w:pPr>
    </w:p>
    <w:p w14:paraId="62F60C8A" w14:textId="049409FF" w:rsidR="006D47C9" w:rsidRPr="003E6A37" w:rsidRDefault="00821B08" w:rsidP="00D262A4">
      <w:r>
        <w:t xml:space="preserve">e-liður: </w:t>
      </w:r>
      <w:r w:rsidR="00D262A4">
        <w:t>Í greininni er kveðið á um að endurkomubann þeirra bresku ríkisborgara</w:t>
      </w:r>
      <w:r>
        <w:t xml:space="preserve"> sem brottvísað er samkvæmt 95. gr. Útlendingalaga/laga þessara</w:t>
      </w:r>
      <w:r w:rsidR="00D262A4">
        <w:t xml:space="preserve"> fari eftir 96. gr. laganna í samræmi við 18. gr. samningsins milli EFTA</w:t>
      </w:r>
      <w:r w:rsidR="007214D8">
        <w:t>-</w:t>
      </w:r>
      <w:r w:rsidR="00D262A4">
        <w:t>ríkjanna og Bretlands um að um hátt</w:t>
      </w:r>
      <w:r w:rsidR="006D47C9">
        <w:softHyphen/>
      </w:r>
      <w:r w:rsidR="00D262A4">
        <w:t xml:space="preserve">semi breskra ríkisborgara fyrir útgöngudag fari eftir ákvæðum XI. kafla. </w:t>
      </w:r>
    </w:p>
    <w:p w14:paraId="144C00AC" w14:textId="77777777" w:rsidR="00C25839" w:rsidRDefault="00C25839" w:rsidP="00D2541F"/>
    <w:p w14:paraId="42C28799" w14:textId="2816374B" w:rsidR="00C25839" w:rsidRDefault="00821B08" w:rsidP="008D20F9">
      <w:pPr>
        <w:pStyle w:val="Greinarnmer"/>
        <w:ind w:firstLine="284"/>
        <w:jc w:val="both"/>
      </w:pPr>
      <w:r>
        <w:t xml:space="preserve">f. og g-liðir: </w:t>
      </w:r>
    </w:p>
    <w:p w14:paraId="3BD8CC81" w14:textId="77777777" w:rsidR="00D262A4" w:rsidRDefault="00D262A4" w:rsidP="00D262A4">
      <w:r>
        <w:t>Í ákvæð</w:t>
      </w:r>
      <w:r w:rsidR="007214D8">
        <w:t>unum</w:t>
      </w:r>
      <w:r>
        <w:t xml:space="preserve"> eru reglur um brottvísun ríkisborgara Bretlands og aðstandenda fyrir háttsemi þeirra sem á sér eftir að Bretlands gengur úr Evrópusambandinu. Samkvæmt 18. gr. samn</w:t>
      </w:r>
      <w:r w:rsidR="006D47C9">
        <w:softHyphen/>
      </w:r>
      <w:r>
        <w:t>ingsins skulu þá gilda reglur landsréttar. Gilda því reglur XII. kafla um þessa einstaklinga. Um þá sem eru með dvalarleyfi hér á landi fer um brottvísun eftir 99. gr. laganna en um þá sem eru með ótímabundið dvalarleyfi fer eftir 100. gr. laganna. Lágmarkstími til þess að öðlast ótímabundið dvalarleyfi skv. 58. gr. laganna er þrjú ár og því er miðað við það tímamark hér, þannig að þeir ríkisborgarar Bretlands og aðstandendur þeirra sem rétt hafa skv. XI. kafla laganna til dvalar en hafa verið hér í þrjú ár gildi ákvæði 100. gr. laganna en um þá sem hafa verið skemur en þrjú ár gildi 99. gr. Um þá sem eru komnir með rétt til ótímabundinnar dvalar fer líka eftir 100. gr. Um málsmeðferð og ákvarðanatöku í þessum málum gilda reglur XII. kafla laganna um brottvísum sem og önnur ákvæði laganna er lúta að brottvísunum</w:t>
      </w:r>
      <w:r w:rsidR="007214D8">
        <w:t>, t.d.</w:t>
      </w:r>
      <w:r>
        <w:t xml:space="preserve"> 11., 12. og 13. gr.</w:t>
      </w:r>
      <w:r w:rsidR="007214D8">
        <w:t xml:space="preserve"> um leiðbeiningarskyldu, andmælarétt og réttaraðstoð.</w:t>
      </w:r>
      <w:r>
        <w:t xml:space="preserve"> </w:t>
      </w:r>
    </w:p>
    <w:p w14:paraId="072A3520" w14:textId="77777777" w:rsidR="006D47C9" w:rsidRDefault="006D47C9" w:rsidP="00D262A4"/>
    <w:p w14:paraId="7944D24E" w14:textId="0A8DE48E" w:rsidR="00C25839" w:rsidRDefault="00821B08" w:rsidP="008D20F9">
      <w:pPr>
        <w:pStyle w:val="Greinarnmer"/>
        <w:ind w:firstLine="284"/>
        <w:jc w:val="both"/>
      </w:pPr>
      <w:r>
        <w:t xml:space="preserve">h: liður: </w:t>
      </w:r>
    </w:p>
    <w:p w14:paraId="6044F7B0" w14:textId="0FA2F779" w:rsidR="00D262A4" w:rsidRDefault="00D262A4" w:rsidP="00D262A4">
      <w:r>
        <w:t xml:space="preserve">Ríkisborgarar Bretlands sem rétt eiga til dvalar í samræmi við 84. gr. </w:t>
      </w:r>
      <w:r w:rsidR="00821B08">
        <w:t xml:space="preserve">og 87. gr. </w:t>
      </w:r>
      <w:r>
        <w:t xml:space="preserve">laga þessara skulu fá útgefin dvalarskírteini í samræmi við 90. gr. laga þessara. </w:t>
      </w:r>
    </w:p>
    <w:p w14:paraId="50DF16CB" w14:textId="77777777" w:rsidR="00C25839" w:rsidRDefault="00C25839" w:rsidP="00C25839">
      <w:pPr>
        <w:ind w:firstLine="0"/>
      </w:pPr>
    </w:p>
    <w:p w14:paraId="03F2727C" w14:textId="3B6BAA6C" w:rsidR="00C25839" w:rsidRDefault="00D262A4">
      <w:r>
        <w:t xml:space="preserve"> </w:t>
      </w:r>
    </w:p>
    <w:p w14:paraId="071EB78C" w14:textId="77777777" w:rsidR="00C25839" w:rsidRDefault="00C25839" w:rsidP="00C25839">
      <w:pPr>
        <w:pStyle w:val="Greinarnmer"/>
      </w:pPr>
    </w:p>
    <w:p w14:paraId="407427B0" w14:textId="543428E1" w:rsidR="00C25839" w:rsidRDefault="00C25839" w:rsidP="00821B08">
      <w:pPr>
        <w:pStyle w:val="Greinarnmer"/>
      </w:pPr>
      <w:r w:rsidRPr="00C25839">
        <w:t xml:space="preserve">Um </w:t>
      </w:r>
      <w:r w:rsidR="001715B9">
        <w:t>5</w:t>
      </w:r>
      <w:r w:rsidRPr="00C25839">
        <w:t>. gr.</w:t>
      </w:r>
    </w:p>
    <w:p w14:paraId="43235CC2" w14:textId="77777777" w:rsidR="00AD31F7" w:rsidRDefault="00AD31F7" w:rsidP="00AD31F7">
      <w:bookmarkStart w:id="9" w:name="_Hlk5182968"/>
      <w:r w:rsidRPr="009661F7">
        <w:t xml:space="preserve">Í 1. mgr. 22. gr. laga </w:t>
      </w:r>
      <w:r w:rsidR="007214D8" w:rsidRPr="009661F7">
        <w:t>um atvinnuréttindi útlendinga</w:t>
      </w:r>
      <w:r w:rsidR="007214D8">
        <w:t>,</w:t>
      </w:r>
      <w:r w:rsidR="007214D8" w:rsidRPr="009661F7">
        <w:t xml:space="preserve"> </w:t>
      </w:r>
      <w:r w:rsidRPr="009661F7">
        <w:t>nr. 97/2002, eru taldir upp þeir aðilar sem eru undanþegnir kröfu um atvinnuleyfi samkvæmt lögunum. Hér er lagt til að við lögin bætist við nýtt ákvæði til bráðabirgða þar sem kveðið verði á um að þeir ríkisborgarar Bret</w:t>
      </w:r>
      <w:r w:rsidR="006D47C9">
        <w:softHyphen/>
      </w:r>
      <w:r w:rsidRPr="009661F7">
        <w:t>lands og aðstandendur þeirra sem dvelja löglega hér á landi, á grundvelli ákvæða til bráða</w:t>
      </w:r>
      <w:r w:rsidR="006D47C9">
        <w:softHyphen/>
      </w:r>
      <w:r w:rsidRPr="009661F7">
        <w:t>birgða III og IV sem lagt er til að bætist við lög um útlendinga með frumvarpi þessu, verði á sama hátt undanþegnir kröfu um atvinnuleyfi hér á landi eftir að Bretland hefur gengið úr Evrópusambandinu.</w:t>
      </w:r>
      <w:bookmarkStart w:id="10" w:name="_Hlk5182719"/>
      <w:r w:rsidRPr="009661F7">
        <w:t xml:space="preserve"> Er þetta lagt til í ljósi samnings milli Íslands, Liechtenstein, Noregs og Bretlands um réttindi borgara í kjölfar úrsagnar Bretlands úr Evrópusambandinu og EES-samn</w:t>
      </w:r>
      <w:r w:rsidR="006D47C9">
        <w:softHyphen/>
      </w:r>
      <w:r w:rsidRPr="009661F7">
        <w:t>ingnum.</w:t>
      </w:r>
      <w:bookmarkEnd w:id="10"/>
    </w:p>
    <w:bookmarkEnd w:id="9"/>
    <w:p w14:paraId="3EAA65CE" w14:textId="77777777" w:rsidR="00A33101" w:rsidRDefault="00A33101" w:rsidP="00D2541F">
      <w:pPr>
        <w:ind w:firstLine="0"/>
      </w:pPr>
    </w:p>
    <w:p w14:paraId="2A1055D2" w14:textId="70111F7E" w:rsidR="00A33101" w:rsidRDefault="00A33101" w:rsidP="00A33101">
      <w:pPr>
        <w:pStyle w:val="Greinarnmer"/>
      </w:pPr>
      <w:r>
        <w:t xml:space="preserve">Um </w:t>
      </w:r>
      <w:r w:rsidR="001715B9">
        <w:t>6</w:t>
      </w:r>
      <w:r>
        <w:t>. gr.</w:t>
      </w:r>
    </w:p>
    <w:p w14:paraId="4FB925CA" w14:textId="77777777" w:rsidR="00A33101" w:rsidRDefault="00A33101" w:rsidP="00A33101">
      <w:r>
        <w:lastRenderedPageBreak/>
        <w:t>Með ákvæðinu er lagt til að ríkisborgarar Bretlands fái sömu stöðu og ríkisborgarar í aðildarríkjum samnings</w:t>
      </w:r>
      <w:r w:rsidR="007214D8">
        <w:t>ins</w:t>
      </w:r>
      <w:r>
        <w:t xml:space="preserve"> um Evrópska efnahagssvæðið eða stofnsamnings Fríverslunar</w:t>
      </w:r>
      <w:r w:rsidR="006D47C9">
        <w:softHyphen/>
      </w:r>
      <w:r>
        <w:t>sam</w:t>
      </w:r>
      <w:r w:rsidR="007214D8">
        <w:softHyphen/>
      </w:r>
      <w:r>
        <w:t>taka Evrópu til að dvelja hér án skráningar skv. 3. mgr. 14. gr. laga um lögheimili og aðsetur</w:t>
      </w:r>
      <w:r w:rsidR="007214D8">
        <w:t>,</w:t>
      </w:r>
      <w:r>
        <w:t xml:space="preserve"> nr. 90/2018. Um er að ræða ákvæði til að skýra réttarstöðu þessara einstaklinga og veita þeim ákveðið svigrúm til að aðlaga sig að nýjum veruleika eftir að Bretland hefur sagt skilið við Evrópusambandið. Ef </w:t>
      </w:r>
      <w:r w:rsidR="007214D8">
        <w:t xml:space="preserve">gert </w:t>
      </w:r>
      <w:r>
        <w:t xml:space="preserve">verður ráð fyrir aðlögunartímabili eftir útgöngu þá er gert ráð fyrir </w:t>
      </w:r>
      <w:r w:rsidR="007214D8">
        <w:t xml:space="preserve">því </w:t>
      </w:r>
      <w:r>
        <w:t>að einstaklingur sem kemur til landsins á aðlögunartímabilinu geti verið hér án skráningar í tiltekin</w:t>
      </w:r>
      <w:r w:rsidR="007214D8">
        <w:t>n</w:t>
      </w:r>
      <w:r>
        <w:t xml:space="preserve"> tíma</w:t>
      </w:r>
      <w:r w:rsidR="007214D8">
        <w:t>,</w:t>
      </w:r>
      <w:r>
        <w:t xml:space="preserve"> óháð því hvort aðlögunartíminn rennur út á meðan. Ef enginn aðlögunartími verður settur eftir að Bretland gengur út úr Evrópusambandinu og einstaklingur kemur til landsins fyrir þann tíma mun hann njóta sömu stöðu í tiltekinn tíma</w:t>
      </w:r>
      <w:r w:rsidR="007214D8">
        <w:t>,</w:t>
      </w:r>
      <w:r>
        <w:t xml:space="preserve"> óháð því hvort Bretland hafi gengið út úr Evrópusambandinu innan tímabilsins sem hann á rétt á að dveljast hér á landi án skráningar. Gert er ráð fyrir því að einstaklingar þurfi að sýna fram á að hafa komið hingað til lands á tilteknum degi</w:t>
      </w:r>
      <w:r w:rsidR="0032720F">
        <w:t>,</w:t>
      </w:r>
      <w:r>
        <w:t xml:space="preserve"> t.d. með flugfarseðli.</w:t>
      </w:r>
    </w:p>
    <w:p w14:paraId="0CEBA1AF" w14:textId="77777777" w:rsidR="00C25839" w:rsidRDefault="00C25839" w:rsidP="00D2541F">
      <w:pPr>
        <w:ind w:firstLine="0"/>
      </w:pPr>
    </w:p>
    <w:p w14:paraId="46A66E3F" w14:textId="77777777" w:rsidR="0047386A" w:rsidRDefault="0047386A" w:rsidP="0047386A">
      <w:pPr>
        <w:pStyle w:val="Greinarnmer"/>
        <w:keepNext/>
      </w:pPr>
      <w:r>
        <w:t>Um V. kafla.</w:t>
      </w:r>
    </w:p>
    <w:p w14:paraId="79E03F26" w14:textId="4856A18B" w:rsidR="0047386A" w:rsidRDefault="0047386A" w:rsidP="0047386A">
      <w:r>
        <w:t xml:space="preserve">Í kaflanum eru lagðar til breytingar á lögum um verðbréfaviðskipti, nr. 108/2007, sem er ætlað að tryggja að Englandsbanki og Lánasýsla Bretlands viðhaldi </w:t>
      </w:r>
      <w:r w:rsidR="00E376AE">
        <w:t xml:space="preserve">að mestu leyti </w:t>
      </w:r>
      <w:r>
        <w:t>sömu réttarstöðu hér á landi vegna verðbréfaviðskipta í kjölfar útgöngu Bretlands úr Evrópusambandinu. Með breyt</w:t>
      </w:r>
      <w:r w:rsidR="0032720F">
        <w:softHyphen/>
      </w:r>
      <w:r>
        <w:t>ing</w:t>
      </w:r>
      <w:r w:rsidR="0032720F">
        <w:softHyphen/>
      </w:r>
      <w:r>
        <w:t>unum njóta fyrrgreindir aðilar áfram undanþágu með sama hætti og seðlabankar og lána</w:t>
      </w:r>
      <w:r w:rsidR="0032720F">
        <w:softHyphen/>
      </w:r>
      <w:r>
        <w:t xml:space="preserve">sýslur </w:t>
      </w:r>
      <w:r w:rsidR="008D20F9">
        <w:t xml:space="preserve">EFTA-ríkjanna innan </w:t>
      </w:r>
      <w:r>
        <w:t xml:space="preserve">EES gera innan EES frá tilteknum ákvæðum </w:t>
      </w:r>
      <w:r w:rsidRPr="001073D1">
        <w:t>tilskipunar 2003/6/EB um innherjaviðskipti og markaðsmisnotkun (</w:t>
      </w:r>
      <w:r>
        <w:t>MAD I tilskipunin</w:t>
      </w:r>
      <w:r w:rsidRPr="001073D1">
        <w:t>)</w:t>
      </w:r>
      <w:r>
        <w:t xml:space="preserve"> og tilskipun </w:t>
      </w:r>
      <w:r w:rsidRPr="001073D1">
        <w:t>2004/39/EB um markaði fyrir fjármálagerninga</w:t>
      </w:r>
      <w:r>
        <w:t xml:space="preserve"> (MiFID I tilskipunin).</w:t>
      </w:r>
    </w:p>
    <w:p w14:paraId="2AE393F6" w14:textId="77777777" w:rsidR="0047386A" w:rsidRPr="00036ECA" w:rsidRDefault="0047386A" w:rsidP="0047386A"/>
    <w:p w14:paraId="77B00148" w14:textId="744A9383" w:rsidR="0047386A" w:rsidRDefault="0047386A" w:rsidP="0047386A">
      <w:pPr>
        <w:pStyle w:val="Greinarnmer"/>
      </w:pPr>
      <w:r>
        <w:t xml:space="preserve">Um </w:t>
      </w:r>
      <w:r w:rsidR="001715B9">
        <w:t>7</w:t>
      </w:r>
      <w:r>
        <w:t>.</w:t>
      </w:r>
      <w:r w:rsidR="0030284F">
        <w:t>–</w:t>
      </w:r>
      <w:r w:rsidR="001715B9">
        <w:t>8</w:t>
      </w:r>
      <w:r>
        <w:t>. gr.</w:t>
      </w:r>
    </w:p>
    <w:p w14:paraId="362E1AD9" w14:textId="77777777" w:rsidR="0047386A" w:rsidRDefault="0047386A" w:rsidP="0047386A">
      <w:r>
        <w:t>Í 1.</w:t>
      </w:r>
      <w:r w:rsidR="0030284F">
        <w:t>–</w:t>
      </w:r>
      <w:r>
        <w:t>2. gr. er lögð til breyting á 42., 56., 88. og 115. gr. laga</w:t>
      </w:r>
      <w:r w:rsidR="0032720F">
        <w:t xml:space="preserve"> um verðbréfaviðskipti, nr. 108/2007,</w:t>
      </w:r>
      <w:r>
        <w:t xml:space="preserve"> á þann veg að Englandsbanka og Lánasýslu Bretlands er bætt við upptalningu á aðilum sem undanþegnir eru frá ákvæðum laganna um gagnsæi, flöggun og verðmyndun á markaði.</w:t>
      </w:r>
    </w:p>
    <w:p w14:paraId="21C8BBB1" w14:textId="77777777" w:rsidR="0047386A" w:rsidRDefault="0047386A" w:rsidP="0047386A"/>
    <w:p w14:paraId="2CD54C5E" w14:textId="6C09FB61" w:rsidR="0047386A" w:rsidRDefault="0047386A" w:rsidP="0047386A">
      <w:pPr>
        <w:pStyle w:val="Greinarnmer"/>
      </w:pPr>
      <w:r>
        <w:t xml:space="preserve">Um </w:t>
      </w:r>
      <w:r w:rsidR="001715B9">
        <w:t>8</w:t>
      </w:r>
      <w:r>
        <w:t>. gr.</w:t>
      </w:r>
    </w:p>
    <w:p w14:paraId="0DDF8E8A" w14:textId="77777777" w:rsidR="0047386A" w:rsidRDefault="0047386A" w:rsidP="0047386A">
      <w:r>
        <w:t xml:space="preserve">Í greininni eru lagðar til tvenns konar breytingar á 123. gr. </w:t>
      </w:r>
      <w:r w:rsidR="0032720F">
        <w:t>laga um verðbréfaviðskipti, nr. 108/2007</w:t>
      </w:r>
      <w:r>
        <w:t xml:space="preserve">, sem fjallar um innherjasvik, til samræmis við 7. gr. MAD I tilskipunarinnar. </w:t>
      </w:r>
    </w:p>
    <w:p w14:paraId="546BF62F" w14:textId="77777777" w:rsidR="0047386A" w:rsidRPr="00012035" w:rsidRDefault="0047386A" w:rsidP="0047386A">
      <w:r>
        <w:t xml:space="preserve">Undanþegin frá ákvæði 1. mgr. 123. gr. um innherjasvik eru í dag aðeins viðskipti íslenska ríkisins, Seðlabanka Íslands eða aðila sem annast viðskipti fyrir þeirra hönd, enda séu viðskiptin liður í stefnu ríkisins í peningamálum, gengismálum eða lánasýslu. Ákvæði 7. gr. tilskipunarinnar gerir ráð fyrir </w:t>
      </w:r>
      <w:r w:rsidR="0032720F">
        <w:t xml:space="preserve">því </w:t>
      </w:r>
      <w:r>
        <w:t xml:space="preserve">að undanþegin séu </w:t>
      </w:r>
      <w:r w:rsidRPr="009243B8">
        <w:t xml:space="preserve">viðskipti ríkja eða seðlabanka innan Evrópska efnahagssvæðisins </w:t>
      </w:r>
      <w:r>
        <w:t xml:space="preserve">að uppfylltum fyrrgreindum skilyrðum um að þau séu gerð sem liður í stefnu ríkisins í peningamálum o.s.frv. Er því lagt til að orðalagi 4. mgr. verði breytt til samræmis við 7. gr. tilskipunarinnar. Jafnframt er lagt til að við 4. mgr. bætist nýr málsliður þess efnis að undanþágan eigi einnig við um </w:t>
      </w:r>
      <w:r w:rsidRPr="00D3417D">
        <w:t>viðskipti Englandsbanka og Lánasýslu Bretlands.</w:t>
      </w:r>
      <w:r>
        <w:t xml:space="preserve"> </w:t>
      </w:r>
    </w:p>
    <w:p w14:paraId="4CD04FCD" w14:textId="77777777" w:rsidR="00C25839" w:rsidRDefault="00C25839" w:rsidP="00D2541F">
      <w:pPr>
        <w:ind w:firstLine="0"/>
      </w:pPr>
    </w:p>
    <w:p w14:paraId="6E92466F" w14:textId="55FD9C91" w:rsidR="00AA06FF" w:rsidRDefault="00AA06FF" w:rsidP="00AA06FF">
      <w:pPr>
        <w:pStyle w:val="Greinarnmer"/>
      </w:pPr>
      <w:r>
        <w:t xml:space="preserve">Um </w:t>
      </w:r>
      <w:r w:rsidR="001715B9">
        <w:t>9</w:t>
      </w:r>
      <w:r w:rsidR="00A33101">
        <w:t>.</w:t>
      </w:r>
      <w:r w:rsidR="009E1934">
        <w:t xml:space="preserve"> </w:t>
      </w:r>
      <w:r>
        <w:t>gr.</w:t>
      </w:r>
    </w:p>
    <w:p w14:paraId="00DC5702" w14:textId="04BFAAF0" w:rsidR="0052572C" w:rsidRDefault="0052572C" w:rsidP="00AA06FF">
      <w:r>
        <w:t>Eins og rakið hefur verið hér að framan ríki</w:t>
      </w:r>
      <w:r w:rsidR="00543CC1">
        <w:t>r</w:t>
      </w:r>
      <w:r>
        <w:t xml:space="preserve"> enn óvissa um forsendur útgöngu Bretlands úr Evrópusambandinu, þ.m.t. hvort slík útganga verði á grundvelli svonefnds útgöngusamnings Bretlands og Evrópusambandsins. Af þessum sökum ríkir óvissa um </w:t>
      </w:r>
      <w:r>
        <w:lastRenderedPageBreak/>
        <w:t>hvenær, og raunar hvort, sum ákvæði þessara laga muni taka gildi. Af þessum sökum er lögð til að gildistaka þessara laga verði sem hér segir:</w:t>
      </w:r>
    </w:p>
    <w:p w14:paraId="1A656DEE" w14:textId="216BAF4B" w:rsidR="0052572C" w:rsidRDefault="0052572C" w:rsidP="0052572C">
      <w:r>
        <w:t>1. Ákvæði II. kafla um s</w:t>
      </w:r>
      <w:r w:rsidRPr="00C25839">
        <w:t>taðfesting samning</w:t>
      </w:r>
      <w:r>
        <w:t>a</w:t>
      </w:r>
      <w:r w:rsidRPr="00C25839">
        <w:t xml:space="preserve"> vegna útgöngu Bretlands</w:t>
      </w:r>
      <w:r>
        <w:t xml:space="preserve"> taki gildi strax. Með þessu móti hafa íslensk stjórnvöld heimild til að ganga frá gildistöku hvors samningsins um sig, þegar ljóst verður hvor þessara samninga mun í raun taka gildi.</w:t>
      </w:r>
    </w:p>
    <w:p w14:paraId="3B30987A" w14:textId="3E35CB24" w:rsidR="0052572C" w:rsidRDefault="0052572C" w:rsidP="0052572C">
      <w:r>
        <w:t>2. Ákvæði II. kafla um bráðabirgðatímabilið taka því aðeins gildi að útganga Bretlands byggi á annað hvort á þeim samningi sem Bretland og Evrópusamband luku við að gera í nóvember 2018, en hefur ekki enn hlotið staðfestingu breska þingsins, eða á öðrum sambærilegum samning</w:t>
      </w:r>
      <w:r w:rsidR="00543CC1">
        <w:t>i</w:t>
      </w:r>
      <w:r>
        <w:t xml:space="preserve"> sem hefði að geyma ákvæði um sambærilegt bráðabirgðatímabil.</w:t>
      </w:r>
      <w:r w:rsidR="009777E1">
        <w:t xml:space="preserve">Í ljósi þess að enn er óljóst hvenær bráðabirgðatímabilið hefjist skal birta auglýsingu í A-deild Stjórnartíðinda þegar það liggur fyrir hvenær það hefjist. </w:t>
      </w:r>
    </w:p>
    <w:p w14:paraId="21F3118F" w14:textId="045437D4" w:rsidR="0052572C" w:rsidRDefault="0052572C" w:rsidP="0052572C">
      <w:r>
        <w:t>3. Ákvæði III, IV og V. kafla tæk</w:t>
      </w:r>
      <w:r w:rsidR="00543CC1">
        <w:t>j</w:t>
      </w:r>
      <w:r>
        <w:t xml:space="preserve">u gildi um leið og </w:t>
      </w:r>
      <w:r w:rsidR="00257DC9">
        <w:t>annar hvor þeirra samninga sem vísað er til í I. kafla hafa tekið gildi hvað Ísland varða</w:t>
      </w:r>
      <w:r w:rsidR="00543CC1">
        <w:t>r</w:t>
      </w:r>
      <w:r w:rsidR="00257DC9">
        <w:t>, eða þeim beitt hvað Ísland varðar. Það síðarnefnda á eingöngu við hafi Ísland lokið við formlegri fullgildingu samningsins en Bretland hafi ekki gert slík</w:t>
      </w:r>
      <w:r w:rsidR="00543CC1">
        <w:t>t</w:t>
      </w:r>
      <w:r w:rsidR="00257DC9">
        <w:t>, en bresk og íslensk stjórnvöld hafi eigi að síður ákveðið í sameiningu að beita samningnum til bráðabirgða á meðan formlegri fullgildingu samningsins er ólokið af hálfu breskra stjórnvalda.</w:t>
      </w:r>
    </w:p>
    <w:p w14:paraId="20EAEA2F" w14:textId="387BB59D" w:rsidR="00257DC9" w:rsidRPr="00C25839" w:rsidRDefault="00257DC9" w:rsidP="0065307D">
      <w:r>
        <w:t>4. Ákvæði VI. kafla taka aðeins gildi komi til þess að Bretland gangi úr Evrópusambandinu án samnings.</w:t>
      </w:r>
    </w:p>
    <w:p w14:paraId="0B17B9EC" w14:textId="16438B39" w:rsidR="0052572C" w:rsidRDefault="0052572C" w:rsidP="00AA06FF"/>
    <w:p w14:paraId="13078C80" w14:textId="3A4AB386" w:rsidR="0052572C" w:rsidRDefault="0052572C" w:rsidP="00D2541F">
      <w:pPr>
        <w:ind w:firstLine="0"/>
      </w:pPr>
    </w:p>
    <w:p w14:paraId="5ED5E841" w14:textId="77777777" w:rsidR="0052572C" w:rsidRDefault="0052572C" w:rsidP="00D2541F">
      <w:pPr>
        <w:ind w:firstLine="0"/>
      </w:pPr>
    </w:p>
    <w:p w14:paraId="31566877" w14:textId="77777777" w:rsidR="0052572C" w:rsidRDefault="0052572C" w:rsidP="00D2541F">
      <w:pPr>
        <w:ind w:firstLine="0"/>
      </w:pPr>
    </w:p>
    <w:p w14:paraId="579AA926" w14:textId="37C38360" w:rsidR="00206D68" w:rsidRPr="00A35AF2" w:rsidRDefault="00206D68" w:rsidP="00D2541F">
      <w:pPr>
        <w:ind w:firstLine="0"/>
        <w:rPr>
          <w:b/>
          <w:u w:val="single"/>
        </w:rPr>
      </w:pPr>
      <w:r w:rsidRPr="00A35AF2">
        <w:rPr>
          <w:b/>
          <w:u w:val="single"/>
        </w:rPr>
        <w:t>Fylgiskjal</w:t>
      </w:r>
      <w:r w:rsidR="0052572C">
        <w:rPr>
          <w:b/>
          <w:u w:val="single"/>
        </w:rPr>
        <w:t xml:space="preserve"> I</w:t>
      </w:r>
      <w:r w:rsidR="006D47C9">
        <w:rPr>
          <w:b/>
          <w:u w:val="single"/>
        </w:rPr>
        <w:t>.</w:t>
      </w:r>
    </w:p>
    <w:p w14:paraId="3951AF36" w14:textId="5837D0B3" w:rsidR="0052572C" w:rsidRDefault="0052572C" w:rsidP="0052572C">
      <w:r>
        <w:t xml:space="preserve">Samningur Íslands, Furstadæmisins Liechtenstein, Konungsríkisins Noregs og hins Sameinaða Konungsríkis Stóra-Bretlands og Norður-Írlands í kjölfar úrsagnar þess úr EES-samningnum og öðrum samningum sem gilda milli Bretlands og EFTA-ríkjanna innan EES í krafi aðildar Bretlands að Evrópusambandinu. </w:t>
      </w:r>
    </w:p>
    <w:p w14:paraId="6357FD4E" w14:textId="4EB94920" w:rsidR="006D47C9" w:rsidRDefault="006D47C9" w:rsidP="0065307D">
      <w:pPr>
        <w:ind w:firstLine="0"/>
      </w:pPr>
    </w:p>
    <w:p w14:paraId="353723CC" w14:textId="77777777" w:rsidR="0052572C" w:rsidRDefault="0052572C" w:rsidP="00943B67"/>
    <w:p w14:paraId="65312F41" w14:textId="73BDAE7E" w:rsidR="0052572C" w:rsidRPr="00A35AF2" w:rsidRDefault="0052572C" w:rsidP="0052572C">
      <w:pPr>
        <w:ind w:firstLine="0"/>
        <w:rPr>
          <w:b/>
          <w:u w:val="single"/>
        </w:rPr>
      </w:pPr>
      <w:r w:rsidRPr="00A35AF2">
        <w:rPr>
          <w:b/>
          <w:u w:val="single"/>
        </w:rPr>
        <w:t>Fylgiskjal</w:t>
      </w:r>
      <w:r>
        <w:rPr>
          <w:b/>
          <w:u w:val="single"/>
        </w:rPr>
        <w:t xml:space="preserve"> II.</w:t>
      </w:r>
    </w:p>
    <w:p w14:paraId="03102693" w14:textId="77777777" w:rsidR="0052572C" w:rsidRDefault="0052572C" w:rsidP="00943B67"/>
    <w:p w14:paraId="7F42FF2A" w14:textId="77777777" w:rsidR="00F60F37" w:rsidRPr="0065307D" w:rsidRDefault="00F60F37" w:rsidP="0065307D">
      <w:pPr>
        <w:ind w:firstLine="0"/>
      </w:pPr>
      <w:r w:rsidRPr="0065307D">
        <w:t>Samningur um fyrirkomulag milli Íslands, Furstadæmisins Liechtensteins, Konungsríkisins Noregs og Sameinaða konungsríkisins Stóra-Bretlands og Norður-Írlands um réttindi borgara í kjölfar úrsagnar Bretlands úr Evrópusambandinu og EES-samningnum</w:t>
      </w:r>
    </w:p>
    <w:p w14:paraId="532136F2" w14:textId="77777777" w:rsidR="006D47C9" w:rsidRDefault="006D47C9" w:rsidP="006D47C9">
      <w:pPr>
        <w:jc w:val="center"/>
      </w:pPr>
    </w:p>
    <w:p w14:paraId="3C45C917" w14:textId="7ABA552C" w:rsidR="006D47C9" w:rsidRPr="00012035" w:rsidRDefault="006D47C9" w:rsidP="00D2541F">
      <w:pPr>
        <w:jc w:val="center"/>
      </w:pPr>
    </w:p>
    <w:sectPr w:rsidR="006D47C9" w:rsidRPr="00012035" w:rsidSect="00947F0E">
      <w:headerReference w:type="even" r:id="rId7"/>
      <w:headerReference w:type="default" r:id="rId8"/>
      <w:headerReference w:type="first" r:id="rId9"/>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ED1F7" w14:textId="77777777" w:rsidR="0052572C" w:rsidRDefault="0052572C" w:rsidP="006258D7">
      <w:r>
        <w:separator/>
      </w:r>
    </w:p>
    <w:p w14:paraId="1F89DD9B" w14:textId="77777777" w:rsidR="0052572C" w:rsidRDefault="0052572C"/>
  </w:endnote>
  <w:endnote w:type="continuationSeparator" w:id="0">
    <w:p w14:paraId="3A5D73BC" w14:textId="77777777" w:rsidR="0052572C" w:rsidRDefault="0052572C" w:rsidP="006258D7">
      <w:r>
        <w:continuationSeparator/>
      </w:r>
    </w:p>
    <w:p w14:paraId="2E2DD3F5" w14:textId="77777777" w:rsidR="0052572C" w:rsidRDefault="005257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14170" w14:textId="77777777" w:rsidR="0052572C" w:rsidRDefault="0052572C" w:rsidP="005B4CD6">
      <w:pPr>
        <w:ind w:firstLine="0"/>
      </w:pPr>
      <w:r>
        <w:separator/>
      </w:r>
    </w:p>
    <w:p w14:paraId="5F783855" w14:textId="77777777" w:rsidR="0052572C" w:rsidRDefault="0052572C"/>
  </w:footnote>
  <w:footnote w:type="continuationSeparator" w:id="0">
    <w:p w14:paraId="4076635E" w14:textId="77777777" w:rsidR="0052572C" w:rsidRDefault="0052572C" w:rsidP="006258D7">
      <w:r>
        <w:continuationSeparator/>
      </w:r>
    </w:p>
    <w:p w14:paraId="18CEDDC6" w14:textId="77777777" w:rsidR="0052572C" w:rsidRDefault="005257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21867" w14:textId="77777777" w:rsidR="0052572C" w:rsidRDefault="00A62C0E">
    <w:pPr>
      <w:pStyle w:val="Header"/>
    </w:pPr>
    <w:r>
      <w:rPr>
        <w:noProof/>
      </w:rPr>
      <w:pict w14:anchorId="082D4A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0;margin-top:0;width:428.95pt;height:122.55pt;rotation:315;z-index:-251658752;mso-position-horizontal:center;mso-position-horizontal-relative:margin;mso-position-vertical:center;mso-position-vertical-relative:margin" o:allowincell="f" fillcolor="#747070 [1614]" stroked="f">
          <v:fill opacity=".5"/>
          <v:textpath style="font-family:&quot;Times New Roman&quot;;font-size:1pt" string="No de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E6BDA" w14:textId="1290B6FE" w:rsidR="0052572C" w:rsidRDefault="0052572C" w:rsidP="006258D7">
    <w:pPr>
      <w:pStyle w:val="Header"/>
      <w:tabs>
        <w:tab w:val="clear" w:pos="4536"/>
        <w:tab w:val="clear" w:pos="9072"/>
        <w:tab w:val="center" w:pos="3969"/>
        <w:tab w:val="right" w:pos="7797"/>
      </w:tabs>
    </w:pPr>
    <w:r>
      <w:tab/>
    </w:r>
    <w:r>
      <w:fldChar w:fldCharType="begin"/>
    </w:r>
    <w:r>
      <w:instrText>PAGE   \* MERGEFORMAT</w:instrText>
    </w:r>
    <w:r>
      <w:fldChar w:fldCharType="separate"/>
    </w:r>
    <w:r>
      <w:rPr>
        <w:noProof/>
      </w:rPr>
      <w:t>9</w:t>
    </w:r>
    <w:r>
      <w:rPr>
        <w:noProof/>
      </w:rPr>
      <w:fldChar w:fldCharType="end"/>
    </w:r>
    <w:r>
      <w:rPr>
        <w:noProof/>
      </w:rP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A62C0E">
      <w:rPr>
        <w:b/>
        <w:i/>
        <w:noProof/>
        <w:color w:val="7F7F7F"/>
        <w:sz w:val="24"/>
        <w:szCs w:val="24"/>
      </w:rPr>
      <w:t>17. apríl 2019</w:t>
    </w:r>
    <w:r>
      <w:rPr>
        <w:b/>
        <w:i/>
        <w:color w:val="7F7F7F"/>
        <w:sz w:val="24"/>
        <w:szCs w:val="24"/>
      </w:rPr>
      <w:fldChar w:fldCharType="end"/>
    </w:r>
  </w:p>
  <w:p w14:paraId="4D8C5AE5" w14:textId="77777777" w:rsidR="0052572C" w:rsidRDefault="0052572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24648" w14:textId="75AD4B0C" w:rsidR="0052572C" w:rsidRDefault="0052572C" w:rsidP="00655EE3">
    <w:pPr>
      <w:pStyle w:val="Header"/>
      <w:tabs>
        <w:tab w:val="clear" w:pos="4536"/>
        <w:tab w:val="clear" w:pos="9072"/>
        <w:tab w:val="center" w:pos="3969"/>
        <w:tab w:val="right" w:pos="7797"/>
      </w:tabs>
    </w:pPr>
    <w:r>
      <w:tab/>
    </w:r>
    <w: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A62C0E">
      <w:rPr>
        <w:b/>
        <w:i/>
        <w:noProof/>
        <w:color w:val="7F7F7F"/>
        <w:sz w:val="24"/>
        <w:szCs w:val="24"/>
      </w:rPr>
      <w:t>17. apríl 2019</w:t>
    </w:r>
    <w:r>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04D2E"/>
    <w:multiLevelType w:val="hybridMultilevel"/>
    <w:tmpl w:val="FCE0BEAE"/>
    <w:lvl w:ilvl="0" w:tplc="310C1A52">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08345E35"/>
    <w:multiLevelType w:val="hybridMultilevel"/>
    <w:tmpl w:val="A7306464"/>
    <w:lvl w:ilvl="0" w:tplc="FCA00F20">
      <w:start w:val="1"/>
      <w:numFmt w:val="lowerLetter"/>
      <w:lvlText w:val="%1."/>
      <w:lvlJc w:val="left"/>
      <w:pPr>
        <w:ind w:left="929" w:hanging="360"/>
      </w:pPr>
      <w:rPr>
        <w:rFonts w:hint="default"/>
      </w:rPr>
    </w:lvl>
    <w:lvl w:ilvl="1" w:tplc="040F0019" w:tentative="1">
      <w:start w:val="1"/>
      <w:numFmt w:val="lowerLetter"/>
      <w:lvlText w:val="%2."/>
      <w:lvlJc w:val="left"/>
      <w:pPr>
        <w:ind w:left="1649" w:hanging="360"/>
      </w:pPr>
    </w:lvl>
    <w:lvl w:ilvl="2" w:tplc="040F001B" w:tentative="1">
      <w:start w:val="1"/>
      <w:numFmt w:val="lowerRoman"/>
      <w:lvlText w:val="%3."/>
      <w:lvlJc w:val="right"/>
      <w:pPr>
        <w:ind w:left="2369" w:hanging="180"/>
      </w:pPr>
    </w:lvl>
    <w:lvl w:ilvl="3" w:tplc="040F000F" w:tentative="1">
      <w:start w:val="1"/>
      <w:numFmt w:val="decimal"/>
      <w:lvlText w:val="%4."/>
      <w:lvlJc w:val="left"/>
      <w:pPr>
        <w:ind w:left="3089" w:hanging="360"/>
      </w:pPr>
    </w:lvl>
    <w:lvl w:ilvl="4" w:tplc="040F0019" w:tentative="1">
      <w:start w:val="1"/>
      <w:numFmt w:val="lowerLetter"/>
      <w:lvlText w:val="%5."/>
      <w:lvlJc w:val="left"/>
      <w:pPr>
        <w:ind w:left="3809" w:hanging="360"/>
      </w:pPr>
    </w:lvl>
    <w:lvl w:ilvl="5" w:tplc="040F001B" w:tentative="1">
      <w:start w:val="1"/>
      <w:numFmt w:val="lowerRoman"/>
      <w:lvlText w:val="%6."/>
      <w:lvlJc w:val="right"/>
      <w:pPr>
        <w:ind w:left="4529" w:hanging="180"/>
      </w:pPr>
    </w:lvl>
    <w:lvl w:ilvl="6" w:tplc="040F000F" w:tentative="1">
      <w:start w:val="1"/>
      <w:numFmt w:val="decimal"/>
      <w:lvlText w:val="%7."/>
      <w:lvlJc w:val="left"/>
      <w:pPr>
        <w:ind w:left="5249" w:hanging="360"/>
      </w:pPr>
    </w:lvl>
    <w:lvl w:ilvl="7" w:tplc="040F0019" w:tentative="1">
      <w:start w:val="1"/>
      <w:numFmt w:val="lowerLetter"/>
      <w:lvlText w:val="%8."/>
      <w:lvlJc w:val="left"/>
      <w:pPr>
        <w:ind w:left="5969" w:hanging="360"/>
      </w:pPr>
    </w:lvl>
    <w:lvl w:ilvl="8" w:tplc="040F001B" w:tentative="1">
      <w:start w:val="1"/>
      <w:numFmt w:val="lowerRoman"/>
      <w:lvlText w:val="%9."/>
      <w:lvlJc w:val="right"/>
      <w:pPr>
        <w:ind w:left="6689" w:hanging="180"/>
      </w:pPr>
    </w:lvl>
  </w:abstractNum>
  <w:abstractNum w:abstractNumId="2"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3" w15:restartNumberingAfterBreak="0">
    <w:nsid w:val="12881D0E"/>
    <w:multiLevelType w:val="multilevel"/>
    <w:tmpl w:val="0D70FC7A"/>
    <w:numStyleLink w:val="Thingskjala-1-a-1"/>
  </w:abstractNum>
  <w:abstractNum w:abstractNumId="4"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5" w15:restartNumberingAfterBreak="0">
    <w:nsid w:val="24604006"/>
    <w:multiLevelType w:val="hybridMultilevel"/>
    <w:tmpl w:val="F4786724"/>
    <w:lvl w:ilvl="0" w:tplc="00BA5360">
      <w:start w:val="1"/>
      <w:numFmt w:val="decimal"/>
      <w:lvlText w:val="%1."/>
      <w:lvlJc w:val="left"/>
      <w:pPr>
        <w:ind w:left="1440" w:hanging="360"/>
      </w:pPr>
      <w:rPr>
        <w:rFonts w:hint="default"/>
      </w:r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6"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7"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8"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9" w15:restartNumberingAfterBreak="0">
    <w:nsid w:val="2D317A74"/>
    <w:multiLevelType w:val="hybridMultilevel"/>
    <w:tmpl w:val="A6EC5E7C"/>
    <w:lvl w:ilvl="0" w:tplc="310C1A52">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30A73B85"/>
    <w:multiLevelType w:val="hybridMultilevel"/>
    <w:tmpl w:val="624EE612"/>
    <w:lvl w:ilvl="0" w:tplc="11E29038">
      <w:start w:val="1"/>
      <w:numFmt w:val="lowerLetter"/>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1" w15:restartNumberingAfterBreak="0">
    <w:nsid w:val="368B3B68"/>
    <w:multiLevelType w:val="multilevel"/>
    <w:tmpl w:val="0560B0FA"/>
    <w:numStyleLink w:val="Althingi1-a-1-a"/>
  </w:abstractNum>
  <w:abstractNum w:abstractNumId="12" w15:restartNumberingAfterBreak="0">
    <w:nsid w:val="3B480B4E"/>
    <w:multiLevelType w:val="multilevel"/>
    <w:tmpl w:val="6DEC8882"/>
    <w:numStyleLink w:val="Althingi---"/>
  </w:abstractNum>
  <w:abstractNum w:abstractNumId="13" w15:restartNumberingAfterBreak="0">
    <w:nsid w:val="42625A7E"/>
    <w:multiLevelType w:val="hybridMultilevel"/>
    <w:tmpl w:val="0740721C"/>
    <w:lvl w:ilvl="0" w:tplc="3D425F30">
      <w:start w:val="1"/>
      <w:numFmt w:val="decimal"/>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4" w15:restartNumberingAfterBreak="0">
    <w:nsid w:val="436A7E64"/>
    <w:multiLevelType w:val="multilevel"/>
    <w:tmpl w:val="0D70FC7A"/>
    <w:numStyleLink w:val="Thingskjala-1-a-1"/>
  </w:abstractNum>
  <w:abstractNum w:abstractNumId="15"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16" w15:restartNumberingAfterBreak="0">
    <w:nsid w:val="448C0389"/>
    <w:multiLevelType w:val="hybridMultilevel"/>
    <w:tmpl w:val="1F462E84"/>
    <w:lvl w:ilvl="0" w:tplc="310C1A52">
      <w:start w:val="1"/>
      <w:numFmt w:val="decimal"/>
      <w:lvlText w:val="%1."/>
      <w:lvlJc w:val="left"/>
      <w:pPr>
        <w:ind w:left="1004" w:hanging="360"/>
      </w:pPr>
      <w:rPr>
        <w:rFonts w:hint="default"/>
      </w:r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17"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18" w15:restartNumberingAfterBreak="0">
    <w:nsid w:val="4FF35071"/>
    <w:multiLevelType w:val="multilevel"/>
    <w:tmpl w:val="83C6DAE2"/>
    <w:numStyleLink w:val="Althingi"/>
  </w:abstractNum>
  <w:abstractNum w:abstractNumId="19" w15:restartNumberingAfterBreak="0">
    <w:nsid w:val="52B54149"/>
    <w:multiLevelType w:val="multilevel"/>
    <w:tmpl w:val="0560B0FA"/>
    <w:numStyleLink w:val="Althingi1-a-1-a"/>
  </w:abstractNum>
  <w:abstractNum w:abstractNumId="20" w15:restartNumberingAfterBreak="0">
    <w:nsid w:val="611F3E15"/>
    <w:multiLevelType w:val="hybridMultilevel"/>
    <w:tmpl w:val="0BDAEFEC"/>
    <w:lvl w:ilvl="0" w:tplc="26165EEC">
      <w:start w:val="1"/>
      <w:numFmt w:val="decimal"/>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1" w15:restartNumberingAfterBreak="0">
    <w:nsid w:val="67377744"/>
    <w:multiLevelType w:val="multilevel"/>
    <w:tmpl w:val="0D70FC7A"/>
    <w:numStyleLink w:val="Thingskjala-1-a-1"/>
  </w:abstractNum>
  <w:abstractNum w:abstractNumId="22"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23"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24"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25" w15:restartNumberingAfterBreak="0">
    <w:nsid w:val="7B745CD3"/>
    <w:multiLevelType w:val="hybridMultilevel"/>
    <w:tmpl w:val="16E6F36C"/>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26" w15:restartNumberingAfterBreak="0">
    <w:nsid w:val="7BA659D4"/>
    <w:multiLevelType w:val="multilevel"/>
    <w:tmpl w:val="0D70FC7A"/>
    <w:numStyleLink w:val="Thingskjala-1-a-1"/>
  </w:abstractNum>
  <w:abstractNum w:abstractNumId="27"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27"/>
  </w:num>
  <w:num w:numId="2">
    <w:abstractNumId w:val="22"/>
  </w:num>
  <w:num w:numId="3">
    <w:abstractNumId w:val="24"/>
  </w:num>
  <w:num w:numId="4">
    <w:abstractNumId w:val="6"/>
  </w:num>
  <w:num w:numId="5">
    <w:abstractNumId w:val="17"/>
  </w:num>
  <w:num w:numId="6">
    <w:abstractNumId w:val="23"/>
  </w:num>
  <w:num w:numId="7">
    <w:abstractNumId w:val="7"/>
  </w:num>
  <w:num w:numId="8">
    <w:abstractNumId w:val="4"/>
  </w:num>
  <w:num w:numId="9">
    <w:abstractNumId w:val="15"/>
  </w:num>
  <w:num w:numId="10">
    <w:abstractNumId w:val="8"/>
  </w:num>
  <w:num w:numId="11">
    <w:abstractNumId w:val="12"/>
  </w:num>
  <w:num w:numId="12">
    <w:abstractNumId w:val="18"/>
  </w:num>
  <w:num w:numId="13">
    <w:abstractNumId w:val="2"/>
  </w:num>
  <w:num w:numId="14">
    <w:abstractNumId w:val="10"/>
  </w:num>
  <w:num w:numId="15">
    <w:abstractNumId w:val="16"/>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6"/>
  </w:num>
  <w:num w:numId="19">
    <w:abstractNumId w:val="21"/>
  </w:num>
  <w:num w:numId="20">
    <w:abstractNumId w:val="14"/>
  </w:num>
  <w:num w:numId="21">
    <w:abstractNumId w:val="11"/>
  </w:num>
  <w:num w:numId="22">
    <w:abstractNumId w:val="3"/>
  </w:num>
  <w:num w:numId="23">
    <w:abstractNumId w:val="1"/>
  </w:num>
  <w:num w:numId="24">
    <w:abstractNumId w:val="9"/>
  </w:num>
  <w:num w:numId="25">
    <w:abstractNumId w:val="13"/>
  </w:num>
  <w:num w:numId="26">
    <w:abstractNumId w:val="5"/>
  </w:num>
  <w:num w:numId="27">
    <w:abstractNumId w:val="0"/>
  </w:num>
  <w:num w:numId="28">
    <w:abstractNumId w:val="20"/>
  </w:num>
  <w:num w:numId="29">
    <w:abstractNumId w:val="19"/>
    <w:lvlOverride w:ilvl="2">
      <w:lvl w:ilvl="2">
        <w:start w:val="1"/>
        <w:numFmt w:val="decimal"/>
        <w:lvlText w:val="%3."/>
        <w:lvlJc w:val="right"/>
        <w:pPr>
          <w:ind w:left="993" w:hanging="141"/>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DateAndTime/>
  <w:defaultTabStop w:val="284"/>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0050A"/>
    <w:rsid w:val="000025DC"/>
    <w:rsid w:val="000109EE"/>
    <w:rsid w:val="000145B6"/>
    <w:rsid w:val="00027682"/>
    <w:rsid w:val="000300CD"/>
    <w:rsid w:val="00030C42"/>
    <w:rsid w:val="0003260E"/>
    <w:rsid w:val="00055B22"/>
    <w:rsid w:val="000716B2"/>
    <w:rsid w:val="00071A42"/>
    <w:rsid w:val="00081087"/>
    <w:rsid w:val="000A3ED0"/>
    <w:rsid w:val="000A7848"/>
    <w:rsid w:val="000D40D8"/>
    <w:rsid w:val="000D7A9B"/>
    <w:rsid w:val="000E16E7"/>
    <w:rsid w:val="000E36A4"/>
    <w:rsid w:val="000F46B1"/>
    <w:rsid w:val="00117680"/>
    <w:rsid w:val="001222CE"/>
    <w:rsid w:val="00122EE4"/>
    <w:rsid w:val="00132E7E"/>
    <w:rsid w:val="00134208"/>
    <w:rsid w:val="001371CD"/>
    <w:rsid w:val="0015447D"/>
    <w:rsid w:val="0015772E"/>
    <w:rsid w:val="001715B9"/>
    <w:rsid w:val="00181038"/>
    <w:rsid w:val="00191C1E"/>
    <w:rsid w:val="00193E8F"/>
    <w:rsid w:val="001A31D2"/>
    <w:rsid w:val="001D1AC0"/>
    <w:rsid w:val="001D2E0D"/>
    <w:rsid w:val="00206D68"/>
    <w:rsid w:val="0021227A"/>
    <w:rsid w:val="00214837"/>
    <w:rsid w:val="0022006D"/>
    <w:rsid w:val="0022027C"/>
    <w:rsid w:val="002224E3"/>
    <w:rsid w:val="002419DD"/>
    <w:rsid w:val="00257DC9"/>
    <w:rsid w:val="00260FE0"/>
    <w:rsid w:val="002675EE"/>
    <w:rsid w:val="00270A34"/>
    <w:rsid w:val="002730EC"/>
    <w:rsid w:val="00285640"/>
    <w:rsid w:val="00293FEE"/>
    <w:rsid w:val="0029759B"/>
    <w:rsid w:val="002B3385"/>
    <w:rsid w:val="002C0A13"/>
    <w:rsid w:val="002D034E"/>
    <w:rsid w:val="002D340A"/>
    <w:rsid w:val="002E7193"/>
    <w:rsid w:val="002F12FD"/>
    <w:rsid w:val="002F3AFA"/>
    <w:rsid w:val="0030284F"/>
    <w:rsid w:val="0031562D"/>
    <w:rsid w:val="00322F35"/>
    <w:rsid w:val="00326E7A"/>
    <w:rsid w:val="0032704C"/>
    <w:rsid w:val="0032720F"/>
    <w:rsid w:val="00335852"/>
    <w:rsid w:val="0035494E"/>
    <w:rsid w:val="003549BD"/>
    <w:rsid w:val="00362349"/>
    <w:rsid w:val="00372F0A"/>
    <w:rsid w:val="00381ECF"/>
    <w:rsid w:val="003917F4"/>
    <w:rsid w:val="003A0A09"/>
    <w:rsid w:val="003A4A2B"/>
    <w:rsid w:val="003B68AB"/>
    <w:rsid w:val="003B7AF5"/>
    <w:rsid w:val="003F5B37"/>
    <w:rsid w:val="00406D51"/>
    <w:rsid w:val="00436458"/>
    <w:rsid w:val="0047386A"/>
    <w:rsid w:val="0049606B"/>
    <w:rsid w:val="004B3D9B"/>
    <w:rsid w:val="004B500C"/>
    <w:rsid w:val="004C4D11"/>
    <w:rsid w:val="004C568E"/>
    <w:rsid w:val="004D741A"/>
    <w:rsid w:val="004F093F"/>
    <w:rsid w:val="004F37F2"/>
    <w:rsid w:val="004F42FC"/>
    <w:rsid w:val="0050458D"/>
    <w:rsid w:val="00507601"/>
    <w:rsid w:val="00513867"/>
    <w:rsid w:val="0051662F"/>
    <w:rsid w:val="00516BC7"/>
    <w:rsid w:val="0052572C"/>
    <w:rsid w:val="005303CF"/>
    <w:rsid w:val="005375B7"/>
    <w:rsid w:val="00543447"/>
    <w:rsid w:val="00543CC1"/>
    <w:rsid w:val="0055447C"/>
    <w:rsid w:val="00564348"/>
    <w:rsid w:val="0057228A"/>
    <w:rsid w:val="00591537"/>
    <w:rsid w:val="00591CAD"/>
    <w:rsid w:val="005922A4"/>
    <w:rsid w:val="005B16BB"/>
    <w:rsid w:val="005B1A2C"/>
    <w:rsid w:val="005B4530"/>
    <w:rsid w:val="005B4CD6"/>
    <w:rsid w:val="005C19D9"/>
    <w:rsid w:val="005D5AEE"/>
    <w:rsid w:val="005D7863"/>
    <w:rsid w:val="0061283B"/>
    <w:rsid w:val="006239A9"/>
    <w:rsid w:val="006258D7"/>
    <w:rsid w:val="0062680B"/>
    <w:rsid w:val="006514F9"/>
    <w:rsid w:val="00652C9A"/>
    <w:rsid w:val="0065307D"/>
    <w:rsid w:val="00655AEA"/>
    <w:rsid w:val="00655EE3"/>
    <w:rsid w:val="0066420A"/>
    <w:rsid w:val="00673E46"/>
    <w:rsid w:val="00681BC9"/>
    <w:rsid w:val="006B48FE"/>
    <w:rsid w:val="006B6B37"/>
    <w:rsid w:val="006D47C9"/>
    <w:rsid w:val="006E1148"/>
    <w:rsid w:val="006F069F"/>
    <w:rsid w:val="006F4043"/>
    <w:rsid w:val="006F4D1E"/>
    <w:rsid w:val="006F5083"/>
    <w:rsid w:val="006F74FF"/>
    <w:rsid w:val="00706572"/>
    <w:rsid w:val="007072FC"/>
    <w:rsid w:val="00707D37"/>
    <w:rsid w:val="007176DC"/>
    <w:rsid w:val="007214D8"/>
    <w:rsid w:val="00740DD0"/>
    <w:rsid w:val="007555E3"/>
    <w:rsid w:val="007722A7"/>
    <w:rsid w:val="0079288D"/>
    <w:rsid w:val="007A08F8"/>
    <w:rsid w:val="007A2C8C"/>
    <w:rsid w:val="007C4DCC"/>
    <w:rsid w:val="007C6B54"/>
    <w:rsid w:val="007C7E7A"/>
    <w:rsid w:val="007D4338"/>
    <w:rsid w:val="007E2DFD"/>
    <w:rsid w:val="007F07BB"/>
    <w:rsid w:val="007F3B99"/>
    <w:rsid w:val="00803FAF"/>
    <w:rsid w:val="0080556E"/>
    <w:rsid w:val="00821B08"/>
    <w:rsid w:val="00845813"/>
    <w:rsid w:val="00852033"/>
    <w:rsid w:val="00852FF3"/>
    <w:rsid w:val="0085674C"/>
    <w:rsid w:val="008577B7"/>
    <w:rsid w:val="008732DA"/>
    <w:rsid w:val="00874210"/>
    <w:rsid w:val="00895167"/>
    <w:rsid w:val="00895423"/>
    <w:rsid w:val="008B3557"/>
    <w:rsid w:val="008C71BB"/>
    <w:rsid w:val="008D0068"/>
    <w:rsid w:val="008D170B"/>
    <w:rsid w:val="008D20F9"/>
    <w:rsid w:val="0090184D"/>
    <w:rsid w:val="00913F80"/>
    <w:rsid w:val="009157AC"/>
    <w:rsid w:val="009329F2"/>
    <w:rsid w:val="0094270D"/>
    <w:rsid w:val="00943B67"/>
    <w:rsid w:val="0094415C"/>
    <w:rsid w:val="00945163"/>
    <w:rsid w:val="00947F0E"/>
    <w:rsid w:val="00952554"/>
    <w:rsid w:val="009661F7"/>
    <w:rsid w:val="00966391"/>
    <w:rsid w:val="009777E1"/>
    <w:rsid w:val="009843F8"/>
    <w:rsid w:val="00995085"/>
    <w:rsid w:val="009A0333"/>
    <w:rsid w:val="009A0DCE"/>
    <w:rsid w:val="009A1EF2"/>
    <w:rsid w:val="009D24F3"/>
    <w:rsid w:val="009D66AA"/>
    <w:rsid w:val="009E1934"/>
    <w:rsid w:val="00A10AE9"/>
    <w:rsid w:val="00A141B9"/>
    <w:rsid w:val="00A2280D"/>
    <w:rsid w:val="00A24367"/>
    <w:rsid w:val="00A258CD"/>
    <w:rsid w:val="00A2696C"/>
    <w:rsid w:val="00A30D1B"/>
    <w:rsid w:val="00A33101"/>
    <w:rsid w:val="00A366EA"/>
    <w:rsid w:val="00A425DE"/>
    <w:rsid w:val="00A61E88"/>
    <w:rsid w:val="00A62C0E"/>
    <w:rsid w:val="00A74357"/>
    <w:rsid w:val="00A8226B"/>
    <w:rsid w:val="00A84435"/>
    <w:rsid w:val="00A84C9D"/>
    <w:rsid w:val="00A90212"/>
    <w:rsid w:val="00A944EE"/>
    <w:rsid w:val="00AA06FF"/>
    <w:rsid w:val="00AB4DB6"/>
    <w:rsid w:val="00AC2291"/>
    <w:rsid w:val="00AC6FFE"/>
    <w:rsid w:val="00AC7C2A"/>
    <w:rsid w:val="00AD0879"/>
    <w:rsid w:val="00AD31F7"/>
    <w:rsid w:val="00AF482F"/>
    <w:rsid w:val="00AF581E"/>
    <w:rsid w:val="00B1458B"/>
    <w:rsid w:val="00B2001D"/>
    <w:rsid w:val="00B203DC"/>
    <w:rsid w:val="00B20E81"/>
    <w:rsid w:val="00B30EC1"/>
    <w:rsid w:val="00B35848"/>
    <w:rsid w:val="00B56947"/>
    <w:rsid w:val="00B67EE2"/>
    <w:rsid w:val="00B86BBC"/>
    <w:rsid w:val="00B923A2"/>
    <w:rsid w:val="00BA2FFA"/>
    <w:rsid w:val="00BC069F"/>
    <w:rsid w:val="00BC31E7"/>
    <w:rsid w:val="00BC3809"/>
    <w:rsid w:val="00BF2C1E"/>
    <w:rsid w:val="00BF3D23"/>
    <w:rsid w:val="00BF7366"/>
    <w:rsid w:val="00C03BCE"/>
    <w:rsid w:val="00C25839"/>
    <w:rsid w:val="00C317DB"/>
    <w:rsid w:val="00C34A72"/>
    <w:rsid w:val="00C350BA"/>
    <w:rsid w:val="00C35574"/>
    <w:rsid w:val="00C36086"/>
    <w:rsid w:val="00C630B9"/>
    <w:rsid w:val="00C632BA"/>
    <w:rsid w:val="00C63E0E"/>
    <w:rsid w:val="00C710B1"/>
    <w:rsid w:val="00C73AAF"/>
    <w:rsid w:val="00C979E8"/>
    <w:rsid w:val="00CA31D0"/>
    <w:rsid w:val="00CA7553"/>
    <w:rsid w:val="00CC7ED2"/>
    <w:rsid w:val="00CD54BE"/>
    <w:rsid w:val="00CD69C5"/>
    <w:rsid w:val="00D0740D"/>
    <w:rsid w:val="00D1466F"/>
    <w:rsid w:val="00D205B5"/>
    <w:rsid w:val="00D2541F"/>
    <w:rsid w:val="00D25E73"/>
    <w:rsid w:val="00D262A4"/>
    <w:rsid w:val="00D337AE"/>
    <w:rsid w:val="00D37477"/>
    <w:rsid w:val="00D45F78"/>
    <w:rsid w:val="00D512A4"/>
    <w:rsid w:val="00D5679C"/>
    <w:rsid w:val="00D64DE9"/>
    <w:rsid w:val="00D65612"/>
    <w:rsid w:val="00D87A02"/>
    <w:rsid w:val="00D90A77"/>
    <w:rsid w:val="00DA0E37"/>
    <w:rsid w:val="00DA14AB"/>
    <w:rsid w:val="00DA73FA"/>
    <w:rsid w:val="00DA7860"/>
    <w:rsid w:val="00DC1758"/>
    <w:rsid w:val="00DC7DA1"/>
    <w:rsid w:val="00DD303D"/>
    <w:rsid w:val="00DD36C5"/>
    <w:rsid w:val="00DD7D43"/>
    <w:rsid w:val="00DF5B69"/>
    <w:rsid w:val="00E11B67"/>
    <w:rsid w:val="00E255CC"/>
    <w:rsid w:val="00E323BD"/>
    <w:rsid w:val="00E376AE"/>
    <w:rsid w:val="00E45CB1"/>
    <w:rsid w:val="00E61D77"/>
    <w:rsid w:val="00E63BCF"/>
    <w:rsid w:val="00E71F27"/>
    <w:rsid w:val="00E7395A"/>
    <w:rsid w:val="00E9418E"/>
    <w:rsid w:val="00EA1BF2"/>
    <w:rsid w:val="00EA4BBC"/>
    <w:rsid w:val="00EB12F6"/>
    <w:rsid w:val="00EB2748"/>
    <w:rsid w:val="00EB3C39"/>
    <w:rsid w:val="00EC433A"/>
    <w:rsid w:val="00ED1890"/>
    <w:rsid w:val="00EE68EC"/>
    <w:rsid w:val="00EE7F62"/>
    <w:rsid w:val="00EF776B"/>
    <w:rsid w:val="00F536AA"/>
    <w:rsid w:val="00F54C9A"/>
    <w:rsid w:val="00F60F37"/>
    <w:rsid w:val="00F6600A"/>
    <w:rsid w:val="00F935FC"/>
    <w:rsid w:val="00FA04ED"/>
    <w:rsid w:val="00FA745D"/>
    <w:rsid w:val="00FB2715"/>
    <w:rsid w:val="00FC4E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95AC087"/>
  <w15:docId w15:val="{051BE859-BC46-4165-A525-10F1CB7D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D4338"/>
    <w:pPr>
      <w:ind w:firstLine="284"/>
      <w:jc w:val="both"/>
    </w:pPr>
    <w:rPr>
      <w:rFonts w:ascii="Times New Roman" w:hAnsi="Times New Roman"/>
      <w:sz w:val="21"/>
      <w:szCs w:val="22"/>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mija">
    <w:name w:val="Normal/miðjað"/>
    <w:basedOn w:val="Normal"/>
    <w:qFormat/>
    <w:rsid w:val="007A08F8"/>
    <w:pPr>
      <w:ind w:firstLine="0"/>
      <w:jc w:val="center"/>
    </w:pPr>
  </w:style>
  <w:style w:type="paragraph" w:styleId="NoSpacing">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Normal"/>
    <w:next w:val="Normal"/>
    <w:qFormat/>
    <w:rsid w:val="007A08F8"/>
    <w:pPr>
      <w:pBdr>
        <w:bottom w:val="single" w:sz="4" w:space="1" w:color="auto"/>
      </w:pBdr>
      <w:spacing w:before="120"/>
      <w:ind w:left="3402" w:right="3402" w:firstLine="0"/>
    </w:pPr>
  </w:style>
  <w:style w:type="paragraph" w:customStyle="1" w:styleId="Millifyrirsgn2">
    <w:name w:val="Millifyrirsögn 2"/>
    <w:basedOn w:val="Normal"/>
    <w:next w:val="Normal"/>
    <w:qFormat/>
    <w:rsid w:val="00117680"/>
    <w:pPr>
      <w:ind w:firstLine="0"/>
    </w:pPr>
    <w:rPr>
      <w:i/>
    </w:rPr>
  </w:style>
  <w:style w:type="paragraph" w:customStyle="1" w:styleId="Millifyrirsgn1">
    <w:name w:val="Millifyrirsögn 1"/>
    <w:basedOn w:val="Normal"/>
    <w:next w:val="Normal"/>
    <w:qFormat/>
    <w:rsid w:val="00117680"/>
    <w:pPr>
      <w:ind w:firstLine="0"/>
    </w:pPr>
    <w:rPr>
      <w:b/>
    </w:rPr>
  </w:style>
  <w:style w:type="paragraph" w:customStyle="1" w:styleId="Fyrirsgn-fylgiskjl">
    <w:name w:val="Fyrirsögn - fylgiskjöl"/>
    <w:basedOn w:val="Normal"/>
    <w:next w:val="Normal"/>
    <w:qFormat/>
    <w:rsid w:val="00322F35"/>
    <w:pPr>
      <w:ind w:firstLine="0"/>
      <w:jc w:val="left"/>
    </w:pPr>
    <w:rPr>
      <w:b/>
      <w:u w:val="single"/>
    </w:rPr>
  </w:style>
  <w:style w:type="paragraph" w:customStyle="1" w:styleId="Fyrirsgn-athugasemdir">
    <w:name w:val="Fyrirsögn - athugasemdir"/>
    <w:basedOn w:val="Normal"/>
    <w:next w:val="Normal"/>
    <w:qFormat/>
    <w:rsid w:val="00C35574"/>
    <w:pPr>
      <w:ind w:firstLine="0"/>
      <w:jc w:val="center"/>
    </w:pPr>
    <w:rPr>
      <w:spacing w:val="44"/>
    </w:rPr>
  </w:style>
  <w:style w:type="paragraph" w:customStyle="1" w:styleId="Fyrirsgn-skjalategund">
    <w:name w:val="Fyrirsögn - skjalategund"/>
    <w:basedOn w:val="Normal"/>
    <w:next w:val="Normal"/>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Normal"/>
    <w:next w:val="Normal"/>
    <w:qFormat/>
    <w:rsid w:val="002675EE"/>
    <w:pPr>
      <w:ind w:firstLine="0"/>
      <w:jc w:val="center"/>
    </w:pPr>
    <w:rPr>
      <w:rFonts w:eastAsiaTheme="minorHAnsi" w:cstheme="minorBidi"/>
      <w:b/>
    </w:rPr>
  </w:style>
  <w:style w:type="paragraph" w:styleId="Header">
    <w:name w:val="header"/>
    <w:basedOn w:val="Normal"/>
    <w:link w:val="HeaderChar"/>
    <w:uiPriority w:val="99"/>
    <w:unhideWhenUsed/>
    <w:rsid w:val="006258D7"/>
    <w:pPr>
      <w:tabs>
        <w:tab w:val="center" w:pos="4536"/>
        <w:tab w:val="right" w:pos="9072"/>
      </w:tabs>
    </w:pPr>
  </w:style>
  <w:style w:type="paragraph" w:customStyle="1" w:styleId="Greinarnmer">
    <w:name w:val="Greinarnúmer"/>
    <w:basedOn w:val="Normal"/>
    <w:next w:val="Normal"/>
    <w:qFormat/>
    <w:rsid w:val="00895423"/>
    <w:pPr>
      <w:ind w:firstLine="0"/>
      <w:jc w:val="center"/>
    </w:pPr>
  </w:style>
  <w:style w:type="paragraph" w:customStyle="1" w:styleId="Greinarfyrirsgn">
    <w:name w:val="Greinarfyrirsögn"/>
    <w:basedOn w:val="Normal"/>
    <w:next w:val="Normal"/>
    <w:qFormat/>
    <w:rsid w:val="00895423"/>
    <w:pPr>
      <w:ind w:firstLine="0"/>
      <w:jc w:val="center"/>
    </w:pPr>
    <w:rPr>
      <w:i/>
    </w:rPr>
  </w:style>
  <w:style w:type="paragraph" w:customStyle="1" w:styleId="Kaflafyrirsgn">
    <w:name w:val="Kaflafyrirsögn"/>
    <w:basedOn w:val="Normal"/>
    <w:next w:val="Normal"/>
    <w:qFormat/>
    <w:rsid w:val="00895423"/>
    <w:pPr>
      <w:ind w:firstLine="0"/>
      <w:jc w:val="center"/>
    </w:pPr>
    <w:rPr>
      <w:b/>
    </w:rPr>
  </w:style>
  <w:style w:type="paragraph" w:customStyle="1" w:styleId="Kaflanmer">
    <w:name w:val="Kaflanúmer"/>
    <w:basedOn w:val="Normal"/>
    <w:next w:val="Normal"/>
    <w:qFormat/>
    <w:rsid w:val="00895423"/>
    <w:pPr>
      <w:ind w:firstLine="0"/>
      <w:jc w:val="center"/>
    </w:pPr>
    <w:rPr>
      <w:caps/>
    </w:rPr>
  </w:style>
  <w:style w:type="character" w:customStyle="1" w:styleId="HeaderChar">
    <w:name w:val="Header Char"/>
    <w:link w:val="Header"/>
    <w:uiPriority w:val="99"/>
    <w:rsid w:val="006258D7"/>
    <w:rPr>
      <w:rFonts w:ascii="Times New Roman" w:hAnsi="Times New Roman"/>
      <w:sz w:val="21"/>
      <w:szCs w:val="22"/>
      <w:lang w:eastAsia="en-US"/>
    </w:rPr>
  </w:style>
  <w:style w:type="paragraph" w:styleId="Footer">
    <w:name w:val="footer"/>
    <w:basedOn w:val="Normal"/>
    <w:link w:val="FooterChar"/>
    <w:uiPriority w:val="99"/>
    <w:unhideWhenUsed/>
    <w:rsid w:val="006258D7"/>
    <w:pPr>
      <w:tabs>
        <w:tab w:val="center" w:pos="4536"/>
        <w:tab w:val="right" w:pos="9072"/>
      </w:tabs>
    </w:pPr>
  </w:style>
  <w:style w:type="character" w:customStyle="1" w:styleId="FooterChar">
    <w:name w:val="Footer Char"/>
    <w:link w:val="Footer"/>
    <w:uiPriority w:val="99"/>
    <w:rsid w:val="006258D7"/>
    <w:rPr>
      <w:rFonts w:ascii="Times New Roman" w:hAnsi="Times New Roman"/>
      <w:sz w:val="21"/>
      <w:szCs w:val="22"/>
      <w:lang w:eastAsia="en-US"/>
    </w:rPr>
  </w:style>
  <w:style w:type="character" w:styleId="Hyperlink">
    <w:name w:val="Hyperlink"/>
    <w:basedOn w:val="DefaultParagraphFont"/>
    <w:uiPriority w:val="99"/>
    <w:unhideWhenUsed/>
    <w:rsid w:val="00D512A4"/>
  </w:style>
  <w:style w:type="paragraph" w:styleId="FootnoteText">
    <w:name w:val="footnote text"/>
    <w:basedOn w:val="Normal"/>
    <w:link w:val="FootnoteTextChar"/>
    <w:uiPriority w:val="99"/>
    <w:semiHidden/>
    <w:unhideWhenUsed/>
    <w:rsid w:val="005B4CD6"/>
    <w:pPr>
      <w:ind w:left="284" w:hanging="284"/>
    </w:pPr>
    <w:rPr>
      <w:sz w:val="18"/>
      <w:szCs w:val="20"/>
    </w:rPr>
  </w:style>
  <w:style w:type="character" w:customStyle="1" w:styleId="FootnoteTextChar">
    <w:name w:val="Footnote Text Char"/>
    <w:link w:val="FootnoteText"/>
    <w:uiPriority w:val="99"/>
    <w:semiHidden/>
    <w:rsid w:val="005B4CD6"/>
    <w:rPr>
      <w:rFonts w:ascii="Times New Roman" w:hAnsi="Times New Roman"/>
      <w:sz w:val="18"/>
      <w:lang w:eastAsia="en-US"/>
    </w:rPr>
  </w:style>
  <w:style w:type="character" w:styleId="FootnoteReference">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Normal"/>
    <w:next w:val="Normal"/>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unhideWhenUsed/>
    <w:qFormat/>
    <w:rsid w:val="00B20E81"/>
    <w:pPr>
      <w:ind w:left="720"/>
      <w:contextualSpacing/>
    </w:pPr>
  </w:style>
  <w:style w:type="paragraph" w:customStyle="1" w:styleId="Frrherra">
    <w:name w:val="Frá ...ráðherra."/>
    <w:basedOn w:val="Normal"/>
    <w:next w:val="Normal"/>
    <w:qFormat/>
    <w:rsid w:val="00E71F27"/>
    <w:pPr>
      <w:ind w:firstLine="0"/>
      <w:jc w:val="center"/>
    </w:pPr>
    <w:rPr>
      <w:rFonts w:eastAsiaTheme="minorHAnsi" w:cstheme="minorBidi"/>
    </w:rPr>
  </w:style>
  <w:style w:type="paragraph" w:customStyle="1" w:styleId="Fyrirsgn-greinarger">
    <w:name w:val="Fyrirsögn - greinargerð"/>
    <w:basedOn w:val="Normal"/>
    <w:next w:val="Normal"/>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character" w:styleId="CommentReference">
    <w:name w:val="annotation reference"/>
    <w:basedOn w:val="DefaultParagraphFont"/>
    <w:uiPriority w:val="99"/>
    <w:semiHidden/>
    <w:unhideWhenUsed/>
    <w:rsid w:val="00913F80"/>
    <w:rPr>
      <w:sz w:val="16"/>
      <w:szCs w:val="16"/>
    </w:rPr>
  </w:style>
  <w:style w:type="paragraph" w:styleId="CommentText">
    <w:name w:val="annotation text"/>
    <w:basedOn w:val="Normal"/>
    <w:link w:val="CommentTextChar"/>
    <w:uiPriority w:val="99"/>
    <w:semiHidden/>
    <w:unhideWhenUsed/>
    <w:rsid w:val="00913F80"/>
    <w:pPr>
      <w:spacing w:after="160"/>
      <w:ind w:firstLine="0"/>
      <w:jc w:val="left"/>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913F80"/>
    <w:rPr>
      <w:rFonts w:asciiTheme="minorHAnsi" w:eastAsiaTheme="minorHAnsi" w:hAnsiTheme="minorHAnsi" w:cstheme="minorBidi"/>
      <w:lang w:val="en-GB"/>
    </w:rPr>
  </w:style>
  <w:style w:type="paragraph" w:styleId="BalloonText">
    <w:name w:val="Balloon Text"/>
    <w:basedOn w:val="Normal"/>
    <w:link w:val="BalloonTextChar"/>
    <w:uiPriority w:val="99"/>
    <w:semiHidden/>
    <w:unhideWhenUsed/>
    <w:rsid w:val="00913F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F80"/>
    <w:rPr>
      <w:rFonts w:ascii="Segoe UI" w:hAnsi="Segoe UI" w:cs="Segoe UI"/>
      <w:sz w:val="18"/>
      <w:szCs w:val="18"/>
      <w:lang w:val="is-IS"/>
    </w:rPr>
  </w:style>
  <w:style w:type="paragraph" w:styleId="CommentSubject">
    <w:name w:val="annotation subject"/>
    <w:basedOn w:val="CommentText"/>
    <w:next w:val="CommentText"/>
    <w:link w:val="CommentSubjectChar"/>
    <w:uiPriority w:val="99"/>
    <w:semiHidden/>
    <w:unhideWhenUsed/>
    <w:rsid w:val="0021227A"/>
    <w:pPr>
      <w:spacing w:after="0"/>
      <w:ind w:firstLine="284"/>
      <w:jc w:val="both"/>
    </w:pPr>
    <w:rPr>
      <w:rFonts w:ascii="Times New Roman" w:eastAsia="Calibri" w:hAnsi="Times New Roman" w:cs="Times New Roman"/>
      <w:b/>
      <w:bCs/>
      <w:lang w:val="is-IS"/>
    </w:rPr>
  </w:style>
  <w:style w:type="character" w:customStyle="1" w:styleId="CommentSubjectChar">
    <w:name w:val="Comment Subject Char"/>
    <w:basedOn w:val="CommentTextChar"/>
    <w:link w:val="CommentSubject"/>
    <w:uiPriority w:val="99"/>
    <w:semiHidden/>
    <w:rsid w:val="0021227A"/>
    <w:rPr>
      <w:rFonts w:ascii="Times New Roman" w:eastAsiaTheme="minorHAnsi" w:hAnsi="Times New Roman" w:cstheme="minorBidi"/>
      <w:b/>
      <w:bCs/>
      <w:lang w:val="is-IS"/>
    </w:rPr>
  </w:style>
  <w:style w:type="character" w:styleId="UnresolvedMention">
    <w:name w:val="Unresolved Mention"/>
    <w:basedOn w:val="DefaultParagraphFont"/>
    <w:uiPriority w:val="99"/>
    <w:rsid w:val="006D47C9"/>
    <w:rPr>
      <w:color w:val="605E5C"/>
      <w:shd w:val="clear" w:color="auto" w:fill="E1DFDD"/>
    </w:rPr>
  </w:style>
  <w:style w:type="paragraph" w:styleId="Revision">
    <w:name w:val="Revision"/>
    <w:hidden/>
    <w:uiPriority w:val="99"/>
    <w:semiHidden/>
    <w:rsid w:val="00DD36C5"/>
    <w:rPr>
      <w:rFonts w:ascii="Times New Roman" w:hAnsi="Times New Roman"/>
      <w:sz w:val="21"/>
      <w:szCs w:val="22"/>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5917">
      <w:bodyDiv w:val="1"/>
      <w:marLeft w:val="0"/>
      <w:marRight w:val="0"/>
      <w:marTop w:val="0"/>
      <w:marBottom w:val="0"/>
      <w:divBdr>
        <w:top w:val="none" w:sz="0" w:space="0" w:color="auto"/>
        <w:left w:val="none" w:sz="0" w:space="0" w:color="auto"/>
        <w:bottom w:val="none" w:sz="0" w:space="0" w:color="auto"/>
        <w:right w:val="none" w:sz="0" w:space="0" w:color="auto"/>
      </w:divBdr>
    </w:div>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512300835">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80544945">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105369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6221</Words>
  <Characters>35465</Characters>
  <Application>Microsoft Office Word</Application>
  <DocSecurity>0</DocSecurity>
  <Lines>295</Lines>
  <Paragraphs>83</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
  <LinksUpToDate>false</LinksUpToDate>
  <CharactersWithSpaces>41603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Þorbjörg Árnadóttir</dc:creator>
  <cp:keywords/>
  <cp:lastModifiedBy>Helga Hauksdóttir</cp:lastModifiedBy>
  <cp:revision>2</cp:revision>
  <cp:lastPrinted>2019-04-08T08:32:00Z</cp:lastPrinted>
  <dcterms:created xsi:type="dcterms:W3CDTF">2019-04-17T13:57:00Z</dcterms:created>
  <dcterms:modified xsi:type="dcterms:W3CDTF">2019-04-17T13:57:00Z</dcterms:modified>
</cp:coreProperties>
</file>