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45C1C" w14:textId="161198A2" w:rsidR="00E71F27" w:rsidRDefault="00E71F27" w:rsidP="00E71F27">
      <w:pPr>
        <w:pStyle w:val="Nmeringsskjalsmls"/>
      </w:pPr>
      <w:bookmarkStart w:id="0" w:name="_Toc303616026"/>
      <w:bookmarkStart w:id="1" w:name="_Toc303616027"/>
      <w:r>
        <w:t>1</w:t>
      </w:r>
      <w:r w:rsidR="00301215">
        <w:t>5</w:t>
      </w:r>
      <w:r w:rsidR="00D14A18">
        <w:t>7</w:t>
      </w:r>
      <w:r>
        <w:t xml:space="preserve">. löggjafarþing </w:t>
      </w:r>
      <w:bookmarkEnd w:id="0"/>
      <w:r>
        <w:t>20</w:t>
      </w:r>
      <w:r w:rsidR="00301215">
        <w:t>2</w:t>
      </w:r>
      <w:r w:rsidR="002954CE">
        <w:t>5</w:t>
      </w:r>
      <w:r w:rsidR="00D14A18">
        <w:t>–2026</w:t>
      </w:r>
      <w:r>
        <w:t>.</w:t>
      </w:r>
    </w:p>
    <w:p w14:paraId="5BBE5CF6" w14:textId="77777777" w:rsidR="00E71F27" w:rsidRDefault="00E71F27" w:rsidP="00E71F27">
      <w:pPr>
        <w:pStyle w:val="Nmeringsskjalsmls"/>
      </w:pPr>
      <w:r>
        <w:t>Þingskjal x — x. mál</w:t>
      </w:r>
      <w:bookmarkEnd w:id="1"/>
      <w:r>
        <w:t>.</w:t>
      </w:r>
    </w:p>
    <w:p w14:paraId="31012B73" w14:textId="3C194463" w:rsidR="00E71F27" w:rsidRDefault="00E71F27" w:rsidP="00E71F27">
      <w:pPr>
        <w:pStyle w:val="Nmeringsskjalsmls"/>
      </w:pPr>
      <w:r>
        <w:t>Stjórnarfrumvarp.</w:t>
      </w:r>
    </w:p>
    <w:p w14:paraId="14ECABB4" w14:textId="77777777" w:rsidR="00E71F27" w:rsidRPr="002675EE" w:rsidRDefault="00E71F27" w:rsidP="002675EE">
      <w:pPr>
        <w:pStyle w:val="Fyrirsgn-skjalategund"/>
      </w:pPr>
      <w:r w:rsidRPr="002675EE">
        <w:t>Frumvarp til laga</w:t>
      </w:r>
    </w:p>
    <w:p w14:paraId="5683D276" w14:textId="68CCB311" w:rsidR="00E71F27" w:rsidRPr="002675EE" w:rsidRDefault="00E71F27" w:rsidP="002675EE">
      <w:pPr>
        <w:pStyle w:val="Fyrirsgn-undirfyrirsgn"/>
      </w:pPr>
      <w:r w:rsidRPr="002675EE">
        <w:t xml:space="preserve">um </w:t>
      </w:r>
      <w:r w:rsidR="00B05ABC">
        <w:t>breytingu á lögum um skyldutryggingu lífeyrisréttinda og starfsemi lífeyrissjóða, nr. 129/1997 (fjárfestingarheimildir lífeyrissjóða).</w:t>
      </w:r>
    </w:p>
    <w:p w14:paraId="1A2DC9F1" w14:textId="77777777" w:rsidR="005D5AEE" w:rsidRPr="005D5AEE" w:rsidRDefault="005D5AEE" w:rsidP="005D5AEE"/>
    <w:p w14:paraId="69A8EA8E" w14:textId="5218E62F" w:rsidR="00E71F27" w:rsidRDefault="00E71F27" w:rsidP="00E71F27">
      <w:pPr>
        <w:pStyle w:val="Frrherra"/>
      </w:pPr>
      <w:r>
        <w:t xml:space="preserve">Frá </w:t>
      </w:r>
      <w:r w:rsidR="00B05ABC">
        <w:t>fjármála- og efnahags</w:t>
      </w:r>
      <w:r>
        <w:t xml:space="preserve">ráðherra. </w:t>
      </w:r>
    </w:p>
    <w:p w14:paraId="103B38C8" w14:textId="1B455C4F" w:rsidR="00E71F27" w:rsidRPr="005B08E3" w:rsidRDefault="00E71F27" w:rsidP="00E71F27"/>
    <w:p w14:paraId="5E8F57D5" w14:textId="77777777" w:rsidR="008D320D" w:rsidRDefault="008D320D" w:rsidP="00BA5426"/>
    <w:p w14:paraId="57F6FED0" w14:textId="77777777" w:rsidR="00CB4C79" w:rsidRDefault="00CB4C79" w:rsidP="00CB4C79">
      <w:pPr>
        <w:pStyle w:val="Greinarnmer"/>
      </w:pPr>
      <w:r>
        <w:t>1. gr.</w:t>
      </w:r>
    </w:p>
    <w:p w14:paraId="2BCA4663" w14:textId="64C751CF" w:rsidR="00CB4C79" w:rsidRDefault="00CB4C79" w:rsidP="00CB4C79">
      <w:r>
        <w:t>Eftirfarandi breytingar verða á 34. gr. laganna:</w:t>
      </w:r>
    </w:p>
    <w:p w14:paraId="033D7146" w14:textId="0427F7A8" w:rsidR="00CB4C79" w:rsidRDefault="00F111B3" w:rsidP="00CB4C79">
      <w:pPr>
        <w:pStyle w:val="Mlsgreinlista"/>
        <w:numPr>
          <w:ilvl w:val="0"/>
          <w:numId w:val="23"/>
        </w:numPr>
        <w:rPr>
          <w:color w:val="242424"/>
          <w:shd w:val="clear" w:color="auto" w:fill="FFFFFF"/>
        </w:rPr>
      </w:pPr>
      <w:r>
        <w:rPr>
          <w:color w:val="242424"/>
          <w:shd w:val="clear" w:color="auto" w:fill="FFFFFF"/>
        </w:rPr>
        <w:t xml:space="preserve">Við 1. mgr. bætist: </w:t>
      </w:r>
      <w:r w:rsidR="005E0689" w:rsidRPr="005E0689">
        <w:rPr>
          <w:color w:val="242424"/>
          <w:shd w:val="clear" w:color="auto" w:fill="FFFFFF"/>
        </w:rPr>
        <w:t>og starfa óháð öðrum deildum</w:t>
      </w:r>
      <w:r w:rsidR="005E0689">
        <w:rPr>
          <w:color w:val="242424"/>
          <w:shd w:val="clear" w:color="auto" w:fill="FFFFFF"/>
        </w:rPr>
        <w:t>.</w:t>
      </w:r>
    </w:p>
    <w:p w14:paraId="7ABA734B" w14:textId="538A8064" w:rsidR="005E0689" w:rsidRDefault="005E0689" w:rsidP="00CB4C79">
      <w:pPr>
        <w:pStyle w:val="Mlsgreinlista"/>
        <w:numPr>
          <w:ilvl w:val="0"/>
          <w:numId w:val="23"/>
        </w:numPr>
        <w:rPr>
          <w:color w:val="242424"/>
          <w:shd w:val="clear" w:color="auto" w:fill="FFFFFF"/>
        </w:rPr>
      </w:pPr>
      <w:r>
        <w:rPr>
          <w:color w:val="242424"/>
          <w:shd w:val="clear" w:color="auto" w:fill="FFFFFF"/>
        </w:rPr>
        <w:t>2. mgr. orðast svo:</w:t>
      </w:r>
    </w:p>
    <w:p w14:paraId="7084EF0D" w14:textId="019872BA" w:rsidR="005E0689" w:rsidRDefault="007C79FC" w:rsidP="002708BE">
      <w:pPr>
        <w:rPr>
          <w:shd w:val="clear" w:color="auto" w:fill="FFFFFF"/>
        </w:rPr>
      </w:pPr>
      <w:r w:rsidRPr="007C79FC">
        <w:rPr>
          <w:shd w:val="clear" w:color="auto" w:fill="FFFFFF"/>
        </w:rPr>
        <w:t>Forstöðumaður endurskoðunardeildar eða sjálfstætt starfandi eftirlitsaðili skal hafa sérþekkingu á sviði innri endurskoðunar. Fjármálaeftirlitið getur hvenær sem er tekið hæfi forstöðumanns endurskoðunardeildar eða sjálfstætt starfandi eftirlitsaðila til skoðunar.</w:t>
      </w:r>
    </w:p>
    <w:p w14:paraId="6461E5D9" w14:textId="49180C7A" w:rsidR="005E0689" w:rsidRDefault="00D259DE" w:rsidP="00CB4C79">
      <w:pPr>
        <w:pStyle w:val="Mlsgreinlista"/>
        <w:numPr>
          <w:ilvl w:val="0"/>
          <w:numId w:val="23"/>
        </w:numPr>
        <w:rPr>
          <w:color w:val="242424"/>
          <w:shd w:val="clear" w:color="auto" w:fill="FFFFFF"/>
        </w:rPr>
      </w:pPr>
      <w:r>
        <w:rPr>
          <w:color w:val="242424"/>
          <w:shd w:val="clear" w:color="auto" w:fill="FFFFFF"/>
        </w:rPr>
        <w:t>Á eftir 4. mgr. kemur ný málsgrein, svohljóðandi:</w:t>
      </w:r>
    </w:p>
    <w:p w14:paraId="5A1BD269" w14:textId="2C7B003D" w:rsidR="00CB4C79" w:rsidRDefault="00F17934" w:rsidP="002708BE">
      <w:pPr>
        <w:rPr>
          <w:shd w:val="clear" w:color="auto" w:fill="FFFFFF"/>
        </w:rPr>
      </w:pPr>
      <w:r w:rsidRPr="00F17934">
        <w:rPr>
          <w:shd w:val="clear" w:color="auto" w:fill="FFFFFF"/>
        </w:rPr>
        <w:t>Lífeyrissjóður skal hafa í þjónustu sinni starfsmann sem er hæfur til þess að annast ráðgjöf til stjórnar um fylgni við lög og stjórnvaldsfyrirmæli sem gilda um starfsemi sjóðsins og um áhrif breytinga á lögum og stjórnvaldsfyrirmælum á starfsemi sjóðsins.</w:t>
      </w:r>
    </w:p>
    <w:p w14:paraId="751928F3" w14:textId="77777777" w:rsidR="00535C0A" w:rsidRDefault="00535C0A" w:rsidP="00431B08">
      <w:pPr>
        <w:ind w:firstLine="0"/>
      </w:pPr>
    </w:p>
    <w:p w14:paraId="5532206F" w14:textId="43CB5047" w:rsidR="00BD5A7C" w:rsidRDefault="00BD5A7C" w:rsidP="00BD5A7C">
      <w:pPr>
        <w:pStyle w:val="Greinarnmer"/>
      </w:pPr>
      <w:r>
        <w:t>2. gr.</w:t>
      </w:r>
    </w:p>
    <w:p w14:paraId="7F13376F" w14:textId="327E9DC7" w:rsidR="00BD5A7C" w:rsidRDefault="003E2481" w:rsidP="00BD5A7C">
      <w:pPr>
        <w:rPr>
          <w:color w:val="242424"/>
          <w:shd w:val="clear" w:color="auto" w:fill="FFFFFF"/>
        </w:rPr>
      </w:pPr>
      <w:r>
        <w:rPr>
          <w:color w:val="242424"/>
          <w:shd w:val="clear" w:color="auto" w:fill="FFFFFF"/>
        </w:rPr>
        <w:t>Á eftir 35. gr. a laganna kemur ný grein, 35. gr. b, svohljóðandi:</w:t>
      </w:r>
    </w:p>
    <w:p w14:paraId="43A40D94" w14:textId="383D769C" w:rsidR="003E2481" w:rsidRPr="003E2481" w:rsidRDefault="003E2481" w:rsidP="003E2481">
      <w:pPr>
        <w:rPr>
          <w:color w:val="242424"/>
          <w:shd w:val="clear" w:color="auto" w:fill="FFFFFF"/>
        </w:rPr>
      </w:pPr>
      <w:r w:rsidRPr="003E2481">
        <w:rPr>
          <w:color w:val="242424"/>
          <w:shd w:val="clear" w:color="auto" w:fill="FFFFFF"/>
        </w:rPr>
        <w:t>Útvistun</w:t>
      </w:r>
      <w:r w:rsidR="005928AC">
        <w:rPr>
          <w:color w:val="242424"/>
          <w:shd w:val="clear" w:color="auto" w:fill="FFFFFF"/>
        </w:rPr>
        <w:t xml:space="preserve"> á starfsemi lífeyrissjóðs</w:t>
      </w:r>
      <w:r w:rsidRPr="003E2481">
        <w:rPr>
          <w:color w:val="242424"/>
          <w:shd w:val="clear" w:color="auto" w:fill="FFFFFF"/>
        </w:rPr>
        <w:t xml:space="preserve"> skal ekki leiða til: </w:t>
      </w:r>
    </w:p>
    <w:p w14:paraId="07A9B824" w14:textId="77777777" w:rsidR="003E2481" w:rsidRPr="00F73D38" w:rsidRDefault="003E2481" w:rsidP="00F73D38">
      <w:pPr>
        <w:pStyle w:val="Mlsgreinlista"/>
        <w:numPr>
          <w:ilvl w:val="0"/>
          <w:numId w:val="28"/>
        </w:numPr>
        <w:rPr>
          <w:color w:val="242424"/>
          <w:shd w:val="clear" w:color="auto" w:fill="FFFFFF"/>
        </w:rPr>
      </w:pPr>
      <w:r w:rsidRPr="00F73D38">
        <w:rPr>
          <w:color w:val="242424"/>
          <w:shd w:val="clear" w:color="auto" w:fill="FFFFFF"/>
        </w:rPr>
        <w:t xml:space="preserve">skerðingar á gæðum eftirlitskerfis lífeyrissjóðsins, </w:t>
      </w:r>
    </w:p>
    <w:p w14:paraId="1509FA99" w14:textId="77777777" w:rsidR="003E2481" w:rsidRPr="00F73D38" w:rsidRDefault="003E2481" w:rsidP="00F73D38">
      <w:pPr>
        <w:pStyle w:val="Mlsgreinlista"/>
        <w:numPr>
          <w:ilvl w:val="0"/>
          <w:numId w:val="28"/>
        </w:numPr>
        <w:rPr>
          <w:color w:val="242424"/>
          <w:shd w:val="clear" w:color="auto" w:fill="FFFFFF"/>
        </w:rPr>
      </w:pPr>
      <w:r w:rsidRPr="00F73D38">
        <w:rPr>
          <w:color w:val="242424"/>
          <w:shd w:val="clear" w:color="auto" w:fill="FFFFFF"/>
        </w:rPr>
        <w:t>óhóflegrar aukningar á rekstraráhættu lífeyrissjóðsins,</w:t>
      </w:r>
    </w:p>
    <w:p w14:paraId="3ADF77EE" w14:textId="40B84D34" w:rsidR="00F73D38" w:rsidRDefault="003E2481" w:rsidP="00F73D38">
      <w:pPr>
        <w:pStyle w:val="Mlsgreinlista"/>
        <w:numPr>
          <w:ilvl w:val="0"/>
          <w:numId w:val="28"/>
        </w:numPr>
        <w:rPr>
          <w:color w:val="242424"/>
          <w:shd w:val="clear" w:color="auto" w:fill="FFFFFF"/>
        </w:rPr>
      </w:pPr>
      <w:r w:rsidRPr="00F73D38">
        <w:rPr>
          <w:color w:val="242424"/>
          <w:shd w:val="clear" w:color="auto" w:fill="FFFFFF"/>
        </w:rPr>
        <w:t>takmörkunar á möguleikum Fjármálaeftirlitsins til að sinna eftirliti með því hvort lífeyrissjóður</w:t>
      </w:r>
      <w:r w:rsidR="00A612AF">
        <w:rPr>
          <w:color w:val="242424"/>
          <w:shd w:val="clear" w:color="auto" w:fill="FFFFFF"/>
        </w:rPr>
        <w:t>inn</w:t>
      </w:r>
      <w:r w:rsidRPr="00F73D38">
        <w:rPr>
          <w:color w:val="242424"/>
          <w:shd w:val="clear" w:color="auto" w:fill="FFFFFF"/>
        </w:rPr>
        <w:t xml:space="preserve"> uppfylli skyldur sínar</w:t>
      </w:r>
      <w:r w:rsidR="009C133A">
        <w:rPr>
          <w:color w:val="242424"/>
          <w:shd w:val="clear" w:color="auto" w:fill="FFFFFF"/>
        </w:rPr>
        <w:t xml:space="preserve"> eða</w:t>
      </w:r>
    </w:p>
    <w:p w14:paraId="2A08AFB7" w14:textId="72C9F6C7" w:rsidR="003E2481" w:rsidRPr="00F73D38" w:rsidRDefault="003E2481" w:rsidP="00F73D38">
      <w:pPr>
        <w:pStyle w:val="Mlsgreinlista"/>
        <w:numPr>
          <w:ilvl w:val="0"/>
          <w:numId w:val="28"/>
        </w:numPr>
        <w:ind w:hanging="141"/>
        <w:rPr>
          <w:color w:val="242424"/>
          <w:shd w:val="clear" w:color="auto" w:fill="FFFFFF"/>
        </w:rPr>
      </w:pPr>
      <w:r w:rsidRPr="00F73D38">
        <w:rPr>
          <w:color w:val="242424"/>
          <w:shd w:val="clear" w:color="auto" w:fill="FFFFFF"/>
        </w:rPr>
        <w:t>skerðingar á samfelldri og fullnægjandi þjónustu við sjóðfélaga</w:t>
      </w:r>
      <w:r w:rsidR="00F73D38">
        <w:rPr>
          <w:color w:val="242424"/>
          <w:shd w:val="clear" w:color="auto" w:fill="FFFFFF"/>
        </w:rPr>
        <w:t>.</w:t>
      </w:r>
    </w:p>
    <w:p w14:paraId="7754FBA6" w14:textId="2D4D2330" w:rsidR="003E2481" w:rsidRDefault="003E2481" w:rsidP="002708BE">
      <w:pPr>
        <w:rPr>
          <w:shd w:val="clear" w:color="auto" w:fill="FFFFFF"/>
        </w:rPr>
      </w:pPr>
      <w:r w:rsidRPr="003E2481">
        <w:rPr>
          <w:shd w:val="clear" w:color="auto" w:fill="FFFFFF"/>
        </w:rPr>
        <w:t>Lífeyrissjóður skal tilkynna Fjármálaeftirlitinu fyrir fram um útvistun mikilvægra verkefna og um breytingar á þeirri útvistun.</w:t>
      </w:r>
    </w:p>
    <w:p w14:paraId="1F4299DB" w14:textId="77777777" w:rsidR="00BD5A7C" w:rsidRDefault="00BD5A7C" w:rsidP="00BD5A7C">
      <w:pPr>
        <w:rPr>
          <w:color w:val="242424"/>
          <w:shd w:val="clear" w:color="auto" w:fill="FFFFFF"/>
        </w:rPr>
      </w:pPr>
    </w:p>
    <w:p w14:paraId="431BE40C" w14:textId="04A99820" w:rsidR="008D320D" w:rsidRDefault="00294851" w:rsidP="008D320D">
      <w:pPr>
        <w:pStyle w:val="Greinarnmer"/>
      </w:pPr>
      <w:r>
        <w:t>3</w:t>
      </w:r>
      <w:r w:rsidR="008D320D">
        <w:t>. gr.</w:t>
      </w:r>
    </w:p>
    <w:p w14:paraId="0F999DBB" w14:textId="3148CD99" w:rsidR="008D320D" w:rsidRDefault="008D320D" w:rsidP="008D320D">
      <w:pPr>
        <w:rPr>
          <w:color w:val="242424"/>
          <w:shd w:val="clear" w:color="auto" w:fill="FFFFFF"/>
        </w:rPr>
      </w:pPr>
      <w:r>
        <w:t>5. tölul. 1. mgr. 36. gr. laganna orðast svo:</w:t>
      </w:r>
      <w:r w:rsidR="00AB28F8">
        <w:t xml:space="preserve"> </w:t>
      </w:r>
      <w:r w:rsidR="00AB28F8">
        <w:rPr>
          <w:color w:val="242424"/>
          <w:shd w:val="clear" w:color="auto" w:fill="FFFFFF"/>
        </w:rPr>
        <w:t>Lífeyris</w:t>
      </w:r>
      <w:r w:rsidR="00AB28F8" w:rsidRPr="00EE5159">
        <w:rPr>
          <w:color w:val="242424"/>
          <w:shd w:val="clear" w:color="auto" w:fill="FFFFFF"/>
        </w:rPr>
        <w:t xml:space="preserve">sjóði </w:t>
      </w:r>
      <w:r w:rsidR="00AB28F8">
        <w:rPr>
          <w:color w:val="242424"/>
          <w:shd w:val="clear" w:color="auto" w:fill="FFFFFF"/>
        </w:rPr>
        <w:t xml:space="preserve">er </w:t>
      </w:r>
      <w:r w:rsidR="00AB28F8" w:rsidRPr="00EE5159">
        <w:rPr>
          <w:color w:val="242424"/>
          <w:shd w:val="clear" w:color="auto" w:fill="FFFFFF"/>
        </w:rPr>
        <w:t xml:space="preserve">heimilt að taka tillit til áhrifa </w:t>
      </w:r>
      <w:r w:rsidR="00AB28F8">
        <w:rPr>
          <w:color w:val="242424"/>
          <w:shd w:val="clear" w:color="auto" w:fill="FFFFFF"/>
        </w:rPr>
        <w:t>fjárfestinga</w:t>
      </w:r>
      <w:r w:rsidR="00AB28F8" w:rsidRPr="00EE5159">
        <w:rPr>
          <w:color w:val="242424"/>
          <w:shd w:val="clear" w:color="auto" w:fill="FFFFFF"/>
        </w:rPr>
        <w:t xml:space="preserve"> á umhverfisþætti og félagslega þætti auk stjórnarhátta</w:t>
      </w:r>
      <w:r w:rsidR="00AB28F8">
        <w:rPr>
          <w:color w:val="242424"/>
          <w:shd w:val="clear" w:color="auto" w:fill="FFFFFF"/>
        </w:rPr>
        <w:t>.</w:t>
      </w:r>
    </w:p>
    <w:p w14:paraId="4AFE1969" w14:textId="77777777" w:rsidR="00E71F27" w:rsidRDefault="00E71F27" w:rsidP="00E71F27"/>
    <w:p w14:paraId="690CD9D9" w14:textId="2461531A" w:rsidR="00C35574" w:rsidRDefault="00294851" w:rsidP="00943B67">
      <w:pPr>
        <w:pStyle w:val="Greinarnmer"/>
      </w:pPr>
      <w:r>
        <w:t>4</w:t>
      </w:r>
      <w:r w:rsidR="00C35574">
        <w:t>. gr.</w:t>
      </w:r>
    </w:p>
    <w:p w14:paraId="2E49B9EA" w14:textId="3E848A55" w:rsidR="00D92F51" w:rsidRDefault="246BE6E9" w:rsidP="00943B67">
      <w:r>
        <w:t xml:space="preserve">Eftirfarandi breytingar verða á </w:t>
      </w:r>
      <w:r w:rsidR="00AF6324">
        <w:t xml:space="preserve">2. mgr. </w:t>
      </w:r>
      <w:r>
        <w:t>36. gr.</w:t>
      </w:r>
      <w:r w:rsidR="00F8410C">
        <w:t xml:space="preserve"> a laganna:</w:t>
      </w:r>
    </w:p>
    <w:p w14:paraId="1A61B16E" w14:textId="443CF196" w:rsidR="0021387B" w:rsidRDefault="004C1CE9" w:rsidP="00CB4C79">
      <w:pPr>
        <w:pStyle w:val="Mlsgreinlista"/>
        <w:numPr>
          <w:ilvl w:val="0"/>
          <w:numId w:val="24"/>
        </w:numPr>
      </w:pPr>
      <w:r>
        <w:t xml:space="preserve">Við </w:t>
      </w:r>
      <w:r w:rsidR="00383B9C">
        <w:t>1</w:t>
      </w:r>
      <w:r>
        <w:t xml:space="preserve">. tölul. bætist nýr stafliður, svohljóðandi: </w:t>
      </w:r>
      <w:r w:rsidR="008B00F6" w:rsidRPr="00CB4C79">
        <w:rPr>
          <w:color w:val="242424"/>
          <w:shd w:val="clear" w:color="auto" w:fill="FFFFFF"/>
        </w:rPr>
        <w:t>Skuldabréf samkvæmt lögum um sértryggð skuldabréf og samsvarandi skuldabréf útgefin í ríki innan Evrópska efnahagssvæðisins, í aðildarríki stofnsamnings Fríverslunarsamtaka Evrópu eða í Færeyjum.</w:t>
      </w:r>
    </w:p>
    <w:p w14:paraId="7017117D" w14:textId="56F88CDB" w:rsidR="00CE6EAC" w:rsidRDefault="008B00F6" w:rsidP="00CB4C79">
      <w:pPr>
        <w:pStyle w:val="Mlsgreinlista"/>
        <w:numPr>
          <w:ilvl w:val="0"/>
          <w:numId w:val="24"/>
        </w:numPr>
      </w:pPr>
      <w:proofErr w:type="spellStart"/>
      <w:r>
        <w:lastRenderedPageBreak/>
        <w:t>C-liður</w:t>
      </w:r>
      <w:proofErr w:type="spellEnd"/>
      <w:r>
        <w:t xml:space="preserve"> 2. tölul. orðast svo</w:t>
      </w:r>
      <w:r w:rsidR="004C1CE9">
        <w:t xml:space="preserve">: </w:t>
      </w:r>
      <w:r w:rsidR="00A50B90" w:rsidRPr="00A50B90">
        <w:t>Hlutir eða hlutdeildarskírteini verðbréfasjóða samkvæmt lögum um verðbréfasjóði eða tilskipun 2009/65/EB um samræmingu á lögum og stjórnsýslufyrirmælum að því er varðar verðbréfasjóði (UCITS)</w:t>
      </w:r>
      <w:r w:rsidR="00BC0716">
        <w:t xml:space="preserve">, enda séu a.m.k. </w:t>
      </w:r>
      <w:r w:rsidR="00554879">
        <w:t xml:space="preserve">90% eigna verðbréfasjóðanna </w:t>
      </w:r>
      <w:r w:rsidR="00F27EB2">
        <w:t xml:space="preserve">samkvæmt síðasta birta ársreikningi eða árshlutareikningi </w:t>
      </w:r>
      <w:r w:rsidR="00554879">
        <w:t>eignir skv. 1. tölul.</w:t>
      </w:r>
      <w:r w:rsidR="00665BE2">
        <w:t xml:space="preserve"> </w:t>
      </w:r>
      <w:r w:rsidR="00554879">
        <w:t xml:space="preserve">og </w:t>
      </w:r>
      <w:r>
        <w:t xml:space="preserve">a- og </w:t>
      </w:r>
      <w:proofErr w:type="spellStart"/>
      <w:r>
        <w:t>b-</w:t>
      </w:r>
      <w:r w:rsidR="001E24DA">
        <w:t>lið</w:t>
      </w:r>
      <w:proofErr w:type="spellEnd"/>
      <w:r w:rsidR="00554879">
        <w:t>.</w:t>
      </w:r>
    </w:p>
    <w:p w14:paraId="5436998B" w14:textId="06DDF261" w:rsidR="00AF6324" w:rsidRPr="00CB4C79" w:rsidRDefault="00AF6324" w:rsidP="00CB4C79">
      <w:pPr>
        <w:pStyle w:val="Mlsgreinlista"/>
        <w:numPr>
          <w:ilvl w:val="0"/>
          <w:numId w:val="24"/>
        </w:numPr>
        <w:rPr>
          <w:color w:val="242424"/>
        </w:rPr>
      </w:pPr>
      <w:r>
        <w:t xml:space="preserve">Við a-lið </w:t>
      </w:r>
      <w:r w:rsidR="00A17786">
        <w:t>5</w:t>
      </w:r>
      <w:r>
        <w:t xml:space="preserve">. tölul. bætist: </w:t>
      </w:r>
      <w:r w:rsidR="00722839" w:rsidRPr="00CB4C79">
        <w:rPr>
          <w:color w:val="242424"/>
        </w:rPr>
        <w:t>og önnur verðbréf sem eru ígildi hlutabréfa félaga.</w:t>
      </w:r>
    </w:p>
    <w:p w14:paraId="059E4305" w14:textId="52E56AB1" w:rsidR="00722839" w:rsidRDefault="00C254A9" w:rsidP="00CB4C79">
      <w:pPr>
        <w:pStyle w:val="Mlsgreinlista"/>
        <w:numPr>
          <w:ilvl w:val="0"/>
          <w:numId w:val="24"/>
        </w:numPr>
      </w:pPr>
      <w:r w:rsidRPr="00CB4C79">
        <w:rPr>
          <w:color w:val="242424"/>
        </w:rPr>
        <w:t xml:space="preserve">Við a-lið </w:t>
      </w:r>
      <w:r w:rsidR="00A17786" w:rsidRPr="00CB4C79">
        <w:rPr>
          <w:color w:val="242424"/>
        </w:rPr>
        <w:t>6</w:t>
      </w:r>
      <w:r w:rsidRPr="00CB4C79">
        <w:rPr>
          <w:color w:val="242424"/>
        </w:rPr>
        <w:t xml:space="preserve">. tölul. bætist: </w:t>
      </w:r>
      <w:r w:rsidR="000E4A57" w:rsidRPr="00CB4C79">
        <w:rPr>
          <w:color w:val="242424"/>
        </w:rPr>
        <w:t>og afleiður sem stuðla að skilvirkri stýringu eigna sjóðsins.</w:t>
      </w:r>
    </w:p>
    <w:p w14:paraId="36C4FC5F" w14:textId="77777777" w:rsidR="00D92F51" w:rsidRDefault="00D92F51" w:rsidP="00943B67"/>
    <w:p w14:paraId="43A92CA0" w14:textId="140FBF6B" w:rsidR="00F719C0" w:rsidRDefault="00294851" w:rsidP="00F719C0">
      <w:pPr>
        <w:pStyle w:val="Greinarnmer"/>
      </w:pPr>
      <w:r>
        <w:t>5</w:t>
      </w:r>
      <w:r w:rsidR="00F719C0">
        <w:t>. gr.</w:t>
      </w:r>
    </w:p>
    <w:p w14:paraId="4C21DE0D" w14:textId="515C48F8" w:rsidR="00F719C0" w:rsidRDefault="00F719C0" w:rsidP="00F719C0">
      <w:r>
        <w:t xml:space="preserve">Eftirfarandi breytingar verða á 36. gr. </w:t>
      </w:r>
      <w:r w:rsidR="00E635EB">
        <w:t>b</w:t>
      </w:r>
      <w:r>
        <w:t xml:space="preserve"> laganna:</w:t>
      </w:r>
      <w:r w:rsidR="00F34EFC">
        <w:t xml:space="preserve"> </w:t>
      </w:r>
    </w:p>
    <w:p w14:paraId="62B86587" w14:textId="057B9C5B" w:rsidR="00E635EB" w:rsidRDefault="00EF461A" w:rsidP="00CB4C79">
      <w:pPr>
        <w:pStyle w:val="Mlsgreinlista"/>
        <w:numPr>
          <w:ilvl w:val="0"/>
          <w:numId w:val="25"/>
        </w:numPr>
      </w:pPr>
      <w:r>
        <w:t xml:space="preserve">2. tölul. </w:t>
      </w:r>
      <w:r w:rsidR="00293FFC">
        <w:t>1. mgr. fellur brott.</w:t>
      </w:r>
    </w:p>
    <w:p w14:paraId="6C7B8729" w14:textId="01214042" w:rsidR="007C79FC" w:rsidRDefault="00AF28AD" w:rsidP="007C79FC">
      <w:pPr>
        <w:pStyle w:val="Mlsgreinlista"/>
        <w:numPr>
          <w:ilvl w:val="0"/>
          <w:numId w:val="25"/>
        </w:numPr>
      </w:pPr>
      <w:r>
        <w:t xml:space="preserve">2. </w:t>
      </w:r>
      <w:r w:rsidR="0036364C">
        <w:t>mgr. orðast svo:</w:t>
      </w:r>
    </w:p>
    <w:p w14:paraId="52A3245C" w14:textId="4C1CD7A7" w:rsidR="00D26B08" w:rsidRDefault="00730AD9" w:rsidP="002708BE">
      <w:r w:rsidRPr="00730AD9">
        <w:t>Meiri</w:t>
      </w:r>
      <w:r>
        <w:t xml:space="preserve"> </w:t>
      </w:r>
      <w:r w:rsidRPr="00730AD9">
        <w:t>hluti eigna lífeyrissjóðs skv. 2.</w:t>
      </w:r>
      <w:r>
        <w:t>–</w:t>
      </w:r>
      <w:r w:rsidR="00147BDD">
        <w:t>6</w:t>
      </w:r>
      <w:r w:rsidRPr="00730AD9">
        <w:t xml:space="preserve">. tölul. 2. mgr. 36. gr. a. </w:t>
      </w:r>
      <w:r>
        <w:t>skal</w:t>
      </w:r>
      <w:r w:rsidRPr="00730AD9">
        <w:t xml:space="preserve"> vera </w:t>
      </w:r>
      <w:r w:rsidR="00D26B08">
        <w:t>ávaxtaður í:</w:t>
      </w:r>
    </w:p>
    <w:p w14:paraId="5A054626" w14:textId="259CD934" w:rsidR="002708BE" w:rsidRDefault="00730AD9" w:rsidP="002708BE">
      <w:pPr>
        <w:pStyle w:val="Mlsgreinlista"/>
        <w:numPr>
          <w:ilvl w:val="0"/>
          <w:numId w:val="18"/>
        </w:numPr>
      </w:pPr>
      <w:r w:rsidRPr="00730AD9">
        <w:t>innlán</w:t>
      </w:r>
      <w:r w:rsidR="00504C0A">
        <w:t>um</w:t>
      </w:r>
      <w:r w:rsidR="002245A3">
        <w:t xml:space="preserve"> </w:t>
      </w:r>
      <w:r w:rsidR="002245A3" w:rsidRPr="002245A3">
        <w:t>viðskiptabanka og sparisjóða</w:t>
      </w:r>
      <w:r w:rsidR="00504C0A">
        <w:t>,</w:t>
      </w:r>
    </w:p>
    <w:p w14:paraId="738CFFB8" w14:textId="0BF86CCE" w:rsidR="00F230F1" w:rsidRDefault="006B34EA" w:rsidP="002708BE">
      <w:pPr>
        <w:pStyle w:val="Mlsgreinlista"/>
        <w:numPr>
          <w:ilvl w:val="0"/>
          <w:numId w:val="18"/>
        </w:numPr>
      </w:pPr>
      <w:r>
        <w:t>fjármálagerningum sem eru skráðir</w:t>
      </w:r>
      <w:r w:rsidR="00C153A9">
        <w:t xml:space="preserve"> skipulegum markaði </w:t>
      </w:r>
      <w:r w:rsidR="00A21D21">
        <w:t xml:space="preserve">á </w:t>
      </w:r>
      <w:r w:rsidR="00F324DD">
        <w:t xml:space="preserve">Evrópska </w:t>
      </w:r>
      <w:r w:rsidR="00D64CEF">
        <w:t>efnahagssvæði</w:t>
      </w:r>
      <w:r w:rsidR="00A21D21">
        <w:t>nu</w:t>
      </w:r>
      <w:r w:rsidR="00D64CEF">
        <w:t xml:space="preserve"> eða </w:t>
      </w:r>
      <w:r w:rsidR="00A21D21">
        <w:t xml:space="preserve">í aðildarríki </w:t>
      </w:r>
      <w:r w:rsidR="00D64CEF">
        <w:t>OECD</w:t>
      </w:r>
      <w:r w:rsidR="00D661FD">
        <w:t xml:space="preserve"> </w:t>
      </w:r>
      <w:r w:rsidR="00E52786">
        <w:t xml:space="preserve">eða </w:t>
      </w:r>
      <w:r w:rsidR="00476B26">
        <w:t>haft er viðskipti með</w:t>
      </w:r>
      <w:r>
        <w:t xml:space="preserve"> á</w:t>
      </w:r>
      <w:r w:rsidR="00476B26">
        <w:t xml:space="preserve"> annars konar</w:t>
      </w:r>
      <w:r>
        <w:t xml:space="preserve"> viðskiptavettvangi </w:t>
      </w:r>
      <w:r w:rsidR="00232128">
        <w:t>á Ev</w:t>
      </w:r>
      <w:r w:rsidR="003937F3">
        <w:t>rópska efnahagssvæðinu</w:t>
      </w:r>
      <w:r w:rsidR="001F4E00">
        <w:t xml:space="preserve"> eða </w:t>
      </w:r>
      <w:r w:rsidR="00C309F9">
        <w:t>samsvarandi</w:t>
      </w:r>
      <w:r w:rsidR="001F4E00">
        <w:t xml:space="preserve"> markaði </w:t>
      </w:r>
      <w:r w:rsidR="008C58C5">
        <w:t xml:space="preserve">í </w:t>
      </w:r>
      <w:r w:rsidR="001F4E00">
        <w:t xml:space="preserve">öðru ríki </w:t>
      </w:r>
      <w:r w:rsidR="00B07479">
        <w:t>sem Fjármálaeftirlitið hefur viðurkennt</w:t>
      </w:r>
      <w:r w:rsidR="00125F24">
        <w:t xml:space="preserve"> eða</w:t>
      </w:r>
    </w:p>
    <w:p w14:paraId="30516FE1" w14:textId="26AD6579" w:rsidR="007C79FC" w:rsidRDefault="004D41F6" w:rsidP="007C79FC">
      <w:pPr>
        <w:pStyle w:val="Mlsgreinlista"/>
        <w:numPr>
          <w:ilvl w:val="0"/>
          <w:numId w:val="18"/>
        </w:numPr>
      </w:pPr>
      <w:r>
        <w:t>h</w:t>
      </w:r>
      <w:r w:rsidR="00730AD9" w:rsidRPr="00730AD9">
        <w:t>lut</w:t>
      </w:r>
      <w:r>
        <w:t>um</w:t>
      </w:r>
      <w:r w:rsidR="00730AD9" w:rsidRPr="00730AD9">
        <w:t xml:space="preserve"> og hlutdeildarskírtein</w:t>
      </w:r>
      <w:r>
        <w:t>um</w:t>
      </w:r>
      <w:r w:rsidR="00730AD9" w:rsidRPr="00730AD9">
        <w:t xml:space="preserve"> sjóða um sameiginlega fjárfestingu </w:t>
      </w:r>
      <w:r>
        <w:t>þar sem</w:t>
      </w:r>
      <w:r w:rsidR="00730AD9" w:rsidRPr="00730AD9" w:rsidDel="004D41F6">
        <w:t xml:space="preserve"> </w:t>
      </w:r>
      <w:r w:rsidR="00730AD9" w:rsidRPr="00730AD9">
        <w:t xml:space="preserve">kveðið er á um heimild til innlausnar þeirra að kröfu </w:t>
      </w:r>
      <w:r w:rsidR="00560943">
        <w:t>fjárfestis</w:t>
      </w:r>
      <w:r w:rsidR="00560943" w:rsidRPr="00730AD9">
        <w:t xml:space="preserve"> </w:t>
      </w:r>
      <w:r w:rsidR="00730AD9" w:rsidRPr="00730AD9">
        <w:t>á hverjum tíma.</w:t>
      </w:r>
    </w:p>
    <w:p w14:paraId="02380080" w14:textId="6CB80C51" w:rsidR="00650085" w:rsidRDefault="00A91D48" w:rsidP="002E75B4">
      <w:pPr>
        <w:pStyle w:val="Mlsgreinlista"/>
        <w:numPr>
          <w:ilvl w:val="0"/>
          <w:numId w:val="30"/>
        </w:numPr>
      </w:pPr>
      <w:r>
        <w:t>3. mgr. fellur brott.</w:t>
      </w:r>
    </w:p>
    <w:p w14:paraId="0A64449F" w14:textId="77777777" w:rsidR="00F719C0" w:rsidRDefault="00F719C0" w:rsidP="00943B67"/>
    <w:p w14:paraId="05E408C5" w14:textId="7846D38A" w:rsidR="00F719C0" w:rsidRDefault="00294851" w:rsidP="00F719C0">
      <w:pPr>
        <w:pStyle w:val="Greinarnmer"/>
      </w:pPr>
      <w:r>
        <w:t>6</w:t>
      </w:r>
      <w:r w:rsidR="00F719C0">
        <w:t>. gr.</w:t>
      </w:r>
    </w:p>
    <w:p w14:paraId="18311608" w14:textId="54BDEE65" w:rsidR="00F719C0" w:rsidRDefault="00F719C0" w:rsidP="002708BE">
      <w:r>
        <w:t xml:space="preserve">Eftirfarandi breytingar verða á 36. gr. </w:t>
      </w:r>
      <w:r w:rsidR="0039161C">
        <w:t>c</w:t>
      </w:r>
      <w:r>
        <w:t xml:space="preserve"> laganna:</w:t>
      </w:r>
      <w:r w:rsidR="00FA7DCE">
        <w:t xml:space="preserve"> </w:t>
      </w:r>
    </w:p>
    <w:p w14:paraId="3E1BC06C" w14:textId="6379B687" w:rsidR="0039161C" w:rsidRDefault="009A099D" w:rsidP="00CB4C79">
      <w:pPr>
        <w:pStyle w:val="Mlsgreinlista"/>
        <w:numPr>
          <w:ilvl w:val="0"/>
          <w:numId w:val="26"/>
        </w:numPr>
      </w:pPr>
      <w:r>
        <w:t>2. mgr. fellur brott</w:t>
      </w:r>
      <w:r w:rsidR="00D46FAE">
        <w:t>.</w:t>
      </w:r>
    </w:p>
    <w:p w14:paraId="68C3B692" w14:textId="5C60EC96" w:rsidR="009A099D" w:rsidRDefault="009A099D" w:rsidP="00CB4C79">
      <w:pPr>
        <w:pStyle w:val="Mlsgreinlista"/>
        <w:numPr>
          <w:ilvl w:val="0"/>
          <w:numId w:val="26"/>
        </w:numPr>
      </w:pPr>
      <w:r>
        <w:t>Orðin „og 2.“ í 3. mgr. falla brott.</w:t>
      </w:r>
    </w:p>
    <w:p w14:paraId="14D7C991" w14:textId="5649B370" w:rsidR="0065092C" w:rsidRDefault="0065092C" w:rsidP="00CB4C79">
      <w:pPr>
        <w:pStyle w:val="Mlsgreinlista"/>
        <w:numPr>
          <w:ilvl w:val="0"/>
          <w:numId w:val="26"/>
        </w:numPr>
      </w:pPr>
      <w:r>
        <w:t>6. mgr. fellur brott.</w:t>
      </w:r>
    </w:p>
    <w:p w14:paraId="2EE44452" w14:textId="38E297A7" w:rsidR="00524329" w:rsidRDefault="00524329" w:rsidP="00CB4C79">
      <w:pPr>
        <w:pStyle w:val="Mlsgreinlista"/>
        <w:numPr>
          <w:ilvl w:val="0"/>
          <w:numId w:val="26"/>
        </w:numPr>
      </w:pPr>
      <w:r>
        <w:t>Í stað orðanna „</w:t>
      </w:r>
      <w:r w:rsidRPr="00524329">
        <w:t>hverju félagi eða hlutdeildarskírteinum eða hlutum annarra sjóða um sameiginlega fjárfestingu eða einstakri deild þeirra</w:t>
      </w:r>
      <w:r>
        <w:t xml:space="preserve">“ í 7. mgr. kemur: </w:t>
      </w:r>
      <w:r w:rsidR="00FF464A" w:rsidRPr="00FF464A">
        <w:t xml:space="preserve">félagi </w:t>
      </w:r>
      <w:r w:rsidR="007972CB">
        <w:t xml:space="preserve">með hlutabréf sem eru </w:t>
      </w:r>
      <w:r w:rsidR="00FF464A" w:rsidRPr="00FF464A">
        <w:t xml:space="preserve">skráð á skipulegum markaði eða </w:t>
      </w:r>
      <w:r w:rsidR="000B5AB9">
        <w:t>haft er viðskipti með</w:t>
      </w:r>
      <w:r w:rsidR="00926EEC">
        <w:t xml:space="preserve"> á</w:t>
      </w:r>
      <w:r w:rsidR="000B5AB9">
        <w:t xml:space="preserve"> </w:t>
      </w:r>
      <w:r w:rsidR="00FF464A" w:rsidRPr="00FF464A">
        <w:t>markaðstorgi fjármálagerninga.</w:t>
      </w:r>
    </w:p>
    <w:p w14:paraId="29667934" w14:textId="1BE15AEA" w:rsidR="00FF464A" w:rsidRDefault="00F52985" w:rsidP="00CB4C79">
      <w:pPr>
        <w:pStyle w:val="Mlsgreinlista"/>
        <w:numPr>
          <w:ilvl w:val="0"/>
          <w:numId w:val="26"/>
        </w:numPr>
      </w:pPr>
      <w:r>
        <w:t>8. mgr. orðast svo:</w:t>
      </w:r>
    </w:p>
    <w:p w14:paraId="480E8343" w14:textId="60BD3434" w:rsidR="00F52985" w:rsidRDefault="00F52985" w:rsidP="002708BE">
      <w:r>
        <w:t>Takmörkun skv. 1. mgr. tekur ekki til fjárfestinga í verðbréfasjóðum</w:t>
      </w:r>
      <w:r w:rsidR="00A37965">
        <w:t>.</w:t>
      </w:r>
    </w:p>
    <w:p w14:paraId="6085BE57" w14:textId="77777777" w:rsidR="00F719C0" w:rsidRDefault="00F719C0" w:rsidP="00943B67"/>
    <w:p w14:paraId="4C352C1A" w14:textId="77777777" w:rsidR="00476866" w:rsidRDefault="00476866" w:rsidP="00476866">
      <w:pPr>
        <w:pStyle w:val="Greinarnmer"/>
      </w:pPr>
      <w:r>
        <w:t>7. gr.</w:t>
      </w:r>
    </w:p>
    <w:p w14:paraId="2EE9C3D4" w14:textId="0AFF934A" w:rsidR="00476866" w:rsidRDefault="00476866" w:rsidP="00476866">
      <w:r>
        <w:t>Við 36. gr. e laganna bætist ný málsgrein, svohljóðandi:</w:t>
      </w:r>
    </w:p>
    <w:p w14:paraId="3401E473" w14:textId="77777777" w:rsidR="00C1787E" w:rsidRDefault="00C1787E" w:rsidP="00C1787E">
      <w:r w:rsidRPr="000413FE">
        <w:t xml:space="preserve">Lífeyrissjóður skal </w:t>
      </w:r>
      <w:r>
        <w:t xml:space="preserve">haga lausafjárstýringu sinni þannig að hann geti </w:t>
      </w:r>
      <w:r w:rsidRPr="000413FE">
        <w:t>uppfyll</w:t>
      </w:r>
      <w:r>
        <w:t>t</w:t>
      </w:r>
      <w:r w:rsidRPr="000413FE">
        <w:t xml:space="preserve"> skuldbindingar </w:t>
      </w:r>
      <w:r>
        <w:t>sínar,</w:t>
      </w:r>
      <w:r w:rsidRPr="000413FE" w:rsidDel="00F076E4">
        <w:t xml:space="preserve"> </w:t>
      </w:r>
      <w:r>
        <w:t xml:space="preserve">sértaklega hvað varðar </w:t>
      </w:r>
      <w:proofErr w:type="spellStart"/>
      <w:r w:rsidRPr="000413FE">
        <w:t>vænt</w:t>
      </w:r>
      <w:r>
        <w:t>ar</w:t>
      </w:r>
      <w:proofErr w:type="spellEnd"/>
      <w:r w:rsidRPr="000413FE">
        <w:t xml:space="preserve"> lífeyrisgreiðsl</w:t>
      </w:r>
      <w:r>
        <w:t xml:space="preserve">ur </w:t>
      </w:r>
      <w:r w:rsidRPr="000413FE">
        <w:t>sjóðsins.</w:t>
      </w:r>
    </w:p>
    <w:p w14:paraId="23BCD783" w14:textId="77777777" w:rsidR="00476866" w:rsidRDefault="00476866" w:rsidP="00F719C0">
      <w:pPr>
        <w:pStyle w:val="Greinarnmer"/>
      </w:pPr>
    </w:p>
    <w:p w14:paraId="12C55F96" w14:textId="670EB18B" w:rsidR="00F719C0" w:rsidRDefault="005A1FFA" w:rsidP="00F719C0">
      <w:pPr>
        <w:pStyle w:val="Greinarnmer"/>
      </w:pPr>
      <w:r>
        <w:t>8</w:t>
      </w:r>
      <w:r w:rsidR="00F719C0">
        <w:t>. gr.</w:t>
      </w:r>
    </w:p>
    <w:p w14:paraId="38F0A714" w14:textId="79DEAE32" w:rsidR="00F719C0" w:rsidRDefault="007C02EB" w:rsidP="00F719C0">
      <w:r>
        <w:t xml:space="preserve">Á eftir </w:t>
      </w:r>
      <w:r w:rsidR="00C15546">
        <w:t xml:space="preserve">36. gr. f laganna </w:t>
      </w:r>
      <w:r w:rsidR="00270E89">
        <w:t xml:space="preserve">koma tvær </w:t>
      </w:r>
      <w:r w:rsidR="00C15546">
        <w:t>ný</w:t>
      </w:r>
      <w:r w:rsidR="00270E89">
        <w:t>jar</w:t>
      </w:r>
      <w:r w:rsidR="00C15546">
        <w:t xml:space="preserve"> </w:t>
      </w:r>
      <w:r w:rsidR="03FCE142">
        <w:t>grein</w:t>
      </w:r>
      <w:r w:rsidR="3E180718">
        <w:t>ar</w:t>
      </w:r>
      <w:r w:rsidR="00C15546">
        <w:t>, 36. gr. g</w:t>
      </w:r>
      <w:r w:rsidR="00270E89">
        <w:t xml:space="preserve"> og </w:t>
      </w:r>
      <w:r w:rsidR="00387B89">
        <w:t>36. gr. h</w:t>
      </w:r>
      <w:r w:rsidR="00C15546">
        <w:t>, ásamt fyrirsögn</w:t>
      </w:r>
      <w:r w:rsidR="00387B89">
        <w:t>um</w:t>
      </w:r>
      <w:r w:rsidR="00C15546">
        <w:t>, svohljóðandi:</w:t>
      </w:r>
    </w:p>
    <w:p w14:paraId="401E4AD6" w14:textId="034E73F0" w:rsidR="00C140D6" w:rsidRDefault="00C140D6" w:rsidP="00CB4C79">
      <w:pPr>
        <w:pStyle w:val="Mlsgreinlista"/>
        <w:numPr>
          <w:ilvl w:val="0"/>
          <w:numId w:val="27"/>
        </w:numPr>
      </w:pPr>
      <w:r>
        <w:t>(</w:t>
      </w:r>
      <w:r w:rsidR="002E417D">
        <w:t>3</w:t>
      </w:r>
      <w:r>
        <w:t>6. gr. g.)</w:t>
      </w:r>
    </w:p>
    <w:p w14:paraId="3B13E15A" w14:textId="6766CE46" w:rsidR="002E417D" w:rsidRDefault="002E417D" w:rsidP="002E417D">
      <w:pPr>
        <w:pStyle w:val="Greinarfyrirsgn"/>
      </w:pPr>
      <w:r>
        <w:t>Verðbréfalán.</w:t>
      </w:r>
    </w:p>
    <w:p w14:paraId="260E5DC2" w14:textId="0AEA2174" w:rsidR="005607C7" w:rsidRDefault="001164E8" w:rsidP="00D26CDD">
      <w:r w:rsidRPr="001164E8">
        <w:t xml:space="preserve">Lífeyrissjóði er heimilt að lána skuldabréf og hlutabréf sem </w:t>
      </w:r>
      <w:r w:rsidR="00C2331A">
        <w:t>haft er viðskipti með</w:t>
      </w:r>
      <w:r w:rsidRPr="001164E8">
        <w:t xml:space="preserve"> á </w:t>
      </w:r>
      <w:r w:rsidR="006F5E8E">
        <w:t>viðskiptavettvangi</w:t>
      </w:r>
      <w:r w:rsidRPr="001164E8">
        <w:t xml:space="preserve"> til lánastofnana, verðbréfafyrirtækja eða miðlægra mótaðila sem sæta opinberu varfærniseftirliti í ríki innan Evrópska efnahagssvæðisins eða í aðildarríki </w:t>
      </w:r>
      <w:r w:rsidRPr="001164E8">
        <w:lastRenderedPageBreak/>
        <w:t xml:space="preserve">stofnsamnings Fríverslunarsamtaka Evrópu. Heimildin nær jafnframt til samsvarandi aðila í öðrum ríkjum, enda teljist eftirlit með starfsemi þeirra sambærilegt að mati </w:t>
      </w:r>
      <w:r w:rsidR="007B3B8C">
        <w:t>Fjármálaeftirlitsins</w:t>
      </w:r>
      <w:r w:rsidRPr="001164E8">
        <w:t>.</w:t>
      </w:r>
    </w:p>
    <w:p w14:paraId="1BE5ACBC" w14:textId="7A02898C" w:rsidR="00796061" w:rsidRDefault="00796061" w:rsidP="00D26CDD">
      <w:r w:rsidRPr="00796061">
        <w:t>Samningur um verðbréfalán skal vera skriflegur. Heimilt er að gera slíkan samning beint eða með milligöngu vörsluaðila</w:t>
      </w:r>
      <w:r>
        <w:t xml:space="preserve"> </w:t>
      </w:r>
      <w:r w:rsidR="009A20B2">
        <w:t xml:space="preserve">verðbréfa </w:t>
      </w:r>
      <w:r w:rsidRPr="00796061">
        <w:t>eða annars aðila sem hefur starfsleyfi til slíkrar starfsemi og sætir opinberu eftirliti. Uppgjör og afhending verðbréfa og trygginga skal fara fram í viðurkenndu uppgjörskerfi eða hjá verðbréfamiðstöð innan þeirra ríkja sem um ræðir í 1. mgr.</w:t>
      </w:r>
    </w:p>
    <w:p w14:paraId="10FEB2CF" w14:textId="0C951E93" w:rsidR="002E119B" w:rsidRDefault="002E119B" w:rsidP="00D26CDD">
      <w:r w:rsidRPr="002E119B">
        <w:t xml:space="preserve">Lífeyrissjóður skal á hverjum tíma geta krafist </w:t>
      </w:r>
      <w:r w:rsidR="00762ACF">
        <w:t>þess að verðbréf</w:t>
      </w:r>
      <w:r w:rsidR="00742168">
        <w:t xml:space="preserve"> sem hann hefur lánað </w:t>
      </w:r>
      <w:r w:rsidR="00762ACF">
        <w:t xml:space="preserve">verði skilað </w:t>
      </w:r>
      <w:r w:rsidRPr="002E119B">
        <w:t>með skömmum fyrirvara.</w:t>
      </w:r>
    </w:p>
    <w:p w14:paraId="69809456" w14:textId="24E27547" w:rsidR="00A97D64" w:rsidRDefault="00A97D64" w:rsidP="00D26CDD">
      <w:r w:rsidRPr="00A97D64">
        <w:t xml:space="preserve">Lántaki skal leggja fram tryggingu sem nemur </w:t>
      </w:r>
      <w:r w:rsidR="00C27A03">
        <w:t>a.m.k.</w:t>
      </w:r>
      <w:r w:rsidRPr="00A97D64">
        <w:t xml:space="preserve"> markaðsverðmæti þeirra </w:t>
      </w:r>
      <w:r w:rsidR="008E3C45">
        <w:t>verðbréfa</w:t>
      </w:r>
      <w:r w:rsidRPr="00A97D64">
        <w:t xml:space="preserve"> sem </w:t>
      </w:r>
      <w:r w:rsidR="00CE196C">
        <w:t>lánuð</w:t>
      </w:r>
      <w:r w:rsidRPr="00A97D64">
        <w:t xml:space="preserve"> eru. Trygging skal endurmetin daglega og viðbótartrygging lögð fram ef verðmæti hennar fellur undir </w:t>
      </w:r>
      <w:r w:rsidR="002A2568">
        <w:t>markaðsverðmæti verðbréfanna</w:t>
      </w:r>
      <w:r w:rsidRPr="00A97D64">
        <w:t>.</w:t>
      </w:r>
    </w:p>
    <w:p w14:paraId="03813206" w14:textId="3A940116" w:rsidR="00AB2344" w:rsidRDefault="00AB2344" w:rsidP="00D26CDD">
      <w:r w:rsidRPr="00AB2344">
        <w:t xml:space="preserve">Heimild samkvæmt þessari grein </w:t>
      </w:r>
      <w:r w:rsidR="00A83BE5">
        <w:t>takmarkast</w:t>
      </w:r>
      <w:r w:rsidRPr="00AB2344">
        <w:t xml:space="preserve"> við 5% af heildareignum lífeyrissjóðs.</w:t>
      </w:r>
    </w:p>
    <w:p w14:paraId="042E00A8" w14:textId="573F90E6" w:rsidR="00AB2344" w:rsidRDefault="00AB2344" w:rsidP="00D26CDD">
      <w:r w:rsidRPr="00AB2344">
        <w:t xml:space="preserve">Seðlabanki Íslands getur sett reglur um </w:t>
      </w:r>
      <w:r>
        <w:t xml:space="preserve">framkvæmd þessarar greinar, þar á meðal um tryggingu skv. </w:t>
      </w:r>
      <w:r w:rsidR="0009550F">
        <w:t>4</w:t>
      </w:r>
      <w:r>
        <w:t>. mgr.</w:t>
      </w:r>
    </w:p>
    <w:p w14:paraId="1B91B1A5" w14:textId="77777777" w:rsidR="0002784B" w:rsidRDefault="0002784B" w:rsidP="00D26CDD"/>
    <w:p w14:paraId="2FCE91B9" w14:textId="371737F0" w:rsidR="002E417D" w:rsidRDefault="002E417D" w:rsidP="00CB4C79">
      <w:pPr>
        <w:pStyle w:val="Mlsgreinlista"/>
        <w:numPr>
          <w:ilvl w:val="0"/>
          <w:numId w:val="27"/>
        </w:numPr>
      </w:pPr>
      <w:r>
        <w:t>(36. gr. h.)</w:t>
      </w:r>
    </w:p>
    <w:p w14:paraId="613AB2E5" w14:textId="1583A46F" w:rsidR="00C15546" w:rsidRDefault="00EF12D0" w:rsidP="00B87016">
      <w:pPr>
        <w:pStyle w:val="Greinarfyrirsgn"/>
      </w:pPr>
      <w:r>
        <w:t>Verðmat</w:t>
      </w:r>
      <w:r w:rsidR="00B87016">
        <w:t>.</w:t>
      </w:r>
    </w:p>
    <w:p w14:paraId="5C74E5B4" w14:textId="38693CB1" w:rsidR="00EF12D0" w:rsidRDefault="00B87016" w:rsidP="00F719C0">
      <w:r w:rsidRPr="00B87016">
        <w:t xml:space="preserve">Lífeyrissjóður skal hafa viðeigandi ferla til að </w:t>
      </w:r>
      <w:r w:rsidR="001A2609">
        <w:t>styðja við framkvæmd</w:t>
      </w:r>
      <w:r w:rsidRPr="00B87016">
        <w:t xml:space="preserve"> fullnægjandi mat</w:t>
      </w:r>
      <w:r w:rsidR="008178A5">
        <w:t>s</w:t>
      </w:r>
      <w:r w:rsidRPr="00B87016">
        <w:t xml:space="preserve"> á eignum sjóðsins. </w:t>
      </w:r>
      <w:r w:rsidR="007A390B" w:rsidRPr="007A390B">
        <w:t>Virði eigna skal metið með sama hætti og við gerð ársreiknings, sbr. 40. gr.</w:t>
      </w:r>
    </w:p>
    <w:p w14:paraId="09DBC72E" w14:textId="77777777" w:rsidR="00B74EDE" w:rsidRDefault="00B74EDE" w:rsidP="00527ADC"/>
    <w:p w14:paraId="69C539DE" w14:textId="60072C5C" w:rsidR="0006192B" w:rsidRDefault="005A1FFA" w:rsidP="0006192B">
      <w:pPr>
        <w:pStyle w:val="Greinarnmer"/>
      </w:pPr>
      <w:r>
        <w:t>9</w:t>
      </w:r>
      <w:r w:rsidR="007C02EB">
        <w:t>. gr.</w:t>
      </w:r>
    </w:p>
    <w:p w14:paraId="4AB2A921" w14:textId="77777777" w:rsidR="0006192B" w:rsidRDefault="002A6728" w:rsidP="00527ADC">
      <w:r>
        <w:t>Í stað 2. mgr. 37. gr. laganna koma tvær nýjar málsgreinar</w:t>
      </w:r>
      <w:r w:rsidR="00B32E2A">
        <w:t>, svohljóðandi:</w:t>
      </w:r>
    </w:p>
    <w:p w14:paraId="67EDA056" w14:textId="142DCBFB" w:rsidR="00E33EEC" w:rsidRDefault="00BB142E" w:rsidP="00527ADC">
      <w:r>
        <w:t>Ef breytingar á gengi fjármálagerninga</w:t>
      </w:r>
      <w:r w:rsidR="002766A9">
        <w:t xml:space="preserve"> </w:t>
      </w:r>
      <w:r>
        <w:t>eða íslensku krónunnar</w:t>
      </w:r>
      <w:r w:rsidR="00A65CA6">
        <w:t xml:space="preserve"> eða virði fasteigna</w:t>
      </w:r>
      <w:r>
        <w:t xml:space="preserve"> leiða til þess að fjárfesting lífeyrissjóðs fer fram úr leyfilegum mörkum samkvæmt lögum þessum á ákvæði 1. mgr. ekki við nema að því leyti að tilkynningarskylda til Fjármálaeftirlitsins helst óbreytt. Meðan svo stendur á er lífeyrissjóði óheimilt að auka við fjárfestingu sína umfram leyfileg mörk að undanskildum þegar gerðum skuldbindingum.</w:t>
      </w:r>
      <w:r w:rsidR="00527ADC">
        <w:t xml:space="preserve"> </w:t>
      </w:r>
    </w:p>
    <w:p w14:paraId="00899FD4" w14:textId="143BF3F7" w:rsidR="00527ADC" w:rsidRDefault="00BB142E" w:rsidP="00527ADC">
      <w:r>
        <w:t>Nýlega stofnaður lífeyrissjóður</w:t>
      </w:r>
      <w:r w:rsidR="00AB39C8">
        <w:t xml:space="preserve"> eða </w:t>
      </w:r>
      <w:r w:rsidR="006260D8">
        <w:t xml:space="preserve">nýlega stofnuð </w:t>
      </w:r>
      <w:r w:rsidR="00AB39C8">
        <w:t>deild innan</w:t>
      </w:r>
      <w:r w:rsidR="006260D8">
        <w:t xml:space="preserve"> lífeyrissjóðs</w:t>
      </w:r>
      <w:r>
        <w:t xml:space="preserve"> skal ná lögmæltu hámarki innan 12 mánaða frá móttöku fyrsta iðgjalds. Fjármálaeftirlitið getur þó heimilað lengri frest enda sé það augljóslega í þágu sjóðfélaga.</w:t>
      </w:r>
    </w:p>
    <w:p w14:paraId="73C9DD7B" w14:textId="77777777" w:rsidR="00F719C0" w:rsidRDefault="00F719C0" w:rsidP="00AE1AD6">
      <w:pPr>
        <w:ind w:firstLine="0"/>
      </w:pPr>
    </w:p>
    <w:p w14:paraId="21C14E2D" w14:textId="77777777" w:rsidR="008F1DDD" w:rsidRDefault="008F1DDD" w:rsidP="008F1DDD">
      <w:pPr>
        <w:ind w:left="3408"/>
      </w:pPr>
      <w:r>
        <w:t>10. gr.</w:t>
      </w:r>
    </w:p>
    <w:p w14:paraId="0FE0E679" w14:textId="4DF3FBB1" w:rsidR="008F1DDD" w:rsidRDefault="008F1DDD" w:rsidP="008F1DDD">
      <w:r>
        <w:t>Eftirfarandi breytingar verða á 39. gr. b laganna:</w:t>
      </w:r>
    </w:p>
    <w:p w14:paraId="69E9C77A" w14:textId="1E3642DA" w:rsidR="008F1DDD" w:rsidRDefault="008F1DDD" w:rsidP="008F1DDD">
      <w:pPr>
        <w:pStyle w:val="Mlsgreinlista"/>
        <w:numPr>
          <w:ilvl w:val="0"/>
          <w:numId w:val="29"/>
        </w:numPr>
      </w:pPr>
      <w:r>
        <w:t>Á eftir tilvísuninni „3</w:t>
      </w:r>
      <w:r w:rsidR="00751C17">
        <w:t>6</w:t>
      </w:r>
      <w:r>
        <w:t xml:space="preserve">. gr. b“ í 2. mgr. kemur: </w:t>
      </w:r>
      <w:r w:rsidR="00A72762" w:rsidRPr="00A72762">
        <w:t>36. gr. g, 36. gr. h</w:t>
      </w:r>
      <w:r w:rsidR="00A72762">
        <w:t>.</w:t>
      </w:r>
    </w:p>
    <w:p w14:paraId="33E5A3F9" w14:textId="1F1C731B" w:rsidR="00A72762" w:rsidRDefault="00A72762" w:rsidP="008F1DDD">
      <w:pPr>
        <w:pStyle w:val="Mlsgreinlista"/>
        <w:numPr>
          <w:ilvl w:val="0"/>
          <w:numId w:val="29"/>
        </w:numPr>
      </w:pPr>
      <w:r>
        <w:t>Við 3. mgr. bætist nýr málsliður, svohljóðandi:</w:t>
      </w:r>
      <w:r w:rsidR="005609A6" w:rsidRPr="005609A6">
        <w:t xml:space="preserve"> Takmörkun skv. 1. málsl. tekur ekki til fjárfestinga í verðbréfasjóðum.</w:t>
      </w:r>
    </w:p>
    <w:p w14:paraId="51AF0B74" w14:textId="77777777" w:rsidR="008F1DDD" w:rsidRDefault="008F1DDD" w:rsidP="00B05ABC">
      <w:pPr>
        <w:ind w:left="3408"/>
      </w:pPr>
    </w:p>
    <w:p w14:paraId="2AAC3B6F" w14:textId="04DD5C97" w:rsidR="00C35574" w:rsidRDefault="005A1FFA" w:rsidP="00B05ABC">
      <w:pPr>
        <w:ind w:left="3408"/>
      </w:pPr>
      <w:r>
        <w:t>1</w:t>
      </w:r>
      <w:r w:rsidR="008F1DDD">
        <w:t>1</w:t>
      </w:r>
      <w:r w:rsidR="00B05ABC">
        <w:t>. gr.</w:t>
      </w:r>
    </w:p>
    <w:p w14:paraId="1CCD6EFA" w14:textId="6BD746A9" w:rsidR="00B05ABC" w:rsidRDefault="00B05ABC" w:rsidP="00B05ABC">
      <w:r>
        <w:t xml:space="preserve">Lög þessi öðlast </w:t>
      </w:r>
      <w:r w:rsidR="5FCE0E93">
        <w:t>gildi</w:t>
      </w:r>
      <w:r w:rsidR="1C5D4000">
        <w:t xml:space="preserve"> </w:t>
      </w:r>
      <w:r w:rsidR="0FC8F049">
        <w:t>1. júlí 2026</w:t>
      </w:r>
      <w:r w:rsidR="1C5D4000">
        <w:t>.</w:t>
      </w:r>
    </w:p>
    <w:p w14:paraId="24C91980" w14:textId="3E0FD16C" w:rsidR="6D162992" w:rsidRDefault="6D162992" w:rsidP="6D162992">
      <w:pPr>
        <w:ind w:left="3408" w:firstLine="0"/>
        <w:jc w:val="left"/>
      </w:pPr>
    </w:p>
    <w:p w14:paraId="2C70D85C" w14:textId="77777777" w:rsidR="00E71F27" w:rsidRDefault="00E71F27" w:rsidP="00E71F27">
      <w:pPr>
        <w:pStyle w:val="Fyrirsgn-greinarger"/>
      </w:pPr>
      <w:r w:rsidRPr="001B6AC6">
        <w:t>Greinargerð</w:t>
      </w:r>
      <w:r>
        <w:t>.</w:t>
      </w:r>
    </w:p>
    <w:p w14:paraId="3EE688ED" w14:textId="77777777" w:rsidR="00B05ABC" w:rsidRDefault="00B05ABC" w:rsidP="00D0740D">
      <w:pPr>
        <w:pStyle w:val="Millifyrirsgn1"/>
      </w:pPr>
    </w:p>
    <w:p w14:paraId="7508D08A" w14:textId="3187B990" w:rsidR="00D0740D" w:rsidRDefault="00E71F27" w:rsidP="00D0740D">
      <w:pPr>
        <w:pStyle w:val="Millifyrirsgn1"/>
      </w:pPr>
      <w:r>
        <w:t>1</w:t>
      </w:r>
      <w:r w:rsidR="00D0740D">
        <w:t xml:space="preserve">. Inngangur. </w:t>
      </w:r>
    </w:p>
    <w:p w14:paraId="2F0C767F" w14:textId="2BE3F809" w:rsidR="00956676" w:rsidRDefault="00B50DCF" w:rsidP="00D0740D">
      <w:r>
        <w:t xml:space="preserve">Frumvarpið var samið í fjármála- og efnahagsráðuneytinu. Í því eru lagðar til breytingar á </w:t>
      </w:r>
      <w:r w:rsidR="00CF4509">
        <w:t xml:space="preserve">þeim </w:t>
      </w:r>
      <w:r w:rsidR="00B77665">
        <w:t xml:space="preserve">ákvæðum </w:t>
      </w:r>
      <w:r w:rsidR="00961D68">
        <w:t xml:space="preserve">laga um skyldutryggingu lífeyrissréttinda og starfsemi lífeyrissjóða sem </w:t>
      </w:r>
      <w:r w:rsidR="00CF4509">
        <w:t xml:space="preserve">fjalla </w:t>
      </w:r>
      <w:r w:rsidR="00B77665">
        <w:t xml:space="preserve">um </w:t>
      </w:r>
      <w:r>
        <w:t>fjárfestingarheimild</w:t>
      </w:r>
      <w:r w:rsidR="00CF4509">
        <w:t>ir</w:t>
      </w:r>
      <w:r>
        <w:t xml:space="preserve"> </w:t>
      </w:r>
      <w:r w:rsidR="00F41A14">
        <w:t xml:space="preserve">og rekstur </w:t>
      </w:r>
      <w:r>
        <w:t>lífeyrissjóð</w:t>
      </w:r>
      <w:r w:rsidR="21CD7C4B">
        <w:t>a.</w:t>
      </w:r>
      <w:r w:rsidR="00180E2B">
        <w:t xml:space="preserve"> </w:t>
      </w:r>
    </w:p>
    <w:p w14:paraId="67DAB93F" w14:textId="77777777" w:rsidR="00B50DCF" w:rsidRDefault="00B50DCF" w:rsidP="00D0740D"/>
    <w:p w14:paraId="1D19EC54" w14:textId="0AB62F8F" w:rsidR="00FB6100" w:rsidRPr="007370D9" w:rsidRDefault="00E71F27" w:rsidP="0020433C">
      <w:pPr>
        <w:pStyle w:val="Millifyrirsgn1"/>
      </w:pPr>
      <w:r>
        <w:t>2</w:t>
      </w:r>
      <w:r w:rsidR="00D0740D">
        <w:t xml:space="preserve">. Tilefni og nauðsyn lagasetningar. </w:t>
      </w:r>
    </w:p>
    <w:p w14:paraId="00B08387" w14:textId="1F99AE9C" w:rsidR="00CA76BF" w:rsidRDefault="00CA76BF" w:rsidP="00CA76BF">
      <w:r w:rsidRPr="27F55B7D">
        <w:t xml:space="preserve">Á undanförnum árum hafa komið fram ábendingar um að æskilegt væri að </w:t>
      </w:r>
      <w:r w:rsidRPr="1493ACF3">
        <w:t xml:space="preserve">endurskoða </w:t>
      </w:r>
      <w:r w:rsidRPr="0794685A">
        <w:t xml:space="preserve">þann </w:t>
      </w:r>
      <w:r w:rsidRPr="64C9DF65">
        <w:t>lagaramma</w:t>
      </w:r>
      <w:r w:rsidRPr="0794685A">
        <w:t xml:space="preserve"> sem gildir um </w:t>
      </w:r>
      <w:r w:rsidRPr="1F537D7C">
        <w:t xml:space="preserve">fjárfestingarheimildir </w:t>
      </w:r>
      <w:r w:rsidRPr="3E987D32">
        <w:t xml:space="preserve">lífeyrissjóða. </w:t>
      </w:r>
      <w:r w:rsidRPr="12EEBB02">
        <w:t xml:space="preserve">Hér á eftir verður </w:t>
      </w:r>
      <w:r w:rsidR="00F17E2C">
        <w:t>m.a.</w:t>
      </w:r>
      <w:r w:rsidRPr="12EEBB02">
        <w:t xml:space="preserve"> gerð grein fyrir </w:t>
      </w:r>
      <w:r w:rsidRPr="00D76364">
        <w:t xml:space="preserve">i) </w:t>
      </w:r>
      <w:r w:rsidRPr="12EEBB02">
        <w:t>helstu ábendingum</w:t>
      </w:r>
      <w:r w:rsidR="00CB10C9">
        <w:t xml:space="preserve"> og</w:t>
      </w:r>
      <w:r w:rsidRPr="6593FC58">
        <w:t xml:space="preserve"> </w:t>
      </w:r>
      <w:r w:rsidRPr="00D76364">
        <w:t>ii) þeim breytingum sem</w:t>
      </w:r>
      <w:r w:rsidRPr="6593FC58">
        <w:t xml:space="preserve"> hafa </w:t>
      </w:r>
      <w:r w:rsidRPr="695C06E5">
        <w:t xml:space="preserve">verið </w:t>
      </w:r>
      <w:r w:rsidRPr="5E6B702D">
        <w:t>gerðar</w:t>
      </w:r>
      <w:r w:rsidRPr="6593FC58">
        <w:t xml:space="preserve"> á lögum að þessu leyti á undanförnum árum </w:t>
      </w:r>
      <w:r w:rsidRPr="00D76364">
        <w:t>og iii)</w:t>
      </w:r>
      <w:r w:rsidRPr="6A588A9C">
        <w:t xml:space="preserve"> </w:t>
      </w:r>
      <w:r w:rsidRPr="742870DC">
        <w:t xml:space="preserve">reifað í stuttu máli </w:t>
      </w:r>
      <w:r w:rsidRPr="22D56AEF">
        <w:t xml:space="preserve">og </w:t>
      </w:r>
      <w:r w:rsidRPr="00D76364">
        <w:t xml:space="preserve">með </w:t>
      </w:r>
      <w:r w:rsidRPr="22D56AEF">
        <w:t xml:space="preserve">myndum hvernig eignasöfn </w:t>
      </w:r>
      <w:r w:rsidRPr="00D76364">
        <w:t>lífeyrissjóða</w:t>
      </w:r>
      <w:r w:rsidRPr="22D56AEF">
        <w:t xml:space="preserve"> hafa þróast</w:t>
      </w:r>
      <w:r w:rsidRPr="4ACE300C">
        <w:t xml:space="preserve">. </w:t>
      </w:r>
    </w:p>
    <w:p w14:paraId="37CA4405" w14:textId="77777777" w:rsidR="006D3B2E" w:rsidRPr="001D05D0" w:rsidRDefault="006D3B2E" w:rsidP="00CA76BF"/>
    <w:p w14:paraId="0EB27F87" w14:textId="37BF9666" w:rsidR="00CA76BF" w:rsidRPr="00DF66F9" w:rsidRDefault="006169E6" w:rsidP="004F16DE">
      <w:pPr>
        <w:pStyle w:val="Millifyrirsgn2"/>
        <w:rPr>
          <w:i w:val="0"/>
        </w:rPr>
      </w:pPr>
      <w:r w:rsidRPr="00DF66F9">
        <w:t>2</w:t>
      </w:r>
      <w:r w:rsidR="00CA76BF" w:rsidRPr="00DF66F9">
        <w:rPr>
          <w:i w:val="0"/>
        </w:rPr>
        <w:t>.</w:t>
      </w:r>
      <w:r w:rsidR="003D1827" w:rsidRPr="00DF66F9">
        <w:rPr>
          <w:i w:val="0"/>
        </w:rPr>
        <w:t>1</w:t>
      </w:r>
      <w:r w:rsidR="00CA76BF" w:rsidRPr="00DF66F9">
        <w:rPr>
          <w:i w:val="0"/>
        </w:rPr>
        <w:t xml:space="preserve"> Ábendingar um að þörf sé á breytingum</w:t>
      </w:r>
      <w:r w:rsidR="00517B26">
        <w:rPr>
          <w:i w:val="0"/>
        </w:rPr>
        <w:t>.</w:t>
      </w:r>
    </w:p>
    <w:p w14:paraId="70D31B55" w14:textId="73DF5449" w:rsidR="00CA76BF" w:rsidRPr="00A744EA" w:rsidRDefault="00CA76BF" w:rsidP="00CA76BF">
      <w:r w:rsidRPr="410E7132">
        <w:t>Landssamtök lífeyrissjóða (LL) hafa bent á mikilvægi þess að reglur um fjárfestingarheimildir lífeyrissjóða fylgi vel þróun fjármálamarkaða</w:t>
      </w:r>
      <w:r w:rsidR="004F16DE">
        <w:t xml:space="preserve"> og</w:t>
      </w:r>
      <w:r w:rsidRPr="410E7132">
        <w:t xml:space="preserve"> eignasafna lífeyrissjóða og þeim viðfangsefnum sem þeim eru falin lögum samkvæmt. </w:t>
      </w:r>
    </w:p>
    <w:p w14:paraId="6DCC878C" w14:textId="77777777" w:rsidR="00CA76BF" w:rsidRPr="00444041" w:rsidRDefault="00CA76BF" w:rsidP="00CA76BF">
      <w:r w:rsidRPr="38C183D9">
        <w:t>Að mati</w:t>
      </w:r>
      <w:r w:rsidRPr="58508BCA">
        <w:t xml:space="preserve"> LL </w:t>
      </w:r>
      <w:r w:rsidRPr="3FB4BFAE">
        <w:t xml:space="preserve">snýr </w:t>
      </w:r>
      <w:r w:rsidRPr="00D76364">
        <w:t>núverandi</w:t>
      </w:r>
      <w:r w:rsidRPr="410E7132">
        <w:t xml:space="preserve"> </w:t>
      </w:r>
      <w:r w:rsidRPr="6FEFB0A6">
        <w:t>lagarammi</w:t>
      </w:r>
      <w:r w:rsidRPr="410E7132">
        <w:t xml:space="preserve"> magnbundinna takmarkana í lögum um lífeyrissjóði meira að formi fjárfestinga en efni og eðli þeirra og undirliggjandi áhættu. </w:t>
      </w:r>
      <w:r w:rsidRPr="00D76364">
        <w:t>Hann gildi</w:t>
      </w:r>
      <w:r w:rsidRPr="410E7132">
        <w:t xml:space="preserve"> jafnt fyrir alla lífeyrissjóði óháð stærð þeirra, lengd skuldbindinga og áhættusniði sjóðs. Of mikil áhersla á magnbundnar takmarkanir </w:t>
      </w:r>
      <w:r w:rsidRPr="00D76364">
        <w:t>kunni</w:t>
      </w:r>
      <w:r w:rsidRPr="410E7132">
        <w:t xml:space="preserve"> að hamla notkun skynsemisreglunnar</w:t>
      </w:r>
      <w:r w:rsidRPr="00D76364">
        <w:t>. Því telji</w:t>
      </w:r>
      <w:r w:rsidRPr="410E7132">
        <w:t xml:space="preserve"> </w:t>
      </w:r>
      <w:r w:rsidRPr="00444041">
        <w:t>LL nauðsynlegt að endurskoða lagaumgjörðina sem fyrst.</w:t>
      </w:r>
    </w:p>
    <w:p w14:paraId="5A78EB3C" w14:textId="77777777" w:rsidR="00CA76BF" w:rsidRPr="00444041" w:rsidRDefault="00CA76BF" w:rsidP="00CA76BF">
      <w:r w:rsidRPr="00CA76BF">
        <w:t xml:space="preserve">Í </w:t>
      </w:r>
      <w:hyperlink r:id="rId8">
        <w:r w:rsidRPr="00CA76BF">
          <w:t>sérriti</w:t>
        </w:r>
      </w:hyperlink>
      <w:r w:rsidRPr="00444041">
        <w:t xml:space="preserve"> Seðlabanka Íslands frá 2024, um umsvif lífeyrissjóða á fjármálamarkaði og æskilegar umbætur á löggjöf um lífeyrissjóði, kemur fram að vert sé að endurskoða fjárfestingarheimildir lífeyrissjóða og þær takmarkanir sem lögin kveða á um samhliða því að kröfur til eftirlitskerfis veri efldar. </w:t>
      </w:r>
    </w:p>
    <w:p w14:paraId="6BE553DB" w14:textId="5A5F0D91" w:rsidR="00CA76BF" w:rsidRDefault="00CA76BF" w:rsidP="00CA76BF">
      <w:r w:rsidRPr="00CA76BF">
        <w:t xml:space="preserve">Í </w:t>
      </w:r>
      <w:hyperlink r:id="rId9" w:history="1">
        <w:r w:rsidRPr="00CA76BF">
          <w:t>úttekt</w:t>
        </w:r>
      </w:hyperlink>
      <w:r w:rsidRPr="00444041">
        <w:t xml:space="preserve"> Alþjóðagjaldeyrissjóðsins </w:t>
      </w:r>
      <w:r w:rsidR="00665409">
        <w:t xml:space="preserve">frá 2023 </w:t>
      </w:r>
      <w:r w:rsidRPr="00444041">
        <w:t xml:space="preserve">er lagt til að magnbundnar takmarkanir verði að mestu afnumdar, en að þær sem eftir standa séu vel rökstuddar undantekningar frá skynsemisreglunni. Samhliða þessu þurfi að styrkja stjórnarhætti og innra eftirlit innan lífeyrissjóða. </w:t>
      </w:r>
    </w:p>
    <w:p w14:paraId="3F634025" w14:textId="77777777" w:rsidR="006D3B2E" w:rsidRPr="00444041" w:rsidRDefault="006D3B2E" w:rsidP="00CA76BF"/>
    <w:p w14:paraId="57CEEA73" w14:textId="1B74F70B" w:rsidR="00CA76BF" w:rsidRPr="009D1B32" w:rsidRDefault="009D1B32" w:rsidP="004F16DE">
      <w:pPr>
        <w:pStyle w:val="Millifyrirsgn2"/>
        <w:rPr>
          <w:i w:val="0"/>
        </w:rPr>
      </w:pPr>
      <w:r w:rsidRPr="009D1B32">
        <w:t>2</w:t>
      </w:r>
      <w:r w:rsidR="00CA76BF" w:rsidRPr="009D1B32">
        <w:rPr>
          <w:i w:val="0"/>
        </w:rPr>
        <w:t>.</w:t>
      </w:r>
      <w:r w:rsidRPr="009D1B32">
        <w:rPr>
          <w:i w:val="0"/>
        </w:rPr>
        <w:t>2</w:t>
      </w:r>
      <w:r w:rsidR="00CA76BF" w:rsidRPr="009D1B32">
        <w:rPr>
          <w:i w:val="0"/>
        </w:rPr>
        <w:t xml:space="preserve"> Helstu breytingar á undanförnum árum sem varða fjárfestingarheimildir lífeyrissjóða</w:t>
      </w:r>
      <w:r w:rsidR="00517B26">
        <w:rPr>
          <w:i w:val="0"/>
        </w:rPr>
        <w:t>.</w:t>
      </w:r>
    </w:p>
    <w:p w14:paraId="38051B37" w14:textId="77777777" w:rsidR="00CA76BF" w:rsidRPr="00D147CD" w:rsidRDefault="00CA76BF" w:rsidP="00CA76BF">
      <w:r w:rsidRPr="56FA3569">
        <w:t>Á síðustu árum hafa nokkrum sinnum verið gerðar breytingar á lögum og reglugerðum sem varða með beinum hætti heimildir lífeyrissjóða til fjárfestinga. Þær helstu</w:t>
      </w:r>
      <w:r w:rsidRPr="00D76364">
        <w:t xml:space="preserve"> eru</w:t>
      </w:r>
      <w:r w:rsidRPr="56FA3569">
        <w:t xml:space="preserve"> reifaðar hér á eftir:</w:t>
      </w:r>
    </w:p>
    <w:p w14:paraId="36F1D3DD" w14:textId="5E789935" w:rsidR="00CA76BF" w:rsidRPr="00863008" w:rsidRDefault="00CA76BF" w:rsidP="008F1DDD">
      <w:pPr>
        <w:pStyle w:val="Mlsgreinlista"/>
        <w:numPr>
          <w:ilvl w:val="1"/>
          <w:numId w:val="29"/>
        </w:numPr>
        <w:rPr>
          <w:i/>
        </w:rPr>
      </w:pPr>
      <w:r w:rsidRPr="00863008">
        <w:rPr>
          <w:i/>
        </w:rPr>
        <w:t>Afrakstur heildarendurskoðunar á löggjöf á árunum 2013-2016</w:t>
      </w:r>
      <w:r w:rsidR="00517B26">
        <w:rPr>
          <w:i/>
        </w:rPr>
        <w:t>.</w:t>
      </w:r>
    </w:p>
    <w:p w14:paraId="765998AD" w14:textId="5B05143A" w:rsidR="00CA76BF" w:rsidRPr="00EB14CB" w:rsidRDefault="00CA76BF" w:rsidP="00CA76BF">
      <w:r w:rsidRPr="394C8AEF">
        <w:t xml:space="preserve">Um fjárfestingarheimildir lífeyrissjóða er fjallað í VII. </w:t>
      </w:r>
      <w:r w:rsidRPr="00D76364">
        <w:t>kafla laga um skyldutryggingu lífeyrisréttinda og starfsemi lífeyrissjóða</w:t>
      </w:r>
      <w:r>
        <w:t xml:space="preserve">, </w:t>
      </w:r>
      <w:r w:rsidRPr="00D76364">
        <w:t>nr. 129/1997</w:t>
      </w:r>
      <w:r>
        <w:t>,</w:t>
      </w:r>
      <w:r w:rsidRPr="394C8AEF">
        <w:t xml:space="preserve"> og reglugerð um fjárfestingarstefnu og úttekt á ávöxtun lífeyrissjóða og vörsluaðila séreignarsparnaðar</w:t>
      </w:r>
      <w:r>
        <w:t xml:space="preserve">, </w:t>
      </w:r>
      <w:r w:rsidRPr="00D76364">
        <w:t>nr. 916/2009.</w:t>
      </w:r>
      <w:r w:rsidRPr="394C8AEF">
        <w:t xml:space="preserve"> Þá er í gildi reglugerð um eftirlitskerfi með áhættu lífeyrissjóða</w:t>
      </w:r>
      <w:r>
        <w:t xml:space="preserve">, </w:t>
      </w:r>
      <w:r w:rsidRPr="00D76364">
        <w:t>nr. 590/2017</w:t>
      </w:r>
      <w:r>
        <w:t>,</w:t>
      </w:r>
      <w:r w:rsidRPr="00D76364">
        <w:t xml:space="preserve"> </w:t>
      </w:r>
      <w:r>
        <w:t xml:space="preserve">sem </w:t>
      </w:r>
      <w:r w:rsidRPr="394C8AEF">
        <w:t>fjallar um framkvæmd áhættustýringar hjá lífeyrissjóðum.</w:t>
      </w:r>
    </w:p>
    <w:p w14:paraId="66432B6B" w14:textId="74A50935" w:rsidR="00CA76BF" w:rsidRPr="00EB14CB" w:rsidRDefault="00CA76BF" w:rsidP="00CA76BF">
      <w:r w:rsidRPr="44C4AD8C">
        <w:t xml:space="preserve">Með lögum nr. 113/2016 voru gerðar nokkuð viðamiklar breytingar á lagaákvæðum um fjárfestingarheimildir lífeyrissjóða. Þær tóku gildi 1. júlí 2017 og voru afrakstur vinnu sem náði allt aftur til ársins 2013 en í byrjun þess árs skipaði </w:t>
      </w:r>
      <w:r>
        <w:t xml:space="preserve">þáverandi </w:t>
      </w:r>
      <w:r w:rsidRPr="44C4AD8C">
        <w:t xml:space="preserve">fjármála- og efnahagsráðherra nefnd til þess að endurskoða lagaákvæði um fjárfestingarheimildir lífeyrissjóða. Markmiðið með nefndarstarfinu var að tryggja ábyrgar fjárfestingar lífeyrissjóðanna þar sem viðhlítandi tillit væri tekið til ávöxtunar og áhættu. Í störfum sínum </w:t>
      </w:r>
      <w:r w:rsidRPr="44C4AD8C">
        <w:lastRenderedPageBreak/>
        <w:t>var nefndinni einnig falið að taka mið af ýmsum atriðum sem voru í brennidepli á starfstíma hennar</w:t>
      </w:r>
      <w:r>
        <w:t>,</w:t>
      </w:r>
      <w:r w:rsidRPr="44C4AD8C">
        <w:t xml:space="preserve"> s.s. aðdraganda og afleiðingum hruns fjármálakerfisins</w:t>
      </w:r>
      <w:r>
        <w:t>, skýrslu úttektarnefndar sem ríkissáttasemjari skipaði að beiðni Landssamtaka Lífeyrissjóða frá 2012 um fjárfestingarstefnu, ákvarðanatöku og lagalegt umhverfi lífeyrissjóðanna í aðdraganda bankahrunsins og</w:t>
      </w:r>
      <w:r w:rsidRPr="44C4AD8C">
        <w:t xml:space="preserve"> áætlun stjórnvalda um afnám fjármagnshafta.</w:t>
      </w:r>
      <w:r w:rsidR="00863008">
        <w:t xml:space="preserve"> </w:t>
      </w:r>
    </w:p>
    <w:p w14:paraId="39E58A67" w14:textId="5598E704" w:rsidR="00CA76BF" w:rsidRPr="00863008" w:rsidRDefault="00CA76BF" w:rsidP="00863008">
      <w:r w:rsidRPr="00863008">
        <w:t>Helstu breytingar sem voru gerðar með lögum nr. 113/2016 voru eftirfarandi:</w:t>
      </w:r>
    </w:p>
    <w:p w14:paraId="34954BAD" w14:textId="6B7ACEAD" w:rsidR="00CA76BF" w:rsidRDefault="00CA76BF" w:rsidP="00CA76BF">
      <w:r w:rsidRPr="695F009A">
        <w:t xml:space="preserve">Fallið var frá kröfu um að fé lífeyrissjóðs væri ávaxtað með hliðsjón af þeim kjörum sem best </w:t>
      </w:r>
      <w:r>
        <w:t>væ</w:t>
      </w:r>
      <w:r w:rsidRPr="695F009A">
        <w:t>ru boðin á hverjum tíma með tillit til ávöxtunar og áhættu.</w:t>
      </w:r>
      <w:r w:rsidR="00742039">
        <w:t xml:space="preserve"> </w:t>
      </w:r>
      <w:r w:rsidRPr="695F009A">
        <w:t xml:space="preserve">Í staðinn var </w:t>
      </w:r>
      <w:r>
        <w:t xml:space="preserve">tekin upp </w:t>
      </w:r>
      <w:r w:rsidRPr="695F009A">
        <w:t xml:space="preserve">skynsemisregla (e. </w:t>
      </w:r>
      <w:proofErr w:type="spellStart"/>
      <w:r>
        <w:t>p</w:t>
      </w:r>
      <w:r w:rsidRPr="695F009A">
        <w:t>rudent</w:t>
      </w:r>
      <w:proofErr w:type="spellEnd"/>
      <w:r w:rsidRPr="695F009A">
        <w:t xml:space="preserve"> person </w:t>
      </w:r>
      <w:proofErr w:type="spellStart"/>
      <w:r w:rsidRPr="695F009A">
        <w:t>principle</w:t>
      </w:r>
      <w:proofErr w:type="spellEnd"/>
      <w:r w:rsidRPr="695F009A">
        <w:t xml:space="preserve">) </w:t>
      </w:r>
      <w:r>
        <w:t xml:space="preserve">sem beitt er </w:t>
      </w:r>
      <w:r w:rsidRPr="695F009A">
        <w:t xml:space="preserve">bæði í leiðbeiningum Efnahags- og framfarastofnunarinnar (OECD) um eignastýringu lífeyrissjóða og í tilskipun Evrópuþingsins og ráðsins um starfsemi og eftirlit með stofnunum sem sjá um starfstengdan lífeyri (IORP). Skynsemisreglan </w:t>
      </w:r>
      <w:r w:rsidRPr="4BE36D2B">
        <w:t>var</w:t>
      </w:r>
      <w:r w:rsidRPr="695F009A">
        <w:t xml:space="preserve"> útfærð í fimm liðum í lögum nr. 127/1997.</w:t>
      </w:r>
    </w:p>
    <w:p w14:paraId="5E850516" w14:textId="03BCD6F4" w:rsidR="00CA76BF" w:rsidRDefault="00CA76BF" w:rsidP="00CA76BF">
      <w:r>
        <w:t xml:space="preserve">Til viðbótar voru gildandi hlutfallstakmarkanir á fjárfestingum lífeyrissjóða uppfærðar. </w:t>
      </w:r>
      <w:r w:rsidRPr="695F009A">
        <w:t xml:space="preserve">Leyfilegum fjárfestingum var skipt í </w:t>
      </w:r>
      <w:r w:rsidR="00742039">
        <w:t>sex</w:t>
      </w:r>
      <w:r w:rsidRPr="695F009A">
        <w:t xml:space="preserve"> eignaflokka, hver með sinn bókstaf (A-F)</w:t>
      </w:r>
      <w:r>
        <w:t>,</w:t>
      </w:r>
      <w:r w:rsidRPr="695F009A">
        <w:t xml:space="preserve"> og hugtakanotkun færð til samræmis við hugtakanotkun í annarri löggjöf þess tíma um eftirlitsskylda aðila á fjármálamarkaði.</w:t>
      </w:r>
    </w:p>
    <w:p w14:paraId="302103A5" w14:textId="77777777" w:rsidR="00CA76BF" w:rsidRDefault="00CA76BF" w:rsidP="00CA76BF">
      <w:r>
        <w:t xml:space="preserve">Fyrir árið 2016 voru ýmsar takmarkanir í lögum á fjárfestingum lífeyrissjóða, s.s. um magn tiltekinna fjárfestinga eða áhættu gagnvart einstaka útgefendum. Á þeim urðu nokkrar breytingar með nýjum lögum. </w:t>
      </w:r>
    </w:p>
    <w:p w14:paraId="7D95A4EF" w14:textId="77777777" w:rsidR="00CA76BF" w:rsidRPr="004800BC" w:rsidRDefault="00CA76BF" w:rsidP="00CA76BF">
      <w:r w:rsidRPr="004800BC">
        <w:t>Magnbundnum takmörkunum fjárfestinga í eignaflokkana var breytt frá því sem áður hafði gilt. Breytingarnar voru nokkuð margar og takmarkanirnar útfærðar með öðrum hætti en áður svo rakning á þeim öllum yrði löng og ítarleg. Hér eru þær helstu:</w:t>
      </w:r>
    </w:p>
    <w:p w14:paraId="70E5566A" w14:textId="77777777" w:rsidR="00CA76BF" w:rsidRDefault="00CA76BF" w:rsidP="00CA76BF">
      <w:r>
        <w:t>Viðmið magnbundinna takmarkana var breytt úr hlutfalli af hreinni eign sjóðs í hlutfall af heildareignum sjóðsins.</w:t>
      </w:r>
    </w:p>
    <w:p w14:paraId="2931086F" w14:textId="77777777" w:rsidR="00CA76BF" w:rsidRDefault="00CA76BF" w:rsidP="00CA76BF">
      <w:r>
        <w:t>Fallið var frá skilyrðum um skráningu ríkisskuldabréfa á markað.</w:t>
      </w:r>
    </w:p>
    <w:p w14:paraId="591D61C4" w14:textId="77777777" w:rsidR="00CA76BF" w:rsidRDefault="00CA76BF" w:rsidP="00CA76BF">
      <w:r>
        <w:t xml:space="preserve">Fallið var frá magnbundnum takmörkunum sem náðu til skuldabréfa útgefinna af eða með ábyrgð sveitarfélaga eða Lánasjóðs sveitarfélaga. </w:t>
      </w:r>
    </w:p>
    <w:p w14:paraId="573C7511" w14:textId="77777777" w:rsidR="00CA76BF" w:rsidRDefault="00CA76BF" w:rsidP="00CA76BF">
      <w:r>
        <w:t>Hámarki lífeyrissjóða til hlutabréfakaupa (60%) var ekki breytt en skuldabréf og peningamarkaðsskjöl félaga og sjóða um sameiginlega fjárfestingu voru felld undir sömu hámarksprósentu, auk afleiða. Hlutir og hlutdeildarskírteini verðbréfasjóða voru felld í annan flokk en annarra sjóða um sameiginlega fjárfestingu og heimil fjárfesting í þeim rýmri.</w:t>
      </w:r>
    </w:p>
    <w:p w14:paraId="4563F759" w14:textId="77777777" w:rsidR="00CA76BF" w:rsidRDefault="00CA76BF" w:rsidP="00CA76BF">
      <w:r w:rsidRPr="006E0CC8">
        <w:t xml:space="preserve">Sértryggð skuldabréf voru skilgreind sérstaklega sem </w:t>
      </w:r>
      <w:r>
        <w:t>leyfileg fjárfesting</w:t>
      </w:r>
      <w:r w:rsidRPr="006E0CC8">
        <w:t xml:space="preserve"> og þeim fundinn staður</w:t>
      </w:r>
      <w:r>
        <w:t xml:space="preserve"> í sama</w:t>
      </w:r>
      <w:r w:rsidRPr="006E0CC8">
        <w:t xml:space="preserve"> eignaflokki </w:t>
      </w:r>
      <w:r>
        <w:t>og</w:t>
      </w:r>
      <w:r w:rsidRPr="006E0CC8">
        <w:t xml:space="preserve"> fjármálagerning</w:t>
      </w:r>
      <w:r>
        <w:t>ar</w:t>
      </w:r>
      <w:r w:rsidRPr="006E0CC8">
        <w:t xml:space="preserve"> með ábyrgð sveitarfélaga og innlán í innlánsstofnunum. </w:t>
      </w:r>
    </w:p>
    <w:p w14:paraId="2714F9EF" w14:textId="77777777" w:rsidR="00CA76BF" w:rsidRPr="006C4D18" w:rsidRDefault="00CA76BF" w:rsidP="00CA76BF">
      <w:r>
        <w:t>Fallið var frá skilyrði þágildandi laga um að verðbréfasafni að baki fjárfestingu í sjóðum yrði skipt upp á fjárfestingaflokka laganna þar sem það hafði reynst lífeyrissjóðum erfitt að fá upplýsingar frá rekstrarfélögum sjóðanna um fjárfestingar á hverjum tíma.</w:t>
      </w:r>
    </w:p>
    <w:p w14:paraId="6AC50F2D" w14:textId="77777777" w:rsidR="00CA76BF" w:rsidRDefault="00CA76BF" w:rsidP="00CA76BF">
      <w:r>
        <w:t xml:space="preserve">Lífeyrissjóðir höfðu eingöngu mátt fjárfesta í íbúðarhúsnæði en fengu árið </w:t>
      </w:r>
      <w:r w:rsidRPr="00D76364">
        <w:t>2016</w:t>
      </w:r>
      <w:r>
        <w:t xml:space="preserve"> heimild til fjárfestinga í fasteignum almennt.</w:t>
      </w:r>
    </w:p>
    <w:p w14:paraId="24E42AE2" w14:textId="77777777" w:rsidR="00CA76BF" w:rsidRDefault="00CA76BF" w:rsidP="00CA76BF">
      <w:r>
        <w:t>Heimildir lífeyrissjóða til fjárfestinga í félagi eða sjóðum um sameiginlega fjárfestingu hafði verið 15% af hlutafé eða hlutdeildarskírteinum en varð 20%.</w:t>
      </w:r>
    </w:p>
    <w:p w14:paraId="604DEB8D" w14:textId="77777777" w:rsidR="00CA76BF" w:rsidRDefault="00CA76BF" w:rsidP="00CA76BF">
      <w:r>
        <w:t>Lífeyrissjóðum var óheimilt að eiga meira en 25% heildareigna í innlánum sama viðskiptabanka eða sparisjóðs en árið 2016 var því breytt þannig að sama hlutfallstakmörkun náði yfir bæði innlán og fjármálagerninga útgefna af viðkomandi banka.</w:t>
      </w:r>
    </w:p>
    <w:p w14:paraId="28527D0E" w14:textId="77777777" w:rsidR="00CA76BF" w:rsidRDefault="00CA76BF" w:rsidP="00CA76BF">
      <w:r w:rsidRPr="008130CD">
        <w:t>Reglum um hámark erlendra gjaldmiðla var ekki breytt en skilgreining</w:t>
      </w:r>
      <w:r>
        <w:t xml:space="preserve"> var uppfærð. Áður hafði verið kveðið á um að lífeyrissjóður skyldi takmarka áhættu í erlendum gjaldmiðlum í heild við 50% af hreinni eign sjóðsins. Með lagabreytingunni 2016 skyldu lífeyrissjóðir </w:t>
      </w:r>
      <w:r>
        <w:lastRenderedPageBreak/>
        <w:t>takmarka gjaldmiðláhættu með því að tryggja að lágmarki 50% af heildareignum sjóðsins væru í sama gjaldmiðli og skuldbindingar hans.</w:t>
      </w:r>
      <w:r w:rsidRPr="008130CD">
        <w:t xml:space="preserve"> </w:t>
      </w:r>
    </w:p>
    <w:p w14:paraId="7F944D16" w14:textId="77777777" w:rsidR="00CA76BF" w:rsidRDefault="00CA76BF" w:rsidP="00CA76BF">
      <w:r w:rsidRPr="008130CD">
        <w:t xml:space="preserve">Reglum um </w:t>
      </w:r>
      <w:r>
        <w:t>hámark</w:t>
      </w:r>
      <w:r w:rsidRPr="008130CD">
        <w:t xml:space="preserve"> óskráðra bréfa </w:t>
      </w:r>
      <w:r>
        <w:t xml:space="preserve">var ekki breytt </w:t>
      </w:r>
      <w:r w:rsidRPr="008130CD">
        <w:t xml:space="preserve">og </w:t>
      </w:r>
      <w:r>
        <w:t>ákvæði um mótaðilaáhættu var aðeins</w:t>
      </w:r>
      <w:r w:rsidRPr="00D76364">
        <w:t xml:space="preserve"> breytt</w:t>
      </w:r>
      <w:r>
        <w:t xml:space="preserve"> lítillega.</w:t>
      </w:r>
      <w:r w:rsidRPr="00D76364">
        <w:t xml:space="preserve"> </w:t>
      </w:r>
      <w:r>
        <w:t>Þ</w:t>
      </w:r>
      <w:r w:rsidRPr="00D76364">
        <w:t>ó</w:t>
      </w:r>
      <w:r>
        <w:t xml:space="preserve"> var aukin heimild vegna fjárfestinga í sértryggðum skuldabréfum sem höfðu áður ekki verið skilgreind í lögunum, sbr. það sem að framan segir.</w:t>
      </w:r>
    </w:p>
    <w:p w14:paraId="775E3E5F" w14:textId="77777777" w:rsidR="00CA76BF" w:rsidRPr="00D84875" w:rsidRDefault="00CA76BF" w:rsidP="00CA76BF">
      <w:r>
        <w:t>Fjallað var með ítarlegri hætti en áður um eftirlitskerfi með áhættu, áhættustýringu og áhættumat. Jafnframt var áskilið í lögum að Fjármálaeftirlitinu yrði greint frá því án tafar ef farið væri umfram hámarkshlutföll fjárfestinga.</w:t>
      </w:r>
      <w:r w:rsidRPr="00847471">
        <w:t xml:space="preserve"> </w:t>
      </w:r>
    </w:p>
    <w:p w14:paraId="758BCC9A" w14:textId="6C1F8824" w:rsidR="00CA76BF" w:rsidRPr="00FA453E" w:rsidRDefault="00FA453E" w:rsidP="00CA76BF">
      <w:pPr>
        <w:rPr>
          <w:i/>
          <w:iCs/>
        </w:rPr>
      </w:pPr>
      <w:r w:rsidRPr="00FA453E">
        <w:rPr>
          <w:i/>
          <w:iCs/>
        </w:rPr>
        <w:t>2</w:t>
      </w:r>
      <w:r w:rsidR="00CA76BF" w:rsidRPr="00FA453E">
        <w:rPr>
          <w:i/>
          <w:iCs/>
        </w:rPr>
        <w:t>. Breytingar á árinu 2023 sem varða ákvæði um gjaldmiðlaáhættu lífeyrissjóða</w:t>
      </w:r>
      <w:r w:rsidR="00517B26">
        <w:rPr>
          <w:i/>
          <w:iCs/>
        </w:rPr>
        <w:t>.</w:t>
      </w:r>
    </w:p>
    <w:p w14:paraId="0F352729" w14:textId="2AB226FE" w:rsidR="00CA76BF" w:rsidRPr="001E5B04" w:rsidRDefault="00CA76BF" w:rsidP="00CA76BF">
      <w:r w:rsidRPr="092C31F3">
        <w:t xml:space="preserve">Með lögum nr. 12/2023 var heimild lífeyrissjóða til fjárfestinga í erlendum gjaldmiðlum aukin þannig að </w:t>
      </w:r>
      <w:r w:rsidRPr="007404F4">
        <w:t xml:space="preserve">lágmark eigna lífeyrissjóðs í innlendum gjaldmiðli var lækkað úr 50% í 35%. Var þetta gert í árlegum skrefum á þann hátt að frá 2024 til 2027 lækkar lágmarkið um 1,5% á ári en eftir það um 1% þar til það nær 35% árið 2036. </w:t>
      </w:r>
      <w:r w:rsidRPr="001E5B04">
        <w:t> </w:t>
      </w:r>
      <w:r w:rsidR="00402877">
        <w:t>Jafnframt var lögfest að e</w:t>
      </w:r>
      <w:r w:rsidRPr="001E5B04">
        <w:t>igi síðar en árið 2027 sk</w:t>
      </w:r>
      <w:r w:rsidR="00281D07">
        <w:t>u</w:t>
      </w:r>
      <w:r w:rsidRPr="001E5B04">
        <w:t>l</w:t>
      </w:r>
      <w:r w:rsidR="00281D07">
        <w:t>i</w:t>
      </w:r>
      <w:r w:rsidRPr="001E5B04">
        <w:t xml:space="preserve"> ráðherra leggja mat á það hvort tilefni sé til að leggja til aðrar breytingar á hlutföllum lágmarksins.</w:t>
      </w:r>
    </w:p>
    <w:p w14:paraId="052C0313" w14:textId="77777777" w:rsidR="00CA76BF" w:rsidRDefault="00CA76BF" w:rsidP="00CA76BF">
      <w:r w:rsidRPr="007404F4">
        <w:t>Einnig var gerð sú breyting að lífeyrissjóður þurfi ekki að bregðast við ef gjaldmiðlaáhætta hans fer yfir leyfileg mörk sökum breytinga á gengi íslensku krónunnar eða verðhækkana á erlendum eignamörkuðum en á meðan það ástand varir verði honum óheimilt að auka við gjaldmiðlaáhættu sína með kaupum á eignum í erlendum gjaldmiðlum. Þá var sett það viðmið að lífeyrissjóður skuli eiga eignir í innlendum gjaldmiðli sem jafngilda væntum lífeyrisgreiðslum sameignarhluta næstu þriggja ára. Loks var lögfest að lífeyrissjóðum beri ekki skylda til uppgjörs afleiðusamninga, sem ekki eru skráðir á skipulegan markað, samdægurs á raunvirði. Þá var kveðið skýrar á um það að lífeyrissjóðum sé heimilt að gera afleiðusamninga sem geti myndað skuld á efnahagsreikningi þeirra.</w:t>
      </w:r>
    </w:p>
    <w:p w14:paraId="047EA5B4" w14:textId="27E3FEB8" w:rsidR="00CA76BF" w:rsidRPr="00B77340" w:rsidRDefault="00B77340" w:rsidP="00CA76BF">
      <w:pPr>
        <w:rPr>
          <w:i/>
          <w:iCs/>
        </w:rPr>
      </w:pPr>
      <w:r w:rsidRPr="00B77340">
        <w:rPr>
          <w:i/>
          <w:iCs/>
        </w:rPr>
        <w:t>3</w:t>
      </w:r>
      <w:r w:rsidR="00CA76BF" w:rsidRPr="00B77340">
        <w:rPr>
          <w:i/>
          <w:iCs/>
        </w:rPr>
        <w:t>. Heimild lífeyrissjóða til fjárfestinga í leigufélögum aukin árið 2024</w:t>
      </w:r>
      <w:r w:rsidR="00517B26">
        <w:rPr>
          <w:i/>
          <w:iCs/>
        </w:rPr>
        <w:t>.</w:t>
      </w:r>
    </w:p>
    <w:p w14:paraId="09A7ADE8" w14:textId="77777777" w:rsidR="00CA76BF" w:rsidRDefault="00CA76BF" w:rsidP="00CA76BF">
      <w:r w:rsidRPr="092C31F3">
        <w:t>Með lögum nr. 71/2024 var lögfest aukin heimild lífeyris</w:t>
      </w:r>
      <w:r>
        <w:t>s</w:t>
      </w:r>
      <w:r w:rsidRPr="092C31F3">
        <w:t xml:space="preserve">jóða til að binda tiltekið hlutfall heildareigna í leigufélögum. Breytingin felur í sér að lífeyrissjóðum er heimilt að </w:t>
      </w:r>
      <w:r w:rsidRPr="007404F4">
        <w:t>binda allt að 5% af eignasafni sínu í ákveðnum óskráðum fjármálagerningum útgefnum af fyrirtækjum sem hafa það að meginstarfsemi að leigja út íbúðarhúsnæði til einstaklinga til langs tíma. Til að liðka fyrir slíkum fjárfestingum lífeyrissjóða var hverjum og einum lífeyrissjóði jafnframt heimilað að eiga stærri hlut en 20% í slíkum félögum en þó ekki stærri en 50%.</w:t>
      </w:r>
      <w:r w:rsidRPr="092C31F3">
        <w:t xml:space="preserve"> </w:t>
      </w:r>
    </w:p>
    <w:p w14:paraId="00C743A6" w14:textId="28FBCFE7" w:rsidR="00CA76BF" w:rsidRPr="00B77340" w:rsidRDefault="00B77340" w:rsidP="00CA76BF">
      <w:pPr>
        <w:rPr>
          <w:i/>
          <w:iCs/>
        </w:rPr>
      </w:pPr>
      <w:r w:rsidRPr="00B77340">
        <w:rPr>
          <w:i/>
          <w:iCs/>
        </w:rPr>
        <w:t>4</w:t>
      </w:r>
      <w:r w:rsidR="00CA76BF" w:rsidRPr="00B77340">
        <w:rPr>
          <w:i/>
          <w:iCs/>
        </w:rPr>
        <w:t>. Heimildir lífeyrissjóða til fjárfestingar í nýsköpunarfyrirtækjum auknar árið 2024</w:t>
      </w:r>
      <w:r w:rsidR="00517B26">
        <w:rPr>
          <w:i/>
          <w:iCs/>
        </w:rPr>
        <w:t>.</w:t>
      </w:r>
    </w:p>
    <w:p w14:paraId="777AEAC7" w14:textId="77777777" w:rsidR="00CA76BF" w:rsidRDefault="00CA76BF" w:rsidP="00CA76BF">
      <w:r w:rsidRPr="48EED045">
        <w:t xml:space="preserve">Með lögum nr. 140/2024 var </w:t>
      </w:r>
      <w:r w:rsidRPr="007404F4">
        <w:t xml:space="preserve">heimild lífeyrissjóða til fjárfestinga í hlutdeildarskírteinum eða hlutum í hverjum sjóði um sameiginlega fjárfestingu </w:t>
      </w:r>
      <w:r w:rsidRPr="48EED045">
        <w:t xml:space="preserve">nýsköpunarfyrirtækjum </w:t>
      </w:r>
      <w:r w:rsidRPr="003A6696">
        <w:t xml:space="preserve">aukin úr 20% í 35%, þó með þeim takmörkunum að fjárfestingin færi aldrei umfram 1% heildareigna í hverjum sjóði. </w:t>
      </w:r>
    </w:p>
    <w:p w14:paraId="37A06B2B" w14:textId="77777777" w:rsidR="006D3B2E" w:rsidRPr="003A6696" w:rsidRDefault="006D3B2E" w:rsidP="00CA76BF"/>
    <w:p w14:paraId="418DCC54" w14:textId="40ED8FFD" w:rsidR="00CA76BF" w:rsidRPr="00305273" w:rsidRDefault="00305273" w:rsidP="004F16DE">
      <w:pPr>
        <w:pStyle w:val="Millifyrirsgn2"/>
        <w:rPr>
          <w:i w:val="0"/>
        </w:rPr>
      </w:pPr>
      <w:r w:rsidRPr="00305273">
        <w:t>2</w:t>
      </w:r>
      <w:r w:rsidR="00CA76BF" w:rsidRPr="00305273">
        <w:rPr>
          <w:i w:val="0"/>
        </w:rPr>
        <w:t>.</w:t>
      </w:r>
      <w:r w:rsidRPr="00305273">
        <w:rPr>
          <w:i w:val="0"/>
        </w:rPr>
        <w:t>3</w:t>
      </w:r>
      <w:r w:rsidR="00CA76BF" w:rsidRPr="00305273">
        <w:rPr>
          <w:i w:val="0"/>
        </w:rPr>
        <w:t xml:space="preserve"> Stærð lífeyrissjóðakerfisins og þróun helstu eignaflokka</w:t>
      </w:r>
      <w:r w:rsidR="00517B26">
        <w:rPr>
          <w:i w:val="0"/>
        </w:rPr>
        <w:t>.</w:t>
      </w:r>
    </w:p>
    <w:p w14:paraId="77E49771" w14:textId="61F5D25C" w:rsidR="00CA76BF" w:rsidRPr="00444041" w:rsidRDefault="00CA76BF" w:rsidP="00CA76BF">
      <w:r w:rsidRPr="695F009A">
        <w:t xml:space="preserve">Íslenska lífeyrissjóðakerfið </w:t>
      </w:r>
      <w:r w:rsidRPr="00D76364">
        <w:t>byggi</w:t>
      </w:r>
      <w:r>
        <w:t>st</w:t>
      </w:r>
      <w:r w:rsidRPr="695F009A">
        <w:t xml:space="preserve"> á sjóðsöfnun. Grunnurinn að því lífeyrissjóðakerfi sem  til staðar er í dag var lagður í kjarasamningum árið 1969. Með sjóðsöfnun leggja sjóðfélagar til hluta launa sem ætlað er að standa straum af lífeyri til æviloka í samtryggingu og séreign. Samtrygging felur í sér að lýðfræðileg áhætta og áhætta af ávöxtun eigna er borin af sjóðfélögum. Hún myndar aðra stoð lífeyriskerf</w:t>
      </w:r>
      <w:r>
        <w:t>i</w:t>
      </w:r>
      <w:r w:rsidRPr="695F009A">
        <w:t>sins, þar sem almann</w:t>
      </w:r>
      <w:r w:rsidR="00975468">
        <w:t>a</w:t>
      </w:r>
      <w:r w:rsidRPr="695F009A">
        <w:t>tryggingar teljast til fyrstu stoðar. Þriðja stoð kerfisins samanstendur af valfrjálsum viðbótarlífeyrissparnaði í séreign.</w:t>
      </w:r>
    </w:p>
    <w:p w14:paraId="1792BD98" w14:textId="77777777" w:rsidR="00CA76BF" w:rsidRPr="00444041" w:rsidRDefault="00CA76BF" w:rsidP="00CA76BF">
      <w:r w:rsidRPr="005451FC">
        <w:t>Á undanförnum áratugum hefur umhverfi lífeyrissjóða tekið breytingum og efnahagsáföll dunið yfir, með tilheyrandi áhrif</w:t>
      </w:r>
      <w:r>
        <w:t>um</w:t>
      </w:r>
      <w:r w:rsidRPr="005451FC">
        <w:t xml:space="preserve"> á ávöxtun lífeyrissparnaðar. Þrátt fyrir þessar áskoranir </w:t>
      </w:r>
      <w:r w:rsidRPr="005451FC">
        <w:lastRenderedPageBreak/>
        <w:t>hefur kerfið sýnt mikla seiglu. Frá aldamótum hefur lífeyrissparnaður í formi samtryggingar og séreignar fjórfaldast á föstu verðlagi og vaxið úr því að nema um 80% af vergri landsframleiðslu yfir í nærri tvöfalda landsframleiðslu. Þennan vöxt má rekja til hagfelldrar aldurs</w:t>
      </w:r>
      <w:r>
        <w:t>s</w:t>
      </w:r>
      <w:r w:rsidRPr="005451FC">
        <w:t>amsetningar, jákvæðrar ávöxtunar lífeyrissparnaðar, hækkun</w:t>
      </w:r>
      <w:r>
        <w:t>ar</w:t>
      </w:r>
      <w:r w:rsidRPr="005451FC">
        <w:t xml:space="preserve"> skylduiðgjalds í þrepum úr 10% í 15,5% og aukinnar þátttöku í viðbótarlífeyrissparnaði.</w:t>
      </w:r>
    </w:p>
    <w:p w14:paraId="7380274A" w14:textId="77777777" w:rsidR="00CA76BF" w:rsidRPr="00444041" w:rsidRDefault="00CA76BF" w:rsidP="00CA76BF">
      <w:r w:rsidRPr="00D76364">
        <w:rPr>
          <w:noProof/>
        </w:rPr>
        <w:drawing>
          <wp:inline distT="0" distB="0" distL="0" distR="0" wp14:anchorId="5308935D" wp14:editId="0B0A4036">
            <wp:extent cx="5040000" cy="3240000"/>
            <wp:effectExtent l="0" t="0" r="8255" b="17780"/>
            <wp:docPr id="1863150587" name="Chart 1">
              <a:extLst xmlns:a="http://schemas.openxmlformats.org/drawingml/2006/main">
                <a:ext uri="{FF2B5EF4-FFF2-40B4-BE49-F238E27FC236}">
                  <a16:creationId xmlns:a16="http://schemas.microsoft.com/office/drawing/2014/main" id="{1EF4CF49-674B-463B-8CE8-C9511FBA03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6702F22" w14:textId="77777777" w:rsidR="00CA76BF" w:rsidRDefault="00CA76BF" w:rsidP="00CA76BF">
      <w:r w:rsidRPr="005451FC">
        <w:t>Í árslok 2024 nam lífeyrissparnaður landsmanna um 8.800 ma.kr</w:t>
      </w:r>
      <w:r w:rsidRPr="00D76364">
        <w:t xml:space="preserve">. </w:t>
      </w:r>
      <w:r>
        <w:t>Þ</w:t>
      </w:r>
      <w:r w:rsidRPr="00D76364">
        <w:t>ar</w:t>
      </w:r>
      <w:r w:rsidRPr="005451FC">
        <w:t xml:space="preserve"> af voru 7.300 ma.kr. í samtryggingardeildum og 1.500 ma.kr. í séreignardeildum. </w:t>
      </w:r>
      <w:r>
        <w:t>L</w:t>
      </w:r>
      <w:r w:rsidRPr="005451FC">
        <w:t xml:space="preserve">ífeyrissjóðirnir </w:t>
      </w:r>
      <w:r>
        <w:t xml:space="preserve">eru </w:t>
      </w:r>
      <w:r w:rsidRPr="7608BF42">
        <w:t xml:space="preserve">ráðandi </w:t>
      </w:r>
      <w:r w:rsidRPr="005451FC">
        <w:t>afl á fjármálamarkaði og stærri en innlenda bankakerfið og vátryggingafélögin samanlagt</w:t>
      </w:r>
      <w:r>
        <w:t xml:space="preserve"> eins og mynd 2 sýnir</w:t>
      </w:r>
      <w:r w:rsidRPr="005451FC">
        <w:t>. Lífeyrissjóðir eru umsvifamiklir á íslenskum verðbréfamarkaði og fara samanlagt með um 30% af markaðsvirði hlutabréfa sem skráð eru á aðalmarkaði Kauphallarinnar og 60% innlendra ríkisverðbréfa.</w:t>
      </w:r>
    </w:p>
    <w:p w14:paraId="68CCD888" w14:textId="77777777" w:rsidR="00CA76BF" w:rsidRDefault="00CA76BF" w:rsidP="00CA76BF">
      <w:r w:rsidRPr="00D76364">
        <w:rPr>
          <w:noProof/>
        </w:rPr>
        <w:lastRenderedPageBreak/>
        <w:drawing>
          <wp:inline distT="0" distB="0" distL="0" distR="0" wp14:anchorId="234E20E6" wp14:editId="0750E3C3">
            <wp:extent cx="5040000" cy="3240000"/>
            <wp:effectExtent l="0" t="0" r="8255" b="17780"/>
            <wp:docPr id="1262848281" name="Chart 1">
              <a:extLst xmlns:a="http://schemas.openxmlformats.org/drawingml/2006/main">
                <a:ext uri="{FF2B5EF4-FFF2-40B4-BE49-F238E27FC236}">
                  <a16:creationId xmlns:a16="http://schemas.microsoft.com/office/drawing/2014/main" id="{CA39C399-3F71-0E3B-0E49-8FDC00C106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9BC78E" w14:textId="77777777" w:rsidR="00CA76BF" w:rsidRPr="003C0BC2" w:rsidRDefault="00CA76BF" w:rsidP="00CA76BF"/>
    <w:p w14:paraId="14434684" w14:textId="77777777" w:rsidR="00CA76BF" w:rsidRPr="00444041" w:rsidRDefault="00CA76BF" w:rsidP="00CA76BF">
      <w:r w:rsidRPr="00FA387D">
        <w:t xml:space="preserve">Ef litið er til stærðar lífeyriskerfisins sem </w:t>
      </w:r>
      <w:r w:rsidRPr="7608BF42">
        <w:t>hlutfalls</w:t>
      </w:r>
      <w:r w:rsidRPr="00FA387D">
        <w:t xml:space="preserve"> af vergri landsframleiðslu raðar Ísland sér í þriðja sæti meðal OECD ríkja á eftir Danmörku og Hollandi. </w:t>
      </w:r>
      <w:r w:rsidRPr="00D76364">
        <w:t>Sérstaða lífeyriskerf</w:t>
      </w:r>
      <w:r>
        <w:t>i</w:t>
      </w:r>
      <w:r w:rsidRPr="00D76364">
        <w:t>sins</w:t>
      </w:r>
      <w:r w:rsidRPr="00FA387D">
        <w:t xml:space="preserve"> hér á landi felst í algjörri skylduaðild að samtryggingardeildum og þeirri staðreynd að meginhluti ellilífeyris kemur frá lífeyrissjóðum en ekki hinu opinbera. </w:t>
      </w:r>
      <w:r w:rsidRPr="00D76364">
        <w:t>Þá byggi</w:t>
      </w:r>
      <w:r>
        <w:t>st</w:t>
      </w:r>
      <w:r w:rsidRPr="00FA387D">
        <w:t xml:space="preserve"> lífeyrissjóðakerfið á sjóðsöfnun en í flestum öðrum ríkjum er </w:t>
      </w:r>
      <w:r w:rsidRPr="00D76364">
        <w:t>meginuppistaða</w:t>
      </w:r>
      <w:r w:rsidRPr="00FA387D">
        <w:t xml:space="preserve"> lífeyrisgreiðslna frá gegnumstreymi</w:t>
      </w:r>
      <w:r>
        <w:t>s</w:t>
      </w:r>
      <w:r w:rsidRPr="00FA387D">
        <w:t>kerfi hins opinbera sem fjármagnað er með sköttum.</w:t>
      </w:r>
    </w:p>
    <w:p w14:paraId="73F4E4B5" w14:textId="77777777" w:rsidR="00CA76BF" w:rsidRPr="00444041" w:rsidRDefault="00CA76BF" w:rsidP="00CA76BF">
      <w:r w:rsidRPr="00FA387D">
        <w:t>Breytt fjárfestingaumhverfi hefur sett sitt mark á fjárfestingar lífeyrissjóða. Þegar lög um lífeyrissjóði tóku gildi árið 1997 voru verðtryggðir vextir á bilinu 5-6%. Síðan þá hefur langtímaleitni vaxta verið niðurhallandi bæði innanlands og á alþjóðavísu. Þetta hefur kallað á stefnubreytingu og hafa fjárfestingar lífeyrissjóða þróast frá því að vera að mestu í innlendum skuldabréfum yfir í fjölbreyttari eignaflokka með áherslu á áhættudreifingu og ávöxtun til lengri tíma</w:t>
      </w:r>
      <w:r>
        <w:t xml:space="preserve"> eins og sjá má á mynd 3</w:t>
      </w:r>
      <w:r w:rsidRPr="00FA387D">
        <w:t>. Samhliða þessum breytingum hafa orðið meiri skammtímasveiflur í ávöxtun.</w:t>
      </w:r>
    </w:p>
    <w:p w14:paraId="14F6DAC9" w14:textId="77777777" w:rsidR="00CA76BF" w:rsidRPr="00444041" w:rsidRDefault="00CA76BF" w:rsidP="00CA76BF">
      <w:r w:rsidRPr="00D76364">
        <w:rPr>
          <w:noProof/>
        </w:rPr>
        <w:lastRenderedPageBreak/>
        <w:drawing>
          <wp:inline distT="0" distB="0" distL="0" distR="0" wp14:anchorId="453E58E7" wp14:editId="03E55E14">
            <wp:extent cx="5040000" cy="3240000"/>
            <wp:effectExtent l="0" t="0" r="8255" b="17780"/>
            <wp:docPr id="391899161" name="Chart 1">
              <a:extLst xmlns:a="http://schemas.openxmlformats.org/drawingml/2006/main">
                <a:ext uri="{FF2B5EF4-FFF2-40B4-BE49-F238E27FC236}">
                  <a16:creationId xmlns:a16="http://schemas.microsoft.com/office/drawing/2014/main" id="{C9A6835A-0542-6DFC-C491-462D51F302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33FB34" w14:textId="77777777" w:rsidR="00CA76BF" w:rsidRPr="00444041" w:rsidRDefault="00CA76BF" w:rsidP="00CA76BF">
      <w:r w:rsidRPr="695F009A">
        <w:t xml:space="preserve">Frá aldamótum hefur vægi hlutabréfa og hlutdeildarskírteina hækkað úr tæpum 40% í nær 60% af heildareignum. Framan af var meirihluti fjárfestinga lífeyrissjóða í íslenskum ríkistryggðum skuldabréfum og sjóðfélagalánum. Vægi hlutabréfa, hlutdeildarskírteina og erlendra fjárfestinga hefur hins vegar aukist undanfarna áratugi samhliða vaxandi fjárfestingarþörf, fjölbreyttari fjárfestingarkostum, rýmkun fjárfestingarheimilda og lækkun vaxta. Fjárfestingar lífeyrissjóða í erlendum verðbréfum hófust í kjölfar gildistöku EES-samningsins árið 1994. Á skömmum tíma jókst vægi erlendra eigna hratt og var um 20% um aldamótin. Fram til ársins 2009 hækkaði hlutfallið í um 30%, en tók síðan að lækka og fór um tíma í 21% </w:t>
      </w:r>
      <w:r>
        <w:t xml:space="preserve">meðan </w:t>
      </w:r>
      <w:r w:rsidRPr="695F009A">
        <w:t xml:space="preserve">fjármagnshöft voru </w:t>
      </w:r>
      <w:r>
        <w:t>við lýði</w:t>
      </w:r>
      <w:r w:rsidRPr="695F009A">
        <w:t>. Þessa lækkun má einnig rekja til samkomulags sem lífeyrissjóð</w:t>
      </w:r>
      <w:r>
        <w:t>i</w:t>
      </w:r>
      <w:r w:rsidRPr="695F009A">
        <w:t>r gerðu við Seðlabanka Íslands um kaup á íbúðabréfum að nafnvirði 90 ma.kr. gegn greiðslu í evrum um mitt ár 2010. Frá afnámi fjármagnshafta árið 2017 hefur hlutfall erlendra eigna aukist verulega og nemur nú rúmlega 40% af heildareignum lífeyrissjóða, í samtryggingu og séreign. Erlend verðbréfaeign hefur í gegnum árin að mestu leyti verið í erlendum</w:t>
      </w:r>
      <w:r>
        <w:t xml:space="preserve"> sjóðum</w:t>
      </w:r>
      <w:r w:rsidRPr="695F009A">
        <w:t>.</w:t>
      </w:r>
    </w:p>
    <w:p w14:paraId="2E38DDD9" w14:textId="77777777" w:rsidR="00CA76BF" w:rsidRDefault="00CA76BF" w:rsidP="00CA76BF">
      <w:r w:rsidRPr="00866970">
        <w:t>Í alþjóðlegum samanburði er eignasamsetning lífeyrissjóða áþekk því sem þekkist í öðrum OECD-ríkjum</w:t>
      </w:r>
      <w:r>
        <w:t xml:space="preserve"> eins og sjá má á mynd 4</w:t>
      </w:r>
      <w:r w:rsidRPr="00866970">
        <w:t>. Ef eingöngu er litið til Norðurlandanna þá er vægi hlutabréfa og sjóða að meðaltali 49% en 41% hér á landi. Hæst er það í Svíþjóð um 81% en lægst í Danmörku 24%.</w:t>
      </w:r>
    </w:p>
    <w:p w14:paraId="56A38D25" w14:textId="77777777" w:rsidR="00CA76BF" w:rsidRDefault="00CA76BF" w:rsidP="00CA76BF">
      <w:r w:rsidRPr="00D76364">
        <w:rPr>
          <w:noProof/>
        </w:rPr>
        <w:lastRenderedPageBreak/>
        <w:drawing>
          <wp:inline distT="0" distB="0" distL="0" distR="0" wp14:anchorId="1156D5AC" wp14:editId="4B4FE7FF">
            <wp:extent cx="5040000" cy="3240000"/>
            <wp:effectExtent l="0" t="0" r="8255" b="17780"/>
            <wp:docPr id="1112669866" name="Chart 1">
              <a:extLst xmlns:a="http://schemas.openxmlformats.org/drawingml/2006/main">
                <a:ext uri="{FF2B5EF4-FFF2-40B4-BE49-F238E27FC236}">
                  <a16:creationId xmlns:a16="http://schemas.microsoft.com/office/drawing/2014/main" id="{5A9F2DC5-B07A-4349-BC66-E749357903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B6AB0F0" w14:textId="77777777" w:rsidR="00CA76BF" w:rsidRPr="00CA76BF" w:rsidRDefault="00CA76BF" w:rsidP="00CA76BF"/>
    <w:p w14:paraId="2712C1A1" w14:textId="70E5FEF6" w:rsidR="00CA76BF" w:rsidRPr="006D3B2E" w:rsidRDefault="006D3B2E" w:rsidP="004F16DE">
      <w:pPr>
        <w:pStyle w:val="Millifyrirsgn2"/>
        <w:rPr>
          <w:i w:val="0"/>
        </w:rPr>
      </w:pPr>
      <w:r w:rsidRPr="006D3B2E">
        <w:t>2</w:t>
      </w:r>
      <w:r w:rsidR="00CA76BF" w:rsidRPr="006D3B2E">
        <w:rPr>
          <w:i w:val="0"/>
        </w:rPr>
        <w:t>.</w:t>
      </w:r>
      <w:r w:rsidRPr="006D3B2E">
        <w:rPr>
          <w:i w:val="0"/>
        </w:rPr>
        <w:t>4</w:t>
      </w:r>
      <w:r w:rsidR="00CA76BF" w:rsidRPr="006D3B2E">
        <w:rPr>
          <w:i w:val="0"/>
        </w:rPr>
        <w:t xml:space="preserve"> Grænbók um lífeyrismál</w:t>
      </w:r>
      <w:r w:rsidR="00517B26">
        <w:rPr>
          <w:i w:val="0"/>
        </w:rPr>
        <w:t>.</w:t>
      </w:r>
    </w:p>
    <w:p w14:paraId="757C957E" w14:textId="24B3954A" w:rsidR="00CA76BF" w:rsidRDefault="00CA76BF" w:rsidP="00331438">
      <w:r w:rsidRPr="5A66189F">
        <w:t>Í mars 2023 skipaði</w:t>
      </w:r>
      <w:r w:rsidRPr="00D76364">
        <w:t xml:space="preserve"> </w:t>
      </w:r>
      <w:r>
        <w:t>þáverandi</w:t>
      </w:r>
      <w:r w:rsidRPr="5A66189F">
        <w:t xml:space="preserve"> fjármála- og efnahagsráðherra starfshóp sem falið var það verkefni að vinna grænbók um lífeyriskerfið. Um tilurð verkefnisins og skipan starfshópsins er fjallað í skipunarbréfi hópsins sem birt var með </w:t>
      </w:r>
      <w:hyperlink r:id="rId14">
        <w:r w:rsidRPr="00CA76BF">
          <w:t>fréttatilkynningu</w:t>
        </w:r>
      </w:hyperlink>
      <w:r w:rsidRPr="00CA76BF">
        <w:t xml:space="preserve"> </w:t>
      </w:r>
      <w:r w:rsidRPr="5A66189F">
        <w:t>ráðuneytisins á vefsíðu þess 24. mars 2023.</w:t>
      </w:r>
      <w:r w:rsidR="00331438">
        <w:t xml:space="preserve"> </w:t>
      </w:r>
      <w:r w:rsidRPr="00D76364">
        <w:t>Vinnu við grænbók</w:t>
      </w:r>
      <w:r w:rsidR="0085247D">
        <w:t>ina</w:t>
      </w:r>
      <w:r w:rsidRPr="00D76364">
        <w:t xml:space="preserve"> er ekki lokið.</w:t>
      </w:r>
    </w:p>
    <w:p w14:paraId="1E94B187" w14:textId="77777777" w:rsidR="006D3B2E" w:rsidRPr="00444041" w:rsidRDefault="006D3B2E" w:rsidP="00331438"/>
    <w:p w14:paraId="477FFA5C" w14:textId="0D7A294B" w:rsidR="00CA76BF" w:rsidRPr="006D3B2E" w:rsidRDefault="006D3B2E" w:rsidP="004F16DE">
      <w:pPr>
        <w:pStyle w:val="Millifyrirsgn2"/>
        <w:rPr>
          <w:i w:val="0"/>
        </w:rPr>
      </w:pPr>
      <w:r w:rsidRPr="006D3B2E">
        <w:t>2</w:t>
      </w:r>
      <w:r w:rsidR="00CA76BF" w:rsidRPr="006D3B2E">
        <w:rPr>
          <w:i w:val="0"/>
        </w:rPr>
        <w:t>.</w:t>
      </w:r>
      <w:r w:rsidRPr="006D3B2E">
        <w:rPr>
          <w:i w:val="0"/>
        </w:rPr>
        <w:t>5</w:t>
      </w:r>
      <w:r w:rsidR="00CA76BF" w:rsidRPr="006D3B2E">
        <w:rPr>
          <w:i w:val="0"/>
        </w:rPr>
        <w:t xml:space="preserve"> Samantekt</w:t>
      </w:r>
      <w:r w:rsidR="00517B26">
        <w:rPr>
          <w:i w:val="0"/>
        </w:rPr>
        <w:t>.</w:t>
      </w:r>
    </w:p>
    <w:p w14:paraId="13B4715E" w14:textId="77777777" w:rsidR="00CA76BF" w:rsidRPr="00444041" w:rsidRDefault="00CA76BF" w:rsidP="00CA76BF">
      <w:r w:rsidRPr="56FA3569">
        <w:t xml:space="preserve">Á þeim tíma sem liðinn er frá því að fyrsta heildarlöggjöfin var sett um starfsemi lífeyrissjóða á Íslandi árið 1997 hefur orðið mikil þróun á eignasöfnum lífeyrissjóða, regluverki og þekkingu og færni sjóðanna til umsýslu eignasafna. </w:t>
      </w:r>
    </w:p>
    <w:p w14:paraId="0C6DE3BD" w14:textId="77777777" w:rsidR="00CA76BF" w:rsidRPr="00444041" w:rsidRDefault="00CA76BF" w:rsidP="00CA76BF">
      <w:r w:rsidRPr="56FA3569">
        <w:t xml:space="preserve">Sem dæmi má nefna að eignir lífeyrissjóða hafa vaxið úr liðlega 1.000 </w:t>
      </w:r>
      <w:r>
        <w:t>mö.</w:t>
      </w:r>
      <w:r w:rsidRPr="56FA3569">
        <w:t xml:space="preserve">kr. árið 1997 í um 8.700 </w:t>
      </w:r>
      <w:r>
        <w:t>ma.kr.</w:t>
      </w:r>
      <w:r w:rsidRPr="56FA3569">
        <w:t xml:space="preserve"> m.v. október 2025. Þá hafa eignir sjóðanna sem hlutfall af vergri landsframleiðslu farið úr um 65% árið 1997 í um 180% árið 2024. Á tímabilinu hafa verið gerðar fjölmargar breytingar á ákvæðum </w:t>
      </w:r>
      <w:r w:rsidRPr="00D76364">
        <w:t>laga</w:t>
      </w:r>
      <w:r w:rsidRPr="56FA3569">
        <w:t xml:space="preserve"> um fjárfestingarheimildir lífeyrissjóða. Margar þeirra hafa verið gerðar til að bregðast við sértækum aðstæðum</w:t>
      </w:r>
      <w:r>
        <w:t>,</w:t>
      </w:r>
      <w:r w:rsidRPr="56FA3569">
        <w:t xml:space="preserve"> svo sem ágöllum í lögunum eða til að opna fyrir möguleika á fjárfestingum í tilteknum tegundum fjármálagerninga. Árið 2016 voru lögfestar umfangsmiklar breytingar á VII</w:t>
      </w:r>
      <w:r>
        <w:t>.</w:t>
      </w:r>
      <w:r w:rsidRPr="56FA3569">
        <w:t xml:space="preserve"> kafla laganna sem varða fjárfestingarheimildir lífeyrissjóða eins og nánar er rakið í skjali þessu. Þær fólu meðal annars í sér lögfestingu svokallaðrar skynsemisreglu við fjárfestingarákvarðanir og stýringu eignasafna lífeyrissjóða. Eftir sem áður var haldið fast í það fyrirkomulag að hafa í lögum nokkuð ítarlegar reglur um magntakmarkanir. </w:t>
      </w:r>
    </w:p>
    <w:p w14:paraId="6EC6932A" w14:textId="2C7A369A" w:rsidR="00CA76BF" w:rsidRPr="00444041" w:rsidRDefault="00CA76BF" w:rsidP="00CA76BF">
      <w:bookmarkStart w:id="2" w:name="_Hlk221535030"/>
      <w:r>
        <w:t>Á síðasta áratug hefur byggst upp reynsla af beitingu þeirra fjárfestingaheimilda sem settar voru í lög árið 2016 og í ljós komið annmarkar sem þarft þykir að taka á</w:t>
      </w:r>
      <w:r w:rsidRPr="00D76364">
        <w:t>.</w:t>
      </w:r>
      <w:r>
        <w:t xml:space="preserve"> Þá hefur skynsemisregla fest sig í sessi á alþjóðavísu sem ákjósanlegt viðmið í fjárfestingum </w:t>
      </w:r>
      <w:r>
        <w:lastRenderedPageBreak/>
        <w:t xml:space="preserve">lífeyrissjóða. Á síðustu misserum hefur kastljósið færst að mikilvægi þess að magntakmarkanir dragi ekki úr möguleikum lífeyrissjóða til að beita skynsemisreglunni. Því þykir tímabært að gera </w:t>
      </w:r>
      <w:r w:rsidRPr="00D76364">
        <w:t>þær</w:t>
      </w:r>
      <w:r>
        <w:t xml:space="preserve"> breytingar á lögum nr. </w:t>
      </w:r>
      <w:r w:rsidRPr="23B6E9CD">
        <w:t>129</w:t>
      </w:r>
      <w:r w:rsidRPr="00D76364">
        <w:t xml:space="preserve">/1997 sem hér eru lagðar til og nánar er fjallað um í </w:t>
      </w:r>
      <w:bookmarkEnd w:id="2"/>
      <w:r w:rsidR="00BA4A66">
        <w:t>3. kafla.</w:t>
      </w:r>
    </w:p>
    <w:p w14:paraId="0FD764B0" w14:textId="77777777" w:rsidR="00D0740D" w:rsidRDefault="00D0740D" w:rsidP="00D0740D"/>
    <w:p w14:paraId="553E7221" w14:textId="77777777" w:rsidR="00D0740D" w:rsidRDefault="00E71F27" w:rsidP="00D0740D">
      <w:pPr>
        <w:pStyle w:val="Millifyrirsgn1"/>
      </w:pPr>
      <w:r>
        <w:t>3</w:t>
      </w:r>
      <w:r w:rsidR="00D0740D">
        <w:t xml:space="preserve">. Meginefni frumvarpsins. </w:t>
      </w:r>
    </w:p>
    <w:p w14:paraId="5AD70FE5" w14:textId="0F19DE1E" w:rsidR="00FE5A71" w:rsidRPr="00FE5A71" w:rsidRDefault="00FE5A71" w:rsidP="00BB0604">
      <w:r w:rsidRPr="00FE5A71">
        <w:t>​</w:t>
      </w:r>
      <w:r w:rsidR="00BB0604">
        <w:t>Lagðar eru til</w:t>
      </w:r>
      <w:r w:rsidRPr="00FE5A71">
        <w:t xml:space="preserve"> breytingar á lagaákvæðum sem gilda um þær magntakmarkanir sem lífeyrissjóðum er gert að fylgja við fjárfestingar. Með breytingunum er ekki ætlunin að kollvarpa því fyrirkomulagi sem komið var á með lögum árið 2016 heldur gera</w:t>
      </w:r>
      <w:r w:rsidR="00BB0604">
        <w:t xml:space="preserve"> </w:t>
      </w:r>
      <w:r w:rsidRPr="00FE5A71">
        <w:t xml:space="preserve">á því æskilegar umbætur með því að rýmka nokkrar takmarkanir, einfalda framsetningu og sníða af vankanta sem komið hafa fram í framkvæmd. Öll </w:t>
      </w:r>
      <w:proofErr w:type="spellStart"/>
      <w:r w:rsidRPr="00FE5A71">
        <w:t>rýmkun</w:t>
      </w:r>
      <w:proofErr w:type="spellEnd"/>
      <w:r w:rsidRPr="00FE5A71">
        <w:t> á lögbundnum takmörkunum felur í sér að meginreglan sem nefnd hefur verið skynsemisregla, og fram kemur í 36. gr. laga um skyldutryggingu lífeyrisréttinda og starfsemi lífeyrissjóða</w:t>
      </w:r>
      <w:r w:rsidR="00BB0604">
        <w:t>,</w:t>
      </w:r>
      <w:r w:rsidRPr="00FE5A71">
        <w:t xml:space="preserve"> fær meira vægi í starfsemi sjóðanna. </w:t>
      </w:r>
      <w:r w:rsidR="5F72BA7C">
        <w:t xml:space="preserve"> </w:t>
      </w:r>
      <w:r w:rsidRPr="00FE5A71">
        <w:t xml:space="preserve">Í skynsemisreglunni felst krafa um að fjárfestingarstefna lífeyrissjóða sé sett fram af ábyrgð og hún taki mið af skuldbindingum og hlutverki hvers lífeyrissjóðs. Jafnframt </w:t>
      </w:r>
      <w:r>
        <w:t>er</w:t>
      </w:r>
      <w:r w:rsidR="1C7775FE">
        <w:t xml:space="preserve">u lagðar </w:t>
      </w:r>
      <w:r w:rsidRPr="00FE5A71">
        <w:t>til breytingar sem varða rekstur, innra eftirlit og innri endurskoðun</w:t>
      </w:r>
      <w:r w:rsidR="3B4589AA">
        <w:t xml:space="preserve"> lífeyrissjóða</w:t>
      </w:r>
      <w:r w:rsidRPr="00FE5A71">
        <w:t>. </w:t>
      </w:r>
    </w:p>
    <w:p w14:paraId="0789A05B" w14:textId="3F9068B8" w:rsidR="00FE5A71" w:rsidRPr="00FE5A71" w:rsidRDefault="00FE5A71" w:rsidP="00BB0604">
      <w:r w:rsidRPr="00FE5A71">
        <w:t>​</w:t>
      </w:r>
      <w:r w:rsidR="00BB0604">
        <w:t>Eftirfarandi eru helstu</w:t>
      </w:r>
      <w:r w:rsidRPr="00FE5A71">
        <w:t> breytingar sem varða magntakmarkanir: </w:t>
      </w:r>
    </w:p>
    <w:p w14:paraId="45D98692" w14:textId="185B89E8" w:rsidR="00FE5A71" w:rsidRPr="00BB0604" w:rsidRDefault="00FE5A71" w:rsidP="00BB0604">
      <w:pPr>
        <w:pStyle w:val="Mlsgreinlista"/>
        <w:numPr>
          <w:ilvl w:val="0"/>
          <w:numId w:val="44"/>
        </w:numPr>
      </w:pPr>
      <w:r w:rsidRPr="00FE5A71">
        <w:t>​</w:t>
      </w:r>
      <w:r w:rsidR="00C2056D">
        <w:t>Fallið verður</w:t>
      </w:r>
      <w:r w:rsidRPr="00FE5A71">
        <w:t xml:space="preserve"> frá því að samanlagt vægi skuldabréfa</w:t>
      </w:r>
      <w:r w:rsidR="00B6029E">
        <w:t xml:space="preserve">, </w:t>
      </w:r>
      <w:r w:rsidRPr="00FE5A71">
        <w:t>peningamarkaðsskjala,</w:t>
      </w:r>
      <w:r w:rsidR="008B7D2F" w:rsidRPr="008B7D2F">
        <w:t xml:space="preserve"> </w:t>
      </w:r>
      <w:r w:rsidR="008B7D2F" w:rsidRPr="00FE5A71">
        <w:t>hlutabréfa</w:t>
      </w:r>
      <w:r w:rsidR="00B6029E">
        <w:t xml:space="preserve"> og</w:t>
      </w:r>
      <w:r w:rsidR="008B7D2F">
        <w:t xml:space="preserve"> hlutdeildarskírteina </w:t>
      </w:r>
      <w:r w:rsidR="00B6029E">
        <w:t xml:space="preserve">félaga og </w:t>
      </w:r>
      <w:r w:rsidR="008B7D2F">
        <w:t>sjóða um sameiginlega fjárfestingu</w:t>
      </w:r>
      <w:r w:rsidRPr="00FE5A71">
        <w:t xml:space="preserve"> auk fasteigna og afleiðna megi ekki fara umfram 60% af heildareignum lífeyrissjóða. Það þykir ekki falla vel að skynsemisreglunni að skylda alla lífeyrissjóði til að binda a.m.k. 40% eigna sinna í öðrum eignaflokkum en þeim sem að framan eru taldir.</w:t>
      </w:r>
    </w:p>
    <w:p w14:paraId="450C5BC4" w14:textId="77777777" w:rsidR="00FE5A71" w:rsidRDefault="00FE5A71" w:rsidP="00BB0604">
      <w:pPr>
        <w:pStyle w:val="Mlsgreinlista"/>
        <w:numPr>
          <w:ilvl w:val="0"/>
          <w:numId w:val="44"/>
        </w:numPr>
      </w:pPr>
      <w:r w:rsidRPr="00FE5A71">
        <w:t>​Að mótaðilatakmörkun fjárfestinga í verðbréfasjóðum verði afnumin þar sem verðbréfasjóðir hafa nú þegar stífari mótaðilatakmörkun í sínu regluverki en gildir um lífeyrissjóði.  </w:t>
      </w:r>
      <w:r w:rsidRPr="00BB0604">
        <w:t> </w:t>
      </w:r>
    </w:p>
    <w:p w14:paraId="1776C2D4" w14:textId="7F7C4794" w:rsidR="00CE69A2" w:rsidRPr="00BB0604" w:rsidRDefault="00CE69A2" w:rsidP="00BB0604">
      <w:pPr>
        <w:pStyle w:val="Mlsgreinlista"/>
        <w:numPr>
          <w:ilvl w:val="0"/>
          <w:numId w:val="44"/>
        </w:numPr>
      </w:pPr>
      <w:r>
        <w:t xml:space="preserve">Að </w:t>
      </w:r>
      <w:r w:rsidR="00BA57E2">
        <w:t xml:space="preserve">rýmkuð verði heimild til fjárfestinga í verðbréfasjóðum sem </w:t>
      </w:r>
      <w:r w:rsidR="00CD6AFC">
        <w:t>eiga nánast eingöngu eignir sem taldar eru mjög öruggar.</w:t>
      </w:r>
    </w:p>
    <w:p w14:paraId="0629480C" w14:textId="77777777" w:rsidR="00FE5A71" w:rsidRPr="00BB0604" w:rsidRDefault="00FE5A71" w:rsidP="00BB0604">
      <w:pPr>
        <w:pStyle w:val="Mlsgreinlista"/>
        <w:numPr>
          <w:ilvl w:val="0"/>
          <w:numId w:val="44"/>
        </w:numPr>
      </w:pPr>
      <w:r w:rsidRPr="00FE5A71">
        <w:t xml:space="preserve">​Að heimildir til fjárfestinga í óskráðum </w:t>
      </w:r>
      <w:proofErr w:type="spellStart"/>
      <w:r w:rsidRPr="00FE5A71">
        <w:t>fjármálagerningum</w:t>
      </w:r>
      <w:proofErr w:type="spellEnd"/>
      <w:r w:rsidRPr="00FE5A71">
        <w:t xml:space="preserve"> verði </w:t>
      </w:r>
      <w:proofErr w:type="spellStart"/>
      <w:r w:rsidRPr="00FE5A71">
        <w:t>rýmkaðar</w:t>
      </w:r>
      <w:proofErr w:type="spellEnd"/>
      <w:r w:rsidRPr="00FE5A71">
        <w:t> þannig að lífeyrissjóðir, sem þolinmóðir langtímafjárfestar, hafi aukið svigrúm til að beita skynsemisreglunni við ákvörðun á hlutfalli óskráðra eigna í fjárfestingum. Samhliða auknum heimildum til fjárfestinga í óskráðum bréfum bætist við ákvæði um lausafjárstýringu lífeyrissjóða. Áfram verði óheimilt fyrir lífeyrissjóði að eiga meira en 20% eignarhlutdeild í einstökum félögum sem skráð eru á skipulegum verðbréfamarkaði enda geta gilt þar sjónarmið ótengd skynsemi fjárfestinga hjá lífeyrissjóði.</w:t>
      </w:r>
      <w:r w:rsidRPr="00BB0604">
        <w:t> </w:t>
      </w:r>
    </w:p>
    <w:p w14:paraId="78BD9FAA" w14:textId="105A518F" w:rsidR="00FE5A71" w:rsidRPr="00BB0604" w:rsidRDefault="00FE5A71" w:rsidP="00BB0604">
      <w:pPr>
        <w:pStyle w:val="Mlsgreinlista"/>
        <w:numPr>
          <w:ilvl w:val="0"/>
          <w:numId w:val="44"/>
        </w:numPr>
      </w:pPr>
      <w:r w:rsidRPr="00FE5A71">
        <w:t xml:space="preserve">​Að fjárfestingar í heimildarskírteinum hlutabréfa teljist með hlutabréfafjárfestingum þar sem fjárfesting í heimildarskírteinum hlutabréfa </w:t>
      </w:r>
      <w:r w:rsidR="00AE5D7F">
        <w:t>tvískráðra félaga</w:t>
      </w:r>
      <w:r w:rsidRPr="00FE5A71">
        <w:t> telst ígildi fjárfestingar í hlutabréfum og ekki ástæða til að aðgreina þessar tegundir fjármálagerninga.</w:t>
      </w:r>
      <w:r w:rsidRPr="00BB0604">
        <w:t> </w:t>
      </w:r>
    </w:p>
    <w:p w14:paraId="1DA33C83" w14:textId="77777777" w:rsidR="00FE5A71" w:rsidRPr="00BB0604" w:rsidRDefault="00FE5A71" w:rsidP="00BB0604">
      <w:pPr>
        <w:pStyle w:val="Mlsgreinlista"/>
        <w:numPr>
          <w:ilvl w:val="0"/>
          <w:numId w:val="44"/>
        </w:numPr>
      </w:pPr>
      <w:r w:rsidRPr="00FE5A71">
        <w:t>​Að heimilt verði að fjárfesta í afleiðum í þeim tilgangi að stuðla að skilvirkri stýringu eignasafna og lægri viðskiptakostnaði.</w:t>
      </w:r>
      <w:r w:rsidRPr="00BB0604">
        <w:t> </w:t>
      </w:r>
    </w:p>
    <w:p w14:paraId="1A553BE4" w14:textId="0260354F" w:rsidR="00FE5A71" w:rsidRPr="00BB0604" w:rsidRDefault="00FE5A71" w:rsidP="00BB0604">
      <w:pPr>
        <w:pStyle w:val="Mlsgreinlista"/>
        <w:numPr>
          <w:ilvl w:val="0"/>
          <w:numId w:val="44"/>
        </w:numPr>
      </w:pPr>
      <w:r w:rsidRPr="00FE5A71">
        <w:t xml:space="preserve">​Að heimildir til fjárfestinga í sértryggðum skuldabréfum </w:t>
      </w:r>
      <w:r w:rsidR="007806EB">
        <w:t>lánastofnana</w:t>
      </w:r>
      <w:r w:rsidRPr="00FE5A71">
        <w:t xml:space="preserve"> verði auknar, þar sem eignaflokkurinn þykir álitleg fjárfesting fyrir lífeyrissjóði og hann hefur litla tapsáhættu. Því til viðbótar kynnu auknar heimildir lífeyrissjóða til fjárfestinga í sértryggðum skuldabréfum að hafa jákvæð áhrif á fasteignalánamarkaðinn.</w:t>
      </w:r>
    </w:p>
    <w:p w14:paraId="52E76C8C" w14:textId="77777777" w:rsidR="00FE5A71" w:rsidRPr="00BB0604" w:rsidRDefault="00FE5A71" w:rsidP="00BB0604">
      <w:pPr>
        <w:pStyle w:val="Mlsgreinlista"/>
        <w:numPr>
          <w:ilvl w:val="0"/>
          <w:numId w:val="44"/>
        </w:numPr>
      </w:pPr>
      <w:r w:rsidRPr="00FE5A71">
        <w:lastRenderedPageBreak/>
        <w:t>​Að undanþága lífeyrissjóða frá úrbótum, þegar farið er fram úr leyfilegum mörkum vegna gengisbreytinga gjaldmiðla og verðbreytinga á verðbréfum, verði rýmkuð þannig að hún eigi ekki eingöngu við hámark gjaldmiðlaáhættu heldur öll önnur viðmið um hámörk fjárfestinga. Ekki þykir tilefni til þess að sveiflur í eignaverði þurfi strax að knýja fram viðbrögð í fjárfestingum lífeyrissjóða.</w:t>
      </w:r>
      <w:r w:rsidRPr="00BB0604">
        <w:t> </w:t>
      </w:r>
    </w:p>
    <w:p w14:paraId="133C2515" w14:textId="61C2BB76" w:rsidR="00FE5A71" w:rsidRPr="00BB0604" w:rsidRDefault="00FE5A71" w:rsidP="00BB0604">
      <w:pPr>
        <w:pStyle w:val="Mlsgreinlista"/>
        <w:numPr>
          <w:ilvl w:val="0"/>
          <w:numId w:val="44"/>
        </w:numPr>
      </w:pPr>
      <w:r w:rsidRPr="00FE5A71">
        <w:t xml:space="preserve">​Að lífeyrissjóðir hafi 12 mánuði </w:t>
      </w:r>
      <w:r w:rsidR="00ED0018" w:rsidRPr="00FE5A71">
        <w:t xml:space="preserve">frá móttöku fyrsta iðgjalds </w:t>
      </w:r>
      <w:r w:rsidRPr="00FE5A71">
        <w:t>eftir stofnun sjóðs eða deildar til að uppfylla lögbundnar kröfur sem varða fjárfestingarheimildir þeirra. Æskilegt þykir að lífeyrissjóðir hafi svigrúm til þess að koma á fót nýjum sjóðum eða deildum. Tíma getur þurft til að laga fjárfestingar nýstofnaðs sjóðs eða deildar að skilyrðum laganna.</w:t>
      </w:r>
      <w:r w:rsidRPr="00BB0604">
        <w:t> </w:t>
      </w:r>
    </w:p>
    <w:p w14:paraId="05675187" w14:textId="1A0FA3A1" w:rsidR="00FE5A71" w:rsidRDefault="00FE5A71" w:rsidP="00BB0604">
      <w:pPr>
        <w:pStyle w:val="Mlsgreinlista"/>
        <w:numPr>
          <w:ilvl w:val="0"/>
          <w:numId w:val="44"/>
        </w:numPr>
      </w:pPr>
      <w:r w:rsidRPr="00FE5A71">
        <w:t xml:space="preserve">​Að lífeyrissjóðum verði heimilað að veita verðbréfalán að ákveðnum skilyrðum uppfylltum. Breytingin hefði í för með sér fleiri tekjumöguleika fyrir lífeyrissjóði og </w:t>
      </w:r>
      <w:r w:rsidR="003C2B98">
        <w:t>gæti</w:t>
      </w:r>
      <w:r w:rsidRPr="00FE5A71">
        <w:t xml:space="preserve"> stuðla</w:t>
      </w:r>
      <w:r w:rsidR="003C2B98">
        <w:t>ð</w:t>
      </w:r>
      <w:r w:rsidRPr="00FE5A71">
        <w:t xml:space="preserve"> að aukinni virkni á íslenskum verðbréfamarkaði.</w:t>
      </w:r>
      <w:r w:rsidRPr="00BB0604">
        <w:t> </w:t>
      </w:r>
    </w:p>
    <w:p w14:paraId="19BCC0B6" w14:textId="08D669FB" w:rsidR="00CD1E46" w:rsidRPr="00BB0604" w:rsidRDefault="00CD1E46" w:rsidP="00BB0604">
      <w:pPr>
        <w:pStyle w:val="Mlsgreinlista"/>
        <w:numPr>
          <w:ilvl w:val="0"/>
          <w:numId w:val="44"/>
        </w:numPr>
      </w:pPr>
      <w:r>
        <w:t xml:space="preserve">Að tekið verði fram að lífeyrissjóðum </w:t>
      </w:r>
      <w:r w:rsidR="00382624" w:rsidRPr="00DB311E">
        <w:t>sé heimilt að taka tillit til áhrifa fjárfestinga á umhverfisþætti og félagslega þætti auk stjórnarhátta</w:t>
      </w:r>
      <w:r w:rsidR="00A75DBB">
        <w:t xml:space="preserve"> í stað þess að þeim beri að setja sér siðferðisleg viðmið í fjárfestingum.</w:t>
      </w:r>
    </w:p>
    <w:p w14:paraId="66644C13" w14:textId="4CDDAB17" w:rsidR="00BB0604" w:rsidRPr="00BB0604" w:rsidRDefault="00BB0604" w:rsidP="00BB0604">
      <w:r w:rsidRPr="00BB0604">
        <w:t xml:space="preserve">​Samhliða </w:t>
      </w:r>
      <w:r w:rsidR="654FF74A">
        <w:t>er</w:t>
      </w:r>
      <w:r w:rsidR="284A0069">
        <w:t xml:space="preserve">u lagðar til </w:t>
      </w:r>
      <w:r w:rsidRPr="00BB0604">
        <w:t>eftirfarandi breytingar á rekstri, innra eftirliti og innri endurskoðun lífeyrissjóða: </w:t>
      </w:r>
    </w:p>
    <w:p w14:paraId="1F996C2A" w14:textId="1D12A80E" w:rsidR="002B41CC" w:rsidRDefault="00BB0604" w:rsidP="002B41CC">
      <w:pPr>
        <w:pStyle w:val="Mlsgreinlista"/>
        <w:numPr>
          <w:ilvl w:val="0"/>
          <w:numId w:val="45"/>
        </w:numPr>
      </w:pPr>
      <w:r w:rsidRPr="00BB0604">
        <w:t xml:space="preserve">​Að </w:t>
      </w:r>
      <w:r w:rsidR="002B41CC">
        <w:t>skerpt verði á</w:t>
      </w:r>
      <w:r w:rsidRPr="00BB0604">
        <w:t xml:space="preserve"> kröfu</w:t>
      </w:r>
      <w:r w:rsidR="002B41CC">
        <w:t>m</w:t>
      </w:r>
      <w:r w:rsidRPr="00BB0604">
        <w:t xml:space="preserve"> um óhæði og </w:t>
      </w:r>
      <w:r w:rsidR="002B41CC">
        <w:t>sérþekkingu</w:t>
      </w:r>
      <w:r w:rsidRPr="00BB0604">
        <w:t xml:space="preserve"> innri endurskoðunar. </w:t>
      </w:r>
    </w:p>
    <w:p w14:paraId="0F2EC6AF" w14:textId="389BF925" w:rsidR="002B41CC" w:rsidRPr="002B41CC" w:rsidRDefault="004F763E" w:rsidP="002B41CC">
      <w:pPr>
        <w:pStyle w:val="Mlsgreinlista"/>
        <w:numPr>
          <w:ilvl w:val="0"/>
          <w:numId w:val="45"/>
        </w:numPr>
      </w:pPr>
      <w:r>
        <w:t>Lí</w:t>
      </w:r>
      <w:r w:rsidR="00BB0543">
        <w:t xml:space="preserve">feyrissjóðum verði falið að hafa í þjónustu sinni </w:t>
      </w:r>
      <w:r w:rsidR="0018544B" w:rsidRPr="0018544B">
        <w:t xml:space="preserve">starfsmann sem er hæfur til þess að annast ráðgjöf til stjórnar um fylgni við lög og stjórnvaldsfyrirmæli sem gilda um starfsemi </w:t>
      </w:r>
      <w:r w:rsidR="00617AC7">
        <w:t>þeirra.</w:t>
      </w:r>
    </w:p>
    <w:p w14:paraId="40E45113" w14:textId="760F49E3" w:rsidR="00BB0604" w:rsidRPr="00BB0604" w:rsidRDefault="00BB0604" w:rsidP="00BB0604">
      <w:pPr>
        <w:pStyle w:val="Mlsgreinlista"/>
        <w:numPr>
          <w:ilvl w:val="0"/>
          <w:numId w:val="45"/>
        </w:numPr>
      </w:pPr>
      <w:r w:rsidRPr="00BB0604">
        <w:t>​Að umgjörð um útvistun mikilvægra verkefna verði gerð skýrari.</w:t>
      </w:r>
    </w:p>
    <w:p w14:paraId="12072118" w14:textId="77777777" w:rsidR="00BB0604" w:rsidRPr="00BB0604" w:rsidRDefault="00BB0604" w:rsidP="00BB0604">
      <w:pPr>
        <w:pStyle w:val="Mlsgreinlista"/>
        <w:numPr>
          <w:ilvl w:val="0"/>
          <w:numId w:val="45"/>
        </w:numPr>
      </w:pPr>
      <w:r w:rsidRPr="00BB0604">
        <w:t>​Að útfærðar verði kröfur um verðmat eigna.​ </w:t>
      </w:r>
    </w:p>
    <w:p w14:paraId="6E7992BC" w14:textId="77777777" w:rsidR="00BB0604" w:rsidRDefault="00BB0604" w:rsidP="00D0740D"/>
    <w:p w14:paraId="413EE9C2" w14:textId="77777777" w:rsidR="00D0740D" w:rsidRDefault="00E71F27" w:rsidP="00921A4D">
      <w:pPr>
        <w:pStyle w:val="Millifyrirsgn1"/>
      </w:pPr>
      <w:r>
        <w:t>4</w:t>
      </w:r>
      <w:r w:rsidR="00D0740D">
        <w:t xml:space="preserve">. Samræmi við stjórnarskrá og alþjóðlegar skuldbindingar. </w:t>
      </w:r>
    </w:p>
    <w:p w14:paraId="0511388E" w14:textId="0438EDBA" w:rsidR="007B1C02" w:rsidRDefault="001B6532" w:rsidP="007B1C02">
      <w:r>
        <w:t xml:space="preserve">Fyrirhuguð lagasetning </w:t>
      </w:r>
      <w:r w:rsidR="00B50DCF">
        <w:t xml:space="preserve">fjallar um fjárfestingarheimildir </w:t>
      </w:r>
      <w:r w:rsidR="000F49AA">
        <w:t xml:space="preserve">og rekstur </w:t>
      </w:r>
      <w:r w:rsidR="00B50DCF">
        <w:t>allra lífeyrissjóða</w:t>
      </w:r>
      <w:r w:rsidR="6327134F">
        <w:t xml:space="preserve">. </w:t>
      </w:r>
      <w:r w:rsidR="00B50DCF">
        <w:t xml:space="preserve">Tillögurnar hafa ekki bein áhrif á stjórnarskrárvarin réttindi sjóðfélaga og af þeim sökum var ekki talið tilefni til að kanna sérstaklega samræmi við stjórnarskrá. </w:t>
      </w:r>
      <w:r w:rsidR="007B1C02">
        <w:rPr>
          <w:bCs/>
        </w:rPr>
        <w:t xml:space="preserve">Breytingunum er ætlað að </w:t>
      </w:r>
      <w:r w:rsidR="00D92DCE">
        <w:rPr>
          <w:bCs/>
        </w:rPr>
        <w:t>auðvelda</w:t>
      </w:r>
      <w:r w:rsidR="007B1C02">
        <w:rPr>
          <w:bCs/>
        </w:rPr>
        <w:t xml:space="preserve"> lífeyrissjóð</w:t>
      </w:r>
      <w:r w:rsidR="00D92DCE">
        <w:rPr>
          <w:bCs/>
        </w:rPr>
        <w:t xml:space="preserve">um að </w:t>
      </w:r>
      <w:r w:rsidR="002D6FFD">
        <w:rPr>
          <w:bCs/>
        </w:rPr>
        <w:t>h</w:t>
      </w:r>
      <w:r w:rsidR="0001689A">
        <w:rPr>
          <w:bCs/>
        </w:rPr>
        <w:t xml:space="preserve">aga fjárfestingum sínum </w:t>
      </w:r>
      <w:r w:rsidR="008C1DF8">
        <w:rPr>
          <w:bCs/>
        </w:rPr>
        <w:t xml:space="preserve">þannig að þeir geti með </w:t>
      </w:r>
      <w:r w:rsidR="007B1C02">
        <w:rPr>
          <w:bCs/>
        </w:rPr>
        <w:t>sem bestu móti staðið undir greiðslu lífeyris til framtíðar</w:t>
      </w:r>
      <w:r w:rsidR="00EA6B72">
        <w:rPr>
          <w:bCs/>
        </w:rPr>
        <w:t>, sjóðfélögum til hagsbóta</w:t>
      </w:r>
      <w:r w:rsidR="007B1C02">
        <w:rPr>
          <w:bCs/>
        </w:rPr>
        <w:t>.</w:t>
      </w:r>
      <w:r>
        <w:rPr>
          <w:bCs/>
        </w:rPr>
        <w:t xml:space="preserve"> </w:t>
      </w:r>
      <w:r>
        <w:t>Ekki er talið að lagasetningin brjóti í bága við neinar alþjóðlegar skuldbindingar Íslands.</w:t>
      </w:r>
    </w:p>
    <w:p w14:paraId="54BAACA5" w14:textId="77777777" w:rsidR="00B50DCF" w:rsidRDefault="00B50DCF" w:rsidP="00F8678E"/>
    <w:p w14:paraId="17499B2E" w14:textId="77777777" w:rsidR="00D0740D" w:rsidRDefault="00E71F27" w:rsidP="00D0740D">
      <w:pPr>
        <w:pStyle w:val="Millifyrirsgn1"/>
      </w:pPr>
      <w:r>
        <w:t>5</w:t>
      </w:r>
      <w:r w:rsidR="00D0740D">
        <w:t xml:space="preserve">. Samráð. </w:t>
      </w:r>
    </w:p>
    <w:p w14:paraId="5E956DF9" w14:textId="423CA701" w:rsidR="0005357E" w:rsidRDefault="00B50DCF" w:rsidP="6D162992">
      <w:pPr>
        <w:rPr>
          <w:color w:val="242424"/>
          <w:shd w:val="clear" w:color="auto" w:fill="FFFFFF"/>
        </w:rPr>
      </w:pPr>
      <w:r>
        <w:rPr>
          <w:color w:val="242424"/>
          <w:shd w:val="clear" w:color="auto" w:fill="FFFFFF"/>
        </w:rPr>
        <w:t xml:space="preserve">Efni frumvarpsins snertir einkum lífeyrisþega og lífeyrissjóði. </w:t>
      </w:r>
      <w:r w:rsidR="47314219">
        <w:rPr>
          <w:color w:val="242424"/>
          <w:shd w:val="clear" w:color="auto" w:fill="FFFFFF"/>
        </w:rPr>
        <w:t>Þa</w:t>
      </w:r>
      <w:r w:rsidR="47314219" w:rsidRPr="6D162992">
        <w:rPr>
          <w:color w:val="242424"/>
        </w:rPr>
        <w:t xml:space="preserve">ð var samið í </w:t>
      </w:r>
      <w:r w:rsidR="001E5ED0">
        <w:rPr>
          <w:color w:val="242424"/>
        </w:rPr>
        <w:t>ráðuneytinu</w:t>
      </w:r>
      <w:r w:rsidR="47314219" w:rsidRPr="6D162992">
        <w:rPr>
          <w:color w:val="242424"/>
        </w:rPr>
        <w:t xml:space="preserve"> í samráði við </w:t>
      </w:r>
      <w:r w:rsidR="00367324">
        <w:rPr>
          <w:color w:val="242424"/>
        </w:rPr>
        <w:t xml:space="preserve">tilnefnda </w:t>
      </w:r>
      <w:r w:rsidR="00B50008">
        <w:rPr>
          <w:color w:val="242424"/>
        </w:rPr>
        <w:t>fullt</w:t>
      </w:r>
      <w:r w:rsidR="001D50D1">
        <w:rPr>
          <w:color w:val="242424"/>
        </w:rPr>
        <w:t>rúa</w:t>
      </w:r>
      <w:r w:rsidR="00B50008">
        <w:rPr>
          <w:color w:val="242424"/>
        </w:rPr>
        <w:t xml:space="preserve"> frá </w:t>
      </w:r>
      <w:r w:rsidR="47314219" w:rsidRPr="6D162992">
        <w:rPr>
          <w:color w:val="242424"/>
        </w:rPr>
        <w:t>Landssamtök</w:t>
      </w:r>
      <w:r w:rsidR="001D50D1">
        <w:rPr>
          <w:color w:val="242424"/>
        </w:rPr>
        <w:t>um</w:t>
      </w:r>
      <w:r w:rsidR="47314219" w:rsidRPr="6D162992">
        <w:rPr>
          <w:color w:val="242424"/>
        </w:rPr>
        <w:t xml:space="preserve"> lífeyrissjóða</w:t>
      </w:r>
      <w:r w:rsidR="008B48EB">
        <w:rPr>
          <w:color w:val="242424"/>
        </w:rPr>
        <w:t xml:space="preserve"> og</w:t>
      </w:r>
      <w:r w:rsidR="00B50008">
        <w:rPr>
          <w:color w:val="242424"/>
        </w:rPr>
        <w:t xml:space="preserve"> </w:t>
      </w:r>
      <w:r w:rsidR="47314219" w:rsidRPr="6D162992">
        <w:rPr>
          <w:color w:val="242424"/>
        </w:rPr>
        <w:t>Seðlabanka</w:t>
      </w:r>
      <w:r w:rsidR="008B48EB">
        <w:rPr>
          <w:color w:val="242424"/>
        </w:rPr>
        <w:t xml:space="preserve"> Íslands</w:t>
      </w:r>
      <w:r w:rsidR="47314219" w:rsidRPr="6D162992">
        <w:rPr>
          <w:color w:val="242424"/>
        </w:rPr>
        <w:t>.</w:t>
      </w:r>
      <w:r w:rsidR="47314219">
        <w:rPr>
          <w:color w:val="242424"/>
          <w:shd w:val="clear" w:color="auto" w:fill="FFFFFF"/>
        </w:rPr>
        <w:t xml:space="preserve"> </w:t>
      </w:r>
      <w:r w:rsidR="004E2362">
        <w:rPr>
          <w:color w:val="242424"/>
          <w:shd w:val="clear" w:color="auto" w:fill="FFFFFF"/>
        </w:rPr>
        <w:t xml:space="preserve">Þá voru áform um lagabreytingar kynnt </w:t>
      </w:r>
      <w:r w:rsidR="00E31445">
        <w:rPr>
          <w:color w:val="242424"/>
          <w:shd w:val="clear" w:color="auto" w:fill="FFFFFF"/>
        </w:rPr>
        <w:t>Samtökum atvinnulífsins og Alþýðusambandi Íslands</w:t>
      </w:r>
      <w:r w:rsidR="00375609">
        <w:rPr>
          <w:color w:val="242424"/>
          <w:shd w:val="clear" w:color="auto" w:fill="FFFFFF"/>
        </w:rPr>
        <w:t xml:space="preserve"> fyrir birtingu þeirra í samráðsgátt </w:t>
      </w:r>
      <w:r w:rsidR="007B342D">
        <w:rPr>
          <w:color w:val="242424"/>
          <w:shd w:val="clear" w:color="auto" w:fill="FFFFFF"/>
        </w:rPr>
        <w:t>stjórnvalda</w:t>
      </w:r>
      <w:r w:rsidR="00E31445">
        <w:rPr>
          <w:color w:val="242424"/>
          <w:shd w:val="clear" w:color="auto" w:fill="FFFFFF"/>
        </w:rPr>
        <w:t xml:space="preserve">. </w:t>
      </w:r>
    </w:p>
    <w:p w14:paraId="0C869A5F" w14:textId="0A0E3860" w:rsidR="00D0740D" w:rsidRDefault="47314219" w:rsidP="6D162992">
      <w:pPr>
        <w:rPr>
          <w:color w:val="242424"/>
        </w:rPr>
      </w:pPr>
      <w:r>
        <w:rPr>
          <w:color w:val="242424"/>
          <w:shd w:val="clear" w:color="auto" w:fill="FFFFFF"/>
        </w:rPr>
        <w:t xml:space="preserve">Í tilefni af frumvarpsvinnunni var haldin málstofa </w:t>
      </w:r>
      <w:r w:rsidR="3AF69B24">
        <w:rPr>
          <w:color w:val="242424"/>
          <w:shd w:val="clear" w:color="auto" w:fill="FFFFFF"/>
        </w:rPr>
        <w:t xml:space="preserve">4. desember 2025 </w:t>
      </w:r>
      <w:r w:rsidR="5286A9D5">
        <w:rPr>
          <w:color w:val="242424"/>
          <w:shd w:val="clear" w:color="auto" w:fill="FFFFFF"/>
        </w:rPr>
        <w:t xml:space="preserve">þar sem æskileg umgjörð um fjárfestingarheimildir lífeyrissjóða var til umræðu. Efni hennar var </w:t>
      </w:r>
      <w:r w:rsidR="0F5494AB">
        <w:rPr>
          <w:color w:val="242424"/>
          <w:shd w:val="clear" w:color="auto" w:fill="FFFFFF"/>
        </w:rPr>
        <w:t>tekið upp og gert aðgengilegt á heimasíðu Landssamtaka lífeyrissjóða, ll.is.</w:t>
      </w:r>
      <w:r w:rsidR="5286A9D5">
        <w:rPr>
          <w:color w:val="242424"/>
          <w:shd w:val="clear" w:color="auto" w:fill="FFFFFF"/>
        </w:rPr>
        <w:t xml:space="preserve"> </w:t>
      </w:r>
    </w:p>
    <w:p w14:paraId="21A3E2D6" w14:textId="34C1C46A" w:rsidR="00310A81" w:rsidRDefault="00B50DCF" w:rsidP="6D162992">
      <w:pPr>
        <w:rPr>
          <w:color w:val="242424"/>
          <w:shd w:val="clear" w:color="auto" w:fill="FFFFFF"/>
        </w:rPr>
      </w:pPr>
      <w:r>
        <w:rPr>
          <w:color w:val="242424"/>
          <w:shd w:val="clear" w:color="auto" w:fill="FFFFFF"/>
        </w:rPr>
        <w:softHyphen/>
        <w:t>Áform um lagabreyting</w:t>
      </w:r>
      <w:r>
        <w:rPr>
          <w:color w:val="242424"/>
          <w:shd w:val="clear" w:color="auto" w:fill="FFFFFF"/>
        </w:rPr>
        <w:softHyphen/>
        <w:t xml:space="preserve">arnar voru send öðrum ráðuneytum til umsagnar í </w:t>
      </w:r>
      <w:r w:rsidR="00F03243">
        <w:rPr>
          <w:color w:val="242424"/>
          <w:shd w:val="clear" w:color="auto" w:fill="FFFFFF"/>
        </w:rPr>
        <w:t>13</w:t>
      </w:r>
      <w:r>
        <w:rPr>
          <w:color w:val="242424"/>
          <w:shd w:val="clear" w:color="auto" w:fill="FFFFFF"/>
        </w:rPr>
        <w:t>. nóvember 2025</w:t>
      </w:r>
      <w:r w:rsidRPr="00684420">
        <w:rPr>
          <w:color w:val="242424"/>
          <w:shd w:val="clear" w:color="auto" w:fill="FFFFFF"/>
        </w:rPr>
        <w:t xml:space="preserve"> en engar efnislegar </w:t>
      </w:r>
      <w:r>
        <w:rPr>
          <w:color w:val="242424"/>
          <w:shd w:val="clear" w:color="auto" w:fill="FFFFFF"/>
        </w:rPr>
        <w:softHyphen/>
      </w:r>
      <w:r w:rsidRPr="00684420">
        <w:rPr>
          <w:color w:val="242424"/>
          <w:shd w:val="clear" w:color="auto" w:fill="FFFFFF"/>
        </w:rPr>
        <w:t>athuga</w:t>
      </w:r>
      <w:r>
        <w:rPr>
          <w:color w:val="242424"/>
          <w:shd w:val="clear" w:color="auto" w:fill="FFFFFF"/>
        </w:rPr>
        <w:softHyphen/>
      </w:r>
      <w:r w:rsidRPr="00684420">
        <w:rPr>
          <w:color w:val="242424"/>
          <w:shd w:val="clear" w:color="auto" w:fill="FFFFFF"/>
        </w:rPr>
        <w:t>semd</w:t>
      </w:r>
      <w:r>
        <w:rPr>
          <w:color w:val="242424"/>
          <w:shd w:val="clear" w:color="auto" w:fill="FFFFFF"/>
        </w:rPr>
        <w:t xml:space="preserve">ir bárust. Áform um lagabreytingar voru </w:t>
      </w:r>
      <w:r w:rsidR="006C1D93">
        <w:rPr>
          <w:color w:val="242424"/>
          <w:shd w:val="clear" w:color="auto" w:fill="FFFFFF"/>
        </w:rPr>
        <w:t xml:space="preserve">birt </w:t>
      </w:r>
      <w:r>
        <w:rPr>
          <w:color w:val="242424"/>
          <w:shd w:val="clear" w:color="auto" w:fill="FFFFFF"/>
        </w:rPr>
        <w:t xml:space="preserve">í samráðsgátt stjórnvalda </w:t>
      </w:r>
      <w:r w:rsidR="006C1D93">
        <w:rPr>
          <w:color w:val="242424"/>
          <w:shd w:val="clear" w:color="auto" w:fill="FFFFFF"/>
        </w:rPr>
        <w:t>9.</w:t>
      </w:r>
      <w:r w:rsidR="007A454F">
        <w:rPr>
          <w:color w:val="242424"/>
          <w:shd w:val="clear" w:color="auto" w:fill="FFFFFF"/>
        </w:rPr>
        <w:t>-18</w:t>
      </w:r>
      <w:r w:rsidR="00632951">
        <w:rPr>
          <w:color w:val="242424"/>
          <w:shd w:val="clear" w:color="auto" w:fill="FFFFFF"/>
        </w:rPr>
        <w:t>.</w:t>
      </w:r>
      <w:r w:rsidR="006C1D93">
        <w:rPr>
          <w:color w:val="242424"/>
          <w:shd w:val="clear" w:color="auto" w:fill="FFFFFF"/>
        </w:rPr>
        <w:t xml:space="preserve"> febr</w:t>
      </w:r>
      <w:r>
        <w:rPr>
          <w:color w:val="242424"/>
          <w:shd w:val="clear" w:color="auto" w:fill="FFFFFF"/>
        </w:rPr>
        <w:t xml:space="preserve">úar 2026 (mál nr. </w:t>
      </w:r>
      <w:r w:rsidR="005D257D">
        <w:rPr>
          <w:color w:val="242424"/>
          <w:shd w:val="clear" w:color="auto" w:fill="FFFFFF"/>
        </w:rPr>
        <w:t>S-35- 2026</w:t>
      </w:r>
      <w:r>
        <w:rPr>
          <w:color w:val="242424"/>
          <w:shd w:val="clear" w:color="auto" w:fill="FFFFFF"/>
        </w:rPr>
        <w:t xml:space="preserve">). </w:t>
      </w:r>
    </w:p>
    <w:p w14:paraId="3B4278D8" w14:textId="6DEF6AAE" w:rsidR="00E9138F" w:rsidRDefault="00824BAA" w:rsidP="55FF5E10">
      <w:pPr>
        <w:rPr>
          <w:color w:val="242424"/>
        </w:rPr>
      </w:pPr>
      <w:r w:rsidRPr="004C5F73">
        <w:rPr>
          <w:color w:val="242424"/>
        </w:rPr>
        <w:t xml:space="preserve">Tólf umsagnir bárust um </w:t>
      </w:r>
      <w:r w:rsidR="00787279">
        <w:rPr>
          <w:color w:val="242424"/>
        </w:rPr>
        <w:t xml:space="preserve">áformin </w:t>
      </w:r>
      <w:r w:rsidR="005876DE">
        <w:rPr>
          <w:color w:val="242424"/>
        </w:rPr>
        <w:t xml:space="preserve">frá eftirfarandi aðilum: </w:t>
      </w:r>
      <w:r w:rsidR="00E63AD1">
        <w:rPr>
          <w:color w:val="242424"/>
        </w:rPr>
        <w:t xml:space="preserve">Almenna-Lífsverk lífeyrissjóði, </w:t>
      </w:r>
      <w:r w:rsidR="000F6372">
        <w:rPr>
          <w:color w:val="242424"/>
        </w:rPr>
        <w:t>Félagi íslenskra tryggingar</w:t>
      </w:r>
      <w:r w:rsidR="00CC00A9">
        <w:rPr>
          <w:color w:val="242424"/>
        </w:rPr>
        <w:t xml:space="preserve">stærðfræðinga, </w:t>
      </w:r>
      <w:r w:rsidR="00B66FB3">
        <w:rPr>
          <w:color w:val="242424"/>
        </w:rPr>
        <w:t xml:space="preserve">Lífeyrissjóði starfsmanna ríkisins, </w:t>
      </w:r>
      <w:r w:rsidR="00D26985">
        <w:rPr>
          <w:color w:val="242424"/>
        </w:rPr>
        <w:t>Fest</w:t>
      </w:r>
      <w:r w:rsidR="00677D9B">
        <w:rPr>
          <w:color w:val="242424"/>
        </w:rPr>
        <w:t>u</w:t>
      </w:r>
      <w:r w:rsidR="00D26985">
        <w:rPr>
          <w:color w:val="242424"/>
        </w:rPr>
        <w:t xml:space="preserve"> lífeyrissjóði, </w:t>
      </w:r>
      <w:r w:rsidR="002A4BE0">
        <w:rPr>
          <w:color w:val="242424"/>
        </w:rPr>
        <w:t xml:space="preserve">Seðlabanka </w:t>
      </w:r>
      <w:r w:rsidR="005B312B">
        <w:rPr>
          <w:color w:val="242424"/>
        </w:rPr>
        <w:t xml:space="preserve">Íslands, Landssamtökum lífeyrissjóða, </w:t>
      </w:r>
      <w:r w:rsidR="00D12967">
        <w:rPr>
          <w:color w:val="242424"/>
        </w:rPr>
        <w:t xml:space="preserve">Stapa lífeyrissjóði, </w:t>
      </w:r>
      <w:r w:rsidR="00AB295A">
        <w:rPr>
          <w:color w:val="242424"/>
        </w:rPr>
        <w:t>Kauphöll Íslands hf., Talnakönnun hf., Alþýðusambandi Íslands, Arnóri</w:t>
      </w:r>
      <w:r w:rsidR="004D0742">
        <w:rPr>
          <w:color w:val="242424"/>
        </w:rPr>
        <w:t xml:space="preserve"> Inga Finnbjörnssyni</w:t>
      </w:r>
      <w:r w:rsidR="003A7CB6">
        <w:rPr>
          <w:color w:val="242424"/>
        </w:rPr>
        <w:t xml:space="preserve"> </w:t>
      </w:r>
      <w:r w:rsidR="003A7CB6" w:rsidRPr="00E37A11">
        <w:rPr>
          <w:color w:val="242424"/>
        </w:rPr>
        <w:lastRenderedPageBreak/>
        <w:t>tryggingastærðfræðingi</w:t>
      </w:r>
      <w:r w:rsidR="009D340D">
        <w:rPr>
          <w:color w:val="242424"/>
        </w:rPr>
        <w:t xml:space="preserve"> og</w:t>
      </w:r>
      <w:r w:rsidR="003A7CB6">
        <w:rPr>
          <w:color w:val="242424"/>
        </w:rPr>
        <w:t xml:space="preserve"> Samtökum iðnaðarins. </w:t>
      </w:r>
      <w:r w:rsidR="00A01111">
        <w:rPr>
          <w:color w:val="242424"/>
        </w:rPr>
        <w:t>En</w:t>
      </w:r>
      <w:r w:rsidR="00F100F8">
        <w:rPr>
          <w:color w:val="242424"/>
        </w:rPr>
        <w:t>ginn umsagnaraðila l</w:t>
      </w:r>
      <w:r w:rsidR="00C63795">
        <w:rPr>
          <w:color w:val="242424"/>
        </w:rPr>
        <w:t>agðist</w:t>
      </w:r>
      <w:r w:rsidR="00F100F8">
        <w:rPr>
          <w:color w:val="242424"/>
        </w:rPr>
        <w:t xml:space="preserve"> </w:t>
      </w:r>
      <w:r w:rsidR="00D83A93">
        <w:rPr>
          <w:color w:val="242424"/>
        </w:rPr>
        <w:t xml:space="preserve">gegn </w:t>
      </w:r>
      <w:r w:rsidR="005F7861">
        <w:rPr>
          <w:color w:val="242424"/>
        </w:rPr>
        <w:t>þ</w:t>
      </w:r>
      <w:r w:rsidR="00232E47">
        <w:rPr>
          <w:color w:val="242424"/>
        </w:rPr>
        <w:t>eim</w:t>
      </w:r>
      <w:r w:rsidR="005F7861">
        <w:rPr>
          <w:color w:val="242424"/>
        </w:rPr>
        <w:t xml:space="preserve"> áform</w:t>
      </w:r>
      <w:r w:rsidR="00232E47">
        <w:rPr>
          <w:color w:val="242424"/>
        </w:rPr>
        <w:t>um</w:t>
      </w:r>
      <w:r w:rsidR="005F7861">
        <w:rPr>
          <w:color w:val="242424"/>
        </w:rPr>
        <w:t xml:space="preserve"> að lögfestar </w:t>
      </w:r>
      <w:r w:rsidR="00D909B1">
        <w:rPr>
          <w:color w:val="242424"/>
        </w:rPr>
        <w:t>verði</w:t>
      </w:r>
      <w:r w:rsidR="005F7861">
        <w:rPr>
          <w:color w:val="242424"/>
        </w:rPr>
        <w:t xml:space="preserve"> </w:t>
      </w:r>
      <w:r w:rsidR="0058691D">
        <w:rPr>
          <w:color w:val="242424"/>
        </w:rPr>
        <w:t xml:space="preserve"> </w:t>
      </w:r>
      <w:proofErr w:type="spellStart"/>
      <w:r w:rsidR="006F60A0">
        <w:rPr>
          <w:color w:val="242424"/>
        </w:rPr>
        <w:t>rýmkanir</w:t>
      </w:r>
      <w:proofErr w:type="spellEnd"/>
      <w:r w:rsidR="006F60A0">
        <w:rPr>
          <w:color w:val="242424"/>
        </w:rPr>
        <w:t xml:space="preserve"> á </w:t>
      </w:r>
      <w:r w:rsidR="005F7861">
        <w:rPr>
          <w:color w:val="242424"/>
        </w:rPr>
        <w:t xml:space="preserve">þeim </w:t>
      </w:r>
      <w:r w:rsidR="006F60A0">
        <w:rPr>
          <w:color w:val="242424"/>
        </w:rPr>
        <w:t>magntakmörkunum</w:t>
      </w:r>
      <w:r w:rsidR="005F7861">
        <w:rPr>
          <w:color w:val="242424"/>
        </w:rPr>
        <w:t xml:space="preserve"> sem gilda um fjárfestingar lífeyrissjóða</w:t>
      </w:r>
      <w:r w:rsidR="00CB7B08">
        <w:rPr>
          <w:color w:val="242424"/>
        </w:rPr>
        <w:t xml:space="preserve"> og </w:t>
      </w:r>
      <w:r w:rsidR="00C4578C">
        <w:rPr>
          <w:color w:val="242424"/>
        </w:rPr>
        <w:t>töluverður</w:t>
      </w:r>
      <w:r w:rsidR="00136027">
        <w:rPr>
          <w:color w:val="242424"/>
        </w:rPr>
        <w:t xml:space="preserve"> samhljómur var í umsögnum um að fagna þeim áformum. </w:t>
      </w:r>
    </w:p>
    <w:p w14:paraId="352BFA66" w14:textId="3B3A5C1F" w:rsidR="00E9138F" w:rsidRDefault="007837FA" w:rsidP="55FF5E10">
      <w:pPr>
        <w:rPr>
          <w:color w:val="242424"/>
        </w:rPr>
      </w:pPr>
      <w:r>
        <w:rPr>
          <w:color w:val="242424"/>
        </w:rPr>
        <w:t xml:space="preserve">Í umsögnum </w:t>
      </w:r>
      <w:r w:rsidR="00117974">
        <w:rPr>
          <w:color w:val="242424"/>
        </w:rPr>
        <w:t xml:space="preserve">frá </w:t>
      </w:r>
      <w:r>
        <w:rPr>
          <w:color w:val="242424"/>
        </w:rPr>
        <w:t>Almenna-Lífsverk lífeyrissjóð</w:t>
      </w:r>
      <w:r w:rsidR="00665BC3">
        <w:rPr>
          <w:color w:val="242424"/>
        </w:rPr>
        <w:t>i</w:t>
      </w:r>
      <w:r>
        <w:rPr>
          <w:color w:val="242424"/>
        </w:rPr>
        <w:t>, Félagi íslenskra tryggingarstærðfræðinga,</w:t>
      </w:r>
      <w:r w:rsidR="00117974">
        <w:rPr>
          <w:color w:val="242424"/>
        </w:rPr>
        <w:t xml:space="preserve"> </w:t>
      </w:r>
      <w:r w:rsidR="00677D9B">
        <w:rPr>
          <w:color w:val="242424"/>
        </w:rPr>
        <w:t>Festu lífeyrissjóði,</w:t>
      </w:r>
      <w:r w:rsidR="00665BC3">
        <w:rPr>
          <w:color w:val="242424"/>
        </w:rPr>
        <w:t xml:space="preserve"> Landssamtökum lífeyrissjóða, </w:t>
      </w:r>
      <w:r w:rsidR="00552AE5">
        <w:rPr>
          <w:color w:val="242424"/>
        </w:rPr>
        <w:t xml:space="preserve">Stapa lífeyrissjóði, </w:t>
      </w:r>
      <w:r w:rsidR="00205FF9">
        <w:rPr>
          <w:color w:val="242424"/>
        </w:rPr>
        <w:t xml:space="preserve">Talnakönnun hf., </w:t>
      </w:r>
      <w:r w:rsidR="00B177D6">
        <w:rPr>
          <w:color w:val="242424"/>
        </w:rPr>
        <w:t>Samtökum atvinnulífsins</w:t>
      </w:r>
      <w:r w:rsidR="00A20ABB">
        <w:rPr>
          <w:color w:val="242424"/>
        </w:rPr>
        <w:t xml:space="preserve">, </w:t>
      </w:r>
      <w:r w:rsidR="00B177D6">
        <w:rPr>
          <w:color w:val="242424"/>
        </w:rPr>
        <w:t>Alþýðusamandi Íslands</w:t>
      </w:r>
      <w:r w:rsidR="00A20ABB">
        <w:rPr>
          <w:color w:val="242424"/>
        </w:rPr>
        <w:t xml:space="preserve"> og Arnóri Inga</w:t>
      </w:r>
      <w:r w:rsidR="00032D78">
        <w:rPr>
          <w:color w:val="242424"/>
        </w:rPr>
        <w:t xml:space="preserve"> </w:t>
      </w:r>
      <w:r w:rsidR="00BA52D4">
        <w:rPr>
          <w:color w:val="242424"/>
        </w:rPr>
        <w:t>Finnbjörnssyni</w:t>
      </w:r>
      <w:r w:rsidR="00B177D6">
        <w:rPr>
          <w:color w:val="242424"/>
        </w:rPr>
        <w:t xml:space="preserve"> </w:t>
      </w:r>
      <w:r w:rsidR="005D3D63">
        <w:rPr>
          <w:color w:val="242424"/>
        </w:rPr>
        <w:t>v</w:t>
      </w:r>
      <w:r w:rsidR="00A310BB">
        <w:rPr>
          <w:color w:val="242424"/>
        </w:rPr>
        <w:t>ar ýmist varað við eða</w:t>
      </w:r>
      <w:r w:rsidR="00840E7C">
        <w:rPr>
          <w:color w:val="242424"/>
        </w:rPr>
        <w:t xml:space="preserve"> </w:t>
      </w:r>
      <w:r w:rsidR="00FC775E">
        <w:rPr>
          <w:color w:val="242424"/>
        </w:rPr>
        <w:t>la</w:t>
      </w:r>
      <w:r w:rsidR="00A03F52">
        <w:rPr>
          <w:color w:val="242424"/>
        </w:rPr>
        <w:t>gst gegn þeim</w:t>
      </w:r>
      <w:r w:rsidR="00FC775E">
        <w:rPr>
          <w:color w:val="242424"/>
        </w:rPr>
        <w:t xml:space="preserve"> áform</w:t>
      </w:r>
      <w:r w:rsidR="00A03F52">
        <w:rPr>
          <w:color w:val="242424"/>
        </w:rPr>
        <w:t>um</w:t>
      </w:r>
      <w:r w:rsidR="00840E7C">
        <w:rPr>
          <w:color w:val="242424"/>
        </w:rPr>
        <w:t xml:space="preserve"> að ráðast í þær breytingar að færa </w:t>
      </w:r>
      <w:r w:rsidR="00482867">
        <w:rPr>
          <w:color w:val="242424"/>
        </w:rPr>
        <w:t>kröfur til tryggingarstærðfræðinga</w:t>
      </w:r>
      <w:r w:rsidR="00A304B0">
        <w:rPr>
          <w:color w:val="242424"/>
        </w:rPr>
        <w:t xml:space="preserve"> </w:t>
      </w:r>
      <w:r w:rsidR="00837AE8">
        <w:rPr>
          <w:color w:val="242424"/>
        </w:rPr>
        <w:t xml:space="preserve">til samræmis við kröfur sem gerðar eru til </w:t>
      </w:r>
      <w:r w:rsidR="00C86E25">
        <w:rPr>
          <w:color w:val="242424"/>
        </w:rPr>
        <w:t xml:space="preserve">þeirra sem annast samsvarandi verkefni </w:t>
      </w:r>
      <w:r w:rsidR="00C22E48">
        <w:rPr>
          <w:color w:val="242424"/>
        </w:rPr>
        <w:t>hjá vátryggingafélögum og starfstengdum eftirlaunasjóðum</w:t>
      </w:r>
      <w:r w:rsidR="00BC581C">
        <w:rPr>
          <w:color w:val="242424"/>
        </w:rPr>
        <w:t xml:space="preserve">. </w:t>
      </w:r>
      <w:r w:rsidR="00C55737">
        <w:rPr>
          <w:color w:val="242424"/>
        </w:rPr>
        <w:t xml:space="preserve">Í stuttu máli kom fram í umsögnum að </w:t>
      </w:r>
      <w:r w:rsidR="00ED7169">
        <w:rPr>
          <w:color w:val="242424"/>
        </w:rPr>
        <w:t xml:space="preserve">umræddar breytingar </w:t>
      </w:r>
      <w:r w:rsidR="00ED5F3D">
        <w:rPr>
          <w:color w:val="242424"/>
        </w:rPr>
        <w:t>væru ekki líklegar til að leiða til ávinnings</w:t>
      </w:r>
      <w:r w:rsidR="00E96488">
        <w:rPr>
          <w:color w:val="242424"/>
        </w:rPr>
        <w:t xml:space="preserve"> fyrir </w:t>
      </w:r>
      <w:r w:rsidR="000734DA">
        <w:rPr>
          <w:color w:val="242424"/>
        </w:rPr>
        <w:t>íslenska lífeyrissjóði</w:t>
      </w:r>
      <w:r w:rsidR="00E70E31">
        <w:rPr>
          <w:color w:val="242424"/>
        </w:rPr>
        <w:t xml:space="preserve"> og sjóðfélaga þeir</w:t>
      </w:r>
      <w:r w:rsidR="00D253F6">
        <w:rPr>
          <w:color w:val="242424"/>
        </w:rPr>
        <w:t>ra</w:t>
      </w:r>
      <w:r w:rsidR="000734DA">
        <w:rPr>
          <w:color w:val="242424"/>
        </w:rPr>
        <w:t xml:space="preserve">. </w:t>
      </w:r>
    </w:p>
    <w:p w14:paraId="257EEBF5" w14:textId="0340BE4C" w:rsidR="00E9138F" w:rsidRDefault="00AD094A" w:rsidP="5610F980">
      <w:pPr>
        <w:rPr>
          <w:color w:val="242424"/>
        </w:rPr>
      </w:pPr>
      <w:r>
        <w:rPr>
          <w:color w:val="242424"/>
        </w:rPr>
        <w:t xml:space="preserve">Í umsögn Seðlabanka Íslands </w:t>
      </w:r>
      <w:r w:rsidR="00E601D6">
        <w:rPr>
          <w:color w:val="242424"/>
        </w:rPr>
        <w:t>k</w:t>
      </w:r>
      <w:r w:rsidR="00EC4899">
        <w:rPr>
          <w:color w:val="242424"/>
        </w:rPr>
        <w:t>om</w:t>
      </w:r>
      <w:r w:rsidR="00E601D6">
        <w:rPr>
          <w:color w:val="242424"/>
        </w:rPr>
        <w:t xml:space="preserve"> fram að hann styðji </w:t>
      </w:r>
      <w:r w:rsidR="00DC5AAA">
        <w:rPr>
          <w:color w:val="242424"/>
        </w:rPr>
        <w:t xml:space="preserve">fyrirhugaðar breytingar </w:t>
      </w:r>
      <w:r w:rsidR="002B303A">
        <w:rPr>
          <w:color w:val="242424"/>
        </w:rPr>
        <w:t xml:space="preserve">en að </w:t>
      </w:r>
      <w:r w:rsidR="00D253F6">
        <w:rPr>
          <w:color w:val="242424"/>
        </w:rPr>
        <w:t>bankinn h</w:t>
      </w:r>
      <w:r w:rsidR="005F76DE">
        <w:rPr>
          <w:color w:val="242424"/>
        </w:rPr>
        <w:t>afi</w:t>
      </w:r>
      <w:r w:rsidR="00D253F6">
        <w:rPr>
          <w:color w:val="242424"/>
        </w:rPr>
        <w:t xml:space="preserve"> </w:t>
      </w:r>
      <w:r w:rsidR="00560CA5">
        <w:rPr>
          <w:color w:val="242424"/>
        </w:rPr>
        <w:t>við undirbúning lagasetningar</w:t>
      </w:r>
      <w:r w:rsidR="0041533F">
        <w:rPr>
          <w:color w:val="242424"/>
        </w:rPr>
        <w:t xml:space="preserve">innar lagt til </w:t>
      </w:r>
      <w:r w:rsidR="00EC5195">
        <w:rPr>
          <w:color w:val="242424"/>
        </w:rPr>
        <w:t>fleiri tillögur að mótvægisaðgerðum en þ</w:t>
      </w:r>
      <w:r w:rsidR="005F76DE">
        <w:rPr>
          <w:color w:val="242424"/>
        </w:rPr>
        <w:t>ær</w:t>
      </w:r>
      <w:r w:rsidR="00EC5195">
        <w:rPr>
          <w:color w:val="242424"/>
        </w:rPr>
        <w:t xml:space="preserve"> sem </w:t>
      </w:r>
      <w:r w:rsidR="000B7C10">
        <w:rPr>
          <w:color w:val="242424"/>
        </w:rPr>
        <w:t xml:space="preserve">fram </w:t>
      </w:r>
      <w:r w:rsidR="00F95435">
        <w:rPr>
          <w:color w:val="242424"/>
        </w:rPr>
        <w:t>koma</w:t>
      </w:r>
      <w:r w:rsidR="00EC5195">
        <w:rPr>
          <w:color w:val="242424"/>
        </w:rPr>
        <w:t xml:space="preserve"> í áformaskjalinu.</w:t>
      </w:r>
      <w:r w:rsidR="002B303A">
        <w:rPr>
          <w:color w:val="242424"/>
        </w:rPr>
        <w:t xml:space="preserve"> </w:t>
      </w:r>
      <w:r w:rsidR="00A078AF">
        <w:rPr>
          <w:color w:val="242424"/>
        </w:rPr>
        <w:t>Í því samhengi var</w:t>
      </w:r>
      <w:r w:rsidR="0090279B">
        <w:rPr>
          <w:color w:val="242424"/>
        </w:rPr>
        <w:t xml:space="preserve"> m.a.</w:t>
      </w:r>
      <w:r w:rsidR="00A078AF">
        <w:rPr>
          <w:color w:val="242424"/>
        </w:rPr>
        <w:t xml:space="preserve"> vísað til tillagna sem varða hæfi og hæfni stjórnarmanna og lykilstarfsmanna og </w:t>
      </w:r>
      <w:r w:rsidR="006147CA">
        <w:rPr>
          <w:color w:val="242424"/>
        </w:rPr>
        <w:t>önnur atriði sem varða stjórnarhætti</w:t>
      </w:r>
      <w:r w:rsidR="009D22BB">
        <w:rPr>
          <w:color w:val="242424"/>
        </w:rPr>
        <w:t xml:space="preserve"> og eru samkynja </w:t>
      </w:r>
      <w:r w:rsidR="005D44F4">
        <w:rPr>
          <w:color w:val="242424"/>
        </w:rPr>
        <w:t xml:space="preserve">þeim reglum sem gilda </w:t>
      </w:r>
      <w:r w:rsidR="009F23B7">
        <w:rPr>
          <w:color w:val="242424"/>
        </w:rPr>
        <w:t xml:space="preserve">fjármálamarkaði, </w:t>
      </w:r>
      <w:proofErr w:type="spellStart"/>
      <w:r w:rsidR="009F23B7">
        <w:rPr>
          <w:color w:val="242424"/>
        </w:rPr>
        <w:t>vátryggingamarkaði</w:t>
      </w:r>
      <w:proofErr w:type="spellEnd"/>
      <w:r w:rsidR="009F23B7">
        <w:rPr>
          <w:color w:val="242424"/>
        </w:rPr>
        <w:t xml:space="preserve"> og um </w:t>
      </w:r>
      <w:r w:rsidR="00DC083B">
        <w:rPr>
          <w:color w:val="242424"/>
        </w:rPr>
        <w:t>stofnanir sem sjá um starfstengdan lífeyri.</w:t>
      </w:r>
      <w:r w:rsidR="00EC5195">
        <w:rPr>
          <w:color w:val="242424"/>
        </w:rPr>
        <w:t xml:space="preserve"> </w:t>
      </w:r>
      <w:r>
        <w:rPr>
          <w:color w:val="242424"/>
        </w:rPr>
        <w:t xml:space="preserve"> </w:t>
      </w:r>
    </w:p>
    <w:p w14:paraId="61480A14" w14:textId="7A90E023" w:rsidR="00E9138F" w:rsidRDefault="00FD508E" w:rsidP="5610F980">
      <w:pPr>
        <w:rPr>
          <w:color w:val="242424"/>
        </w:rPr>
      </w:pPr>
      <w:r>
        <w:rPr>
          <w:color w:val="242424"/>
        </w:rPr>
        <w:t xml:space="preserve">Í sameiginlegri umsögn </w:t>
      </w:r>
      <w:r w:rsidR="00462349">
        <w:rPr>
          <w:color w:val="242424"/>
        </w:rPr>
        <w:t xml:space="preserve">Samtaka atvinnulífsins og Alþýðusambands Íslands </w:t>
      </w:r>
      <w:r w:rsidR="00A96B87">
        <w:rPr>
          <w:color w:val="242424"/>
        </w:rPr>
        <w:t>var</w:t>
      </w:r>
      <w:r w:rsidR="00D41572">
        <w:rPr>
          <w:color w:val="242424"/>
        </w:rPr>
        <w:t xml:space="preserve"> </w:t>
      </w:r>
      <w:r w:rsidR="00680760">
        <w:rPr>
          <w:color w:val="242424"/>
        </w:rPr>
        <w:t xml:space="preserve">áréttuð fyrri afstaða </w:t>
      </w:r>
      <w:r w:rsidR="003342B1">
        <w:rPr>
          <w:color w:val="242424"/>
        </w:rPr>
        <w:t>til þeirra sjónarmiða sem fram koma í sérriti Seðlabank</w:t>
      </w:r>
      <w:r w:rsidR="00E02CCF">
        <w:rPr>
          <w:color w:val="242424"/>
        </w:rPr>
        <w:t>a</w:t>
      </w:r>
      <w:r w:rsidR="003342B1">
        <w:rPr>
          <w:color w:val="242424"/>
        </w:rPr>
        <w:t xml:space="preserve">ns um </w:t>
      </w:r>
      <w:r w:rsidR="00395594">
        <w:rPr>
          <w:color w:val="242424"/>
        </w:rPr>
        <w:t xml:space="preserve">nauðsyn þess að samliða </w:t>
      </w:r>
      <w:r w:rsidR="00077216">
        <w:rPr>
          <w:color w:val="242424"/>
        </w:rPr>
        <w:t xml:space="preserve">breytingum á fjárfestingarheimildum verði gerðar </w:t>
      </w:r>
      <w:r w:rsidR="001D151B">
        <w:rPr>
          <w:color w:val="242424"/>
        </w:rPr>
        <w:t xml:space="preserve">breytingar á </w:t>
      </w:r>
      <w:r w:rsidR="003260B8">
        <w:rPr>
          <w:color w:val="242424"/>
        </w:rPr>
        <w:t xml:space="preserve">stjórnarháttum og stjórnkerfi lífeyrissjóðanna. </w:t>
      </w:r>
      <w:r w:rsidR="00EA15E5">
        <w:rPr>
          <w:color w:val="242424"/>
        </w:rPr>
        <w:t xml:space="preserve">Í því samhengi var vísað til þess að </w:t>
      </w:r>
      <w:r w:rsidR="0006793A">
        <w:rPr>
          <w:color w:val="242424"/>
        </w:rPr>
        <w:t xml:space="preserve">lífeyrissjóðir </w:t>
      </w:r>
      <w:r w:rsidR="00B4497D">
        <w:rPr>
          <w:color w:val="242424"/>
        </w:rPr>
        <w:t xml:space="preserve">væru ólíkir </w:t>
      </w:r>
      <w:r w:rsidR="00596856">
        <w:rPr>
          <w:color w:val="242424"/>
        </w:rPr>
        <w:t>fjármálastofnunum þar sem megin</w:t>
      </w:r>
      <w:r w:rsidR="00160F92">
        <w:rPr>
          <w:color w:val="242424"/>
        </w:rPr>
        <w:t xml:space="preserve">markmið þeirra væri að tryggja réttindi sjóðfélaga. </w:t>
      </w:r>
      <w:r w:rsidR="00F45437">
        <w:rPr>
          <w:color w:val="242424"/>
        </w:rPr>
        <w:t xml:space="preserve">Einnig að </w:t>
      </w:r>
      <w:r w:rsidR="00877ED3">
        <w:rPr>
          <w:color w:val="242424"/>
        </w:rPr>
        <w:t xml:space="preserve">lögð væri áhersla á að </w:t>
      </w:r>
      <w:r w:rsidR="00801D00">
        <w:rPr>
          <w:color w:val="242424"/>
        </w:rPr>
        <w:t>frjálsir kjarasamningar væru virtir</w:t>
      </w:r>
      <w:r w:rsidR="00375059">
        <w:rPr>
          <w:color w:val="242424"/>
        </w:rPr>
        <w:t xml:space="preserve">, þar á meðal það stjórnskipulag sem </w:t>
      </w:r>
      <w:r w:rsidR="00C76BC8">
        <w:rPr>
          <w:color w:val="242424"/>
        </w:rPr>
        <w:t xml:space="preserve">mótað hefur verið á grundvelli þeirra. </w:t>
      </w:r>
    </w:p>
    <w:p w14:paraId="0E2B0B0B" w14:textId="0506AF63" w:rsidR="00E9138F" w:rsidRDefault="00A96B87" w:rsidP="5610F980">
      <w:pPr>
        <w:rPr>
          <w:color w:val="242424"/>
        </w:rPr>
      </w:pPr>
      <w:r>
        <w:rPr>
          <w:color w:val="242424"/>
        </w:rPr>
        <w:t>Í umsögn Samtaka iðnaðarins va</w:t>
      </w:r>
      <w:r w:rsidR="00B57559">
        <w:rPr>
          <w:color w:val="242424"/>
        </w:rPr>
        <w:t xml:space="preserve">r </w:t>
      </w:r>
      <w:r w:rsidR="00F36B61">
        <w:rPr>
          <w:color w:val="242424"/>
        </w:rPr>
        <w:t xml:space="preserve">m.a. tekið fram að </w:t>
      </w:r>
      <w:proofErr w:type="spellStart"/>
      <w:r w:rsidR="00EB2416">
        <w:rPr>
          <w:color w:val="242424"/>
        </w:rPr>
        <w:t>rýmkanir</w:t>
      </w:r>
      <w:proofErr w:type="spellEnd"/>
      <w:r w:rsidR="00EB2416">
        <w:rPr>
          <w:color w:val="242424"/>
        </w:rPr>
        <w:t xml:space="preserve"> á magntakmörkunum </w:t>
      </w:r>
      <w:r w:rsidR="00437EA7">
        <w:rPr>
          <w:color w:val="242424"/>
        </w:rPr>
        <w:t>gætu s</w:t>
      </w:r>
      <w:r w:rsidR="002B4228">
        <w:rPr>
          <w:color w:val="242424"/>
        </w:rPr>
        <w:t>kapað svigrúm til aukinnar þátttöku lífeyrissjóða í fjármögnun nýsköpunar</w:t>
      </w:r>
      <w:r w:rsidR="004A601D">
        <w:rPr>
          <w:color w:val="242424"/>
        </w:rPr>
        <w:t xml:space="preserve"> og vaxtarfyrirtækja</w:t>
      </w:r>
      <w:r w:rsidR="00361AEF">
        <w:rPr>
          <w:color w:val="242424"/>
        </w:rPr>
        <w:t xml:space="preserve">. </w:t>
      </w:r>
      <w:r w:rsidR="00F63557">
        <w:rPr>
          <w:color w:val="242424"/>
        </w:rPr>
        <w:t xml:space="preserve"> </w:t>
      </w:r>
    </w:p>
    <w:p w14:paraId="2CF984C2" w14:textId="3C6D6B80" w:rsidR="00E9138F" w:rsidRDefault="00274C6D" w:rsidP="6D162992">
      <w:pPr>
        <w:rPr>
          <w:color w:val="242424"/>
        </w:rPr>
      </w:pPr>
      <w:r>
        <w:rPr>
          <w:color w:val="242424"/>
        </w:rPr>
        <w:t xml:space="preserve">Í </w:t>
      </w:r>
      <w:r w:rsidR="009C7377">
        <w:rPr>
          <w:color w:val="242424"/>
        </w:rPr>
        <w:t xml:space="preserve">umsögn Kauphallar Íslands hf. </w:t>
      </w:r>
      <w:r w:rsidR="001413C7">
        <w:rPr>
          <w:color w:val="242424"/>
        </w:rPr>
        <w:t xml:space="preserve">var </w:t>
      </w:r>
      <w:r w:rsidR="002D05EE">
        <w:rPr>
          <w:color w:val="242424"/>
        </w:rPr>
        <w:t xml:space="preserve">komið á framfæri </w:t>
      </w:r>
      <w:r w:rsidR="00534103">
        <w:rPr>
          <w:color w:val="242424"/>
        </w:rPr>
        <w:t>nokkrum</w:t>
      </w:r>
      <w:r w:rsidR="002D05EE">
        <w:rPr>
          <w:color w:val="242424"/>
        </w:rPr>
        <w:t xml:space="preserve"> athugasemdum </w:t>
      </w:r>
      <w:r w:rsidR="00C41D45">
        <w:rPr>
          <w:color w:val="242424"/>
        </w:rPr>
        <w:t>v</w:t>
      </w:r>
      <w:r w:rsidR="00534103">
        <w:rPr>
          <w:color w:val="242424"/>
        </w:rPr>
        <w:t>egna</w:t>
      </w:r>
      <w:r w:rsidR="00C41D45">
        <w:rPr>
          <w:color w:val="242424"/>
        </w:rPr>
        <w:t xml:space="preserve"> útfærslu boðaðra áforma</w:t>
      </w:r>
      <w:r w:rsidR="00CE2141">
        <w:rPr>
          <w:color w:val="242424"/>
        </w:rPr>
        <w:t xml:space="preserve">, m.a. um að gætt verði </w:t>
      </w:r>
      <w:r w:rsidR="00AA7E81">
        <w:rPr>
          <w:color w:val="242424"/>
        </w:rPr>
        <w:t xml:space="preserve">að því að auka gagnsæi </w:t>
      </w:r>
      <w:r w:rsidR="00675CF0">
        <w:rPr>
          <w:color w:val="242424"/>
        </w:rPr>
        <w:t xml:space="preserve">um fjárfestingar lífeyrissjóða, </w:t>
      </w:r>
      <w:r w:rsidR="00AE317E">
        <w:rPr>
          <w:color w:val="242424"/>
        </w:rPr>
        <w:t xml:space="preserve">að </w:t>
      </w:r>
      <w:r w:rsidR="00DB5BB9">
        <w:rPr>
          <w:color w:val="242424"/>
        </w:rPr>
        <w:t xml:space="preserve">skoðað verði að </w:t>
      </w:r>
      <w:r w:rsidR="00D3207A">
        <w:rPr>
          <w:color w:val="242424"/>
        </w:rPr>
        <w:t xml:space="preserve">heimila </w:t>
      </w:r>
      <w:r w:rsidR="00F904A8">
        <w:rPr>
          <w:color w:val="242424"/>
        </w:rPr>
        <w:t>lífeyrissj</w:t>
      </w:r>
      <w:r w:rsidR="00950270">
        <w:rPr>
          <w:color w:val="242424"/>
        </w:rPr>
        <w:t xml:space="preserve">óðum </w:t>
      </w:r>
      <w:r w:rsidR="00EB7BB6">
        <w:rPr>
          <w:color w:val="242424"/>
        </w:rPr>
        <w:t xml:space="preserve"> að eiga </w:t>
      </w:r>
      <w:r w:rsidR="00D3207A">
        <w:rPr>
          <w:color w:val="242424"/>
        </w:rPr>
        <w:t>hærr</w:t>
      </w:r>
      <w:r w:rsidR="00E2712D">
        <w:rPr>
          <w:color w:val="242424"/>
        </w:rPr>
        <w:t>i en 20</w:t>
      </w:r>
      <w:r w:rsidR="00D85A4E">
        <w:rPr>
          <w:color w:val="242424"/>
        </w:rPr>
        <w:t>%</w:t>
      </w:r>
      <w:r w:rsidR="00E2712D">
        <w:rPr>
          <w:color w:val="242424"/>
        </w:rPr>
        <w:t xml:space="preserve"> hlutdeild </w:t>
      </w:r>
      <w:r w:rsidR="000B0E15">
        <w:rPr>
          <w:color w:val="242424"/>
        </w:rPr>
        <w:t>í einstökum félögum sem skráð eru á skipulegum verðbréfamarkaði</w:t>
      </w:r>
      <w:r w:rsidR="00E732D5">
        <w:rPr>
          <w:color w:val="242424"/>
        </w:rPr>
        <w:t>, a</w:t>
      </w:r>
      <w:r w:rsidR="00342FBE">
        <w:rPr>
          <w:color w:val="242424"/>
        </w:rPr>
        <w:t xml:space="preserve">ð </w:t>
      </w:r>
      <w:r w:rsidR="00944675">
        <w:rPr>
          <w:color w:val="242424"/>
        </w:rPr>
        <w:t>tekin verði af öll tvímæli um að eignir sem skráðar eru á skipuleg</w:t>
      </w:r>
      <w:r w:rsidR="00044168">
        <w:rPr>
          <w:color w:val="242424"/>
        </w:rPr>
        <w:t xml:space="preserve">an markað eða markaðstorg fjármálagerninga </w:t>
      </w:r>
      <w:r w:rsidR="00EA095C">
        <w:rPr>
          <w:color w:val="242424"/>
        </w:rPr>
        <w:t xml:space="preserve">megi bókfæra í þeim </w:t>
      </w:r>
      <w:r w:rsidR="00D96C1E">
        <w:rPr>
          <w:color w:val="242424"/>
        </w:rPr>
        <w:t xml:space="preserve">gjaldmiðli sem viðskipti </w:t>
      </w:r>
      <w:r w:rsidR="00EA36F4">
        <w:rPr>
          <w:color w:val="242424"/>
        </w:rPr>
        <w:t>með eignirnar fara fram í á viðkomandi markaði</w:t>
      </w:r>
      <w:r w:rsidR="00D152B7">
        <w:rPr>
          <w:color w:val="242424"/>
        </w:rPr>
        <w:t xml:space="preserve"> og </w:t>
      </w:r>
      <w:r w:rsidR="0033501C">
        <w:rPr>
          <w:color w:val="242424"/>
        </w:rPr>
        <w:t xml:space="preserve">loks að þeirri breytingu verði bætt við að sjóðfélögum lífeyrissjóða </w:t>
      </w:r>
      <w:r w:rsidR="00FE52EA">
        <w:rPr>
          <w:color w:val="242424"/>
        </w:rPr>
        <w:t xml:space="preserve">verði heimilt að stýra sjálfir fjárfestingu viðbótarlífeyrissparnaðar. </w:t>
      </w:r>
    </w:p>
    <w:p w14:paraId="351D9F42" w14:textId="09959871" w:rsidR="00C1417D" w:rsidRDefault="00693921" w:rsidP="6D162992">
      <w:pPr>
        <w:rPr>
          <w:color w:val="242424"/>
          <w:shd w:val="clear" w:color="auto" w:fill="FFFFFF"/>
        </w:rPr>
      </w:pPr>
      <w:r w:rsidRPr="009F5A03">
        <w:rPr>
          <w:color w:val="242424"/>
          <w:shd w:val="clear" w:color="auto" w:fill="FFFFFF"/>
        </w:rPr>
        <w:t>Efni frumvarpsins er í samræmi við áform</w:t>
      </w:r>
      <w:r w:rsidR="00856C47">
        <w:rPr>
          <w:color w:val="242424"/>
          <w:shd w:val="clear" w:color="auto" w:fill="FFFFFF"/>
        </w:rPr>
        <w:t xml:space="preserve">in sem </w:t>
      </w:r>
      <w:r w:rsidR="00EB0BE6">
        <w:rPr>
          <w:color w:val="242424"/>
          <w:shd w:val="clear" w:color="auto" w:fill="FFFFFF"/>
        </w:rPr>
        <w:t>kynnt</w:t>
      </w:r>
      <w:r w:rsidRPr="009F5A03">
        <w:rPr>
          <w:color w:val="242424"/>
          <w:shd w:val="clear" w:color="auto" w:fill="FFFFFF"/>
        </w:rPr>
        <w:t xml:space="preserve"> </w:t>
      </w:r>
      <w:r w:rsidR="00856C47">
        <w:rPr>
          <w:color w:val="242424"/>
          <w:shd w:val="clear" w:color="auto" w:fill="FFFFFF"/>
        </w:rPr>
        <w:t>voru í samráðsgáttinni</w:t>
      </w:r>
      <w:r w:rsidRPr="009F5A03">
        <w:rPr>
          <w:color w:val="242424"/>
          <w:shd w:val="clear" w:color="auto" w:fill="FFFFFF"/>
        </w:rPr>
        <w:t xml:space="preserve"> </w:t>
      </w:r>
      <w:r w:rsidR="00034990" w:rsidRPr="009F5A03">
        <w:rPr>
          <w:color w:val="242424"/>
          <w:shd w:val="clear" w:color="auto" w:fill="FFFFFF"/>
        </w:rPr>
        <w:t xml:space="preserve">að því frátöldu að </w:t>
      </w:r>
      <w:r w:rsidR="00C55178">
        <w:rPr>
          <w:color w:val="242424"/>
          <w:shd w:val="clear" w:color="auto" w:fill="FFFFFF"/>
        </w:rPr>
        <w:t xml:space="preserve">í ljósi framkominnar gagnrýni var </w:t>
      </w:r>
      <w:r w:rsidR="00034990" w:rsidRPr="009F5A03">
        <w:rPr>
          <w:color w:val="242424"/>
          <w:shd w:val="clear" w:color="auto" w:fill="FFFFFF"/>
        </w:rPr>
        <w:t xml:space="preserve">horfið var frá því að </w:t>
      </w:r>
      <w:r w:rsidR="002E7847" w:rsidRPr="009F5A03">
        <w:rPr>
          <w:color w:val="242424"/>
          <w:shd w:val="clear" w:color="auto" w:fill="FFFFFF"/>
        </w:rPr>
        <w:t xml:space="preserve">leggja til boðaðar breytingar á </w:t>
      </w:r>
      <w:r w:rsidR="009F5A03" w:rsidRPr="009F5A03">
        <w:rPr>
          <w:color w:val="242424"/>
          <w:shd w:val="clear" w:color="auto" w:fill="FFFFFF"/>
        </w:rPr>
        <w:t xml:space="preserve">ákvæðum sem varða tryggingastærðfræðinga. </w:t>
      </w:r>
      <w:r w:rsidR="002171E7">
        <w:rPr>
          <w:color w:val="242424"/>
          <w:shd w:val="clear" w:color="auto" w:fill="FFFFFF"/>
        </w:rPr>
        <w:t xml:space="preserve">Þær breytingar </w:t>
      </w:r>
      <w:r w:rsidR="00BA1FFF">
        <w:rPr>
          <w:color w:val="242424"/>
          <w:shd w:val="clear" w:color="auto" w:fill="FFFFFF"/>
        </w:rPr>
        <w:t xml:space="preserve">sem lagðar eru til </w:t>
      </w:r>
      <w:r w:rsidR="00177F10">
        <w:rPr>
          <w:color w:val="242424"/>
          <w:shd w:val="clear" w:color="auto" w:fill="FFFFFF"/>
        </w:rPr>
        <w:t>og varða innr</w:t>
      </w:r>
      <w:r w:rsidR="00402BEC">
        <w:rPr>
          <w:color w:val="242424"/>
          <w:shd w:val="clear" w:color="auto" w:fill="FFFFFF"/>
        </w:rPr>
        <w:t>i</w:t>
      </w:r>
      <w:r w:rsidR="00177F10">
        <w:rPr>
          <w:color w:val="242424"/>
          <w:shd w:val="clear" w:color="auto" w:fill="FFFFFF"/>
        </w:rPr>
        <w:t xml:space="preserve"> endurskoðun</w:t>
      </w:r>
      <w:r w:rsidR="00402BEC">
        <w:rPr>
          <w:color w:val="242424"/>
          <w:shd w:val="clear" w:color="auto" w:fill="FFFFFF"/>
        </w:rPr>
        <w:t>, útvistun</w:t>
      </w:r>
      <w:r w:rsidR="00D62F61">
        <w:rPr>
          <w:color w:val="242424"/>
          <w:shd w:val="clear" w:color="auto" w:fill="FFFFFF"/>
        </w:rPr>
        <w:t>, lausafjárstýringu</w:t>
      </w:r>
      <w:r w:rsidR="00402BEC">
        <w:rPr>
          <w:color w:val="242424"/>
          <w:shd w:val="clear" w:color="auto" w:fill="FFFFFF"/>
        </w:rPr>
        <w:t xml:space="preserve"> og verðmat eru að mati ráðun</w:t>
      </w:r>
      <w:r w:rsidR="00C55178">
        <w:rPr>
          <w:color w:val="242424"/>
          <w:shd w:val="clear" w:color="auto" w:fill="FFFFFF"/>
        </w:rPr>
        <w:t xml:space="preserve">eytisins hæfilegt mótvægi </w:t>
      </w:r>
      <w:r w:rsidR="00981C0C">
        <w:rPr>
          <w:color w:val="242424"/>
          <w:shd w:val="clear" w:color="auto" w:fill="FFFFFF"/>
        </w:rPr>
        <w:t xml:space="preserve">við þeim </w:t>
      </w:r>
      <w:proofErr w:type="spellStart"/>
      <w:r w:rsidR="00981C0C">
        <w:rPr>
          <w:color w:val="242424"/>
          <w:shd w:val="clear" w:color="auto" w:fill="FFFFFF"/>
        </w:rPr>
        <w:t>rýmkunum</w:t>
      </w:r>
      <w:proofErr w:type="spellEnd"/>
      <w:r w:rsidR="00981C0C">
        <w:rPr>
          <w:color w:val="242424"/>
          <w:shd w:val="clear" w:color="auto" w:fill="FFFFFF"/>
        </w:rPr>
        <w:t xml:space="preserve"> á magntakmörkunum á fjárfestingum </w:t>
      </w:r>
      <w:r w:rsidR="00913B4C">
        <w:rPr>
          <w:color w:val="242424"/>
          <w:shd w:val="clear" w:color="auto" w:fill="FFFFFF"/>
        </w:rPr>
        <w:t xml:space="preserve">lífeyrissjóða </w:t>
      </w:r>
      <w:r w:rsidR="00FA12E8">
        <w:rPr>
          <w:color w:val="242424"/>
          <w:shd w:val="clear" w:color="auto" w:fill="FFFFFF"/>
        </w:rPr>
        <w:t xml:space="preserve">sem felast í frumvarpinu. </w:t>
      </w:r>
      <w:r w:rsidR="001946D3">
        <w:rPr>
          <w:color w:val="242424"/>
          <w:shd w:val="clear" w:color="auto" w:fill="FFFFFF"/>
        </w:rPr>
        <w:t>Við ú</w:t>
      </w:r>
      <w:r w:rsidR="003B5246">
        <w:rPr>
          <w:color w:val="242424"/>
          <w:shd w:val="clear" w:color="auto" w:fill="FFFFFF"/>
        </w:rPr>
        <w:t>t</w:t>
      </w:r>
      <w:r w:rsidR="001946D3">
        <w:rPr>
          <w:color w:val="242424"/>
          <w:shd w:val="clear" w:color="auto" w:fill="FFFFFF"/>
        </w:rPr>
        <w:t xml:space="preserve">færslu </w:t>
      </w:r>
      <w:r w:rsidR="007A3B35">
        <w:rPr>
          <w:color w:val="242424"/>
          <w:shd w:val="clear" w:color="auto" w:fill="FFFFFF"/>
        </w:rPr>
        <w:t>frumvarps</w:t>
      </w:r>
      <w:r w:rsidR="001946D3">
        <w:rPr>
          <w:color w:val="242424"/>
          <w:shd w:val="clear" w:color="auto" w:fill="FFFFFF"/>
        </w:rPr>
        <w:t xml:space="preserve">ákvæða var horft til ábendinga frá Kauphöllinni </w:t>
      </w:r>
      <w:r w:rsidR="00D52802">
        <w:rPr>
          <w:color w:val="242424"/>
          <w:shd w:val="clear" w:color="auto" w:fill="FFFFFF"/>
        </w:rPr>
        <w:t xml:space="preserve">en ekki </w:t>
      </w:r>
      <w:r w:rsidR="008131AA">
        <w:rPr>
          <w:color w:val="242424"/>
          <w:shd w:val="clear" w:color="auto" w:fill="FFFFFF"/>
        </w:rPr>
        <w:t xml:space="preserve">var </w:t>
      </w:r>
      <w:r w:rsidR="00D52802">
        <w:rPr>
          <w:color w:val="242424"/>
          <w:shd w:val="clear" w:color="auto" w:fill="FFFFFF"/>
        </w:rPr>
        <w:t xml:space="preserve">talið </w:t>
      </w:r>
      <w:r w:rsidR="00F4299A">
        <w:rPr>
          <w:color w:val="242424"/>
          <w:shd w:val="clear" w:color="auto" w:fill="FFFFFF"/>
        </w:rPr>
        <w:t>heppilegt</w:t>
      </w:r>
      <w:r w:rsidR="0081200F">
        <w:rPr>
          <w:color w:val="242424"/>
          <w:shd w:val="clear" w:color="auto" w:fill="FFFFFF"/>
        </w:rPr>
        <w:t xml:space="preserve"> að </w:t>
      </w:r>
      <w:r w:rsidR="00F4299A">
        <w:rPr>
          <w:color w:val="242424"/>
          <w:shd w:val="clear" w:color="auto" w:fill="FFFFFF"/>
        </w:rPr>
        <w:t xml:space="preserve">stíga frekari skref </w:t>
      </w:r>
      <w:r w:rsidR="008E5689">
        <w:rPr>
          <w:color w:val="242424"/>
          <w:shd w:val="clear" w:color="auto" w:fill="FFFFFF"/>
        </w:rPr>
        <w:t xml:space="preserve">við </w:t>
      </w:r>
      <w:proofErr w:type="spellStart"/>
      <w:r w:rsidR="008E5689">
        <w:rPr>
          <w:color w:val="242424"/>
          <w:shd w:val="clear" w:color="auto" w:fill="FFFFFF"/>
        </w:rPr>
        <w:t>rýmkun</w:t>
      </w:r>
      <w:proofErr w:type="spellEnd"/>
      <w:r w:rsidR="008E5689">
        <w:rPr>
          <w:color w:val="242424"/>
          <w:shd w:val="clear" w:color="auto" w:fill="FFFFFF"/>
        </w:rPr>
        <w:t xml:space="preserve"> magntakmarkana eða </w:t>
      </w:r>
      <w:r w:rsidR="00054EA5">
        <w:rPr>
          <w:color w:val="242424"/>
          <w:shd w:val="clear" w:color="auto" w:fill="FFFFFF"/>
        </w:rPr>
        <w:t>viðbætur við frumvarpið</w:t>
      </w:r>
      <w:r w:rsidR="00081DA6">
        <w:rPr>
          <w:color w:val="242424"/>
          <w:shd w:val="clear" w:color="auto" w:fill="FFFFFF"/>
        </w:rPr>
        <w:t xml:space="preserve"> að </w:t>
      </w:r>
      <w:r w:rsidR="00973EF5">
        <w:rPr>
          <w:color w:val="242424"/>
          <w:shd w:val="clear" w:color="auto" w:fill="FFFFFF"/>
        </w:rPr>
        <w:t>svo stöddu</w:t>
      </w:r>
      <w:r w:rsidR="00B26F30">
        <w:rPr>
          <w:color w:val="242424"/>
          <w:shd w:val="clear" w:color="auto" w:fill="FFFFFF"/>
        </w:rPr>
        <w:t xml:space="preserve">. </w:t>
      </w:r>
    </w:p>
    <w:p w14:paraId="1646AFC1" w14:textId="4CD2DB7C" w:rsidR="009E17BB" w:rsidRPr="009F5A03" w:rsidRDefault="00C1417D" w:rsidP="6D162992">
      <w:pPr>
        <w:rPr>
          <w:color w:val="242424"/>
          <w:shd w:val="clear" w:color="auto" w:fill="FFFFFF"/>
        </w:rPr>
      </w:pPr>
      <w:r>
        <w:rPr>
          <w:color w:val="242424"/>
          <w:shd w:val="clear" w:color="auto" w:fill="FFFFFF"/>
        </w:rPr>
        <w:t xml:space="preserve">Í frumvarpinu eru ekki lagðar til breytingar á </w:t>
      </w:r>
      <w:r w:rsidR="0096178D">
        <w:rPr>
          <w:color w:val="242424"/>
          <w:shd w:val="clear" w:color="auto" w:fill="FFFFFF"/>
        </w:rPr>
        <w:t>þeirri</w:t>
      </w:r>
      <w:r w:rsidR="009716E0">
        <w:rPr>
          <w:color w:val="242424"/>
          <w:shd w:val="clear" w:color="auto" w:fill="FFFFFF"/>
        </w:rPr>
        <w:t xml:space="preserve"> </w:t>
      </w:r>
      <w:r w:rsidR="00B510EE">
        <w:rPr>
          <w:color w:val="242424"/>
          <w:shd w:val="clear" w:color="auto" w:fill="FFFFFF"/>
        </w:rPr>
        <w:t>þrepaskipt</w:t>
      </w:r>
      <w:r w:rsidR="00EF23A6">
        <w:rPr>
          <w:color w:val="242424"/>
          <w:shd w:val="clear" w:color="auto" w:fill="FFFFFF"/>
        </w:rPr>
        <w:t>u</w:t>
      </w:r>
      <w:r w:rsidR="00B510EE">
        <w:rPr>
          <w:color w:val="242424"/>
          <w:shd w:val="clear" w:color="auto" w:fill="FFFFFF"/>
        </w:rPr>
        <w:t xml:space="preserve"> </w:t>
      </w:r>
      <w:r w:rsidR="00EF69F7">
        <w:rPr>
          <w:color w:val="242424"/>
          <w:shd w:val="clear" w:color="auto" w:fill="FFFFFF"/>
        </w:rPr>
        <w:t xml:space="preserve">árlegu </w:t>
      </w:r>
      <w:proofErr w:type="spellStart"/>
      <w:r w:rsidR="007C7E9E">
        <w:rPr>
          <w:color w:val="242424"/>
          <w:shd w:val="clear" w:color="auto" w:fill="FFFFFF"/>
        </w:rPr>
        <w:t>rýmkun</w:t>
      </w:r>
      <w:proofErr w:type="spellEnd"/>
      <w:r w:rsidR="007C7E9E">
        <w:rPr>
          <w:color w:val="242424"/>
          <w:shd w:val="clear" w:color="auto" w:fill="FFFFFF"/>
        </w:rPr>
        <w:t xml:space="preserve"> </w:t>
      </w:r>
      <w:r w:rsidR="00F17708">
        <w:rPr>
          <w:color w:val="242424"/>
          <w:shd w:val="clear" w:color="auto" w:fill="FFFFFF"/>
        </w:rPr>
        <w:t xml:space="preserve">sem </w:t>
      </w:r>
      <w:r w:rsidR="00364B29">
        <w:rPr>
          <w:color w:val="242424"/>
          <w:shd w:val="clear" w:color="auto" w:fill="FFFFFF"/>
        </w:rPr>
        <w:t>gildi</w:t>
      </w:r>
      <w:r w:rsidR="009D08F6">
        <w:rPr>
          <w:color w:val="242424"/>
          <w:shd w:val="clear" w:color="auto" w:fill="FFFFFF"/>
        </w:rPr>
        <w:t>r</w:t>
      </w:r>
      <w:r w:rsidR="00364B29">
        <w:rPr>
          <w:color w:val="242424"/>
          <w:shd w:val="clear" w:color="auto" w:fill="FFFFFF"/>
        </w:rPr>
        <w:t xml:space="preserve"> </w:t>
      </w:r>
      <w:r w:rsidR="003763F1">
        <w:rPr>
          <w:color w:val="242424"/>
          <w:shd w:val="clear" w:color="auto" w:fill="FFFFFF"/>
        </w:rPr>
        <w:t>um</w:t>
      </w:r>
      <w:r w:rsidR="004C2BCD">
        <w:rPr>
          <w:color w:val="242424"/>
          <w:shd w:val="clear" w:color="auto" w:fill="FFFFFF"/>
        </w:rPr>
        <w:t xml:space="preserve"> </w:t>
      </w:r>
      <w:r w:rsidR="009716E0">
        <w:rPr>
          <w:color w:val="242424"/>
          <w:shd w:val="clear" w:color="auto" w:fill="FFFFFF"/>
        </w:rPr>
        <w:t xml:space="preserve"> </w:t>
      </w:r>
      <w:r w:rsidR="007A4586">
        <w:rPr>
          <w:color w:val="242424"/>
          <w:shd w:val="clear" w:color="auto" w:fill="FFFFFF"/>
        </w:rPr>
        <w:t xml:space="preserve">heimildir </w:t>
      </w:r>
      <w:r w:rsidR="004C2BCD">
        <w:rPr>
          <w:color w:val="242424"/>
          <w:shd w:val="clear" w:color="auto" w:fill="FFFFFF"/>
        </w:rPr>
        <w:t>lífeyrissjóða</w:t>
      </w:r>
      <w:r w:rsidR="00640FDF">
        <w:rPr>
          <w:color w:val="242424"/>
          <w:shd w:val="clear" w:color="auto" w:fill="FFFFFF"/>
        </w:rPr>
        <w:t xml:space="preserve"> til </w:t>
      </w:r>
      <w:r w:rsidR="007A4586">
        <w:rPr>
          <w:color w:val="242424"/>
          <w:shd w:val="clear" w:color="auto" w:fill="FFFFFF"/>
        </w:rPr>
        <w:t>fjárfestinga í erlendum gjaldmiðlum</w:t>
      </w:r>
      <w:r w:rsidR="00CA47B1">
        <w:rPr>
          <w:color w:val="242424"/>
          <w:shd w:val="clear" w:color="auto" w:fill="FFFFFF"/>
        </w:rPr>
        <w:t xml:space="preserve">. Sú </w:t>
      </w:r>
      <w:proofErr w:type="spellStart"/>
      <w:r w:rsidR="00261EB8">
        <w:rPr>
          <w:color w:val="242424"/>
          <w:shd w:val="clear" w:color="auto" w:fill="FFFFFF"/>
        </w:rPr>
        <w:t>r</w:t>
      </w:r>
      <w:r w:rsidR="00421F33">
        <w:rPr>
          <w:color w:val="242424"/>
          <w:shd w:val="clear" w:color="auto" w:fill="FFFFFF"/>
        </w:rPr>
        <w:t>ýmkun</w:t>
      </w:r>
      <w:proofErr w:type="spellEnd"/>
      <w:r w:rsidR="00640FDF">
        <w:rPr>
          <w:color w:val="242424"/>
          <w:shd w:val="clear" w:color="auto" w:fill="FFFFFF"/>
        </w:rPr>
        <w:t xml:space="preserve"> nær til ársins 2036</w:t>
      </w:r>
      <w:r w:rsidR="004C2BCD">
        <w:rPr>
          <w:color w:val="242424"/>
          <w:shd w:val="clear" w:color="auto" w:fill="FFFFFF"/>
        </w:rPr>
        <w:t xml:space="preserve">. </w:t>
      </w:r>
      <w:r w:rsidR="00273033">
        <w:rPr>
          <w:color w:val="242424"/>
          <w:shd w:val="clear" w:color="auto" w:fill="FFFFFF"/>
        </w:rPr>
        <w:t xml:space="preserve">Eins og fram kemur í 2. kafla </w:t>
      </w:r>
      <w:r w:rsidR="00C97016">
        <w:rPr>
          <w:color w:val="242424"/>
          <w:shd w:val="clear" w:color="auto" w:fill="FFFFFF"/>
        </w:rPr>
        <w:t xml:space="preserve">var samhliða </w:t>
      </w:r>
      <w:r w:rsidR="008A5647">
        <w:rPr>
          <w:color w:val="242424"/>
          <w:shd w:val="clear" w:color="auto" w:fill="FFFFFF"/>
        </w:rPr>
        <w:t xml:space="preserve">lögfestingu </w:t>
      </w:r>
      <w:r w:rsidR="00B66863">
        <w:rPr>
          <w:color w:val="242424"/>
          <w:shd w:val="clear" w:color="auto" w:fill="FFFFFF"/>
        </w:rPr>
        <w:t>henn</w:t>
      </w:r>
      <w:r w:rsidR="008A5647">
        <w:rPr>
          <w:color w:val="242424"/>
          <w:shd w:val="clear" w:color="auto" w:fill="FFFFFF"/>
        </w:rPr>
        <w:t>ar árið 2023</w:t>
      </w:r>
      <w:r w:rsidR="00EB52E8">
        <w:rPr>
          <w:color w:val="242424"/>
          <w:shd w:val="clear" w:color="auto" w:fill="FFFFFF"/>
        </w:rPr>
        <w:t xml:space="preserve"> </w:t>
      </w:r>
      <w:r w:rsidR="00C22B0C">
        <w:rPr>
          <w:color w:val="242424"/>
          <w:shd w:val="clear" w:color="auto" w:fill="FFFFFF"/>
        </w:rPr>
        <w:t>ákveðið</w:t>
      </w:r>
      <w:r w:rsidR="009B2052">
        <w:rPr>
          <w:color w:val="242424"/>
          <w:shd w:val="clear" w:color="auto" w:fill="FFFFFF"/>
        </w:rPr>
        <w:t xml:space="preserve"> </w:t>
      </w:r>
      <w:r w:rsidR="00B050FB">
        <w:rPr>
          <w:color w:val="242424"/>
          <w:shd w:val="clear" w:color="auto" w:fill="FFFFFF"/>
        </w:rPr>
        <w:t>að ráðherra skuli</w:t>
      </w:r>
      <w:r w:rsidR="004C2BCD" w:rsidRPr="001E5B04">
        <w:t xml:space="preserve"> leggja mat á það </w:t>
      </w:r>
      <w:r w:rsidR="00BE776F">
        <w:t xml:space="preserve">eigi síðar en árið 2027 </w:t>
      </w:r>
      <w:r w:rsidR="004C2BCD" w:rsidRPr="001E5B04">
        <w:t xml:space="preserve">hvort tilefni sé til að leggja til aðrar </w:t>
      </w:r>
      <w:r w:rsidR="004C2BCD" w:rsidRPr="001E5B04">
        <w:lastRenderedPageBreak/>
        <w:t xml:space="preserve">breytingar á hlutföllum </w:t>
      </w:r>
      <w:r w:rsidR="003A75A9">
        <w:t xml:space="preserve">þess </w:t>
      </w:r>
      <w:r w:rsidR="004C2BCD" w:rsidRPr="001E5B04">
        <w:t>lágmarks</w:t>
      </w:r>
      <w:r w:rsidR="003A75A9">
        <w:t xml:space="preserve"> sem um það gildir</w:t>
      </w:r>
      <w:r w:rsidR="00111ED3">
        <w:t>.</w:t>
      </w:r>
      <w:r w:rsidR="0081200F">
        <w:t xml:space="preserve"> </w:t>
      </w:r>
      <w:r w:rsidR="003A75A9">
        <w:t xml:space="preserve">Gert er ráð fyrir að </w:t>
      </w:r>
      <w:r w:rsidR="00052359">
        <w:t xml:space="preserve">sú skoðun muni fara fram sérstaklega </w:t>
      </w:r>
      <w:r w:rsidR="004957D7">
        <w:t xml:space="preserve">og hefur hún ekki verið hluti af undirbúningi þessa </w:t>
      </w:r>
      <w:r w:rsidR="00F15B2B">
        <w:t>lagafrumvarps.</w:t>
      </w:r>
    </w:p>
    <w:p w14:paraId="285D2C77" w14:textId="43E133E5" w:rsidR="00D0740D" w:rsidRPr="00FF3822" w:rsidRDefault="00B50DCF" w:rsidP="6D162992">
      <w:pPr>
        <w:rPr>
          <w:color w:val="242424"/>
        </w:rPr>
      </w:pPr>
      <w:r w:rsidRPr="00FF3822">
        <w:rPr>
          <w:color w:val="242424"/>
          <w:shd w:val="clear" w:color="auto" w:fill="FFFFFF"/>
        </w:rPr>
        <w:t>Drög að frumvarpi voru kynnt í samráðsgát</w:t>
      </w:r>
      <w:r w:rsidR="009C62A0">
        <w:rPr>
          <w:color w:val="242424"/>
          <w:shd w:val="clear" w:color="auto" w:fill="FFFFFF"/>
        </w:rPr>
        <w:t>t</w:t>
      </w:r>
      <w:r w:rsidRPr="00FF3822">
        <w:rPr>
          <w:color w:val="242424"/>
          <w:shd w:val="clear" w:color="auto" w:fill="FFFFFF"/>
        </w:rPr>
        <w:t xml:space="preserve"> stjórnvalda </w:t>
      </w:r>
      <w:r w:rsidR="00D20188" w:rsidRPr="00FF3822">
        <w:rPr>
          <w:color w:val="242424"/>
          <w:shd w:val="clear" w:color="auto" w:fill="FFFFFF"/>
        </w:rPr>
        <w:t>26</w:t>
      </w:r>
      <w:r w:rsidRPr="00FF3822">
        <w:rPr>
          <w:color w:val="242424"/>
          <w:shd w:val="clear" w:color="auto" w:fill="FFFFFF"/>
        </w:rPr>
        <w:t>.</w:t>
      </w:r>
      <w:r w:rsidR="54FF9E2A" w:rsidRPr="00FF3822">
        <w:rPr>
          <w:color w:val="242424"/>
          <w:shd w:val="clear" w:color="auto" w:fill="FFFFFF"/>
        </w:rPr>
        <w:t xml:space="preserve"> febrúar </w:t>
      </w:r>
      <w:r w:rsidRPr="00FF3822">
        <w:rPr>
          <w:color w:val="242424"/>
          <w:shd w:val="clear" w:color="auto" w:fill="FFFFFF"/>
        </w:rPr>
        <w:t xml:space="preserve">2026 (mál nr. </w:t>
      </w:r>
      <w:proofErr w:type="spellStart"/>
      <w:r w:rsidR="00640D73" w:rsidRPr="00FF3822">
        <w:rPr>
          <w:color w:val="242424"/>
          <w:shd w:val="clear" w:color="auto" w:fill="FFFFFF"/>
        </w:rPr>
        <w:t>S-</w:t>
      </w:r>
      <w:r w:rsidR="008617AA" w:rsidRPr="00FF3822">
        <w:rPr>
          <w:color w:val="242424"/>
          <w:shd w:val="clear" w:color="auto" w:fill="FFFFFF"/>
        </w:rPr>
        <w:t>xx</w:t>
      </w:r>
      <w:proofErr w:type="spellEnd"/>
      <w:r w:rsidR="00F66B75" w:rsidRPr="00FF3822">
        <w:rPr>
          <w:color w:val="242424"/>
          <w:shd w:val="clear" w:color="auto" w:fill="FFFFFF"/>
        </w:rPr>
        <w:t>/2026</w:t>
      </w:r>
      <w:r w:rsidRPr="00FF3822">
        <w:rPr>
          <w:color w:val="242424"/>
        </w:rPr>
        <w:t>).</w:t>
      </w:r>
      <w:r w:rsidR="00901960">
        <w:rPr>
          <w:color w:val="242424"/>
        </w:rPr>
        <w:t xml:space="preserve"> </w:t>
      </w:r>
      <w:r w:rsidR="1FEAC831">
        <w:rPr>
          <w:color w:val="242424"/>
        </w:rPr>
        <w:t xml:space="preserve">Opið var fyrir umsóknir í samráðsgáttinni til </w:t>
      </w:r>
      <w:r w:rsidR="00901960">
        <w:rPr>
          <w:color w:val="242424"/>
        </w:rPr>
        <w:t xml:space="preserve"> 5. mars</w:t>
      </w:r>
      <w:r w:rsidR="2D6886ED">
        <w:rPr>
          <w:color w:val="242424"/>
        </w:rPr>
        <w:t xml:space="preserve"> 2026</w:t>
      </w:r>
      <w:r w:rsidR="00901960">
        <w:rPr>
          <w:color w:val="242424"/>
        </w:rPr>
        <w:t>.</w:t>
      </w:r>
    </w:p>
    <w:p w14:paraId="2B633508" w14:textId="77777777" w:rsidR="00B50DCF" w:rsidRDefault="00B50DCF" w:rsidP="00D0740D"/>
    <w:p w14:paraId="69DDCD2E" w14:textId="77777777" w:rsidR="00D0740D" w:rsidRDefault="00E71F27" w:rsidP="00D0740D">
      <w:pPr>
        <w:pStyle w:val="Millifyrirsgn1"/>
      </w:pPr>
      <w:r>
        <w:t>6</w:t>
      </w:r>
      <w:r w:rsidR="00D0740D">
        <w:t xml:space="preserve">. Mat á áhrifum. </w:t>
      </w:r>
    </w:p>
    <w:p w14:paraId="530F545F" w14:textId="7D5EA165" w:rsidR="00B50DCF" w:rsidRDefault="00B50DCF" w:rsidP="00BB0AFF">
      <w:pPr>
        <w:pStyle w:val="Millifyrirsgn2"/>
      </w:pPr>
      <w:r>
        <w:t xml:space="preserve">6.1. </w:t>
      </w:r>
      <w:r w:rsidRPr="00552834">
        <w:t>Áhrif á hagkerfið</w:t>
      </w:r>
      <w:r w:rsidR="00BB0AFF">
        <w:t>.</w:t>
      </w:r>
    </w:p>
    <w:p w14:paraId="674940AA" w14:textId="1EFCD460" w:rsidR="00BB3CFB" w:rsidRPr="005877CA" w:rsidRDefault="00BB3CFB" w:rsidP="00517B26">
      <w:r w:rsidRPr="005877CA">
        <w:t>Frumvarpið felur í sér tillögur að lagabreytingum sem styðja við möguleika lífeyrissjóða til þess að ávaxta eignir í eignasafni með sem bestu móti</w:t>
      </w:r>
      <w:r w:rsidR="00B64829">
        <w:t xml:space="preserve"> að teknu tilliti til áhættu</w:t>
      </w:r>
      <w:r w:rsidRPr="005877CA">
        <w:t>. Aukin ávöxtun gæti leitt til hærri lífeyristekna ellilífeyrisþega frá lífeyrissjóðum og minni útgjalda almannatrygginga hins opinbera.</w:t>
      </w:r>
      <w:r w:rsidR="005877CA">
        <w:t xml:space="preserve"> </w:t>
      </w:r>
      <w:r w:rsidRPr="005877CA">
        <w:t>Mikilvægt</w:t>
      </w:r>
      <w:r w:rsidR="00041F23">
        <w:t xml:space="preserve"> </w:t>
      </w:r>
      <w:r w:rsidRPr="005877CA">
        <w:t>er </w:t>
      </w:r>
      <w:r w:rsidR="00B92213">
        <w:t xml:space="preserve">að </w:t>
      </w:r>
      <w:r w:rsidRPr="005877CA">
        <w:t>lækka kostnað</w:t>
      </w:r>
      <w:r>
        <w:t xml:space="preserve"> </w:t>
      </w:r>
      <w:r w:rsidRPr="005877CA">
        <w:t>og fækka hindrunum sem</w:t>
      </w:r>
      <w:r w:rsidR="00041F23" w:rsidRPr="005877CA">
        <w:t xml:space="preserve"> </w:t>
      </w:r>
      <w:r w:rsidRPr="005877CA">
        <w:t>draga úr ávöxtunarmöguleikum sjóðanna, m.a. svo þeir geti staðið undir fyrirséðri vaxandi öldrunarbyrði.  </w:t>
      </w:r>
    </w:p>
    <w:p w14:paraId="0042B817" w14:textId="4B5D98C1" w:rsidR="00BB3CFB" w:rsidRPr="005877CA" w:rsidRDefault="00BB3CFB" w:rsidP="00517B26">
      <w:r w:rsidRPr="005877CA">
        <w:t>Ekki er fyrirséð að rýmri heimildir lífeyrissjóða til fjárfestinga hafi mikil áhrif til skamms tíma á verðbréfaviðskipti eða verðþróun á markaði. Þó standa vonir til þess að tillaga um heimild fyrir lífeyrissjóði til þess að lána verðbréf geti dýpkað verðbréfamarkað hér á landi og stuð</w:t>
      </w:r>
      <w:r w:rsidR="00841045">
        <w:t>l</w:t>
      </w:r>
      <w:r w:rsidRPr="005877CA">
        <w:t>að að bættri verðmyndun.  </w:t>
      </w:r>
    </w:p>
    <w:p w14:paraId="1A9D0746" w14:textId="7FD29CAA" w:rsidR="00BB3CFB" w:rsidRPr="005877CA" w:rsidRDefault="00BB3CFB" w:rsidP="00517B26">
      <w:proofErr w:type="spellStart"/>
      <w:r w:rsidRPr="005877CA">
        <w:t>Rýmkun</w:t>
      </w:r>
      <w:proofErr w:type="spellEnd"/>
      <w:r w:rsidRPr="005877CA">
        <w:t> heimilda til fjárfestingar lífeyrissjóða í óskráðum eignum er til þess fallin að efla getu þeirra til þátttöku í nýsköpunarverkefnum. Nýsköpunar- og sprotafyrirtæki hafa yfirleitt ekki aðgengi að fjármögnun á skráðum mörkuðum fyrr en á síðari stigum lífsferils síns. Nýsköpun getur stutt við aukna framleiðni hagkerfisins sem stutt getur við lífsgæði íbúa landsins. </w:t>
      </w:r>
    </w:p>
    <w:p w14:paraId="611ACBAC" w14:textId="77777777" w:rsidR="00B50DCF" w:rsidRPr="005877CA" w:rsidRDefault="00B50DCF" w:rsidP="00B50DCF">
      <w:pPr>
        <w:keepNext/>
        <w:ind w:firstLine="0"/>
        <w:rPr>
          <w:color w:val="242424"/>
        </w:rPr>
      </w:pPr>
    </w:p>
    <w:p w14:paraId="2781999B" w14:textId="3262A225" w:rsidR="00B50DCF" w:rsidRDefault="00B50DCF" w:rsidP="00BB0AFF">
      <w:pPr>
        <w:pStyle w:val="Millifyrirsgn2"/>
      </w:pPr>
      <w:r>
        <w:t>6.2</w:t>
      </w:r>
      <w:r w:rsidRPr="007A00F9">
        <w:t>. Áhrif á lífeyrissjóði</w:t>
      </w:r>
      <w:r w:rsidR="00BB0AFF">
        <w:t>.</w:t>
      </w:r>
    </w:p>
    <w:p w14:paraId="0B02E6F5" w14:textId="1E856597" w:rsidR="00E83153" w:rsidRPr="00E83153" w:rsidRDefault="00E83153" w:rsidP="00517B26">
      <w:r w:rsidRPr="00E83153">
        <w:t xml:space="preserve">Markmið tillagnanna er að gera umbætur á umgjörð um fjárfestingar lífeyrissjóða og gera þeim betur kleift að beita skynsemisreglu við stýringu eigna sjóðfélaga þannig að taka megi með sem bestum hætti tillit til aðstæðna og samsetningar hvers lífeyrissjóðs. Með því móti eru líkur á að eignir lífeyrissjóðs geti </w:t>
      </w:r>
      <w:r w:rsidR="00847035">
        <w:t xml:space="preserve">betur </w:t>
      </w:r>
      <w:r w:rsidRPr="00E83153">
        <w:t>staðið undir</w:t>
      </w:r>
      <w:r w:rsidR="00847035">
        <w:t xml:space="preserve"> greiðslu lífeyris</w:t>
      </w:r>
      <w:r w:rsidRPr="00E83153">
        <w:t>.   </w:t>
      </w:r>
    </w:p>
    <w:p w14:paraId="0962EC92" w14:textId="469BB9B0" w:rsidR="00E83153" w:rsidRPr="00E83153" w:rsidRDefault="00E83153" w:rsidP="00517B26">
      <w:r w:rsidRPr="00E83153">
        <w:t xml:space="preserve">​Með breytingunum sem lagðar eru til er </w:t>
      </w:r>
      <w:r w:rsidR="00ED3290">
        <w:t>lögð minni áhersla á</w:t>
      </w:r>
      <w:r w:rsidRPr="00E83153">
        <w:t xml:space="preserve"> formsskilyrð</w:t>
      </w:r>
      <w:r w:rsidR="00ED3290">
        <w:t>i</w:t>
      </w:r>
      <w:r w:rsidRPr="00E83153">
        <w:t xml:space="preserve"> fjárfestinga þannig að fjárfestingar lífeyrissjóða taki betur mið af raunverulegri áhættu undirliggjandi eignar. Þó nokkur kostnaður hefur fallið til hjá lífeyrissjóðum við að uppfylla formsskilyrði núgildandi laga við fjárfestingar lífeyrissjóða, án þess þó að það hafi áhrif á raunverulega áhættu fjárfestinga. Ætlunin er að draga úr þeim kostnaði og auka hagræðingartækifæri lífeyrissjóða með þessu frumvarpi. </w:t>
      </w:r>
    </w:p>
    <w:p w14:paraId="331A4CEB" w14:textId="246EC685" w:rsidR="00E83153" w:rsidRPr="00E83153" w:rsidRDefault="00E83153" w:rsidP="00517B26">
      <w:r w:rsidRPr="00E83153">
        <w:t>Í frumvarpinu felast jafnframt tillögur að breyttum reglum um rekstur, innra eftirlit og innri endurskoðun lífeyrissjóða sem gætu fjölgað eftirlitsverkefnum í lífeyrissjóðum.</w:t>
      </w:r>
      <w:r>
        <w:t> </w:t>
      </w:r>
      <w:r w:rsidRPr="00E83153">
        <w:t> </w:t>
      </w:r>
    </w:p>
    <w:p w14:paraId="6CD31EF0" w14:textId="77777777" w:rsidR="00442D97" w:rsidRPr="00E83153" w:rsidRDefault="00442D97" w:rsidP="00517B26"/>
    <w:p w14:paraId="06E09933" w14:textId="0CF32210" w:rsidR="00B50DCF" w:rsidRDefault="00B50DCF" w:rsidP="00BB0AFF">
      <w:pPr>
        <w:pStyle w:val="Millifyrirsgn2"/>
      </w:pPr>
      <w:r w:rsidRPr="00375F07">
        <w:t>6.3. Áhrif á sjóðfélaga</w:t>
      </w:r>
      <w:r w:rsidR="00BB0AFF">
        <w:t>.</w:t>
      </w:r>
    </w:p>
    <w:p w14:paraId="120DBDA7" w14:textId="23819917" w:rsidR="007F1019" w:rsidRDefault="00A501A8" w:rsidP="00B50DCF">
      <w:pPr>
        <w:keepNext/>
        <w:ind w:firstLine="0"/>
      </w:pPr>
      <w:r w:rsidRPr="00A501A8">
        <w:t>Tillögur frumvarpsins miða að því að lífeyrissjóðir hafi tækifæri til þess að ávaxta eignasöfn með sem bestum hætti innan marka skynsemisreglunnar. Aukin ávöxtun eignasafna getur leitt til hærri lífeyrisréttinda. </w:t>
      </w:r>
    </w:p>
    <w:p w14:paraId="267B9A37" w14:textId="77777777" w:rsidR="00442D97" w:rsidRDefault="00442D97" w:rsidP="00B50DCF">
      <w:pPr>
        <w:keepNext/>
        <w:ind w:firstLine="0"/>
        <w:rPr>
          <w:i/>
          <w:iCs/>
        </w:rPr>
      </w:pPr>
    </w:p>
    <w:p w14:paraId="66CC2791" w14:textId="666E7143" w:rsidR="007F1019" w:rsidRDefault="007F1019" w:rsidP="00BB0AFF">
      <w:pPr>
        <w:pStyle w:val="Millifyrirsgn2"/>
      </w:pPr>
      <w:r>
        <w:t>6.</w:t>
      </w:r>
      <w:r w:rsidR="00E83DD2">
        <w:t>4. Áhrif á jafnrétti kynjanna</w:t>
      </w:r>
      <w:r w:rsidR="00BB0AFF">
        <w:t>.</w:t>
      </w:r>
    </w:p>
    <w:p w14:paraId="60BE6179" w14:textId="77777777" w:rsidR="00045CDA" w:rsidRPr="00045CDA" w:rsidRDefault="00045CDA" w:rsidP="00517B26">
      <w:r w:rsidRPr="00517B26">
        <w:t>Aldraðar konur hafa almennt lægri tekjur en aldraðir karlar. </w:t>
      </w:r>
      <w:r w:rsidRPr="00045CDA">
        <w:t>Bil milli lífeyristekna karla og kvenna er u.þ.b. 5% á Íslandi, sem er það minnsta á öllum Norðurlöndunum og meðal þess minnsta sem þekkist innan OECD.  </w:t>
      </w:r>
    </w:p>
    <w:p w14:paraId="02AE4FA7" w14:textId="77777777" w:rsidR="00045CDA" w:rsidRPr="00045CDA" w:rsidRDefault="00045CDA" w:rsidP="00517B26">
      <w:r w:rsidRPr="00045CDA">
        <w:lastRenderedPageBreak/>
        <w:t>​Þær breytingar sem lagðar eru til í frumvarpinu eru ekki taldar hafa í för með sér áhrif á jafnrétti kynjanna umfram núgildandi lög.  </w:t>
      </w:r>
    </w:p>
    <w:p w14:paraId="68A347C7" w14:textId="77777777" w:rsidR="00B50DCF" w:rsidRDefault="00B50DCF" w:rsidP="00B50DCF">
      <w:pPr>
        <w:ind w:firstLine="0"/>
      </w:pPr>
    </w:p>
    <w:p w14:paraId="0F9FBF71" w14:textId="7C2C7D25" w:rsidR="00B50DCF" w:rsidRPr="00A341A4" w:rsidRDefault="00B50DCF" w:rsidP="00BB0AFF">
      <w:pPr>
        <w:pStyle w:val="Millifyrirsgn2"/>
      </w:pPr>
      <w:r>
        <w:t>6.</w:t>
      </w:r>
      <w:r w:rsidR="00E83DD2">
        <w:t>5</w:t>
      </w:r>
      <w:r>
        <w:t xml:space="preserve">. </w:t>
      </w:r>
      <w:r w:rsidRPr="00A341A4">
        <w:t>Áhrif á stjórnsýslu</w:t>
      </w:r>
      <w:r w:rsidR="00BB0AFF">
        <w:t>.</w:t>
      </w:r>
    </w:p>
    <w:p w14:paraId="2AF83897" w14:textId="5880C862" w:rsidR="00B50DCF" w:rsidRDefault="00CA6B69" w:rsidP="002A1136">
      <w:r w:rsidRPr="00CA6B69">
        <w:t>Áhrif innan stjórnsýslunnar verða einkum á Fjármálaeftirlitið innan Seðlabankans. Í frumvarpinu felast tillögur að breyttum reglum um rekstur, innra eftirlit og innri endurskoðun lífeyrissjóða sem gætu leitt til fleiri eftirlitsverkefna hjá Fjármálaeftirlitinu. Eftirlitið er talið í stakk búið til að takast á við áformaðar breytingar.  </w:t>
      </w:r>
    </w:p>
    <w:p w14:paraId="0718265D" w14:textId="77777777" w:rsidR="00442D97" w:rsidRDefault="00442D97" w:rsidP="00B50DCF">
      <w:pPr>
        <w:ind w:firstLine="0"/>
      </w:pPr>
    </w:p>
    <w:p w14:paraId="42516124" w14:textId="51C9FA0A" w:rsidR="00B50DCF" w:rsidRDefault="00B50DCF" w:rsidP="00BB0AFF">
      <w:pPr>
        <w:pStyle w:val="Millifyrirsgn2"/>
      </w:pPr>
      <w:r>
        <w:t>6.</w:t>
      </w:r>
      <w:r w:rsidR="00E83DD2">
        <w:t>6</w:t>
      </w:r>
      <w:r>
        <w:t xml:space="preserve">. </w:t>
      </w:r>
      <w:r w:rsidRPr="002158CC">
        <w:t>Áhrif á ríkissjóð</w:t>
      </w:r>
      <w:r w:rsidR="00BB0AFF">
        <w:t>.</w:t>
      </w:r>
    </w:p>
    <w:p w14:paraId="110D325A" w14:textId="1E8F5B57" w:rsidR="00B50DCF" w:rsidRDefault="00990134" w:rsidP="00517B26">
      <w:r w:rsidRPr="00990134">
        <w:t>Hærri ávöxtun eigna lífeyrissjóðanna og aukin réttindi úr þeim gætu leitt til lægri greiðslna lífeyris úr almannatryggingum. Hver þau áhrif gætu orðið er ekki fyrirséð. Þá er ekki hægt að útiloka breytingar á tekjum í framtíðinni, s.s. á eftirlitsgjaldinu sem stendur undir starfsemi Fjármálaeftirlitsins. </w:t>
      </w:r>
    </w:p>
    <w:p w14:paraId="72CB60F6" w14:textId="77777777" w:rsidR="00D0740D" w:rsidRDefault="00D0740D" w:rsidP="00943B67"/>
    <w:p w14:paraId="43C0C49C" w14:textId="77777777" w:rsidR="00431B08" w:rsidRDefault="00431B08" w:rsidP="00431B08">
      <w:pPr>
        <w:pStyle w:val="Greinarnmer"/>
      </w:pPr>
      <w:r>
        <w:t>Um 1. gr.</w:t>
      </w:r>
    </w:p>
    <w:p w14:paraId="55436EBC" w14:textId="77777777" w:rsidR="00431B08" w:rsidRDefault="00431B08" w:rsidP="00431B08">
      <w:r>
        <w:rPr>
          <w:i/>
          <w:iCs/>
        </w:rPr>
        <w:t xml:space="preserve">Um a-lið. </w:t>
      </w:r>
      <w:r>
        <w:t xml:space="preserve">Lagt er til að skerpt verði á óhæði þess sem annast innri endurskoðun til þess að stuðla að því að greining og ráðgjöf hans verði óháð og hlutlæg. </w:t>
      </w:r>
      <w:r w:rsidRPr="00674A98">
        <w:t xml:space="preserve">Ef innri endurskoðandi er starfsmaður </w:t>
      </w:r>
      <w:r>
        <w:t>lífeyrissjóð</w:t>
      </w:r>
      <w:r w:rsidRPr="00674A98">
        <w:t>sins skal hann svara beint til stjórnar og starfa óháð þeim einingum sem hann endurskoðar. Hann skal ekki annast önnur störf nema tryggt sé að þau skerði ekki óhæði hans. Laun hans mega ekki byggjast á árangri þeirra eininga sem hann endurskoðar. Ekki má fela endurskoðanda eða endurskoðunarfyrirtæki sem sinnir ytri endurskoðun að sinna innri endurskoðun.</w:t>
      </w:r>
    </w:p>
    <w:p w14:paraId="16FC08E0" w14:textId="77777777" w:rsidR="00431B08" w:rsidRDefault="00431B08" w:rsidP="00431B08">
      <w:r>
        <w:rPr>
          <w:i/>
          <w:iCs/>
        </w:rPr>
        <w:t xml:space="preserve">Um </w:t>
      </w:r>
      <w:proofErr w:type="spellStart"/>
      <w:r>
        <w:rPr>
          <w:i/>
          <w:iCs/>
        </w:rPr>
        <w:t>b-lið</w:t>
      </w:r>
      <w:proofErr w:type="spellEnd"/>
      <w:r>
        <w:rPr>
          <w:i/>
          <w:iCs/>
        </w:rPr>
        <w:t xml:space="preserve">. </w:t>
      </w:r>
      <w:r>
        <w:t>Lagt til að í stað þess að mæla fyrir um að eftirlitsaðili geti verið löggiltur endurskoðandi eða sá sem hlotið hefur viðurkenningu Fjármálaeftirlitsins verði kveðið á um að hann hafi sérþekkingu á sviði innri endurskoðunar.</w:t>
      </w:r>
      <w:r w:rsidRPr="00CC6FBC">
        <w:t xml:space="preserve"> Almennt má ætla að það eigi við um endurskoðendur og endurskoðunarfyrirtæki samkvæmt lögum um endurskoðendur og endurskoðun, nr. 94/2019, og þá sem hafa viðurkennda fagvottun á sviði innri endurskoðunar. Aðrir kunna þó einnig að búa yfir nauðsynlegri sérþekkingu á innri endurskoðun.</w:t>
      </w:r>
      <w:r>
        <w:t xml:space="preserve"> Þá verði tekið fram að Fjármálaeftirlitið geti hvenær sem er tekið hæfi viðkomandi til skoðunar telji það tilefni til þess.</w:t>
      </w:r>
    </w:p>
    <w:p w14:paraId="5DED4666" w14:textId="77777777" w:rsidR="00431B08" w:rsidRPr="00C46F53" w:rsidRDefault="00431B08" w:rsidP="00431B08">
      <w:r w:rsidRPr="00C46F53">
        <w:rPr>
          <w:i/>
          <w:iCs/>
        </w:rPr>
        <w:t xml:space="preserve">Um </w:t>
      </w:r>
      <w:proofErr w:type="spellStart"/>
      <w:r w:rsidRPr="00C46F53">
        <w:rPr>
          <w:i/>
          <w:iCs/>
        </w:rPr>
        <w:t>c-lið</w:t>
      </w:r>
      <w:proofErr w:type="spellEnd"/>
      <w:r w:rsidRPr="00C46F53">
        <w:rPr>
          <w:i/>
          <w:iCs/>
        </w:rPr>
        <w:t xml:space="preserve">. </w:t>
      </w:r>
      <w:r w:rsidRPr="00C46F53">
        <w:t xml:space="preserve">Lagt er til að lífeyrissjóðum verði skylt að hafa starfsmann í sinni þjónustu </w:t>
      </w:r>
      <w:r w:rsidRPr="00C46F53">
        <w:rPr>
          <w:shd w:val="clear" w:color="auto" w:fill="FFFFFF"/>
        </w:rPr>
        <w:t>sem er hæfur til þess að annast ráðgjöf til stjórnar um fylgni við lög og stjórnvaldsfyrirmæli sem gilda um starfsemi sjóðsins</w:t>
      </w:r>
      <w:r w:rsidRPr="00BD3D7B">
        <w:rPr>
          <w:shd w:val="clear" w:color="auto" w:fill="FFFFFF"/>
        </w:rPr>
        <w:t xml:space="preserve"> </w:t>
      </w:r>
      <w:r w:rsidRPr="00F17934">
        <w:rPr>
          <w:shd w:val="clear" w:color="auto" w:fill="FFFFFF"/>
        </w:rPr>
        <w:t>og um áhrif breytinga á lögum og stjórnvaldsfyrirmælum á starfsemi sjóðsins</w:t>
      </w:r>
      <w:r w:rsidRPr="00C46F53">
        <w:rPr>
          <w:shd w:val="clear" w:color="auto" w:fill="FFFFFF"/>
        </w:rPr>
        <w:t>. Lagaumhverfi lífeyrissjóða hefur orðið flóknara með tímanum. Þeir þurfa ekki aðeins að gæta ákvæða laga um skyldutryggingu lífeyrisréttinda og starfsemi lífeyrissjóða og stjórnvaldsfyrirmæla sem eru sett á grundvelli þeirra heldur að margvíslegri annarri löggjöf, svo sem um verðbréfaviðskipti, sjálfbærniupplýsingar og stafrænt öryggi. Því er orðið brýnna en áður að stjórnir lífeyrissjóða hafi aðgang að sérhæfðri ráðgjöf um fylgni við lög og stjórnvaldsfyrirmæli sem gilda um starfsemi þeirra</w:t>
      </w:r>
      <w:r>
        <w:rPr>
          <w:shd w:val="clear" w:color="auto" w:fill="FFFFFF"/>
        </w:rPr>
        <w:t xml:space="preserve"> og um breytingar á þeirri löggjöf</w:t>
      </w:r>
      <w:r w:rsidRPr="00C46F53">
        <w:rPr>
          <w:shd w:val="clear" w:color="auto" w:fill="FFFFFF"/>
        </w:rPr>
        <w:t xml:space="preserve">. </w:t>
      </w:r>
      <w:r>
        <w:rPr>
          <w:shd w:val="clear" w:color="auto" w:fill="FFFFFF"/>
        </w:rPr>
        <w:t xml:space="preserve">Viðkomandi gæti einnig komið að mati áhættustýringar lífeyrissjóðs á hlítingaráhættu, sem er hætta á tjóni vegna brota á lögum, stjórnvaldsfyrirmælum, samþykktum og öðrum viðmiðum sem sjóði ber að fara eftir og er liður í rekstraráhættu. </w:t>
      </w:r>
      <w:r w:rsidRPr="00C46F53">
        <w:rPr>
          <w:shd w:val="clear" w:color="auto" w:fill="FFFFFF"/>
        </w:rPr>
        <w:t xml:space="preserve">Ekki er áskilið að viðkomandi starfi eingöngu við ráðgjöf </w:t>
      </w:r>
      <w:r>
        <w:rPr>
          <w:shd w:val="clear" w:color="auto" w:fill="FFFFFF"/>
        </w:rPr>
        <w:t xml:space="preserve">samkvæmt ákvæðinu </w:t>
      </w:r>
      <w:r w:rsidRPr="00C46F53">
        <w:rPr>
          <w:shd w:val="clear" w:color="auto" w:fill="FFFFFF"/>
        </w:rPr>
        <w:t>né að hann sé starfsmaður viðkomandi sjóðs. Þannig kæmi t.d. til greina að kaupa slíka þjónustu frá utanaðkomandi aðila.</w:t>
      </w:r>
    </w:p>
    <w:p w14:paraId="3CABCE46" w14:textId="77777777" w:rsidR="00A141B9" w:rsidRDefault="00A141B9" w:rsidP="00943B67"/>
    <w:p w14:paraId="1F5F26CF" w14:textId="77777777" w:rsidR="00431B08" w:rsidRDefault="00431B08" w:rsidP="00431B08">
      <w:pPr>
        <w:pStyle w:val="Greinarnmer"/>
      </w:pPr>
      <w:r>
        <w:lastRenderedPageBreak/>
        <w:t>Um 2. gr.</w:t>
      </w:r>
    </w:p>
    <w:p w14:paraId="20608867" w14:textId="77777777" w:rsidR="00431B08" w:rsidRDefault="00431B08" w:rsidP="00431B08">
      <w:r>
        <w:t xml:space="preserve">Ákvæði 1. mgr. setur útvistun á starfsemi lífeyrissjóða lágmarksskilyrði til að hún komi ekki niður á starfsemi sjóðanna, eftirliti Fjármálaeftirlitsins eða þjónustu við sjóðfélaga. Skilyrðin byggjast á ákvæðum 2. mgr. 22. gr. laga </w:t>
      </w:r>
      <w:r w:rsidRPr="001F1E49">
        <w:t>um starfstengda eftirlaunasjóði</w:t>
      </w:r>
      <w:r>
        <w:t>, nr. 74/2025. Umfang og eðli þeirra verkefna sem lífeyrissjóðir kjósa að útvista er breytilegt eftir sjóðum og mikilvægi þeirra er mismunandi með tilliti til starfsemi og lögbundins hlutverks lífeyrissjóða. Mikilvægt er að lífeyrissjóður auðkenni slík verkefni og tryggi að útvistun þeirra rýri ekki virkt eftirlit né leiði til óhóflegrar aukningar á rekstraráhættu. Í öllum tilvikum ber stjórn lífeyrissjóðs ábyrgð á verkefnum og því að</w:t>
      </w:r>
      <w:r w:rsidRPr="00C27D2C">
        <w:t xml:space="preserve"> </w:t>
      </w:r>
      <w:r>
        <w:t xml:space="preserve">farið sé að lögum </w:t>
      </w:r>
      <w:r w:rsidRPr="00A2741C">
        <w:t>um skyldutryggingu lífeyrisréttinda og starfsemi lífeyrissjóða</w:t>
      </w:r>
      <w:r>
        <w:t xml:space="preserve"> og annarri löggjöf sem gildir um starfsemi sjóðsins, </w:t>
      </w:r>
      <w:r w:rsidRPr="00F66F66">
        <w:t xml:space="preserve">hvort sem </w:t>
      </w:r>
      <w:r>
        <w:t>verkefnum</w:t>
      </w:r>
      <w:r w:rsidRPr="00F66F66">
        <w:t xml:space="preserve"> er </w:t>
      </w:r>
      <w:proofErr w:type="spellStart"/>
      <w:r w:rsidRPr="00F66F66">
        <w:t>útvistað</w:t>
      </w:r>
      <w:proofErr w:type="spellEnd"/>
      <w:r w:rsidRPr="00F66F66">
        <w:t xml:space="preserve"> eða ek</w:t>
      </w:r>
      <w:r>
        <w:t>ki. Af því leiðir að tryggja þarf fullnægjandi þekkingu innan lífeyrissjóðsins til að sinna virku eftirliti og eftirfylgni með útlistuðum verkefnum.</w:t>
      </w:r>
    </w:p>
    <w:p w14:paraId="325D898C" w14:textId="77777777" w:rsidR="00431B08" w:rsidRDefault="00431B08" w:rsidP="00431B08">
      <w:r>
        <w:t xml:space="preserve">Í 2. mgr. er lífeyrissjóðum falið að tilkynna </w:t>
      </w:r>
      <w:r w:rsidRPr="0053447D">
        <w:t xml:space="preserve">Fjármálaeftirlitinu fyrir fram um útvistun mikilvægra verkefna </w:t>
      </w:r>
      <w:r>
        <w:t xml:space="preserve">og um breytingar þar á til að auðvelda Fjármálaeftirlitinu að hafa eftirlit með útvistuninni og þeim verkefnum sem er úthlutað. Við mat á því hvað teljist til mikilvægra verkefna er unnt að líta til leiðbeinandi tilmæla Seðlabanka Íslands um útvistun, nr. 1/2025. Þar kemur fram að til mikilvægra verkefna teljist lykilsstarfssvið eftirlitsskyldra aðila, </w:t>
      </w:r>
      <w:r w:rsidRPr="008A15BA">
        <w:t>t.a.m. eigna- og áhættustýring, og þegar við á innri endurskoðun, regluvarsla og starfssvið tryggingastærðfræðings</w:t>
      </w:r>
      <w:r>
        <w:t>, ö</w:t>
      </w:r>
      <w:r w:rsidRPr="0091150B">
        <w:t>nnur verkefni sem eru nauðsynleg til að eftirlitsskyldur aðili geti tryggt rekstrarsamfellu og/eða uppfyllt skyldur samkvæmt lögum og stjórnvaldsfyrirmælum</w:t>
      </w:r>
      <w:r>
        <w:t xml:space="preserve">, önnur </w:t>
      </w:r>
      <w:r w:rsidRPr="0091150B">
        <w:t>starfsemi sem krefst starfsleyfis</w:t>
      </w:r>
      <w:r>
        <w:t xml:space="preserve"> og verkefni </w:t>
      </w:r>
      <w:r w:rsidRPr="00E77315">
        <w:t>sem hafa veruleg áhrif á m.a. áhættustýringu og fjárhagslega afkomu eftirlitsskylds aðila</w:t>
      </w:r>
      <w:r>
        <w:t>.</w:t>
      </w:r>
    </w:p>
    <w:p w14:paraId="256B02B2" w14:textId="77777777" w:rsidR="00431B08" w:rsidRDefault="00431B08" w:rsidP="00431B08">
      <w:pPr>
        <w:rPr>
          <w:color w:val="242424"/>
          <w:shd w:val="clear" w:color="auto" w:fill="FFFFFF"/>
        </w:rPr>
      </w:pPr>
    </w:p>
    <w:p w14:paraId="155325D5" w14:textId="77777777" w:rsidR="00431B08" w:rsidRDefault="00431B08" w:rsidP="00431B08">
      <w:pPr>
        <w:pStyle w:val="Greinarnmer"/>
      </w:pPr>
      <w:r>
        <w:t>Um 3. gr.</w:t>
      </w:r>
    </w:p>
    <w:p w14:paraId="31DF1494" w14:textId="77777777" w:rsidR="00431B08" w:rsidRDefault="00431B08" w:rsidP="00431B08">
      <w:pPr>
        <w:rPr>
          <w:color w:val="242424"/>
          <w:shd w:val="clear" w:color="auto" w:fill="FFFFFF"/>
        </w:rPr>
      </w:pPr>
      <w:r>
        <w:t xml:space="preserve">Í 5. tölul. 1. mgr. greinarinnar er lífeyrissjóðum nú falið að setja sér siðferðisleg viðmið í fjárfestingum. Lagt er til að þess í stað verði tekið af skarið um að lífeyrissjóðum sé heimilt </w:t>
      </w:r>
      <w:r w:rsidRPr="00EE5159">
        <w:rPr>
          <w:color w:val="242424"/>
          <w:shd w:val="clear" w:color="auto" w:fill="FFFFFF"/>
        </w:rPr>
        <w:t xml:space="preserve">að taka tillit til áhrifa </w:t>
      </w:r>
      <w:r>
        <w:rPr>
          <w:color w:val="242424"/>
          <w:shd w:val="clear" w:color="auto" w:fill="FFFFFF"/>
        </w:rPr>
        <w:t>fjárfestinga</w:t>
      </w:r>
      <w:r w:rsidRPr="00EE5159">
        <w:rPr>
          <w:color w:val="242424"/>
          <w:shd w:val="clear" w:color="auto" w:fill="FFFFFF"/>
        </w:rPr>
        <w:t xml:space="preserve"> á umhverfisþætti og félagslega þætti auk stjórnarhátta</w:t>
      </w:r>
      <w:r>
        <w:rPr>
          <w:color w:val="242424"/>
          <w:shd w:val="clear" w:color="auto" w:fill="FFFFFF"/>
        </w:rPr>
        <w:t xml:space="preserve">. </w:t>
      </w:r>
      <w:r w:rsidRPr="001D1216">
        <w:rPr>
          <w:color w:val="242424"/>
          <w:shd w:val="clear" w:color="auto" w:fill="FFFFFF"/>
        </w:rPr>
        <w:t xml:space="preserve">Ákvæðið breytir ekki þeim meginreglum sem fram koma í 1.–4. tölul. </w:t>
      </w:r>
      <w:r>
        <w:rPr>
          <w:color w:val="242424"/>
          <w:shd w:val="clear" w:color="auto" w:fill="FFFFFF"/>
        </w:rPr>
        <w:t>málsgreinarinnar</w:t>
      </w:r>
      <w:r w:rsidRPr="001D1216">
        <w:rPr>
          <w:color w:val="242424"/>
          <w:shd w:val="clear" w:color="auto" w:fill="FFFFFF"/>
        </w:rPr>
        <w:t>. Heimildin felur einungis í sér að lífeyrissjóði sé unnt að taka tillit til umhverfis</w:t>
      </w:r>
      <w:r>
        <w:rPr>
          <w:color w:val="242424"/>
          <w:shd w:val="clear" w:color="auto" w:fill="FFFFFF"/>
        </w:rPr>
        <w:t>þátta</w:t>
      </w:r>
      <w:r w:rsidRPr="001D1216">
        <w:rPr>
          <w:color w:val="242424"/>
          <w:shd w:val="clear" w:color="auto" w:fill="FFFFFF"/>
        </w:rPr>
        <w:t xml:space="preserve">, félagslegra þátta og stjórnarhátta sem hluta af </w:t>
      </w:r>
      <w:r>
        <w:rPr>
          <w:color w:val="242424"/>
          <w:shd w:val="clear" w:color="auto" w:fill="FFFFFF"/>
        </w:rPr>
        <w:t>mati á þáttum skv. 1. mgr., þar á meðal við ákvarðanir um hvernig þeir fjárfesta og hvernig þeir beita sér gagnvart félögum sem þeir hafa fjárfest í, m.a. við nýtingu atkvæðisréttar í hlutafélögum. Umhverfisþættir geta t.d. snúið að loftslagsbreytingum, mengun, sorpi, líffræðilegri fjölbreytni, landnotkun og meðferð dýra; félagslegir þættir t.d. að mannréttindum, persónuvernd, mismunun og vinnuvernd; og stjórnarhættir að ýmsum þáttum sem varða það hvernig fyrirtækjum er stýrt.</w:t>
      </w:r>
    </w:p>
    <w:p w14:paraId="6A99AF77" w14:textId="77777777" w:rsidR="00431B08" w:rsidRDefault="00431B08" w:rsidP="00431B08"/>
    <w:p w14:paraId="24ED5434" w14:textId="77777777" w:rsidR="00431B08" w:rsidRDefault="00431B08" w:rsidP="00431B08">
      <w:pPr>
        <w:pStyle w:val="Greinarnmer"/>
      </w:pPr>
      <w:r>
        <w:t>Um 4. gr.</w:t>
      </w:r>
    </w:p>
    <w:p w14:paraId="3FC41EEA" w14:textId="77777777" w:rsidR="00431B08" w:rsidRDefault="00431B08" w:rsidP="00431B08">
      <w:pPr>
        <w:rPr>
          <w:color w:val="242424"/>
          <w:shd w:val="clear" w:color="auto" w:fill="FFFFFF"/>
        </w:rPr>
      </w:pPr>
      <w:r>
        <w:rPr>
          <w:i/>
          <w:iCs/>
        </w:rPr>
        <w:t xml:space="preserve">Um a-lið. </w:t>
      </w:r>
      <w:r>
        <w:t xml:space="preserve">Í 2. mgr. greinarinnar er lífeyrissjóðum falið að flokka eignir í sex eignaflokka, </w:t>
      </w:r>
      <w:r>
        <w:rPr>
          <w:color w:val="242424"/>
          <w:shd w:val="clear" w:color="auto" w:fill="FFFFFF"/>
        </w:rPr>
        <w:t xml:space="preserve">A–F, sem eiga að endurspegla hversu áhættusamar þær eru. </w:t>
      </w:r>
      <w:r>
        <w:t xml:space="preserve">Lagt er til að sértryggð skuldabréf verði í áhættuminnsta flokknum, flokki A, frekar en í flokki B. Um sértryggð skuldabréf gilda samnefnd lög, nr. 11/2008. Þau </w:t>
      </w:r>
      <w:r w:rsidRPr="00527672">
        <w:t>eru sérstök tegund skuldabréfa sem lánastofnanir gefa út</w:t>
      </w:r>
      <w:r>
        <w:t xml:space="preserve"> sem eru tryggð </w:t>
      </w:r>
      <w:r w:rsidRPr="00240476">
        <w:t>með tryggingasöfnum traustra eigna, sem eru yfirleitt einkum fasteignalán</w:t>
      </w:r>
      <w:r>
        <w:t xml:space="preserve"> með hófleg veðhlutföll.</w:t>
      </w:r>
      <w:r w:rsidRPr="003777C4">
        <w:rPr>
          <w:color w:val="242424"/>
          <w:shd w:val="clear" w:color="auto" w:fill="FFFFFF"/>
        </w:rPr>
        <w:t xml:space="preserve"> </w:t>
      </w:r>
      <w:r w:rsidRPr="003777C4">
        <w:t>Greiðslur af eignum í tryggingasöfnum eiga að nægja til að standa undir greiðslum af skuldabréfunum</w:t>
      </w:r>
      <w:r>
        <w:t xml:space="preserve"> og eignir í tryggingasafni eiga ávallt að nema hærri fjárhæð en sem nemur höfuðstól viðkomandi skuldabréfa</w:t>
      </w:r>
      <w:r w:rsidRPr="003777C4">
        <w:t>. Verði útgefandi skuldabréfa</w:t>
      </w:r>
      <w:r>
        <w:t>nna</w:t>
      </w:r>
      <w:r w:rsidRPr="003777C4">
        <w:t xml:space="preserve"> gjaldþrota eiga eigendur bréfanna forgangsrétt umfram aðra kröfuhafa að eignum í tryggingasafni, auk almennrar kröfu á útgefanda. Af þessum sökum eru sértryggð skuldabréf talin mjög öruggur </w:t>
      </w:r>
      <w:r w:rsidRPr="003777C4">
        <w:lastRenderedPageBreak/>
        <w:t>fjárfestingarkostur</w:t>
      </w:r>
      <w:r>
        <w:t xml:space="preserve">. Í flokki A eru nú þegar skuldabréf </w:t>
      </w:r>
      <w:r>
        <w:rPr>
          <w:color w:val="242424"/>
          <w:shd w:val="clear" w:color="auto" w:fill="FFFFFF"/>
        </w:rPr>
        <w:t>tryggð með veði í fasteign, enda fari veðhlutfall ekki umfram 75% af markaðsvirði íbúðarhúsnæðis eða 50% af markaðsvirði annarra fasteigna við lánveitingu.</w:t>
      </w:r>
    </w:p>
    <w:p w14:paraId="61E2D08C" w14:textId="77777777" w:rsidR="00431B08" w:rsidRPr="002C08AF" w:rsidRDefault="00431B08" w:rsidP="00431B08">
      <w:r>
        <w:rPr>
          <w:color w:val="242424"/>
          <w:shd w:val="clear" w:color="auto" w:fill="FFFFFF"/>
        </w:rPr>
        <w:t xml:space="preserve">Helstu áhrif breytingarinnar eru þau að sértryggð skuldabréf munu ekki falla undir takmörkun á mótaðilaáhættu gagnvart einstökum útgefendum skv. 1. mgr. 36. gr. c laganna. Það samræmist því að greiðslur af sértryggðum skuldabréfum eiga að vera tryggðar með eignum í tryggingasafni jafnvel þótt útgefandi þeirra verði </w:t>
      </w:r>
      <w:proofErr w:type="spellStart"/>
      <w:r>
        <w:rPr>
          <w:color w:val="242424"/>
          <w:shd w:val="clear" w:color="auto" w:fill="FFFFFF"/>
        </w:rPr>
        <w:t>ógjaldfær</w:t>
      </w:r>
      <w:proofErr w:type="spellEnd"/>
      <w:r>
        <w:rPr>
          <w:color w:val="242424"/>
          <w:shd w:val="clear" w:color="auto" w:fill="FFFFFF"/>
        </w:rPr>
        <w:t>.</w:t>
      </w:r>
    </w:p>
    <w:p w14:paraId="55676705" w14:textId="77777777" w:rsidR="00431B08" w:rsidRDefault="00431B08" w:rsidP="00431B08">
      <w:r>
        <w:rPr>
          <w:i/>
          <w:iCs/>
        </w:rPr>
        <w:t xml:space="preserve">Um </w:t>
      </w:r>
      <w:proofErr w:type="spellStart"/>
      <w:r>
        <w:rPr>
          <w:i/>
          <w:iCs/>
        </w:rPr>
        <w:t>b-lið</w:t>
      </w:r>
      <w:proofErr w:type="spellEnd"/>
      <w:r>
        <w:rPr>
          <w:i/>
          <w:iCs/>
        </w:rPr>
        <w:t xml:space="preserve">. </w:t>
      </w:r>
      <w:r>
        <w:rPr>
          <w:color w:val="242424"/>
          <w:shd w:val="clear" w:color="auto" w:fill="FFFFFF"/>
        </w:rPr>
        <w:t xml:space="preserve">Hlutdeildarskírteini í verðbréfasjóðum falla í eignaflokk C. </w:t>
      </w:r>
      <w:r>
        <w:t>Lagt er til að þau falli frekar í eignaflokk B ef að 90% af eigna verðbréfasjóða</w:t>
      </w:r>
      <w:r w:rsidRPr="00894AEF">
        <w:t xml:space="preserve"> </w:t>
      </w:r>
      <w:r>
        <w:t>samkvæmt síðasta birta ársreikningi eða árshlutareikningi viðkomandi verðbréfasjóðs, sbr. 54. gr. laga um verðbréfasjóði, nr. 116/2021, eru eignir í eignaflokki A eða B. Hugsunin að baki tillögunni er sú að ekki eigi að skipta máli fyrir flokkunina hvort lífeyrissjóðir fjárfesti beint í viðkomandi eignum eða óbeint í gegnum verðbréfasjóði. Í flestum tilvikum myndu eingöngu falla hér undir verðbréfasjóðir sem samkvæmt fjárfestingarstefnu sinni fjárfesta nær alfarið í eignum í eignaflokkum A eða B en í undantekningartilvikum gætu verðbréfasjóðir með blandaða fjárfestingarstefnu fallið hér undir á þeim tímabilum þar sem eignir þeirra uppfylla skilyrði greinarinnar. Fjárfesting lífeyrissjóða í öðrum verðbréfasjóðum fellur áfram undir eignaflokk C.</w:t>
      </w:r>
    </w:p>
    <w:p w14:paraId="7AE814B0" w14:textId="77777777" w:rsidR="00431B08" w:rsidRDefault="00431B08" w:rsidP="00431B08">
      <w:r>
        <w:t>Helstu áhrif breytingarinnar eru að fjárfesting í slíkum verðbréfasjóðum fellur ekki undir takmörkun 1. tölul. 1. mgr. 36. gr. b laganna, en samkvæmt honum skulu eignir í eignaflokki C–F vera innan við 80% heildareigna lífeyrissjóðs.</w:t>
      </w:r>
    </w:p>
    <w:p w14:paraId="346E9707" w14:textId="77777777" w:rsidR="00431B08" w:rsidRPr="00AC5239" w:rsidRDefault="00431B08" w:rsidP="00431B08">
      <w:r>
        <w:rPr>
          <w:i/>
          <w:iCs/>
        </w:rPr>
        <w:t xml:space="preserve">Um </w:t>
      </w:r>
      <w:proofErr w:type="spellStart"/>
      <w:r>
        <w:rPr>
          <w:i/>
          <w:iCs/>
        </w:rPr>
        <w:t>c-lið</w:t>
      </w:r>
      <w:proofErr w:type="spellEnd"/>
      <w:r>
        <w:rPr>
          <w:i/>
          <w:iCs/>
        </w:rPr>
        <w:t xml:space="preserve">. </w:t>
      </w:r>
      <w:r>
        <w:t>Lagt er til að skýrt verði kveðið á um að fjármálagerningar sem eru ígildi hlutabréfa félaga og þannig hvað áhættu varðar sambærilegir skuli flokkaðir sem hlutabréf. Þannig verði t.d. heimildarskírteini fyrir hlutabréfum félaga hvers hlutabréf hafa verið tekin til viðskipta á fleiri en einum skipulegum markaði flokkuð sem hlutabréf, enda er áhætta af fjárfestingu í slíkum skírteinum sambærileg við áhættu af fjárfestingu í viðkomandi hlutabréfum.</w:t>
      </w:r>
    </w:p>
    <w:p w14:paraId="11A4C163" w14:textId="77777777" w:rsidR="00431B08" w:rsidRPr="00D8053A" w:rsidRDefault="00431B08" w:rsidP="00431B08">
      <w:r>
        <w:rPr>
          <w:i/>
          <w:iCs/>
        </w:rPr>
        <w:t xml:space="preserve">Um </w:t>
      </w:r>
      <w:proofErr w:type="spellStart"/>
      <w:r>
        <w:rPr>
          <w:i/>
          <w:iCs/>
        </w:rPr>
        <w:t>d-lið</w:t>
      </w:r>
      <w:proofErr w:type="spellEnd"/>
      <w:r>
        <w:rPr>
          <w:i/>
          <w:iCs/>
        </w:rPr>
        <w:t xml:space="preserve">. </w:t>
      </w:r>
      <w:r>
        <w:t xml:space="preserve">Nú falla undir eignaflokk F afleiður </w:t>
      </w:r>
      <w:r w:rsidRPr="0003566E">
        <w:t xml:space="preserve">sem draga úr áhættu </w:t>
      </w:r>
      <w:r>
        <w:t xml:space="preserve">lífeyrissjóðs </w:t>
      </w:r>
      <w:r w:rsidRPr="0003566E">
        <w:t xml:space="preserve">eða fela aðeins í sér kauprétt eða áskriftarréttindi, enda sé viðmið þeirra fjárfestingarheimildir samkvæmt </w:t>
      </w:r>
      <w:r>
        <w:t>36. gr. a laganna</w:t>
      </w:r>
      <w:r w:rsidRPr="0003566E">
        <w:t>, neysluverðsvísitölur, verðbréfavísitölur, vextir eða gengi erlendra gjaldmiðla</w:t>
      </w:r>
      <w:r>
        <w:t>. Lagt er til að afleiður sem stuðla að skilvirkri stýringu eigna lífeyrissjóðs verði einnig felldar undir eignaflokk F. Slíkar afleiður geta m.a. lækkað viðskiptakostnað lífeyrissjóða</w:t>
      </w:r>
      <w:r w:rsidRPr="001B4BDC">
        <w:t xml:space="preserve"> og </w:t>
      </w:r>
      <w:r>
        <w:t>bætt</w:t>
      </w:r>
      <w:r w:rsidRPr="001B4BDC">
        <w:t xml:space="preserve"> framkvæmd fjárfestingarstefnu. Slík notkun þarf ekki að leiða til aukinnar áhættu í eignasafni, enda sé gætt að skynsamlegri áhættustýringu samkvæmt 1. mgr. 36. gr. laganna.</w:t>
      </w:r>
      <w:r>
        <w:t xml:space="preserve"> Viðbótin heimilar ekki fjárfestingu í afleiðum sem felur aðeins í sér spákaupmennsku, jafnvel þótt það kunni að falla að skynsemisreglu 1. mgr. 36. gr. laganna.</w:t>
      </w:r>
    </w:p>
    <w:p w14:paraId="71C95E9F" w14:textId="77777777" w:rsidR="00431B08" w:rsidRDefault="00431B08" w:rsidP="00431B08"/>
    <w:p w14:paraId="553FDB05" w14:textId="77777777" w:rsidR="00431B08" w:rsidRDefault="00431B08" w:rsidP="00431B08">
      <w:pPr>
        <w:pStyle w:val="Greinarnmer"/>
      </w:pPr>
      <w:r>
        <w:t>Um 5. gr.</w:t>
      </w:r>
    </w:p>
    <w:p w14:paraId="0DC21FF8" w14:textId="77777777" w:rsidR="00431B08" w:rsidRDefault="00431B08" w:rsidP="00431B08">
      <w:r>
        <w:rPr>
          <w:i/>
          <w:iCs/>
        </w:rPr>
        <w:t>Um a-lið</w:t>
      </w:r>
      <w:r>
        <w:t xml:space="preserve">. Lagt er til að áskilnaður 2. tölul. 1. mgr. 36. gr. b laganna um að eignir í eignaflokkum D, E og F skuli samanlagt vera innan við 60% heildareigna lífeyrissjóða falli brott. Ekki þykir falla vel að skynsemisreglunni að skylda lífeyrissjóði til að fjárfesta a.m.k. 40% eigna sinna í eignum í eignaflokki A, B eða C, sem alls óvíst er að hámarki </w:t>
      </w:r>
      <w:proofErr w:type="spellStart"/>
      <w:r>
        <w:t>áhættuvegna</w:t>
      </w:r>
      <w:proofErr w:type="spellEnd"/>
      <w:r>
        <w:t xml:space="preserve"> ávöxtun sjóðanna eða falli að öðru leyti best að þeim sjónarmiðum sem lífeyrissjóðum ber að byggja á skv. 1. mgr. 36. gr. laganna. Einnig er til þess að líta að lífeyrissjóðir geta nú þegar óbeint fjárfest meira en 60% í eignaflokkum D, E og F með kaupum á hlutdeildarskírteinum verðbréfasjóða sem falla undir eignaflokk C. Ekki er talið rökrétt að takmarkanir á </w:t>
      </w:r>
      <w:r>
        <w:lastRenderedPageBreak/>
        <w:t>fjárfestingum lífeyrissjóða ráðist af því hvort þeir fjárfesti beint í eignum eða óbeint í gegnum verðbréfasjóði.</w:t>
      </w:r>
    </w:p>
    <w:p w14:paraId="6B5115B4" w14:textId="77777777" w:rsidR="00431B08" w:rsidRDefault="00431B08" w:rsidP="00431B08">
      <w:r>
        <w:rPr>
          <w:i/>
          <w:iCs/>
        </w:rPr>
        <w:t xml:space="preserve">Um b- og </w:t>
      </w:r>
      <w:proofErr w:type="spellStart"/>
      <w:r>
        <w:rPr>
          <w:i/>
          <w:iCs/>
        </w:rPr>
        <w:t>c-lið</w:t>
      </w:r>
      <w:proofErr w:type="spellEnd"/>
      <w:r>
        <w:rPr>
          <w:i/>
          <w:iCs/>
        </w:rPr>
        <w:t xml:space="preserve">. </w:t>
      </w:r>
      <w:r>
        <w:t xml:space="preserve">Í 2. mgr. greinarinnar kemur nú fram sú meginregla að fjármálagerningar í eignaflokki B–E sem lífeyrissjóðir fjárfesta í skuli vera skráðir á skipulegum markaði en frá því eru afmarkaðar undantekningar í 3. mgr. Lagt er til að svigrúm lífeyrissjóða til fjárfestinga í óskráðum eignum verði aukið verulega með því að kveða aðeins á um að meiri hluti eigna þeirra skuli vera innlán, skráðir </w:t>
      </w:r>
      <w:proofErr w:type="spellStart"/>
      <w:r>
        <w:t>fjármálagerningar</w:t>
      </w:r>
      <w:proofErr w:type="spellEnd"/>
      <w:r>
        <w:t xml:space="preserve"> og </w:t>
      </w:r>
      <w:proofErr w:type="spellStart"/>
      <w:r>
        <w:t>innleysanleg</w:t>
      </w:r>
      <w:proofErr w:type="spellEnd"/>
      <w:r>
        <w:t xml:space="preserve"> hlutdeildarskírteini. Eftir sem áður gilda þær almennu reglur sem fram koma í 1. mgr. 36. gr. laganna, sem grundvallast á svonefndri skynsemisreglu. Þar er m.a. mælt fyrir um að a</w:t>
      </w:r>
      <w:r w:rsidRPr="006C5FAD">
        <w:t>llar fjárfestingar skul</w:t>
      </w:r>
      <w:r>
        <w:t>i</w:t>
      </w:r>
      <w:r w:rsidRPr="006C5FAD">
        <w:t xml:space="preserve"> byggðar á viðeigandi greiningu á upplýsingum með öryggi, gæði, lausafjárstöðu og arðsemi safnsins í heild í huga.</w:t>
      </w:r>
      <w:r>
        <w:t xml:space="preserve"> Hlutfall óskráðra eigna lífeyrissjóðs samkvæmt þessari grein þarf því að byggjast á viðhlítandi mati lífeyrissjóðsins í samræmi við lögin. Með viðskiptavettvangi í skilningi frumvarpsákvæðisins er átt við skipulegan markað, </w:t>
      </w:r>
      <w:r w:rsidRPr="00B33750">
        <w:t>markaðstorg fjármálagerninga eða skipulegt markaðstorg</w:t>
      </w:r>
      <w:r>
        <w:t>, sbr. 69. tölul. 1. mgr. 4. gr. laga um markaði fyrir fjármálagerninga, nr. 115/2021.</w:t>
      </w:r>
    </w:p>
    <w:p w14:paraId="0EC41EB8" w14:textId="77777777" w:rsidR="00431B08" w:rsidRDefault="00431B08" w:rsidP="00431B08"/>
    <w:p w14:paraId="14DB4041" w14:textId="77777777" w:rsidR="00431B08" w:rsidRDefault="00431B08" w:rsidP="00431B08">
      <w:pPr>
        <w:pStyle w:val="Greinarnmer"/>
      </w:pPr>
      <w:r>
        <w:t>Um 6. gr.</w:t>
      </w:r>
    </w:p>
    <w:p w14:paraId="3A3CB510" w14:textId="77777777" w:rsidR="00431B08" w:rsidRDefault="00431B08" w:rsidP="00431B08">
      <w:r>
        <w:rPr>
          <w:i/>
          <w:iCs/>
        </w:rPr>
        <w:t xml:space="preserve">Um a-lið. </w:t>
      </w:r>
      <w:r>
        <w:t>Samkvæmt 1. mgr. greinarinnar má lífeyrissjóður að meginreglu til ekki binda meira en 10% eigna í fjármálagerningum sama útgefanda. Því er ætlað að takmarka áhættu lífeyrissjóða af greiðsluvanda einstakra útgefenda. Takmörkunin á þó ekki við um eignir í eignaflokki A skv. 1. tölul. 2. mgr. 36. gr. a laganna. Í 2. mgr. 36. gr. c er sérákvæði sem var ætlað að rýmka mótaðilatakmörkun 1. mgr. gagnvart sértryggðum skuldabréfum. Af fyrirhugaðri færslu sértryggðra skuldabréfa úr eignaflokki B í eignaflokk A skv. a-lið 4. gr. frumvarpsins leiðir að sértryggð skuldabréf munu ekki falla undir mótaðilatakmörkun 1. mgr. greinarinnar og því verður ákvæði 2. mgr. 36. gr. c óþarft. Því er lagt til að málsgreinin verði felld brott.</w:t>
      </w:r>
    </w:p>
    <w:p w14:paraId="45FAEA2C" w14:textId="77777777" w:rsidR="00431B08" w:rsidRPr="0054122F" w:rsidRDefault="00431B08" w:rsidP="00431B08">
      <w:r>
        <w:rPr>
          <w:i/>
          <w:iCs/>
        </w:rPr>
        <w:t xml:space="preserve">Um </w:t>
      </w:r>
      <w:proofErr w:type="spellStart"/>
      <w:r>
        <w:rPr>
          <w:i/>
          <w:iCs/>
        </w:rPr>
        <w:t>b-lið</w:t>
      </w:r>
      <w:proofErr w:type="spellEnd"/>
      <w:r>
        <w:rPr>
          <w:i/>
          <w:iCs/>
        </w:rPr>
        <w:t xml:space="preserve">. </w:t>
      </w:r>
      <w:r>
        <w:t>Lagt er til að vísun til 2. mgr. falli brott til samræmis við fyrirhugað brottfall þeirrar málsgreinar.</w:t>
      </w:r>
    </w:p>
    <w:p w14:paraId="45F67F23" w14:textId="77777777" w:rsidR="00431B08" w:rsidRDefault="00431B08" w:rsidP="00431B08">
      <w:r>
        <w:rPr>
          <w:i/>
          <w:iCs/>
        </w:rPr>
        <w:t xml:space="preserve">Um </w:t>
      </w:r>
      <w:proofErr w:type="spellStart"/>
      <w:r>
        <w:rPr>
          <w:i/>
          <w:iCs/>
        </w:rPr>
        <w:t>c-lið</w:t>
      </w:r>
      <w:proofErr w:type="spellEnd"/>
      <w:r>
        <w:rPr>
          <w:i/>
          <w:iCs/>
        </w:rPr>
        <w:t xml:space="preserve">. </w:t>
      </w:r>
      <w:r>
        <w:t xml:space="preserve">Lagt er til að fyrirmæli 6. mgr. greinarinnar um að lífeyrissjóður megi ekki eiga meira en 25% af hlutdeildarskírteinum verðbréfasjóða eða einstakra deilda þeirra verði felld brott. Um verðbréfasjóði sjálfa gilda sambærilegar takmarkanir á mótaðilaáhættu og gilda um lífeyrissjóði. </w:t>
      </w:r>
      <w:r w:rsidRPr="00096DE5">
        <w:t>Því er talið óþarft að takmarka mótaðilaáhættu lífeyrissjóða gagnvart verðbréfasjóðum.</w:t>
      </w:r>
    </w:p>
    <w:p w14:paraId="1C7843CC" w14:textId="77777777" w:rsidR="00431B08" w:rsidRDefault="00431B08" w:rsidP="00431B08">
      <w:r>
        <w:rPr>
          <w:i/>
          <w:iCs/>
        </w:rPr>
        <w:t xml:space="preserve">Um </w:t>
      </w:r>
      <w:proofErr w:type="spellStart"/>
      <w:r>
        <w:rPr>
          <w:i/>
          <w:iCs/>
        </w:rPr>
        <w:t>d-lið</w:t>
      </w:r>
      <w:proofErr w:type="spellEnd"/>
      <w:r>
        <w:rPr>
          <w:i/>
          <w:iCs/>
        </w:rPr>
        <w:t xml:space="preserve">. </w:t>
      </w:r>
      <w:r>
        <w:t xml:space="preserve">Í 7. mgr. segir nú að lífeyrissjóðir megi ekki meira </w:t>
      </w:r>
      <w:r w:rsidRPr="00D229A8">
        <w:t>en 20% af hlutafé í hverju félagi eða hlutdeildarskírteinum eða hlutum sjóða um sameiginlega fjárfestingu eða einstakri deild þeirra.</w:t>
      </w:r>
      <w:r>
        <w:t xml:space="preserve"> Takmörkunin getur </w:t>
      </w:r>
      <w:proofErr w:type="spellStart"/>
      <w:r>
        <w:t>torveldað</w:t>
      </w:r>
      <w:proofErr w:type="spellEnd"/>
      <w:r>
        <w:t xml:space="preserve"> fjárfestingar lífeyrissjóða í arðbærum verkefnum, einkum í smærri félögum og sjóðum, svo sem í nýsköpunarfyrirtækjum. Fjárfestingar lífeyrissjóða í einstökum verkefnum krefjast oft mikillar greiningavinnu og eftirfylgni sem að getur síður borgað sig ef lífeyrissjóði er aðeins heimilt að eiga smáan eignarhlut. Því er lagt til að takmörkunin verði bundin við fjárfestingar í skráðum félögum. Það er talið réttlætanlegt til þess að stuðla að fjölbreyttu eignarhaldi á skráðum félögum, m.a. til að tryggja skilvirkni og eðlilega verðmyndun á markaði.</w:t>
      </w:r>
    </w:p>
    <w:p w14:paraId="4CCDBA08" w14:textId="77777777" w:rsidR="00431B08" w:rsidRPr="00B25DEA" w:rsidRDefault="00431B08" w:rsidP="00431B08">
      <w:pPr>
        <w:rPr>
          <w:b/>
        </w:rPr>
      </w:pPr>
      <w:r>
        <w:rPr>
          <w:i/>
          <w:iCs/>
        </w:rPr>
        <w:t xml:space="preserve">Um </w:t>
      </w:r>
      <w:proofErr w:type="spellStart"/>
      <w:r>
        <w:rPr>
          <w:i/>
          <w:iCs/>
        </w:rPr>
        <w:t>e-lið</w:t>
      </w:r>
      <w:proofErr w:type="spellEnd"/>
      <w:r>
        <w:rPr>
          <w:i/>
          <w:iCs/>
        </w:rPr>
        <w:t xml:space="preserve">. </w:t>
      </w:r>
      <w:r>
        <w:t xml:space="preserve">Af </w:t>
      </w:r>
      <w:proofErr w:type="spellStart"/>
      <w:r>
        <w:t>d-lið</w:t>
      </w:r>
      <w:proofErr w:type="spellEnd"/>
      <w:r>
        <w:t xml:space="preserve"> frumvarpsgreinarinnar leiðir að gildandi ákvæði 8. mgr. 36. gr. c laganna verða óþörf og er því lagt til að þau falli brott. Í staðinn er lagt til að kveðið verði á um að takmarkanir greinarinnar eigi ekki við um fjárfestingar lífeyrissjóða í verðbréfasjóðum. </w:t>
      </w:r>
      <w:r w:rsidRPr="00CB0287">
        <w:t xml:space="preserve">Verðbréfasjóðir lúta </w:t>
      </w:r>
      <w:r>
        <w:t>sjálfir</w:t>
      </w:r>
      <w:r w:rsidRPr="00CB0287">
        <w:t xml:space="preserve"> sambærilegum takmörkum </w:t>
      </w:r>
      <w:r>
        <w:t xml:space="preserve">á mótaðilaáhættu </w:t>
      </w:r>
      <w:r w:rsidRPr="00CB0287">
        <w:t xml:space="preserve">í sínu regluverki sem </w:t>
      </w:r>
      <w:r w:rsidRPr="00CB0287">
        <w:lastRenderedPageBreak/>
        <w:t xml:space="preserve">leiðir til þess að undirliggjandi áhætta lífeyrissjóða er </w:t>
      </w:r>
      <w:r>
        <w:t>svipuð</w:t>
      </w:r>
      <w:r w:rsidRPr="00CB0287">
        <w:t xml:space="preserve"> og ef fjárfest væri beint í undirliggjandi eignum.</w:t>
      </w:r>
    </w:p>
    <w:p w14:paraId="28DC1F40" w14:textId="77777777" w:rsidR="00431B08" w:rsidRDefault="00431B08" w:rsidP="00431B08"/>
    <w:p w14:paraId="1FA7A9FA" w14:textId="77777777" w:rsidR="00431B08" w:rsidRDefault="00431B08" w:rsidP="00431B08">
      <w:pPr>
        <w:pStyle w:val="Greinarnmer"/>
      </w:pPr>
      <w:r>
        <w:t>Um 7. gr.</w:t>
      </w:r>
    </w:p>
    <w:p w14:paraId="7E30997C" w14:textId="77777777" w:rsidR="00431B08" w:rsidRDefault="00431B08" w:rsidP="00431B08">
      <w:r>
        <w:t xml:space="preserve">Lagt er til að kveðið verði á um skyldu lífeyrissjóða til að stýra lausafjárstöðu sinni þannig að þeir hafi nægt laust fé til að standa undir skuldbindingum sínum, einkum um greiðslu lífeyris. Tillagan tekur m.a. mið af auknum heimildum lífeyrissjóða til að kaupa óskráða fjármálagerninga sem geta verið </w:t>
      </w:r>
      <w:proofErr w:type="spellStart"/>
      <w:r>
        <w:t>illseljanlegri</w:t>
      </w:r>
      <w:proofErr w:type="spellEnd"/>
      <w:r>
        <w:t xml:space="preserve"> en skráðir </w:t>
      </w:r>
      <w:proofErr w:type="spellStart"/>
      <w:r>
        <w:t>fjármálagerningar</w:t>
      </w:r>
      <w:proofErr w:type="spellEnd"/>
      <w:r>
        <w:t xml:space="preserve">. Lífeyrissjóðum ber nú þegar að hafa eftirlitskerfi sem nái yfir lausafjáráhættu samkvæmt reglugerð </w:t>
      </w:r>
      <w:r w:rsidRPr="00775F06">
        <w:t>um eftirlitskerfi með áhættu lífeyrissjóða</w:t>
      </w:r>
      <w:r>
        <w:t>, nr. 590/2017. Þá ber lífeyrissjóðum skv. 3. tölul. 1. mgr. 36. gr. laganna að byggja fjárfestingar sínar m.a. á viðeigandi greiningu á lausafjárstöðu.</w:t>
      </w:r>
    </w:p>
    <w:p w14:paraId="7A5E8901" w14:textId="77777777" w:rsidR="00431B08" w:rsidRDefault="00431B08" w:rsidP="00431B08"/>
    <w:p w14:paraId="17BAF41C" w14:textId="77777777" w:rsidR="00431B08" w:rsidRDefault="00431B08" w:rsidP="00431B08">
      <w:pPr>
        <w:pStyle w:val="Greinarnmer"/>
      </w:pPr>
      <w:r>
        <w:t>Um 8. gr.</w:t>
      </w:r>
    </w:p>
    <w:p w14:paraId="7A339CAD" w14:textId="77777777" w:rsidR="00431B08" w:rsidRDefault="00431B08" w:rsidP="00431B08">
      <w:r>
        <w:rPr>
          <w:i/>
          <w:iCs/>
        </w:rPr>
        <w:t xml:space="preserve">Um a-lið. </w:t>
      </w:r>
      <w:r>
        <w:t xml:space="preserve">Í greininni er lagt til að lífeyrissjóðum verði heimilt að taka þátt í skipulegum lánamarkaði með verðbréf. Í því felst að lífeyrissjóði verði heimilt að lána verðbréf fyrir þóknun á grundvelli skriflegs samnings þar um. </w:t>
      </w:r>
      <w:r w:rsidRPr="00941DE6">
        <w:t>Heimildir þeirra til verðbréfalána hafa í för með sér kosti, bæði fyrir þá og markaðinn sem heild. Þannig geta lífeyrissjóðir fengið tekjur af því að lána verðbréf sem annars lægju óhreyfð í eignasöfnum þeirra auk þess sem virkni markaða er meiri ef verðbréf sem lífeyrissjóðir kaupa til að eiga til langs tíma eru nýtt í verðbréfalánaviðskiptum. Aukin virkni leiðir til betra markaðsumhverfis í formi skilvirkari verðmyndunar.</w:t>
      </w:r>
    </w:p>
    <w:p w14:paraId="290E9621" w14:textId="77777777" w:rsidR="00431B08" w:rsidRDefault="00431B08" w:rsidP="00431B08">
      <w:r>
        <w:t>Greinin heimilar lán á skuldabréfum og hlutabréfum en ekki á annars konar fjármálagerningum, svo sem hlutdeildarskírteinum eða afleiðum. Skilyrði er að þau hafi verið tekin til viðskipta á viðskiptavettvangi, þ.e. á s</w:t>
      </w:r>
      <w:r w:rsidRPr="00DE0331">
        <w:t>kipulegu</w:t>
      </w:r>
      <w:r>
        <w:t>m</w:t>
      </w:r>
      <w:r w:rsidRPr="00DE0331">
        <w:t xml:space="preserve"> markað</w:t>
      </w:r>
      <w:r>
        <w:t>i</w:t>
      </w:r>
      <w:r w:rsidRPr="00DE0331">
        <w:t>, markaðstorg</w:t>
      </w:r>
      <w:r>
        <w:t>i</w:t>
      </w:r>
      <w:r w:rsidRPr="00DE0331">
        <w:t xml:space="preserve"> fjármálagerninga eða skipuleg</w:t>
      </w:r>
      <w:r>
        <w:t>u</w:t>
      </w:r>
      <w:r w:rsidRPr="00DE0331">
        <w:t xml:space="preserve"> markaðstorg</w:t>
      </w:r>
      <w:r>
        <w:t xml:space="preserve">i, sbr. 69. tölul. 1. mgr. 4. gr. laga um markaði fyrir fjármálagerninga, nr. 115/2021. Lántaki skal vera lánastofnun, verðbréfafyrirtæki eða miðlægur mótaðili sem sætir opinberu varfærniseftirliti </w:t>
      </w:r>
      <w:r w:rsidRPr="001164E8">
        <w:t>í ríki innan Evrópska efnahagssvæðisins eða í aðildarríki stofnsamnings Fríverslunarsamtaka Evrópu</w:t>
      </w:r>
      <w:r>
        <w:t xml:space="preserve"> eða samsvarandi aðili í öðrum ríkjum sem sætir sambærilegu eftirliti að mati Fjármálaeftirlitsins. Lánastofnun er fyrirtæki sem </w:t>
      </w:r>
      <w:r w:rsidRPr="001733FA">
        <w:t>starfar við að taka á móti innlánum eða öðrum endurgreiðanlegum fjármunum frá almenningi og veita lán fyrir eigin reikning</w:t>
      </w:r>
      <w:r>
        <w:t xml:space="preserve">, sbr. 37. tölul. 1. mgr. 1. gr. b laga um fjármálafyrirtæki, nr. 161/2002. Verðbréfafyrirtæki er aðili </w:t>
      </w:r>
      <w:r w:rsidRPr="001378BC">
        <w:t>sem í atvinnuskyni og sem hluti af reglulegri starfsemi veitir þriðja aðila fjárfestingarþjónustu eða stundar fjárfestingarstarfsemi</w:t>
      </w:r>
      <w:r>
        <w:t>, sbr. 65. tölul. 1. mgr. 4. gr. laga um markaði fyrir fjármálagerninga. Miðlægur mótaðili er l</w:t>
      </w:r>
      <w:r w:rsidRPr="005C4AF9">
        <w:t>ögaðili sem gengur á milli mótaðila að samningum sem viðskipti eru með á einum eða fleiri fjármálamörkuðum og verður þar með kaupandi gagnvart hverjum seljanda og seljandi gagnvart hverjum kaupanda</w:t>
      </w:r>
      <w:r>
        <w:t xml:space="preserve">, sbr. 1. tölul. 2. gr. </w:t>
      </w:r>
      <w:r w:rsidRPr="00893BCE">
        <w:t>reglugerðar Evrópuþingsins og ráðsins (ESB) nr. 648/2012 frá 4. júlí 2012 um OTC-afleiður, miðlæga mótaðila og afleiðuviðskiptaskrár</w:t>
      </w:r>
      <w:r>
        <w:t xml:space="preserve">, sem hefur lagagildi skv. 2. gr. laga </w:t>
      </w:r>
      <w:r w:rsidRPr="00864152">
        <w:t>um afleiðuviðskipti, miðlæga mótaðila og afleiðuviðskiptaskrár</w:t>
      </w:r>
      <w:r>
        <w:t>, nr. 15/2018.</w:t>
      </w:r>
    </w:p>
    <w:p w14:paraId="2FA23E71" w14:textId="77777777" w:rsidR="00431B08" w:rsidRDefault="00431B08" w:rsidP="00431B08">
      <w:r>
        <w:t xml:space="preserve">Áskilið er að samningur um verðbréfalán sé skriflegur. Í því felst ekki að hann þurfi að vera gerður á pappír heldur að hann sé skjalfestur þannig að efni hans liggi skýrlega fyrir og unnt sé að færa sönnur á það. Lífeyrissjóður getur gert slíkan samning milliliðalaust við lántaka eða með milligöngu vörsluaðila verðbréfa </w:t>
      </w:r>
      <w:r w:rsidRPr="00796061">
        <w:t>eða annars aðila sem hefur starfsleyfi til slíkrar starfsemi og sætir opinberu eftirliti.</w:t>
      </w:r>
      <w:r>
        <w:t xml:space="preserve"> Fjallað er nánar um vörsluaðila verðbréfasjóða og sérhæfðra sjóða í VI. kafla laga um verðbréfasjóði, nr. 116/2021, og IV. kafla laga </w:t>
      </w:r>
      <w:r w:rsidRPr="0087632A">
        <w:t>um rekstraraðila sérhæfðra sjóða</w:t>
      </w:r>
      <w:r>
        <w:t xml:space="preserve">, nr. 45/2020, en yfirleitt eru vörsluaðilar verðbréfa lánastofnanir </w:t>
      </w:r>
      <w:r>
        <w:lastRenderedPageBreak/>
        <w:t xml:space="preserve">eða verðbréfafyrirtæki. Kveðið er á um að uppgjör og </w:t>
      </w:r>
      <w:r w:rsidRPr="00796061">
        <w:t xml:space="preserve">afhending verðbréfa og trygginga </w:t>
      </w:r>
      <w:r>
        <w:t>skuli</w:t>
      </w:r>
      <w:r w:rsidRPr="00796061">
        <w:t xml:space="preserve"> fara fram í viðurkenndu uppgjörskerfi</w:t>
      </w:r>
      <w:r>
        <w:t xml:space="preserve">, á borð við kerfi </w:t>
      </w:r>
      <w:proofErr w:type="spellStart"/>
      <w:r>
        <w:t>Euroclear</w:t>
      </w:r>
      <w:proofErr w:type="spellEnd"/>
      <w:r>
        <w:t xml:space="preserve"> og </w:t>
      </w:r>
      <w:proofErr w:type="spellStart"/>
      <w:r>
        <w:t>Clearstream</w:t>
      </w:r>
      <w:proofErr w:type="spellEnd"/>
      <w:r>
        <w:t>,</w:t>
      </w:r>
      <w:r w:rsidRPr="00796061">
        <w:t xml:space="preserve"> eða hjá verðbréfamiðstöð</w:t>
      </w:r>
      <w:r>
        <w:t xml:space="preserve">, sem er hlutafélag </w:t>
      </w:r>
      <w:r w:rsidRPr="00CF1A1B">
        <w:t xml:space="preserve">sem starfrækir verðbréfauppgjörskerfi skv. 3. lið A-þáttar viðauka við reglugerð (ESB) nr. 909/2014 </w:t>
      </w:r>
      <w:r w:rsidRPr="007F39C9">
        <w:t>frá 23. júlí 2014 um bætt verðbréfauppgjör í Evrópusambandinu og um verðbréfamiðstöðvar og um breytingu á tilskipunum 98/26/EB og 2014/65/ESB og reglugerð (ESB) nr. </w:t>
      </w:r>
      <w:hyperlink r:id="rId15" w:history="1">
        <w:r w:rsidRPr="007F39C9">
          <w:rPr>
            <w:rStyle w:val="Tengill"/>
          </w:rPr>
          <w:t>236/2012</w:t>
        </w:r>
      </w:hyperlink>
      <w:r>
        <w:t xml:space="preserve"> </w:t>
      </w:r>
      <w:r w:rsidRPr="00CF1A1B">
        <w:t xml:space="preserve">og veitir a.m.k. eina aðra kjarnaþjónustu af þeim sem taldar eru upp í A-þætti viðaukans og annast eignarskráningu </w:t>
      </w:r>
      <w:proofErr w:type="spellStart"/>
      <w:r w:rsidRPr="00CF1A1B">
        <w:t>rafbréfa</w:t>
      </w:r>
      <w:proofErr w:type="spellEnd"/>
      <w:r>
        <w:t xml:space="preserve">, sbr. 3. tölul. 4. gr. laga </w:t>
      </w:r>
      <w:r w:rsidRPr="00F578EF">
        <w:t>um verðbréfamiðstöðvar, uppgjör og rafræna eignarskráningu fjármálagerninga</w:t>
      </w:r>
      <w:r>
        <w:t>, nr. 7/2020.</w:t>
      </w:r>
    </w:p>
    <w:p w14:paraId="7E422F57" w14:textId="77777777" w:rsidR="00431B08" w:rsidRDefault="00431B08" w:rsidP="00431B08">
      <w:r>
        <w:t xml:space="preserve">Í 3.–5. mgr. eru skilyrði sem er ætlað að takmarka áhættu lífeyrissjóða af verðbréfalánum. Lífeyrissjóður skal á hverjum tíma geta krafist skila á lánuðum </w:t>
      </w:r>
      <w:proofErr w:type="spellStart"/>
      <w:r>
        <w:t>verðbréfuðum</w:t>
      </w:r>
      <w:proofErr w:type="spellEnd"/>
      <w:r>
        <w:t xml:space="preserve"> með skömmum fyrirvara, t.d. innan fimm virkra daga, sem er algengur skilmáli í samningum um verðbréfalán. Lántaki skal leggja fram tryggingu sem nemur </w:t>
      </w:r>
      <w:r w:rsidRPr="00753BB7">
        <w:t>a.m.k. markaðsverðmæti þeirra verðbréfa sem lánuð eru</w:t>
      </w:r>
      <w:r>
        <w:t xml:space="preserve">. </w:t>
      </w:r>
      <w:r w:rsidRPr="00753BB7">
        <w:t xml:space="preserve">Trygging skal endurmetin daglega og viðbótartrygging lögð fram ef verðmæti hennar fellur undir </w:t>
      </w:r>
      <w:r>
        <w:t>markaðsverðmæti verðbréfanna</w:t>
      </w:r>
      <w:r w:rsidRPr="00753BB7">
        <w:t>.</w:t>
      </w:r>
      <w:r>
        <w:t xml:space="preserve"> Samningar um verðbréfalán áskilja yfirleitt að lántaki leggi fram tryggingu, sem er gjarnan önnur verðbréf, sem nemur ríflega verðmæti lánaðra verðbréfa og að lántaki þurfi að bæta við trygginguna ef virði hennar fellur niður fyrir tilskilin mörk. Lánveitandi getur gengið á trygginguna ef lántaki stendur ekki í skilum. Þá er lagt til að virði verðbréfa sem lífeyrissjóður hefur lánað megi ekki vera meira en 5% af heildareignum lífeyrissjóðs til þess að takmarka mögulegt tjón lífeyrissjóða af verðbréfalánum.</w:t>
      </w:r>
    </w:p>
    <w:p w14:paraId="4C1F28F2" w14:textId="77777777" w:rsidR="00431B08" w:rsidRDefault="00431B08" w:rsidP="00431B08">
      <w:r>
        <w:t xml:space="preserve">Lagt er til að </w:t>
      </w:r>
      <w:r w:rsidRPr="004513B9">
        <w:t>Seðlabankanum verði heimilað að setja frekari reglur um verðbréfalán lífeyrissjóða</w:t>
      </w:r>
      <w:r>
        <w:t>, þar á meðal um tryggingu sem lántaki leggur fram.</w:t>
      </w:r>
    </w:p>
    <w:p w14:paraId="6272ADFE" w14:textId="77777777" w:rsidR="00431B08" w:rsidRDefault="00431B08" w:rsidP="00431B08">
      <w:r>
        <w:t>Verðbréf sem lífeyrissjóður lánar út halda áfram sömu flokkun skv. 2. mgr. 36. gr. a laganna, enda ber lífeyrissjóður áfram sömu markaðsáhættu af bréfunum.</w:t>
      </w:r>
    </w:p>
    <w:p w14:paraId="6489E08F" w14:textId="77777777" w:rsidR="00431B08" w:rsidRDefault="00431B08" w:rsidP="00431B08">
      <w:r w:rsidRPr="13946B49">
        <w:rPr>
          <w:i/>
          <w:iCs/>
        </w:rPr>
        <w:t xml:space="preserve">Um </w:t>
      </w:r>
      <w:proofErr w:type="spellStart"/>
      <w:r w:rsidRPr="13946B49">
        <w:rPr>
          <w:i/>
          <w:iCs/>
        </w:rPr>
        <w:t>b-lið</w:t>
      </w:r>
      <w:proofErr w:type="spellEnd"/>
      <w:r w:rsidRPr="13946B49">
        <w:rPr>
          <w:i/>
          <w:iCs/>
        </w:rPr>
        <w:t xml:space="preserve">. </w:t>
      </w:r>
      <w:r>
        <w:t xml:space="preserve">Lagt er til að kveðið verði á um að lífeyrissjóðir hafi ferla um verðmat eigna. Nauðsynlegt er að lífeyrissjóðir meti virði eigna oftar en við gerð ársreiknings til þess að tryggja að eignasafn þeirra samræmist alltaf kröfum laganna. Það kann að vera sérstaklega brýnt í ljósi fyrirhugaðra breytinga samkvæmt frumvarpinu sem liðka fyrir fjölbreytta eignasafni lífeyrissjóða, þar á meðal aukinni hlutdeild eigna sem ekki eru skráð á markað og hafa því ekki birt markaðsgengi. Ætlast verður til þess að verðmat slíkra eigna sé endurskoðað a.m.k. þegar fyrir liggja vísbendingar um að síðasta verðmat sé ekki lengur viðeigandi. Þörf gæti verið á tíðara verðmati hjá þeim sem ávaxta fé sem ætlað er til að veita viðbótartryggingarvernd í ljósi rýmra svigrúms sjóðfélaga til þess að innleysa og færa slíkan sparnað. </w:t>
      </w:r>
    </w:p>
    <w:p w14:paraId="1878AE62" w14:textId="77777777" w:rsidR="00431B08" w:rsidRDefault="00431B08" w:rsidP="00431B08">
      <w:r>
        <w:t xml:space="preserve">Gert er ráð fyrir því að virði eigna sé </w:t>
      </w:r>
      <w:r w:rsidRPr="007A390B">
        <w:t>metið með sama hætti og við gerð ársreiknings</w:t>
      </w:r>
      <w:r>
        <w:t xml:space="preserve"> lífeyrissjóða, sbr. 40. gr. laganna. Nánar er fjallað um ársreikninga lífeyrissjóða í reglum </w:t>
      </w:r>
      <w:r w:rsidRPr="00EB128E">
        <w:t>um ársreikninga lífeyrissjóða</w:t>
      </w:r>
      <w:r>
        <w:t>, nr. 335/2015. Þar er kveðið á um að a</w:t>
      </w:r>
      <w:r w:rsidRPr="006513C9">
        <w:t>ðferðir</w:t>
      </w:r>
      <w:r>
        <w:t xml:space="preserve"> lífeyrissjóða</w:t>
      </w:r>
      <w:r w:rsidRPr="006513C9">
        <w:t xml:space="preserve"> við mat á </w:t>
      </w:r>
      <w:proofErr w:type="spellStart"/>
      <w:r w:rsidRPr="006513C9">
        <w:t>fjármálagerningum</w:t>
      </w:r>
      <w:proofErr w:type="spellEnd"/>
      <w:r w:rsidRPr="006513C9">
        <w:t xml:space="preserve"> til </w:t>
      </w:r>
      <w:proofErr w:type="spellStart"/>
      <w:r w:rsidRPr="006513C9">
        <w:t>gangvirðis</w:t>
      </w:r>
      <w:proofErr w:type="spellEnd"/>
      <w:r w:rsidRPr="006513C9">
        <w:t xml:space="preserve"> skul</w:t>
      </w:r>
      <w:r>
        <w:t>i</w:t>
      </w:r>
      <w:r w:rsidRPr="006513C9">
        <w:t xml:space="preserve"> vera í samræmi við settar reikningsskilareglur</w:t>
      </w:r>
      <w:r>
        <w:t xml:space="preserve">. Með settum reikningsskilareglum er átt við reglur </w:t>
      </w:r>
      <w:r w:rsidRPr="002923FC">
        <w:t>sem reikningsskilaráð gefur út</w:t>
      </w:r>
      <w:r>
        <w:t xml:space="preserve"> og alþjóðlega </w:t>
      </w:r>
      <w:proofErr w:type="spellStart"/>
      <w:r>
        <w:t>reikningsskilastaðla</w:t>
      </w:r>
      <w:proofErr w:type="spellEnd"/>
      <w:r>
        <w:t xml:space="preserve">. </w:t>
      </w:r>
    </w:p>
    <w:p w14:paraId="68C6B6AC" w14:textId="77777777" w:rsidR="00431B08" w:rsidRDefault="00431B08" w:rsidP="00431B08">
      <w:r>
        <w:t>Ákvæðið snýr ekki að tryggingafræðilegri athugun á fjárhag sjóða skv. 24. gr. laganna.</w:t>
      </w:r>
    </w:p>
    <w:p w14:paraId="0B067870" w14:textId="77777777" w:rsidR="00431B08" w:rsidRDefault="00431B08" w:rsidP="00431B08"/>
    <w:p w14:paraId="1247221A" w14:textId="77777777" w:rsidR="00431B08" w:rsidRDefault="00431B08" w:rsidP="00431B08">
      <w:pPr>
        <w:jc w:val="center"/>
      </w:pPr>
      <w:r>
        <w:t>Um 9. gr.</w:t>
      </w:r>
    </w:p>
    <w:p w14:paraId="4DF408E0" w14:textId="77777777" w:rsidR="00431B08" w:rsidRDefault="00431B08" w:rsidP="00431B08">
      <w:r>
        <w:rPr>
          <w:i/>
          <w:iCs/>
        </w:rPr>
        <w:t xml:space="preserve">Um 1. efnismgr. </w:t>
      </w:r>
      <w:r>
        <w:t>Lagt er til að lífeyrissjóðum verði ekki skylt að grípa til ráðstafana til úrbóta ef að breytingar á gengi fjármálagerninga eða íslensku krónunnar eða virði fasteigna leiða til þess að fjárfestingar þeirra fara fram úr leyfilegum mörkum.</w:t>
      </w:r>
      <w:r w:rsidRPr="00284BE7">
        <w:rPr>
          <w:b/>
          <w:bCs/>
        </w:rPr>
        <w:t xml:space="preserve"> </w:t>
      </w:r>
      <w:r>
        <w:t xml:space="preserve">Ekki er talið að það eitt </w:t>
      </w:r>
      <w:r>
        <w:lastRenderedPageBreak/>
        <w:t xml:space="preserve">að virði eigna breytist eigi að kalla á sölu eigna eða aðrar ráðstafanir hjá lífeyrissjóðum til að fara niður fyrir </w:t>
      </w:r>
      <w:proofErr w:type="spellStart"/>
      <w:r>
        <w:t>lögmælt</w:t>
      </w:r>
      <w:proofErr w:type="spellEnd"/>
      <w:r>
        <w:t xml:space="preserve"> hámörk.</w:t>
      </w:r>
    </w:p>
    <w:p w14:paraId="26055384" w14:textId="77777777" w:rsidR="00431B08" w:rsidRPr="00873952" w:rsidRDefault="00431B08" w:rsidP="00431B08">
      <w:r>
        <w:rPr>
          <w:i/>
          <w:iCs/>
        </w:rPr>
        <w:t xml:space="preserve">Um 2. efnismgr. </w:t>
      </w:r>
      <w:r>
        <w:t xml:space="preserve">Lagt er til að nýjum lífeyrissjóðum verði veittur frestur til að ná niður fyrir </w:t>
      </w:r>
      <w:proofErr w:type="spellStart"/>
      <w:r>
        <w:t>lögmælt</w:t>
      </w:r>
      <w:proofErr w:type="spellEnd"/>
      <w:r>
        <w:t xml:space="preserve"> hámörk einstakra fjárfestinga. Iðgjöld í nýstofnaðan sjóð eða sjóðsdeild geta verið óregluleg á fyrstu mánuðum í rekstri. Jafnframt getur tekið tíma fyrir lífeyrissjóð að ráðstafa innflæðinu og tryggja dreifingu til að uppfylla þau skilyrði sem sett eru í fjárfestingastefnu sjóðsins og byggjast á lögum þessum. </w:t>
      </w:r>
    </w:p>
    <w:p w14:paraId="21617A2A" w14:textId="77777777" w:rsidR="00431B08" w:rsidRPr="00B05ABC" w:rsidRDefault="00431B08" w:rsidP="00431B08"/>
    <w:p w14:paraId="33986531" w14:textId="77777777" w:rsidR="00431B08" w:rsidRDefault="00431B08" w:rsidP="00431B08">
      <w:pPr>
        <w:pStyle w:val="Greinarnmer"/>
        <w:spacing w:line="259" w:lineRule="auto"/>
      </w:pPr>
      <w:r>
        <w:t>Um 10. gr.</w:t>
      </w:r>
    </w:p>
    <w:p w14:paraId="786ECAA9" w14:textId="77777777" w:rsidR="00431B08" w:rsidRDefault="00431B08" w:rsidP="00431B08">
      <w:r w:rsidRPr="00D01591">
        <w:rPr>
          <w:i/>
          <w:iCs/>
        </w:rPr>
        <w:t xml:space="preserve">Um a-lið. </w:t>
      </w:r>
      <w:r>
        <w:t xml:space="preserve">Lagt er til að fyrirhugaðar 36. gr. g um verðbréfalán og 36. gr. h um verðmat gildi um þá sem veita viðbótartryggingavernd að breyttu </w:t>
      </w:r>
      <w:proofErr w:type="spellStart"/>
      <w:r>
        <w:t>breytanda</w:t>
      </w:r>
      <w:proofErr w:type="spellEnd"/>
      <w:r>
        <w:t>. Um skýringar vísast til athugasemda við 8. gr. frumvarpsins.</w:t>
      </w:r>
    </w:p>
    <w:p w14:paraId="4D61A8A2" w14:textId="77777777" w:rsidR="00431B08" w:rsidRPr="00FA148A" w:rsidRDefault="00431B08" w:rsidP="00431B08">
      <w:r w:rsidRPr="00D01591">
        <w:rPr>
          <w:i/>
          <w:iCs/>
        </w:rPr>
        <w:t xml:space="preserve">Um </w:t>
      </w:r>
      <w:proofErr w:type="spellStart"/>
      <w:r w:rsidRPr="00D01591">
        <w:rPr>
          <w:i/>
          <w:iCs/>
        </w:rPr>
        <w:t>b-lið</w:t>
      </w:r>
      <w:proofErr w:type="spellEnd"/>
      <w:r w:rsidRPr="00D01591">
        <w:rPr>
          <w:i/>
          <w:iCs/>
        </w:rPr>
        <w:t>.</w:t>
      </w:r>
      <w:r>
        <w:t xml:space="preserve"> Lagt er til að takmörkun 1. málsl. 3. mgr. greinarinnar á mótaðilaáhættu taki ekki til fjárfestinga í verðbréfasjóðum. Verðbréfasjóðir lúta nú þegar sambærilegum takmörkum í sínu regluverki sem leiðir til þess að undirliggjandi áhætta lífeyrissjóða er svipuð því að fjárfest væri beint í undirliggjandi eignum. Takmörkun á mótaðilaáhættu lífeyrissjóða í verðbréfasjóðum kann því að vera óþarflega takmarkandi sem kann að leiða til verri kjara sem lífeyrissjóði standa til boða í tengslum við fjárfestingar í verðbréfasjóðum án þess að hafa áhrif á áhættusnið fjárfestinga lífeyrissjóðsins.</w:t>
      </w:r>
    </w:p>
    <w:p w14:paraId="00B1352E" w14:textId="77777777" w:rsidR="00431B08" w:rsidRPr="00B05ABC" w:rsidRDefault="00431B08" w:rsidP="00431B08"/>
    <w:p w14:paraId="2951E793" w14:textId="77777777" w:rsidR="00431B08" w:rsidRDefault="00431B08" w:rsidP="00431B08">
      <w:pPr>
        <w:pStyle w:val="Greinarnmer"/>
        <w:spacing w:line="259" w:lineRule="auto"/>
      </w:pPr>
      <w:r>
        <w:t>Um 11. gr.</w:t>
      </w:r>
    </w:p>
    <w:p w14:paraId="0AEC1E9D" w14:textId="4EAB05E2" w:rsidR="00431B08" w:rsidRPr="00012035" w:rsidRDefault="00431B08" w:rsidP="00840AB1">
      <w:r>
        <w:t>Greinin þarfnast ekki skýringa.</w:t>
      </w:r>
    </w:p>
    <w:sectPr w:rsidR="00431B08" w:rsidRPr="00012035" w:rsidSect="00947F0E">
      <w:headerReference w:type="default" r:id="rId16"/>
      <w:headerReference w:type="first" r:id="rId17"/>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1E75A" w14:textId="77777777" w:rsidR="00A35E9C" w:rsidRDefault="00A35E9C" w:rsidP="006258D7">
      <w:r>
        <w:separator/>
      </w:r>
    </w:p>
    <w:p w14:paraId="0045485B" w14:textId="77777777" w:rsidR="00A35E9C" w:rsidRDefault="00A35E9C"/>
  </w:endnote>
  <w:endnote w:type="continuationSeparator" w:id="0">
    <w:p w14:paraId="72D5CA7D" w14:textId="77777777" w:rsidR="00A35E9C" w:rsidRDefault="00A35E9C" w:rsidP="006258D7">
      <w:r>
        <w:continuationSeparator/>
      </w:r>
    </w:p>
    <w:p w14:paraId="0EC61C1E" w14:textId="77777777" w:rsidR="00A35E9C" w:rsidRDefault="00A35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F4FAB" w14:textId="77777777" w:rsidR="00A35E9C" w:rsidRDefault="00A35E9C" w:rsidP="005B4CD6">
      <w:pPr>
        <w:ind w:firstLine="0"/>
      </w:pPr>
      <w:r>
        <w:separator/>
      </w:r>
    </w:p>
    <w:p w14:paraId="64104A1B" w14:textId="77777777" w:rsidR="00A35E9C" w:rsidRDefault="00A35E9C"/>
  </w:footnote>
  <w:footnote w:type="continuationSeparator" w:id="0">
    <w:p w14:paraId="42425F7E" w14:textId="77777777" w:rsidR="00A35E9C" w:rsidRDefault="00A35E9C" w:rsidP="006258D7">
      <w:r>
        <w:continuationSeparator/>
      </w:r>
    </w:p>
    <w:p w14:paraId="07562B49" w14:textId="77777777" w:rsidR="00A35E9C" w:rsidRDefault="00A35E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052F" w14:textId="6622EBB2" w:rsidR="00655EE3" w:rsidRDefault="00655EE3" w:rsidP="006258D7">
    <w:pPr>
      <w:pStyle w:val="Suhaus"/>
      <w:tabs>
        <w:tab w:val="clear" w:pos="4536"/>
        <w:tab w:val="clear" w:pos="9072"/>
        <w:tab w:val="center" w:pos="3969"/>
        <w:tab w:val="right" w:pos="7797"/>
      </w:tabs>
    </w:pPr>
    <w:r>
      <w:tab/>
    </w:r>
    <w:r w:rsidR="003B68AB">
      <w:fldChar w:fldCharType="begin"/>
    </w:r>
    <w:r w:rsidR="003B68AB">
      <w:instrText>PAGE   \* MERGEFORMAT</w:instrText>
    </w:r>
    <w:r w:rsidR="003B68AB">
      <w:fldChar w:fldCharType="separate"/>
    </w:r>
    <w:r w:rsidR="00C710B1">
      <w:rPr>
        <w:noProof/>
      </w:rPr>
      <w:t>2</w:t>
    </w:r>
    <w:r w:rsidR="003B68AB">
      <w:rPr>
        <w:noProof/>
      </w:rPr>
      <w:fldChar w:fldCharType="end"/>
    </w:r>
    <w:r w:rsidR="002D340A">
      <w:rPr>
        <w:noProof/>
      </w:rPr>
      <w:tab/>
    </w:r>
    <w:r w:rsidR="002D340A" w:rsidRPr="00655EE3">
      <w:rPr>
        <w:b/>
        <w:i/>
        <w:color w:val="7F7F7F"/>
        <w:sz w:val="24"/>
        <w:szCs w:val="24"/>
      </w:rPr>
      <w:t>Í vinnslu</w:t>
    </w:r>
    <w:r w:rsidR="002D340A">
      <w:rPr>
        <w:b/>
        <w:i/>
        <w:color w:val="7F7F7F"/>
        <w:sz w:val="24"/>
        <w:szCs w:val="24"/>
      </w:rPr>
      <w:t xml:space="preserve"> – </w:t>
    </w:r>
    <w:r w:rsidR="002D340A">
      <w:rPr>
        <w:b/>
        <w:i/>
        <w:color w:val="7F7F7F"/>
        <w:sz w:val="24"/>
        <w:szCs w:val="24"/>
      </w:rPr>
      <w:fldChar w:fldCharType="begin"/>
    </w:r>
    <w:r w:rsidR="002D340A">
      <w:rPr>
        <w:b/>
        <w:i/>
        <w:color w:val="7F7F7F"/>
        <w:sz w:val="24"/>
        <w:szCs w:val="24"/>
      </w:rPr>
      <w:instrText xml:space="preserve"> TIME \@ "d. MMMM yyyy" </w:instrText>
    </w:r>
    <w:r w:rsidR="002D340A">
      <w:rPr>
        <w:b/>
        <w:i/>
        <w:color w:val="7F7F7F"/>
        <w:sz w:val="24"/>
        <w:szCs w:val="24"/>
      </w:rPr>
      <w:fldChar w:fldCharType="separate"/>
    </w:r>
    <w:r w:rsidR="00B01B67">
      <w:rPr>
        <w:b/>
        <w:i/>
        <w:noProof/>
        <w:color w:val="7F7F7F"/>
        <w:sz w:val="24"/>
        <w:szCs w:val="24"/>
      </w:rPr>
      <w:t>26. febrúar 2026</w:t>
    </w:r>
    <w:r w:rsidR="002D340A">
      <w:rPr>
        <w:b/>
        <w:i/>
        <w:color w:val="7F7F7F"/>
        <w:sz w:val="24"/>
        <w:szCs w:val="24"/>
      </w:rPr>
      <w:fldChar w:fldCharType="end"/>
    </w:r>
  </w:p>
  <w:p w14:paraId="0641AD86" w14:textId="77777777" w:rsidR="00DA0E37" w:rsidRDefault="00DA0E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CFD8" w14:textId="013FDD5C" w:rsidR="00655EE3" w:rsidRDefault="00655EE3" w:rsidP="00655EE3">
    <w:pPr>
      <w:pStyle w:val="Suhaus"/>
      <w:tabs>
        <w:tab w:val="clear" w:pos="4536"/>
        <w:tab w:val="clear" w:pos="9072"/>
        <w:tab w:val="center" w:pos="3969"/>
        <w:tab w:val="right" w:pos="7797"/>
      </w:tabs>
    </w:pPr>
    <w:r>
      <w:tab/>
    </w:r>
    <w:r>
      <w:tab/>
    </w:r>
    <w:r w:rsidRPr="00655EE3">
      <w:rPr>
        <w:b/>
        <w:i/>
        <w:color w:val="7F7F7F"/>
        <w:sz w:val="24"/>
        <w:szCs w:val="24"/>
      </w:rPr>
      <w:t>Í vinnslu</w:t>
    </w:r>
    <w:r w:rsidR="000F46B1">
      <w:rPr>
        <w:b/>
        <w:i/>
        <w:color w:val="7F7F7F"/>
        <w:sz w:val="24"/>
        <w:szCs w:val="24"/>
      </w:rPr>
      <w:t xml:space="preserve"> – </w:t>
    </w:r>
    <w:r w:rsidR="00AD0879">
      <w:rPr>
        <w:b/>
        <w:i/>
        <w:color w:val="7F7F7F"/>
        <w:sz w:val="24"/>
        <w:szCs w:val="24"/>
      </w:rPr>
      <w:fldChar w:fldCharType="begin"/>
    </w:r>
    <w:r w:rsidR="000F46B1">
      <w:rPr>
        <w:b/>
        <w:i/>
        <w:color w:val="7F7F7F"/>
        <w:sz w:val="24"/>
        <w:szCs w:val="24"/>
      </w:rPr>
      <w:instrText xml:space="preserve"> TIME \@ "d. MMMM yyyy" </w:instrText>
    </w:r>
    <w:r w:rsidR="00AD0879">
      <w:rPr>
        <w:b/>
        <w:i/>
        <w:color w:val="7F7F7F"/>
        <w:sz w:val="24"/>
        <w:szCs w:val="24"/>
      </w:rPr>
      <w:fldChar w:fldCharType="separate"/>
    </w:r>
    <w:r w:rsidR="00B01B67">
      <w:rPr>
        <w:b/>
        <w:i/>
        <w:noProof/>
        <w:color w:val="7F7F7F"/>
        <w:sz w:val="24"/>
        <w:szCs w:val="24"/>
      </w:rPr>
      <w:t>26. febrúar 2026</w:t>
    </w:r>
    <w:r w:rsidR="00AD0879">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5039"/>
    <w:multiLevelType w:val="multilevel"/>
    <w:tmpl w:val="AAAC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2C7342"/>
    <w:multiLevelType w:val="hybridMultilevel"/>
    <w:tmpl w:val="E022F82A"/>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2" w15:restartNumberingAfterBreak="0">
    <w:nsid w:val="035806B0"/>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15:restartNumberingAfterBreak="0">
    <w:nsid w:val="04EF7FC3"/>
    <w:multiLevelType w:val="hybridMultilevel"/>
    <w:tmpl w:val="55367A62"/>
    <w:lvl w:ilvl="0" w:tplc="040F0001">
      <w:start w:val="1"/>
      <w:numFmt w:val="bullet"/>
      <w:lvlText w:val=""/>
      <w:lvlJc w:val="left"/>
      <w:pPr>
        <w:ind w:left="1434" w:hanging="360"/>
      </w:pPr>
      <w:rPr>
        <w:rFonts w:ascii="Symbol" w:hAnsi="Symbol" w:hint="default"/>
      </w:rPr>
    </w:lvl>
    <w:lvl w:ilvl="1" w:tplc="040F0003">
      <w:start w:val="1"/>
      <w:numFmt w:val="bullet"/>
      <w:lvlText w:val="o"/>
      <w:lvlJc w:val="left"/>
      <w:pPr>
        <w:ind w:left="2154" w:hanging="360"/>
      </w:pPr>
      <w:rPr>
        <w:rFonts w:ascii="Courier New" w:hAnsi="Courier New" w:cs="Courier New" w:hint="default"/>
      </w:rPr>
    </w:lvl>
    <w:lvl w:ilvl="2" w:tplc="040F0005" w:tentative="1">
      <w:start w:val="1"/>
      <w:numFmt w:val="bullet"/>
      <w:lvlText w:val=""/>
      <w:lvlJc w:val="left"/>
      <w:pPr>
        <w:ind w:left="2874" w:hanging="360"/>
      </w:pPr>
      <w:rPr>
        <w:rFonts w:ascii="Wingdings" w:hAnsi="Wingdings" w:hint="default"/>
      </w:rPr>
    </w:lvl>
    <w:lvl w:ilvl="3" w:tplc="040F0001" w:tentative="1">
      <w:start w:val="1"/>
      <w:numFmt w:val="bullet"/>
      <w:lvlText w:val=""/>
      <w:lvlJc w:val="left"/>
      <w:pPr>
        <w:ind w:left="3594" w:hanging="360"/>
      </w:pPr>
      <w:rPr>
        <w:rFonts w:ascii="Symbol" w:hAnsi="Symbol" w:hint="default"/>
      </w:rPr>
    </w:lvl>
    <w:lvl w:ilvl="4" w:tplc="040F0003" w:tentative="1">
      <w:start w:val="1"/>
      <w:numFmt w:val="bullet"/>
      <w:lvlText w:val="o"/>
      <w:lvlJc w:val="left"/>
      <w:pPr>
        <w:ind w:left="4314" w:hanging="360"/>
      </w:pPr>
      <w:rPr>
        <w:rFonts w:ascii="Courier New" w:hAnsi="Courier New" w:cs="Courier New" w:hint="default"/>
      </w:rPr>
    </w:lvl>
    <w:lvl w:ilvl="5" w:tplc="040F0005" w:tentative="1">
      <w:start w:val="1"/>
      <w:numFmt w:val="bullet"/>
      <w:lvlText w:val=""/>
      <w:lvlJc w:val="left"/>
      <w:pPr>
        <w:ind w:left="5034" w:hanging="360"/>
      </w:pPr>
      <w:rPr>
        <w:rFonts w:ascii="Wingdings" w:hAnsi="Wingdings" w:hint="default"/>
      </w:rPr>
    </w:lvl>
    <w:lvl w:ilvl="6" w:tplc="040F0001" w:tentative="1">
      <w:start w:val="1"/>
      <w:numFmt w:val="bullet"/>
      <w:lvlText w:val=""/>
      <w:lvlJc w:val="left"/>
      <w:pPr>
        <w:ind w:left="5754" w:hanging="360"/>
      </w:pPr>
      <w:rPr>
        <w:rFonts w:ascii="Symbol" w:hAnsi="Symbol" w:hint="default"/>
      </w:rPr>
    </w:lvl>
    <w:lvl w:ilvl="7" w:tplc="040F0003" w:tentative="1">
      <w:start w:val="1"/>
      <w:numFmt w:val="bullet"/>
      <w:lvlText w:val="o"/>
      <w:lvlJc w:val="left"/>
      <w:pPr>
        <w:ind w:left="6474" w:hanging="360"/>
      </w:pPr>
      <w:rPr>
        <w:rFonts w:ascii="Courier New" w:hAnsi="Courier New" w:cs="Courier New" w:hint="default"/>
      </w:rPr>
    </w:lvl>
    <w:lvl w:ilvl="8" w:tplc="040F0005" w:tentative="1">
      <w:start w:val="1"/>
      <w:numFmt w:val="bullet"/>
      <w:lvlText w:val=""/>
      <w:lvlJc w:val="left"/>
      <w:pPr>
        <w:ind w:left="7194" w:hanging="360"/>
      </w:pPr>
      <w:rPr>
        <w:rFonts w:ascii="Wingdings" w:hAnsi="Wingdings" w:hint="default"/>
      </w:rPr>
    </w:lvl>
  </w:abstractNum>
  <w:abstractNum w:abstractNumId="4" w15:restartNumberingAfterBreak="0">
    <w:nsid w:val="069A7211"/>
    <w:multiLevelType w:val="multilevel"/>
    <w:tmpl w:val="C6484E02"/>
    <w:numStyleLink w:val="Althingia-1-a-1"/>
  </w:abstractNum>
  <w:abstractNum w:abstractNumId="5"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6" w15:restartNumberingAfterBreak="0">
    <w:nsid w:val="15907A58"/>
    <w:multiLevelType w:val="multilevel"/>
    <w:tmpl w:val="B5F6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5A2C79"/>
    <w:multiLevelType w:val="multilevel"/>
    <w:tmpl w:val="9EC2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9" w15:restartNumberingAfterBreak="0">
    <w:nsid w:val="1DED36CD"/>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0" w15:restartNumberingAfterBreak="0">
    <w:nsid w:val="1EA855E8"/>
    <w:multiLevelType w:val="multilevel"/>
    <w:tmpl w:val="C6484E02"/>
    <w:numStyleLink w:val="Althingia-1-a-1"/>
  </w:abstractNum>
  <w:abstractNum w:abstractNumId="11" w15:restartNumberingAfterBreak="0">
    <w:nsid w:val="1FBA5F1C"/>
    <w:multiLevelType w:val="hybridMultilevel"/>
    <w:tmpl w:val="F1DC33BC"/>
    <w:lvl w:ilvl="0" w:tplc="1D326ADA">
      <w:start w:val="1"/>
      <w:numFmt w:val="decimal"/>
      <w:lvlText w:val="%1)"/>
      <w:lvlJc w:val="left"/>
      <w:pPr>
        <w:ind w:left="1020" w:hanging="360"/>
      </w:pPr>
    </w:lvl>
    <w:lvl w:ilvl="1" w:tplc="C24C5A24">
      <w:start w:val="1"/>
      <w:numFmt w:val="decimal"/>
      <w:lvlText w:val="%2)"/>
      <w:lvlJc w:val="left"/>
      <w:pPr>
        <w:ind w:left="1020" w:hanging="360"/>
      </w:pPr>
    </w:lvl>
    <w:lvl w:ilvl="2" w:tplc="80FE1122">
      <w:start w:val="1"/>
      <w:numFmt w:val="decimal"/>
      <w:lvlText w:val="%3)"/>
      <w:lvlJc w:val="left"/>
      <w:pPr>
        <w:ind w:left="1020" w:hanging="360"/>
      </w:pPr>
    </w:lvl>
    <w:lvl w:ilvl="3" w:tplc="ABCA1554">
      <w:start w:val="1"/>
      <w:numFmt w:val="decimal"/>
      <w:lvlText w:val="%4)"/>
      <w:lvlJc w:val="left"/>
      <w:pPr>
        <w:ind w:left="1020" w:hanging="360"/>
      </w:pPr>
    </w:lvl>
    <w:lvl w:ilvl="4" w:tplc="89B8F214">
      <w:start w:val="1"/>
      <w:numFmt w:val="decimal"/>
      <w:lvlText w:val="%5)"/>
      <w:lvlJc w:val="left"/>
      <w:pPr>
        <w:ind w:left="1020" w:hanging="360"/>
      </w:pPr>
    </w:lvl>
    <w:lvl w:ilvl="5" w:tplc="68A4B89C">
      <w:start w:val="1"/>
      <w:numFmt w:val="decimal"/>
      <w:lvlText w:val="%6)"/>
      <w:lvlJc w:val="left"/>
      <w:pPr>
        <w:ind w:left="1020" w:hanging="360"/>
      </w:pPr>
    </w:lvl>
    <w:lvl w:ilvl="6" w:tplc="D86E6B60">
      <w:start w:val="1"/>
      <w:numFmt w:val="decimal"/>
      <w:lvlText w:val="%7)"/>
      <w:lvlJc w:val="left"/>
      <w:pPr>
        <w:ind w:left="1020" w:hanging="360"/>
      </w:pPr>
    </w:lvl>
    <w:lvl w:ilvl="7" w:tplc="AA726644">
      <w:start w:val="1"/>
      <w:numFmt w:val="decimal"/>
      <w:lvlText w:val="%8)"/>
      <w:lvlJc w:val="left"/>
      <w:pPr>
        <w:ind w:left="1020" w:hanging="360"/>
      </w:pPr>
    </w:lvl>
    <w:lvl w:ilvl="8" w:tplc="CFD4983E">
      <w:start w:val="1"/>
      <w:numFmt w:val="decimal"/>
      <w:lvlText w:val="%9)"/>
      <w:lvlJc w:val="left"/>
      <w:pPr>
        <w:ind w:left="1020" w:hanging="360"/>
      </w:pPr>
    </w:lvl>
  </w:abstractNum>
  <w:abstractNum w:abstractNumId="12" w15:restartNumberingAfterBreak="0">
    <w:nsid w:val="227108DF"/>
    <w:multiLevelType w:val="multilevel"/>
    <w:tmpl w:val="BA7A7E06"/>
    <w:lvl w:ilvl="0">
      <w:start w:val="3"/>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3"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4" w15:restartNumberingAfterBreak="0">
    <w:nsid w:val="294A4880"/>
    <w:multiLevelType w:val="multilevel"/>
    <w:tmpl w:val="260A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16"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7" w15:restartNumberingAfterBreak="0">
    <w:nsid w:val="2DC047EB"/>
    <w:multiLevelType w:val="multilevel"/>
    <w:tmpl w:val="9CF8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0A738A"/>
    <w:multiLevelType w:val="multilevel"/>
    <w:tmpl w:val="C6484E02"/>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9" w15:restartNumberingAfterBreak="0">
    <w:nsid w:val="32DF4F63"/>
    <w:multiLevelType w:val="multilevel"/>
    <w:tmpl w:val="A36E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480B4E"/>
    <w:multiLevelType w:val="multilevel"/>
    <w:tmpl w:val="6DEC8882"/>
    <w:numStyleLink w:val="Althingi---"/>
  </w:abstractNum>
  <w:abstractNum w:abstractNumId="21" w15:restartNumberingAfterBreak="0">
    <w:nsid w:val="3E354625"/>
    <w:multiLevelType w:val="multilevel"/>
    <w:tmpl w:val="7C8C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23" w15:restartNumberingAfterBreak="0">
    <w:nsid w:val="45ED68F4"/>
    <w:multiLevelType w:val="hybridMultilevel"/>
    <w:tmpl w:val="387069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4" w15:restartNumberingAfterBreak="0">
    <w:nsid w:val="466B479C"/>
    <w:multiLevelType w:val="multilevel"/>
    <w:tmpl w:val="DA74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9A6B1B"/>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6" w15:restartNumberingAfterBreak="0">
    <w:nsid w:val="4CB633DE"/>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7" w15:restartNumberingAfterBreak="0">
    <w:nsid w:val="4EA9743F"/>
    <w:multiLevelType w:val="multilevel"/>
    <w:tmpl w:val="D9E0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AD1B5A"/>
    <w:multiLevelType w:val="hybridMultilevel"/>
    <w:tmpl w:val="4552E452"/>
    <w:lvl w:ilvl="0" w:tplc="040F0019">
      <w:start w:val="1"/>
      <w:numFmt w:val="lowerLetter"/>
      <w:lvlText w:val="%1."/>
      <w:lvlJc w:val="left"/>
      <w:pPr>
        <w:ind w:left="2874" w:hanging="18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9"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30" w15:restartNumberingAfterBreak="0">
    <w:nsid w:val="4FF35071"/>
    <w:multiLevelType w:val="multilevel"/>
    <w:tmpl w:val="83C6DAE2"/>
    <w:numStyleLink w:val="Althingi"/>
  </w:abstractNum>
  <w:abstractNum w:abstractNumId="31" w15:restartNumberingAfterBreak="0">
    <w:nsid w:val="505F1140"/>
    <w:multiLevelType w:val="hybridMultilevel"/>
    <w:tmpl w:val="DCE6284A"/>
    <w:lvl w:ilvl="0" w:tplc="040F000F">
      <w:start w:val="1"/>
      <w:numFmt w:val="decimal"/>
      <w:lvlText w:val="%1."/>
      <w:lvlJc w:val="left"/>
      <w:pPr>
        <w:ind w:left="1434" w:hanging="360"/>
      </w:pPr>
    </w:lvl>
    <w:lvl w:ilvl="1" w:tplc="040F0019" w:tentative="1">
      <w:start w:val="1"/>
      <w:numFmt w:val="lowerLetter"/>
      <w:lvlText w:val="%2."/>
      <w:lvlJc w:val="left"/>
      <w:pPr>
        <w:ind w:left="2154" w:hanging="360"/>
      </w:pPr>
    </w:lvl>
    <w:lvl w:ilvl="2" w:tplc="040F001B">
      <w:start w:val="1"/>
      <w:numFmt w:val="lowerRoman"/>
      <w:lvlText w:val="%3."/>
      <w:lvlJc w:val="right"/>
      <w:pPr>
        <w:ind w:left="2874" w:hanging="180"/>
      </w:pPr>
    </w:lvl>
    <w:lvl w:ilvl="3" w:tplc="040F000F" w:tentative="1">
      <w:start w:val="1"/>
      <w:numFmt w:val="decimal"/>
      <w:lvlText w:val="%4."/>
      <w:lvlJc w:val="left"/>
      <w:pPr>
        <w:ind w:left="3594" w:hanging="360"/>
      </w:pPr>
    </w:lvl>
    <w:lvl w:ilvl="4" w:tplc="040F0019" w:tentative="1">
      <w:start w:val="1"/>
      <w:numFmt w:val="lowerLetter"/>
      <w:lvlText w:val="%5."/>
      <w:lvlJc w:val="left"/>
      <w:pPr>
        <w:ind w:left="4314" w:hanging="360"/>
      </w:pPr>
    </w:lvl>
    <w:lvl w:ilvl="5" w:tplc="040F001B" w:tentative="1">
      <w:start w:val="1"/>
      <w:numFmt w:val="lowerRoman"/>
      <w:lvlText w:val="%6."/>
      <w:lvlJc w:val="right"/>
      <w:pPr>
        <w:ind w:left="5034" w:hanging="180"/>
      </w:pPr>
    </w:lvl>
    <w:lvl w:ilvl="6" w:tplc="040F000F" w:tentative="1">
      <w:start w:val="1"/>
      <w:numFmt w:val="decimal"/>
      <w:lvlText w:val="%7."/>
      <w:lvlJc w:val="left"/>
      <w:pPr>
        <w:ind w:left="5754" w:hanging="360"/>
      </w:pPr>
    </w:lvl>
    <w:lvl w:ilvl="7" w:tplc="040F0019" w:tentative="1">
      <w:start w:val="1"/>
      <w:numFmt w:val="lowerLetter"/>
      <w:lvlText w:val="%8."/>
      <w:lvlJc w:val="left"/>
      <w:pPr>
        <w:ind w:left="6474" w:hanging="360"/>
      </w:pPr>
    </w:lvl>
    <w:lvl w:ilvl="8" w:tplc="040F001B" w:tentative="1">
      <w:start w:val="1"/>
      <w:numFmt w:val="lowerRoman"/>
      <w:lvlText w:val="%9."/>
      <w:lvlJc w:val="right"/>
      <w:pPr>
        <w:ind w:left="7194" w:hanging="180"/>
      </w:pPr>
    </w:lvl>
  </w:abstractNum>
  <w:abstractNum w:abstractNumId="32" w15:restartNumberingAfterBreak="0">
    <w:nsid w:val="55C23BF6"/>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3" w15:restartNumberingAfterBreak="0">
    <w:nsid w:val="58F57CD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4" w15:restartNumberingAfterBreak="0">
    <w:nsid w:val="5EE6615D"/>
    <w:multiLevelType w:val="multilevel"/>
    <w:tmpl w:val="E45C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36" w15:restartNumberingAfterBreak="0">
    <w:nsid w:val="6D715F4A"/>
    <w:multiLevelType w:val="multilevel"/>
    <w:tmpl w:val="BB08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AF02BE"/>
    <w:multiLevelType w:val="multilevel"/>
    <w:tmpl w:val="DC146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39" w15:restartNumberingAfterBreak="0">
    <w:nsid w:val="71F631C5"/>
    <w:multiLevelType w:val="hybridMultilevel"/>
    <w:tmpl w:val="F0BE59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AEB953"/>
    <w:multiLevelType w:val="hybridMultilevel"/>
    <w:tmpl w:val="FFFFFFFF"/>
    <w:lvl w:ilvl="0" w:tplc="527233AC">
      <w:start w:val="1"/>
      <w:numFmt w:val="lowerLetter"/>
      <w:lvlText w:val="%1."/>
      <w:lvlJc w:val="left"/>
      <w:pPr>
        <w:ind w:left="717" w:hanging="360"/>
      </w:pPr>
    </w:lvl>
    <w:lvl w:ilvl="1" w:tplc="A596E52E">
      <w:start w:val="1"/>
      <w:numFmt w:val="lowerLetter"/>
      <w:lvlText w:val="%2."/>
      <w:lvlJc w:val="left"/>
      <w:pPr>
        <w:ind w:left="1437" w:hanging="360"/>
      </w:pPr>
    </w:lvl>
    <w:lvl w:ilvl="2" w:tplc="9D30D5EE">
      <w:start w:val="1"/>
      <w:numFmt w:val="lowerRoman"/>
      <w:lvlText w:val="%3."/>
      <w:lvlJc w:val="right"/>
      <w:pPr>
        <w:ind w:left="2157" w:hanging="180"/>
      </w:pPr>
    </w:lvl>
    <w:lvl w:ilvl="3" w:tplc="BD74BCA4">
      <w:start w:val="1"/>
      <w:numFmt w:val="decimal"/>
      <w:lvlText w:val="%4."/>
      <w:lvlJc w:val="left"/>
      <w:pPr>
        <w:ind w:left="2877" w:hanging="360"/>
      </w:pPr>
    </w:lvl>
    <w:lvl w:ilvl="4" w:tplc="7F681FDC">
      <w:start w:val="1"/>
      <w:numFmt w:val="lowerLetter"/>
      <w:lvlText w:val="%5."/>
      <w:lvlJc w:val="left"/>
      <w:pPr>
        <w:ind w:left="3597" w:hanging="360"/>
      </w:pPr>
    </w:lvl>
    <w:lvl w:ilvl="5" w:tplc="A9E677D2">
      <w:start w:val="1"/>
      <w:numFmt w:val="lowerRoman"/>
      <w:lvlText w:val="%6."/>
      <w:lvlJc w:val="right"/>
      <w:pPr>
        <w:ind w:left="4317" w:hanging="180"/>
      </w:pPr>
    </w:lvl>
    <w:lvl w:ilvl="6" w:tplc="33828782">
      <w:start w:val="1"/>
      <w:numFmt w:val="decimal"/>
      <w:lvlText w:val="%7."/>
      <w:lvlJc w:val="left"/>
      <w:pPr>
        <w:ind w:left="5037" w:hanging="360"/>
      </w:pPr>
    </w:lvl>
    <w:lvl w:ilvl="7" w:tplc="045EFC10">
      <w:start w:val="1"/>
      <w:numFmt w:val="lowerLetter"/>
      <w:lvlText w:val="%8."/>
      <w:lvlJc w:val="left"/>
      <w:pPr>
        <w:ind w:left="5757" w:hanging="360"/>
      </w:pPr>
    </w:lvl>
    <w:lvl w:ilvl="8" w:tplc="87007AEA">
      <w:start w:val="1"/>
      <w:numFmt w:val="lowerRoman"/>
      <w:lvlText w:val="%9."/>
      <w:lvlJc w:val="right"/>
      <w:pPr>
        <w:ind w:left="6477" w:hanging="180"/>
      </w:pPr>
    </w:lvl>
  </w:abstractNum>
  <w:abstractNum w:abstractNumId="41"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42" w15:restartNumberingAfterBreak="0">
    <w:nsid w:val="79C26AF5"/>
    <w:multiLevelType w:val="multilevel"/>
    <w:tmpl w:val="F8C40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abstractNum w:abstractNumId="44" w15:restartNumberingAfterBreak="0">
    <w:nsid w:val="7FC923C5"/>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num w:numId="1" w16cid:durableId="2086829701">
    <w:abstractNumId w:val="43"/>
  </w:num>
  <w:num w:numId="2" w16cid:durableId="586427365">
    <w:abstractNumId w:val="35"/>
  </w:num>
  <w:num w:numId="3" w16cid:durableId="1915816662">
    <w:abstractNumId w:val="41"/>
  </w:num>
  <w:num w:numId="4" w16cid:durableId="2134133411">
    <w:abstractNumId w:val="13"/>
  </w:num>
  <w:num w:numId="5" w16cid:durableId="462163247">
    <w:abstractNumId w:val="29"/>
  </w:num>
  <w:num w:numId="6" w16cid:durableId="1949388434">
    <w:abstractNumId w:val="38"/>
  </w:num>
  <w:num w:numId="7" w16cid:durableId="1741293457">
    <w:abstractNumId w:val="15"/>
  </w:num>
  <w:num w:numId="8" w16cid:durableId="535970498">
    <w:abstractNumId w:val="8"/>
  </w:num>
  <w:num w:numId="9" w16cid:durableId="1972243755">
    <w:abstractNumId w:val="22"/>
  </w:num>
  <w:num w:numId="10" w16cid:durableId="231356018">
    <w:abstractNumId w:val="16"/>
  </w:num>
  <w:num w:numId="11" w16cid:durableId="216286035">
    <w:abstractNumId w:val="20"/>
  </w:num>
  <w:num w:numId="12" w16cid:durableId="2046320775">
    <w:abstractNumId w:val="30"/>
  </w:num>
  <w:num w:numId="13" w16cid:durableId="95249613">
    <w:abstractNumId w:val="5"/>
  </w:num>
  <w:num w:numId="14" w16cid:durableId="1612712339">
    <w:abstractNumId w:val="1"/>
  </w:num>
  <w:num w:numId="15" w16cid:durableId="380178777">
    <w:abstractNumId w:val="23"/>
  </w:num>
  <w:num w:numId="16" w16cid:durableId="2130538905">
    <w:abstractNumId w:val="11"/>
  </w:num>
  <w:num w:numId="17" w16cid:durableId="714550090">
    <w:abstractNumId w:val="39"/>
  </w:num>
  <w:num w:numId="18" w16cid:durableId="497884833">
    <w:abstractNumId w:val="25"/>
  </w:num>
  <w:num w:numId="19" w16cid:durableId="970551700">
    <w:abstractNumId w:val="3"/>
  </w:num>
  <w:num w:numId="20" w16cid:durableId="634525895">
    <w:abstractNumId w:val="40"/>
  </w:num>
  <w:num w:numId="21" w16cid:durableId="38894949">
    <w:abstractNumId w:val="31"/>
  </w:num>
  <w:num w:numId="22" w16cid:durableId="1630085941">
    <w:abstractNumId w:val="28"/>
  </w:num>
  <w:num w:numId="23" w16cid:durableId="1607539146">
    <w:abstractNumId w:val="44"/>
  </w:num>
  <w:num w:numId="24" w16cid:durableId="1494102117">
    <w:abstractNumId w:val="32"/>
  </w:num>
  <w:num w:numId="25" w16cid:durableId="1028338509">
    <w:abstractNumId w:val="26"/>
  </w:num>
  <w:num w:numId="26" w16cid:durableId="1467776435">
    <w:abstractNumId w:val="9"/>
  </w:num>
  <w:num w:numId="27" w16cid:durableId="471873328">
    <w:abstractNumId w:val="33"/>
  </w:num>
  <w:num w:numId="28" w16cid:durableId="1798528102">
    <w:abstractNumId w:val="2"/>
  </w:num>
  <w:num w:numId="29" w16cid:durableId="1186627516">
    <w:abstractNumId w:val="18"/>
  </w:num>
  <w:num w:numId="30" w16cid:durableId="2024285406">
    <w:abstractNumId w:val="12"/>
  </w:num>
  <w:num w:numId="31" w16cid:durableId="1569264409">
    <w:abstractNumId w:val="34"/>
  </w:num>
  <w:num w:numId="32" w16cid:durableId="663238195">
    <w:abstractNumId w:val="27"/>
  </w:num>
  <w:num w:numId="33" w16cid:durableId="919025273">
    <w:abstractNumId w:val="0"/>
  </w:num>
  <w:num w:numId="34" w16cid:durableId="1444954137">
    <w:abstractNumId w:val="36"/>
  </w:num>
  <w:num w:numId="35" w16cid:durableId="2112428487">
    <w:abstractNumId w:val="17"/>
  </w:num>
  <w:num w:numId="36" w16cid:durableId="1323847816">
    <w:abstractNumId w:val="7"/>
  </w:num>
  <w:num w:numId="37" w16cid:durableId="1688867960">
    <w:abstractNumId w:val="24"/>
  </w:num>
  <w:num w:numId="38" w16cid:durableId="965742598">
    <w:abstractNumId w:val="42"/>
  </w:num>
  <w:num w:numId="39" w16cid:durableId="149253648">
    <w:abstractNumId w:val="37"/>
  </w:num>
  <w:num w:numId="40" w16cid:durableId="1316453028">
    <w:abstractNumId w:val="21"/>
  </w:num>
  <w:num w:numId="41" w16cid:durableId="1692606663">
    <w:abstractNumId w:val="14"/>
  </w:num>
  <w:num w:numId="42" w16cid:durableId="116608996">
    <w:abstractNumId w:val="19"/>
  </w:num>
  <w:num w:numId="43" w16cid:durableId="600450418">
    <w:abstractNumId w:val="6"/>
  </w:num>
  <w:num w:numId="44" w16cid:durableId="1953976882">
    <w:abstractNumId w:val="10"/>
  </w:num>
  <w:num w:numId="45" w16cid:durableId="153575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removePersonalInformation/>
  <w:removeDateAndTime/>
  <w:proofState w:spelling="clean" w:grammar="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01D8"/>
    <w:rsid w:val="00000646"/>
    <w:rsid w:val="000008A1"/>
    <w:rsid w:val="00001444"/>
    <w:rsid w:val="00001A89"/>
    <w:rsid w:val="00001E7E"/>
    <w:rsid w:val="00001F0F"/>
    <w:rsid w:val="0000238F"/>
    <w:rsid w:val="000023FF"/>
    <w:rsid w:val="00002481"/>
    <w:rsid w:val="00002520"/>
    <w:rsid w:val="00003A18"/>
    <w:rsid w:val="00003C0E"/>
    <w:rsid w:val="000041A5"/>
    <w:rsid w:val="00004CF9"/>
    <w:rsid w:val="00005208"/>
    <w:rsid w:val="0000578D"/>
    <w:rsid w:val="00005D3F"/>
    <w:rsid w:val="00006195"/>
    <w:rsid w:val="00006D95"/>
    <w:rsid w:val="000073D0"/>
    <w:rsid w:val="00007ABC"/>
    <w:rsid w:val="00007B3A"/>
    <w:rsid w:val="00007DFD"/>
    <w:rsid w:val="0001018A"/>
    <w:rsid w:val="00010AA7"/>
    <w:rsid w:val="00010CE1"/>
    <w:rsid w:val="00010D9F"/>
    <w:rsid w:val="00010E96"/>
    <w:rsid w:val="00011012"/>
    <w:rsid w:val="000111D8"/>
    <w:rsid w:val="000113A1"/>
    <w:rsid w:val="00011518"/>
    <w:rsid w:val="00011C7F"/>
    <w:rsid w:val="0001293A"/>
    <w:rsid w:val="00014425"/>
    <w:rsid w:val="000145B6"/>
    <w:rsid w:val="000157BF"/>
    <w:rsid w:val="00015AA5"/>
    <w:rsid w:val="0001624C"/>
    <w:rsid w:val="00016805"/>
    <w:rsid w:val="0001689A"/>
    <w:rsid w:val="0001690F"/>
    <w:rsid w:val="00017549"/>
    <w:rsid w:val="00017695"/>
    <w:rsid w:val="00017ECA"/>
    <w:rsid w:val="00020052"/>
    <w:rsid w:val="000204A2"/>
    <w:rsid w:val="000211AA"/>
    <w:rsid w:val="00021BF1"/>
    <w:rsid w:val="00021DAB"/>
    <w:rsid w:val="0002246C"/>
    <w:rsid w:val="0002254A"/>
    <w:rsid w:val="0002294C"/>
    <w:rsid w:val="00022F0A"/>
    <w:rsid w:val="00023312"/>
    <w:rsid w:val="00023656"/>
    <w:rsid w:val="000237AE"/>
    <w:rsid w:val="000238DC"/>
    <w:rsid w:val="00023AD8"/>
    <w:rsid w:val="00023DE4"/>
    <w:rsid w:val="00024876"/>
    <w:rsid w:val="00024C7C"/>
    <w:rsid w:val="00024E23"/>
    <w:rsid w:val="000251FE"/>
    <w:rsid w:val="000252AC"/>
    <w:rsid w:val="000253CE"/>
    <w:rsid w:val="00025B42"/>
    <w:rsid w:val="000262DA"/>
    <w:rsid w:val="000264EF"/>
    <w:rsid w:val="0002784B"/>
    <w:rsid w:val="000300CD"/>
    <w:rsid w:val="000305A6"/>
    <w:rsid w:val="00030C42"/>
    <w:rsid w:val="00031798"/>
    <w:rsid w:val="00031B69"/>
    <w:rsid w:val="000322D2"/>
    <w:rsid w:val="000325A3"/>
    <w:rsid w:val="00032752"/>
    <w:rsid w:val="00032D78"/>
    <w:rsid w:val="00032DBA"/>
    <w:rsid w:val="00033064"/>
    <w:rsid w:val="00034990"/>
    <w:rsid w:val="000349B0"/>
    <w:rsid w:val="00034AF1"/>
    <w:rsid w:val="00035500"/>
    <w:rsid w:val="0003566E"/>
    <w:rsid w:val="00035C8C"/>
    <w:rsid w:val="00036803"/>
    <w:rsid w:val="00036890"/>
    <w:rsid w:val="00036FAB"/>
    <w:rsid w:val="000373B5"/>
    <w:rsid w:val="00037432"/>
    <w:rsid w:val="00037720"/>
    <w:rsid w:val="00037818"/>
    <w:rsid w:val="00037EFB"/>
    <w:rsid w:val="00037FA4"/>
    <w:rsid w:val="0004001B"/>
    <w:rsid w:val="00040D57"/>
    <w:rsid w:val="000413FE"/>
    <w:rsid w:val="000416BB"/>
    <w:rsid w:val="00041D43"/>
    <w:rsid w:val="00041D8D"/>
    <w:rsid w:val="00041DC3"/>
    <w:rsid w:val="00041F23"/>
    <w:rsid w:val="00041F59"/>
    <w:rsid w:val="0004268F"/>
    <w:rsid w:val="00042798"/>
    <w:rsid w:val="00042AAC"/>
    <w:rsid w:val="000440BE"/>
    <w:rsid w:val="000440C1"/>
    <w:rsid w:val="00044168"/>
    <w:rsid w:val="000442BD"/>
    <w:rsid w:val="0004494A"/>
    <w:rsid w:val="00044B42"/>
    <w:rsid w:val="00044D04"/>
    <w:rsid w:val="00044E35"/>
    <w:rsid w:val="00045162"/>
    <w:rsid w:val="000457F3"/>
    <w:rsid w:val="00045CDA"/>
    <w:rsid w:val="000463B2"/>
    <w:rsid w:val="00046671"/>
    <w:rsid w:val="00046B33"/>
    <w:rsid w:val="00046D8F"/>
    <w:rsid w:val="000474AE"/>
    <w:rsid w:val="00047955"/>
    <w:rsid w:val="00047F1B"/>
    <w:rsid w:val="000507B4"/>
    <w:rsid w:val="0005126F"/>
    <w:rsid w:val="000515CC"/>
    <w:rsid w:val="00051646"/>
    <w:rsid w:val="00051B25"/>
    <w:rsid w:val="00052359"/>
    <w:rsid w:val="0005357E"/>
    <w:rsid w:val="00053B57"/>
    <w:rsid w:val="00053D0A"/>
    <w:rsid w:val="000549BF"/>
    <w:rsid w:val="000549DA"/>
    <w:rsid w:val="00054BE1"/>
    <w:rsid w:val="00054EA5"/>
    <w:rsid w:val="00055709"/>
    <w:rsid w:val="00055B22"/>
    <w:rsid w:val="00055BCA"/>
    <w:rsid w:val="00055D1C"/>
    <w:rsid w:val="000560C9"/>
    <w:rsid w:val="00056348"/>
    <w:rsid w:val="000573E6"/>
    <w:rsid w:val="00060D4E"/>
    <w:rsid w:val="00060DCF"/>
    <w:rsid w:val="0006132F"/>
    <w:rsid w:val="0006192B"/>
    <w:rsid w:val="00061AF9"/>
    <w:rsid w:val="0006250A"/>
    <w:rsid w:val="00062BB7"/>
    <w:rsid w:val="000635B3"/>
    <w:rsid w:val="00063679"/>
    <w:rsid w:val="00063B33"/>
    <w:rsid w:val="000640FE"/>
    <w:rsid w:val="00064603"/>
    <w:rsid w:val="00064692"/>
    <w:rsid w:val="00065F29"/>
    <w:rsid w:val="00066084"/>
    <w:rsid w:val="00066A1B"/>
    <w:rsid w:val="0006729B"/>
    <w:rsid w:val="00067361"/>
    <w:rsid w:val="0006793A"/>
    <w:rsid w:val="00067CC0"/>
    <w:rsid w:val="00070D05"/>
    <w:rsid w:val="0007169C"/>
    <w:rsid w:val="00071A42"/>
    <w:rsid w:val="00072042"/>
    <w:rsid w:val="000722AC"/>
    <w:rsid w:val="00072CCB"/>
    <w:rsid w:val="00072E47"/>
    <w:rsid w:val="000734DA"/>
    <w:rsid w:val="00073DE3"/>
    <w:rsid w:val="0007485F"/>
    <w:rsid w:val="00074A2E"/>
    <w:rsid w:val="00074E04"/>
    <w:rsid w:val="000756E6"/>
    <w:rsid w:val="00075F30"/>
    <w:rsid w:val="00075F54"/>
    <w:rsid w:val="00076D3E"/>
    <w:rsid w:val="00077216"/>
    <w:rsid w:val="000773FA"/>
    <w:rsid w:val="000774CB"/>
    <w:rsid w:val="000778B0"/>
    <w:rsid w:val="0008032D"/>
    <w:rsid w:val="000803B9"/>
    <w:rsid w:val="000805A2"/>
    <w:rsid w:val="00080754"/>
    <w:rsid w:val="00080A3E"/>
    <w:rsid w:val="00081517"/>
    <w:rsid w:val="000815E0"/>
    <w:rsid w:val="00081702"/>
    <w:rsid w:val="0008190B"/>
    <w:rsid w:val="00081DA6"/>
    <w:rsid w:val="00082C9B"/>
    <w:rsid w:val="000834A7"/>
    <w:rsid w:val="00083ED9"/>
    <w:rsid w:val="000844B0"/>
    <w:rsid w:val="00085975"/>
    <w:rsid w:val="0008612A"/>
    <w:rsid w:val="00086665"/>
    <w:rsid w:val="00086A7F"/>
    <w:rsid w:val="00086AE1"/>
    <w:rsid w:val="00086CF3"/>
    <w:rsid w:val="0008768D"/>
    <w:rsid w:val="00087BE6"/>
    <w:rsid w:val="0009046A"/>
    <w:rsid w:val="00090566"/>
    <w:rsid w:val="0009076B"/>
    <w:rsid w:val="00091203"/>
    <w:rsid w:val="00092029"/>
    <w:rsid w:val="000920B6"/>
    <w:rsid w:val="0009279B"/>
    <w:rsid w:val="00092BB9"/>
    <w:rsid w:val="0009305D"/>
    <w:rsid w:val="00093591"/>
    <w:rsid w:val="000936CB"/>
    <w:rsid w:val="00093F63"/>
    <w:rsid w:val="0009407D"/>
    <w:rsid w:val="00094494"/>
    <w:rsid w:val="000946BB"/>
    <w:rsid w:val="0009472C"/>
    <w:rsid w:val="00094A3C"/>
    <w:rsid w:val="0009550F"/>
    <w:rsid w:val="00095665"/>
    <w:rsid w:val="000956C4"/>
    <w:rsid w:val="000956FC"/>
    <w:rsid w:val="00096417"/>
    <w:rsid w:val="0009646C"/>
    <w:rsid w:val="00096C46"/>
    <w:rsid w:val="00096DE5"/>
    <w:rsid w:val="00096E81"/>
    <w:rsid w:val="000970EC"/>
    <w:rsid w:val="00097B14"/>
    <w:rsid w:val="000A072C"/>
    <w:rsid w:val="000A08B7"/>
    <w:rsid w:val="000A1130"/>
    <w:rsid w:val="000A1417"/>
    <w:rsid w:val="000A17CB"/>
    <w:rsid w:val="000A1DD4"/>
    <w:rsid w:val="000A210D"/>
    <w:rsid w:val="000A255F"/>
    <w:rsid w:val="000A3848"/>
    <w:rsid w:val="000A396E"/>
    <w:rsid w:val="000A409F"/>
    <w:rsid w:val="000A4703"/>
    <w:rsid w:val="000A52A8"/>
    <w:rsid w:val="000A52CF"/>
    <w:rsid w:val="000A60DB"/>
    <w:rsid w:val="000A6352"/>
    <w:rsid w:val="000A68FF"/>
    <w:rsid w:val="000A6B3D"/>
    <w:rsid w:val="000A7096"/>
    <w:rsid w:val="000A7536"/>
    <w:rsid w:val="000A76FE"/>
    <w:rsid w:val="000A7848"/>
    <w:rsid w:val="000A7D39"/>
    <w:rsid w:val="000A7E28"/>
    <w:rsid w:val="000A7EA5"/>
    <w:rsid w:val="000B08E4"/>
    <w:rsid w:val="000B0B39"/>
    <w:rsid w:val="000B0E15"/>
    <w:rsid w:val="000B1DAB"/>
    <w:rsid w:val="000B1E8A"/>
    <w:rsid w:val="000B1FCE"/>
    <w:rsid w:val="000B2257"/>
    <w:rsid w:val="000B3418"/>
    <w:rsid w:val="000B3607"/>
    <w:rsid w:val="000B3F36"/>
    <w:rsid w:val="000B550C"/>
    <w:rsid w:val="000B56F4"/>
    <w:rsid w:val="000B5A7D"/>
    <w:rsid w:val="000B5AB9"/>
    <w:rsid w:val="000B66A2"/>
    <w:rsid w:val="000B6D39"/>
    <w:rsid w:val="000B6F9B"/>
    <w:rsid w:val="000B7C10"/>
    <w:rsid w:val="000B7C9F"/>
    <w:rsid w:val="000C0076"/>
    <w:rsid w:val="000C017D"/>
    <w:rsid w:val="000C07DA"/>
    <w:rsid w:val="000C0B13"/>
    <w:rsid w:val="000C11D4"/>
    <w:rsid w:val="000C124B"/>
    <w:rsid w:val="000C1696"/>
    <w:rsid w:val="000C18A6"/>
    <w:rsid w:val="000C1D15"/>
    <w:rsid w:val="000C273F"/>
    <w:rsid w:val="000C2AE9"/>
    <w:rsid w:val="000C2C64"/>
    <w:rsid w:val="000C32A8"/>
    <w:rsid w:val="000C3F07"/>
    <w:rsid w:val="000C4268"/>
    <w:rsid w:val="000C457B"/>
    <w:rsid w:val="000C4939"/>
    <w:rsid w:val="000C540A"/>
    <w:rsid w:val="000C5957"/>
    <w:rsid w:val="000C5A99"/>
    <w:rsid w:val="000C6051"/>
    <w:rsid w:val="000C69D6"/>
    <w:rsid w:val="000C6D91"/>
    <w:rsid w:val="000C6EA3"/>
    <w:rsid w:val="000C723E"/>
    <w:rsid w:val="000C7DD7"/>
    <w:rsid w:val="000D0A22"/>
    <w:rsid w:val="000D0D87"/>
    <w:rsid w:val="000D1342"/>
    <w:rsid w:val="000D151C"/>
    <w:rsid w:val="000D17BF"/>
    <w:rsid w:val="000D191A"/>
    <w:rsid w:val="000D239A"/>
    <w:rsid w:val="000D2864"/>
    <w:rsid w:val="000D296A"/>
    <w:rsid w:val="000D2CAD"/>
    <w:rsid w:val="000D3EDE"/>
    <w:rsid w:val="000D3FCD"/>
    <w:rsid w:val="000D40D8"/>
    <w:rsid w:val="000D4335"/>
    <w:rsid w:val="000D44FE"/>
    <w:rsid w:val="000D4660"/>
    <w:rsid w:val="000D5026"/>
    <w:rsid w:val="000D63A8"/>
    <w:rsid w:val="000D72D1"/>
    <w:rsid w:val="000D79A8"/>
    <w:rsid w:val="000D7A38"/>
    <w:rsid w:val="000D7CE2"/>
    <w:rsid w:val="000E1375"/>
    <w:rsid w:val="000E1623"/>
    <w:rsid w:val="000E16E7"/>
    <w:rsid w:val="000E1983"/>
    <w:rsid w:val="000E2139"/>
    <w:rsid w:val="000E25F7"/>
    <w:rsid w:val="000E447A"/>
    <w:rsid w:val="000E4704"/>
    <w:rsid w:val="000E47E6"/>
    <w:rsid w:val="000E4881"/>
    <w:rsid w:val="000E4A57"/>
    <w:rsid w:val="000E511A"/>
    <w:rsid w:val="000E5537"/>
    <w:rsid w:val="000E5684"/>
    <w:rsid w:val="000E590F"/>
    <w:rsid w:val="000E59A7"/>
    <w:rsid w:val="000E6020"/>
    <w:rsid w:val="000E6E59"/>
    <w:rsid w:val="000E71AE"/>
    <w:rsid w:val="000E7205"/>
    <w:rsid w:val="000E7DC7"/>
    <w:rsid w:val="000E7F6E"/>
    <w:rsid w:val="000F007B"/>
    <w:rsid w:val="000F0359"/>
    <w:rsid w:val="000F09E2"/>
    <w:rsid w:val="000F0EC4"/>
    <w:rsid w:val="000F12DE"/>
    <w:rsid w:val="000F1390"/>
    <w:rsid w:val="000F19F3"/>
    <w:rsid w:val="000F22DE"/>
    <w:rsid w:val="000F2FFA"/>
    <w:rsid w:val="000F3436"/>
    <w:rsid w:val="000F405D"/>
    <w:rsid w:val="000F46B1"/>
    <w:rsid w:val="000F49AA"/>
    <w:rsid w:val="000F4C7E"/>
    <w:rsid w:val="000F4EF8"/>
    <w:rsid w:val="000F5075"/>
    <w:rsid w:val="000F51A0"/>
    <w:rsid w:val="000F523D"/>
    <w:rsid w:val="000F580C"/>
    <w:rsid w:val="000F6372"/>
    <w:rsid w:val="000F6A86"/>
    <w:rsid w:val="000F711A"/>
    <w:rsid w:val="000F75DA"/>
    <w:rsid w:val="00100583"/>
    <w:rsid w:val="0010075D"/>
    <w:rsid w:val="00101521"/>
    <w:rsid w:val="00101DBD"/>
    <w:rsid w:val="00102302"/>
    <w:rsid w:val="001035C5"/>
    <w:rsid w:val="00103768"/>
    <w:rsid w:val="00103CAF"/>
    <w:rsid w:val="0010425C"/>
    <w:rsid w:val="001046DD"/>
    <w:rsid w:val="001057DD"/>
    <w:rsid w:val="0010586C"/>
    <w:rsid w:val="00105B26"/>
    <w:rsid w:val="00105E6D"/>
    <w:rsid w:val="00106105"/>
    <w:rsid w:val="001062FE"/>
    <w:rsid w:val="00106B6E"/>
    <w:rsid w:val="00107193"/>
    <w:rsid w:val="001077E6"/>
    <w:rsid w:val="001101AE"/>
    <w:rsid w:val="001105CE"/>
    <w:rsid w:val="00110693"/>
    <w:rsid w:val="001107F0"/>
    <w:rsid w:val="00110C48"/>
    <w:rsid w:val="00111826"/>
    <w:rsid w:val="001119D8"/>
    <w:rsid w:val="00111ED3"/>
    <w:rsid w:val="00111FF2"/>
    <w:rsid w:val="0011218D"/>
    <w:rsid w:val="001134C4"/>
    <w:rsid w:val="001135B8"/>
    <w:rsid w:val="00113808"/>
    <w:rsid w:val="0011423F"/>
    <w:rsid w:val="00114C79"/>
    <w:rsid w:val="00115C7F"/>
    <w:rsid w:val="001164E8"/>
    <w:rsid w:val="00116567"/>
    <w:rsid w:val="00116F83"/>
    <w:rsid w:val="0011710F"/>
    <w:rsid w:val="00117485"/>
    <w:rsid w:val="00117680"/>
    <w:rsid w:val="0011784D"/>
    <w:rsid w:val="00117974"/>
    <w:rsid w:val="00120386"/>
    <w:rsid w:val="00120A77"/>
    <w:rsid w:val="00120F4A"/>
    <w:rsid w:val="00121142"/>
    <w:rsid w:val="00121328"/>
    <w:rsid w:val="001221F2"/>
    <w:rsid w:val="001222CE"/>
    <w:rsid w:val="00122DB4"/>
    <w:rsid w:val="00122EE4"/>
    <w:rsid w:val="0012303B"/>
    <w:rsid w:val="001239EC"/>
    <w:rsid w:val="0012403A"/>
    <w:rsid w:val="001242D2"/>
    <w:rsid w:val="00124E76"/>
    <w:rsid w:val="00124F0C"/>
    <w:rsid w:val="00125172"/>
    <w:rsid w:val="00125687"/>
    <w:rsid w:val="00125E55"/>
    <w:rsid w:val="00125F24"/>
    <w:rsid w:val="00126552"/>
    <w:rsid w:val="00126A32"/>
    <w:rsid w:val="0012709E"/>
    <w:rsid w:val="00130AC6"/>
    <w:rsid w:val="001310D5"/>
    <w:rsid w:val="00131C78"/>
    <w:rsid w:val="00131CF6"/>
    <w:rsid w:val="0013225E"/>
    <w:rsid w:val="00132593"/>
    <w:rsid w:val="00132B8D"/>
    <w:rsid w:val="00132BE3"/>
    <w:rsid w:val="00132E7E"/>
    <w:rsid w:val="00133001"/>
    <w:rsid w:val="00133103"/>
    <w:rsid w:val="001346EF"/>
    <w:rsid w:val="00134F0C"/>
    <w:rsid w:val="00135414"/>
    <w:rsid w:val="0013552A"/>
    <w:rsid w:val="0013554A"/>
    <w:rsid w:val="00135D3A"/>
    <w:rsid w:val="00135F2A"/>
    <w:rsid w:val="00135FB3"/>
    <w:rsid w:val="00136027"/>
    <w:rsid w:val="00136634"/>
    <w:rsid w:val="001367C4"/>
    <w:rsid w:val="0013696B"/>
    <w:rsid w:val="001369EE"/>
    <w:rsid w:val="00136EE1"/>
    <w:rsid w:val="00136F03"/>
    <w:rsid w:val="001371CD"/>
    <w:rsid w:val="0013731E"/>
    <w:rsid w:val="001378BC"/>
    <w:rsid w:val="00137C82"/>
    <w:rsid w:val="00137D74"/>
    <w:rsid w:val="00137F95"/>
    <w:rsid w:val="001400E8"/>
    <w:rsid w:val="001402E1"/>
    <w:rsid w:val="001404A4"/>
    <w:rsid w:val="00140913"/>
    <w:rsid w:val="00140B6F"/>
    <w:rsid w:val="00141335"/>
    <w:rsid w:val="001413C7"/>
    <w:rsid w:val="001428BA"/>
    <w:rsid w:val="001434E2"/>
    <w:rsid w:val="00143CA2"/>
    <w:rsid w:val="00144445"/>
    <w:rsid w:val="001449BC"/>
    <w:rsid w:val="00144C6F"/>
    <w:rsid w:val="00145416"/>
    <w:rsid w:val="00145528"/>
    <w:rsid w:val="00145E29"/>
    <w:rsid w:val="0014652C"/>
    <w:rsid w:val="0014676D"/>
    <w:rsid w:val="00146845"/>
    <w:rsid w:val="00146B11"/>
    <w:rsid w:val="00146FDE"/>
    <w:rsid w:val="00147BDD"/>
    <w:rsid w:val="001501C6"/>
    <w:rsid w:val="00150233"/>
    <w:rsid w:val="00150DE3"/>
    <w:rsid w:val="001513BE"/>
    <w:rsid w:val="0015161D"/>
    <w:rsid w:val="00152134"/>
    <w:rsid w:val="00153012"/>
    <w:rsid w:val="001532C4"/>
    <w:rsid w:val="001538E3"/>
    <w:rsid w:val="00153DE0"/>
    <w:rsid w:val="0015419C"/>
    <w:rsid w:val="0015529F"/>
    <w:rsid w:val="001553D7"/>
    <w:rsid w:val="0015541C"/>
    <w:rsid w:val="00155468"/>
    <w:rsid w:val="00155793"/>
    <w:rsid w:val="00155B35"/>
    <w:rsid w:val="00155DC4"/>
    <w:rsid w:val="00156869"/>
    <w:rsid w:val="00156A8A"/>
    <w:rsid w:val="00157068"/>
    <w:rsid w:val="00157277"/>
    <w:rsid w:val="001574D2"/>
    <w:rsid w:val="0015772E"/>
    <w:rsid w:val="00157C05"/>
    <w:rsid w:val="00160123"/>
    <w:rsid w:val="00160CF6"/>
    <w:rsid w:val="00160EBA"/>
    <w:rsid w:val="00160F92"/>
    <w:rsid w:val="0016112F"/>
    <w:rsid w:val="001611F2"/>
    <w:rsid w:val="0016186F"/>
    <w:rsid w:val="00161BF7"/>
    <w:rsid w:val="0016293A"/>
    <w:rsid w:val="00162E66"/>
    <w:rsid w:val="001633A5"/>
    <w:rsid w:val="0016342B"/>
    <w:rsid w:val="00163B91"/>
    <w:rsid w:val="00164563"/>
    <w:rsid w:val="00164EEE"/>
    <w:rsid w:val="001652BC"/>
    <w:rsid w:val="00165BAA"/>
    <w:rsid w:val="00166B17"/>
    <w:rsid w:val="00166DCF"/>
    <w:rsid w:val="00166F52"/>
    <w:rsid w:val="001670C7"/>
    <w:rsid w:val="00167FA5"/>
    <w:rsid w:val="00170ACB"/>
    <w:rsid w:val="00170E10"/>
    <w:rsid w:val="00171D21"/>
    <w:rsid w:val="00172581"/>
    <w:rsid w:val="00172AD2"/>
    <w:rsid w:val="00172B27"/>
    <w:rsid w:val="00172F90"/>
    <w:rsid w:val="00173190"/>
    <w:rsid w:val="001733FA"/>
    <w:rsid w:val="001735BC"/>
    <w:rsid w:val="00173B5F"/>
    <w:rsid w:val="00173E15"/>
    <w:rsid w:val="00174546"/>
    <w:rsid w:val="00174A6F"/>
    <w:rsid w:val="00174A85"/>
    <w:rsid w:val="00174B3B"/>
    <w:rsid w:val="00174C0A"/>
    <w:rsid w:val="00175509"/>
    <w:rsid w:val="00175B98"/>
    <w:rsid w:val="00175BF9"/>
    <w:rsid w:val="00175C06"/>
    <w:rsid w:val="00175D81"/>
    <w:rsid w:val="0017617D"/>
    <w:rsid w:val="00176722"/>
    <w:rsid w:val="00176842"/>
    <w:rsid w:val="00176950"/>
    <w:rsid w:val="00176A9A"/>
    <w:rsid w:val="00176BE7"/>
    <w:rsid w:val="00177068"/>
    <w:rsid w:val="00177BE8"/>
    <w:rsid w:val="00177F10"/>
    <w:rsid w:val="001801FB"/>
    <w:rsid w:val="001803A1"/>
    <w:rsid w:val="00180E2B"/>
    <w:rsid w:val="00180F5F"/>
    <w:rsid w:val="00181038"/>
    <w:rsid w:val="001816CB"/>
    <w:rsid w:val="00182731"/>
    <w:rsid w:val="00182B47"/>
    <w:rsid w:val="0018305A"/>
    <w:rsid w:val="001836D9"/>
    <w:rsid w:val="00183795"/>
    <w:rsid w:val="0018388E"/>
    <w:rsid w:val="00183A9E"/>
    <w:rsid w:val="00183E96"/>
    <w:rsid w:val="00183EB9"/>
    <w:rsid w:val="0018412F"/>
    <w:rsid w:val="0018416E"/>
    <w:rsid w:val="00184435"/>
    <w:rsid w:val="00184D3D"/>
    <w:rsid w:val="0018544B"/>
    <w:rsid w:val="00185866"/>
    <w:rsid w:val="001858DD"/>
    <w:rsid w:val="001859F6"/>
    <w:rsid w:val="00185C0A"/>
    <w:rsid w:val="00185DE5"/>
    <w:rsid w:val="00185E02"/>
    <w:rsid w:val="0018617B"/>
    <w:rsid w:val="001862F0"/>
    <w:rsid w:val="00186A09"/>
    <w:rsid w:val="00186CD6"/>
    <w:rsid w:val="00187139"/>
    <w:rsid w:val="00187E60"/>
    <w:rsid w:val="001909A2"/>
    <w:rsid w:val="001920B5"/>
    <w:rsid w:val="0019258F"/>
    <w:rsid w:val="00192BFC"/>
    <w:rsid w:val="001935E4"/>
    <w:rsid w:val="0019386E"/>
    <w:rsid w:val="00193A50"/>
    <w:rsid w:val="00193C67"/>
    <w:rsid w:val="00194386"/>
    <w:rsid w:val="0019468E"/>
    <w:rsid w:val="001946D3"/>
    <w:rsid w:val="00194B5C"/>
    <w:rsid w:val="001952E8"/>
    <w:rsid w:val="00195550"/>
    <w:rsid w:val="001959E3"/>
    <w:rsid w:val="001964DC"/>
    <w:rsid w:val="00196AAF"/>
    <w:rsid w:val="00196B96"/>
    <w:rsid w:val="00196E8B"/>
    <w:rsid w:val="00197681"/>
    <w:rsid w:val="001979C2"/>
    <w:rsid w:val="00197D3C"/>
    <w:rsid w:val="001A038C"/>
    <w:rsid w:val="001A04F4"/>
    <w:rsid w:val="001A0A9D"/>
    <w:rsid w:val="001A0FBE"/>
    <w:rsid w:val="001A1027"/>
    <w:rsid w:val="001A17C3"/>
    <w:rsid w:val="001A1DE8"/>
    <w:rsid w:val="001A2212"/>
    <w:rsid w:val="001A2609"/>
    <w:rsid w:val="001A2ED6"/>
    <w:rsid w:val="001A31DB"/>
    <w:rsid w:val="001A32F2"/>
    <w:rsid w:val="001A3633"/>
    <w:rsid w:val="001A44DB"/>
    <w:rsid w:val="001A538B"/>
    <w:rsid w:val="001A59DC"/>
    <w:rsid w:val="001A5E56"/>
    <w:rsid w:val="001A634B"/>
    <w:rsid w:val="001A6EE2"/>
    <w:rsid w:val="001A7426"/>
    <w:rsid w:val="001B06B3"/>
    <w:rsid w:val="001B0ED2"/>
    <w:rsid w:val="001B1199"/>
    <w:rsid w:val="001B2956"/>
    <w:rsid w:val="001B3281"/>
    <w:rsid w:val="001B373B"/>
    <w:rsid w:val="001B4777"/>
    <w:rsid w:val="001B4BDC"/>
    <w:rsid w:val="001B616A"/>
    <w:rsid w:val="001B6204"/>
    <w:rsid w:val="001B6532"/>
    <w:rsid w:val="001B68F8"/>
    <w:rsid w:val="001B68FA"/>
    <w:rsid w:val="001B6C3A"/>
    <w:rsid w:val="001B6CB6"/>
    <w:rsid w:val="001B768E"/>
    <w:rsid w:val="001B7A4C"/>
    <w:rsid w:val="001C1139"/>
    <w:rsid w:val="001C1465"/>
    <w:rsid w:val="001C1534"/>
    <w:rsid w:val="001C2672"/>
    <w:rsid w:val="001C2C74"/>
    <w:rsid w:val="001C2F98"/>
    <w:rsid w:val="001C3232"/>
    <w:rsid w:val="001C3711"/>
    <w:rsid w:val="001C3E18"/>
    <w:rsid w:val="001C41FC"/>
    <w:rsid w:val="001C4BC0"/>
    <w:rsid w:val="001C4D4A"/>
    <w:rsid w:val="001C597E"/>
    <w:rsid w:val="001C5D24"/>
    <w:rsid w:val="001C5F75"/>
    <w:rsid w:val="001C6AA3"/>
    <w:rsid w:val="001C7BF3"/>
    <w:rsid w:val="001C7D06"/>
    <w:rsid w:val="001D0A90"/>
    <w:rsid w:val="001D1216"/>
    <w:rsid w:val="001D151B"/>
    <w:rsid w:val="001D1681"/>
    <w:rsid w:val="001D1F68"/>
    <w:rsid w:val="001D1FF0"/>
    <w:rsid w:val="001D20D0"/>
    <w:rsid w:val="001D2C47"/>
    <w:rsid w:val="001D2CA3"/>
    <w:rsid w:val="001D2DF4"/>
    <w:rsid w:val="001D2E29"/>
    <w:rsid w:val="001D3248"/>
    <w:rsid w:val="001D48DA"/>
    <w:rsid w:val="001D4A16"/>
    <w:rsid w:val="001D4F33"/>
    <w:rsid w:val="001D50D1"/>
    <w:rsid w:val="001D564A"/>
    <w:rsid w:val="001D56FA"/>
    <w:rsid w:val="001D6096"/>
    <w:rsid w:val="001D6405"/>
    <w:rsid w:val="001D64BA"/>
    <w:rsid w:val="001D69AF"/>
    <w:rsid w:val="001D6EEB"/>
    <w:rsid w:val="001D7033"/>
    <w:rsid w:val="001D7127"/>
    <w:rsid w:val="001D7641"/>
    <w:rsid w:val="001D767F"/>
    <w:rsid w:val="001D7A18"/>
    <w:rsid w:val="001E005B"/>
    <w:rsid w:val="001E0374"/>
    <w:rsid w:val="001E0EC4"/>
    <w:rsid w:val="001E1092"/>
    <w:rsid w:val="001E1A8C"/>
    <w:rsid w:val="001E1D6B"/>
    <w:rsid w:val="001E2013"/>
    <w:rsid w:val="001E24DA"/>
    <w:rsid w:val="001E2641"/>
    <w:rsid w:val="001E2D34"/>
    <w:rsid w:val="001E2DE7"/>
    <w:rsid w:val="001E4729"/>
    <w:rsid w:val="001E4962"/>
    <w:rsid w:val="001E4A14"/>
    <w:rsid w:val="001E4CA5"/>
    <w:rsid w:val="001E4E89"/>
    <w:rsid w:val="001E5ED0"/>
    <w:rsid w:val="001E6383"/>
    <w:rsid w:val="001E65E2"/>
    <w:rsid w:val="001E687F"/>
    <w:rsid w:val="001E6985"/>
    <w:rsid w:val="001E771C"/>
    <w:rsid w:val="001F011E"/>
    <w:rsid w:val="001F0952"/>
    <w:rsid w:val="001F0A3D"/>
    <w:rsid w:val="001F0EBB"/>
    <w:rsid w:val="001F13A9"/>
    <w:rsid w:val="001F18EE"/>
    <w:rsid w:val="001F1A29"/>
    <w:rsid w:val="001F1E49"/>
    <w:rsid w:val="001F1F56"/>
    <w:rsid w:val="001F2602"/>
    <w:rsid w:val="001F2893"/>
    <w:rsid w:val="001F3B47"/>
    <w:rsid w:val="001F456C"/>
    <w:rsid w:val="001F4795"/>
    <w:rsid w:val="001F4E00"/>
    <w:rsid w:val="001F4F43"/>
    <w:rsid w:val="001F54CF"/>
    <w:rsid w:val="001F587F"/>
    <w:rsid w:val="001F589C"/>
    <w:rsid w:val="001F5A18"/>
    <w:rsid w:val="001F5AF2"/>
    <w:rsid w:val="001F5DAA"/>
    <w:rsid w:val="001F6799"/>
    <w:rsid w:val="001F7662"/>
    <w:rsid w:val="001F7F0B"/>
    <w:rsid w:val="00200C7A"/>
    <w:rsid w:val="00200F4F"/>
    <w:rsid w:val="00200FAB"/>
    <w:rsid w:val="0020143A"/>
    <w:rsid w:val="00201809"/>
    <w:rsid w:val="00201860"/>
    <w:rsid w:val="002020A4"/>
    <w:rsid w:val="00202467"/>
    <w:rsid w:val="0020270F"/>
    <w:rsid w:val="002028BB"/>
    <w:rsid w:val="00202D7D"/>
    <w:rsid w:val="00203837"/>
    <w:rsid w:val="0020383F"/>
    <w:rsid w:val="00203AED"/>
    <w:rsid w:val="0020433C"/>
    <w:rsid w:val="00204761"/>
    <w:rsid w:val="00204986"/>
    <w:rsid w:val="00204ACA"/>
    <w:rsid w:val="00204B3A"/>
    <w:rsid w:val="00205138"/>
    <w:rsid w:val="00205837"/>
    <w:rsid w:val="00205A55"/>
    <w:rsid w:val="00205FF9"/>
    <w:rsid w:val="00206691"/>
    <w:rsid w:val="00206D1F"/>
    <w:rsid w:val="00207956"/>
    <w:rsid w:val="00207CC2"/>
    <w:rsid w:val="002101A4"/>
    <w:rsid w:val="00210608"/>
    <w:rsid w:val="0021073A"/>
    <w:rsid w:val="00210CE3"/>
    <w:rsid w:val="00211000"/>
    <w:rsid w:val="00211143"/>
    <w:rsid w:val="00211A23"/>
    <w:rsid w:val="00211DED"/>
    <w:rsid w:val="00212E79"/>
    <w:rsid w:val="00212F35"/>
    <w:rsid w:val="0021387B"/>
    <w:rsid w:val="00214DAC"/>
    <w:rsid w:val="002165DB"/>
    <w:rsid w:val="00216A03"/>
    <w:rsid w:val="00216C03"/>
    <w:rsid w:val="00216FCD"/>
    <w:rsid w:val="002171AF"/>
    <w:rsid w:val="002171C2"/>
    <w:rsid w:val="002171E7"/>
    <w:rsid w:val="00217788"/>
    <w:rsid w:val="00217CB1"/>
    <w:rsid w:val="00217EC5"/>
    <w:rsid w:val="0022006D"/>
    <w:rsid w:val="0022081F"/>
    <w:rsid w:val="002208F6"/>
    <w:rsid w:val="0022101B"/>
    <w:rsid w:val="0022143F"/>
    <w:rsid w:val="00221579"/>
    <w:rsid w:val="00221727"/>
    <w:rsid w:val="00221B10"/>
    <w:rsid w:val="002224E3"/>
    <w:rsid w:val="00222838"/>
    <w:rsid w:val="002229D6"/>
    <w:rsid w:val="0022399D"/>
    <w:rsid w:val="00223ECE"/>
    <w:rsid w:val="0022405D"/>
    <w:rsid w:val="002245A3"/>
    <w:rsid w:val="002252CD"/>
    <w:rsid w:val="0022568D"/>
    <w:rsid w:val="00226239"/>
    <w:rsid w:val="00226E1F"/>
    <w:rsid w:val="00226FE8"/>
    <w:rsid w:val="002270DC"/>
    <w:rsid w:val="00227217"/>
    <w:rsid w:val="00227343"/>
    <w:rsid w:val="00227425"/>
    <w:rsid w:val="00227581"/>
    <w:rsid w:val="002277AF"/>
    <w:rsid w:val="00227CD2"/>
    <w:rsid w:val="002302B4"/>
    <w:rsid w:val="0023036D"/>
    <w:rsid w:val="00230567"/>
    <w:rsid w:val="002319C3"/>
    <w:rsid w:val="00232128"/>
    <w:rsid w:val="002321D3"/>
    <w:rsid w:val="00232E47"/>
    <w:rsid w:val="0023310A"/>
    <w:rsid w:val="00233191"/>
    <w:rsid w:val="002331AA"/>
    <w:rsid w:val="00233A48"/>
    <w:rsid w:val="00233E9C"/>
    <w:rsid w:val="00234989"/>
    <w:rsid w:val="00234FF0"/>
    <w:rsid w:val="0023524A"/>
    <w:rsid w:val="002355EC"/>
    <w:rsid w:val="00235711"/>
    <w:rsid w:val="00236441"/>
    <w:rsid w:val="00237122"/>
    <w:rsid w:val="00237BE0"/>
    <w:rsid w:val="0024006A"/>
    <w:rsid w:val="00240439"/>
    <w:rsid w:val="00240476"/>
    <w:rsid w:val="00243973"/>
    <w:rsid w:val="00244852"/>
    <w:rsid w:val="00245B61"/>
    <w:rsid w:val="002461B2"/>
    <w:rsid w:val="00246557"/>
    <w:rsid w:val="00246CCC"/>
    <w:rsid w:val="00246E2D"/>
    <w:rsid w:val="00247563"/>
    <w:rsid w:val="00247599"/>
    <w:rsid w:val="00247EF7"/>
    <w:rsid w:val="0025028B"/>
    <w:rsid w:val="002509F6"/>
    <w:rsid w:val="0025131E"/>
    <w:rsid w:val="00251905"/>
    <w:rsid w:val="002519A3"/>
    <w:rsid w:val="002522FC"/>
    <w:rsid w:val="002527FD"/>
    <w:rsid w:val="00252E74"/>
    <w:rsid w:val="002532EC"/>
    <w:rsid w:val="00253501"/>
    <w:rsid w:val="00254224"/>
    <w:rsid w:val="00254376"/>
    <w:rsid w:val="002545BF"/>
    <w:rsid w:val="00254DF4"/>
    <w:rsid w:val="00254EE7"/>
    <w:rsid w:val="00255AF5"/>
    <w:rsid w:val="00255B16"/>
    <w:rsid w:val="00255CB9"/>
    <w:rsid w:val="0025622C"/>
    <w:rsid w:val="002600CD"/>
    <w:rsid w:val="00260FE0"/>
    <w:rsid w:val="00261415"/>
    <w:rsid w:val="00261DE9"/>
    <w:rsid w:val="00261EB8"/>
    <w:rsid w:val="002626F4"/>
    <w:rsid w:val="00262B35"/>
    <w:rsid w:val="00262FCC"/>
    <w:rsid w:val="00263262"/>
    <w:rsid w:val="002638B3"/>
    <w:rsid w:val="00263B8F"/>
    <w:rsid w:val="00264919"/>
    <w:rsid w:val="00264F6E"/>
    <w:rsid w:val="002650F8"/>
    <w:rsid w:val="00265135"/>
    <w:rsid w:val="002652C2"/>
    <w:rsid w:val="00265C93"/>
    <w:rsid w:val="00265D27"/>
    <w:rsid w:val="002663F8"/>
    <w:rsid w:val="002665DD"/>
    <w:rsid w:val="0026674F"/>
    <w:rsid w:val="002668C4"/>
    <w:rsid w:val="00266CA6"/>
    <w:rsid w:val="00266E85"/>
    <w:rsid w:val="002675EE"/>
    <w:rsid w:val="002708BE"/>
    <w:rsid w:val="00270A34"/>
    <w:rsid w:val="00270A40"/>
    <w:rsid w:val="00270A48"/>
    <w:rsid w:val="00270E89"/>
    <w:rsid w:val="002712C7"/>
    <w:rsid w:val="002715A3"/>
    <w:rsid w:val="00271CC0"/>
    <w:rsid w:val="00271EAC"/>
    <w:rsid w:val="00272896"/>
    <w:rsid w:val="00272B5B"/>
    <w:rsid w:val="00273033"/>
    <w:rsid w:val="002731FE"/>
    <w:rsid w:val="0027330E"/>
    <w:rsid w:val="00273779"/>
    <w:rsid w:val="00273B02"/>
    <w:rsid w:val="00273E16"/>
    <w:rsid w:val="00274C6D"/>
    <w:rsid w:val="0027509F"/>
    <w:rsid w:val="002763F0"/>
    <w:rsid w:val="002766A9"/>
    <w:rsid w:val="00277BC2"/>
    <w:rsid w:val="00277D5E"/>
    <w:rsid w:val="002800FB"/>
    <w:rsid w:val="002802AE"/>
    <w:rsid w:val="00281D07"/>
    <w:rsid w:val="002823EE"/>
    <w:rsid w:val="00282B08"/>
    <w:rsid w:val="00282BB5"/>
    <w:rsid w:val="002844F2"/>
    <w:rsid w:val="002847D0"/>
    <w:rsid w:val="002848BE"/>
    <w:rsid w:val="00284A3D"/>
    <w:rsid w:val="00284BE7"/>
    <w:rsid w:val="0028549B"/>
    <w:rsid w:val="0028556C"/>
    <w:rsid w:val="00286420"/>
    <w:rsid w:val="002864A8"/>
    <w:rsid w:val="00286EA6"/>
    <w:rsid w:val="002870BB"/>
    <w:rsid w:val="00287737"/>
    <w:rsid w:val="00287A5F"/>
    <w:rsid w:val="00287ACF"/>
    <w:rsid w:val="0029039D"/>
    <w:rsid w:val="002903B8"/>
    <w:rsid w:val="00290A7A"/>
    <w:rsid w:val="0029101E"/>
    <w:rsid w:val="0029135C"/>
    <w:rsid w:val="00291E4D"/>
    <w:rsid w:val="00292269"/>
    <w:rsid w:val="002923FC"/>
    <w:rsid w:val="0029241D"/>
    <w:rsid w:val="00292DCE"/>
    <w:rsid w:val="00293235"/>
    <w:rsid w:val="00293CA4"/>
    <w:rsid w:val="00293FEE"/>
    <w:rsid w:val="00293FFC"/>
    <w:rsid w:val="00294851"/>
    <w:rsid w:val="00295023"/>
    <w:rsid w:val="00295354"/>
    <w:rsid w:val="002954CE"/>
    <w:rsid w:val="00295717"/>
    <w:rsid w:val="00296516"/>
    <w:rsid w:val="00296825"/>
    <w:rsid w:val="002A0001"/>
    <w:rsid w:val="002A0358"/>
    <w:rsid w:val="002A0A78"/>
    <w:rsid w:val="002A1136"/>
    <w:rsid w:val="002A14EC"/>
    <w:rsid w:val="002A183E"/>
    <w:rsid w:val="002A1D24"/>
    <w:rsid w:val="002A2568"/>
    <w:rsid w:val="002A2CA9"/>
    <w:rsid w:val="002A3198"/>
    <w:rsid w:val="002A3946"/>
    <w:rsid w:val="002A3B18"/>
    <w:rsid w:val="002A3B39"/>
    <w:rsid w:val="002A49EE"/>
    <w:rsid w:val="002A4BE0"/>
    <w:rsid w:val="002A5628"/>
    <w:rsid w:val="002A5651"/>
    <w:rsid w:val="002A5B34"/>
    <w:rsid w:val="002A6728"/>
    <w:rsid w:val="002A7420"/>
    <w:rsid w:val="002A754F"/>
    <w:rsid w:val="002B023C"/>
    <w:rsid w:val="002B0639"/>
    <w:rsid w:val="002B090C"/>
    <w:rsid w:val="002B0B25"/>
    <w:rsid w:val="002B1320"/>
    <w:rsid w:val="002B1788"/>
    <w:rsid w:val="002B1B13"/>
    <w:rsid w:val="002B1D84"/>
    <w:rsid w:val="002B1F92"/>
    <w:rsid w:val="002B303A"/>
    <w:rsid w:val="002B3385"/>
    <w:rsid w:val="002B39A7"/>
    <w:rsid w:val="002B41CC"/>
    <w:rsid w:val="002B4228"/>
    <w:rsid w:val="002B43D3"/>
    <w:rsid w:val="002B4B94"/>
    <w:rsid w:val="002B514E"/>
    <w:rsid w:val="002B59E4"/>
    <w:rsid w:val="002B699B"/>
    <w:rsid w:val="002B6A18"/>
    <w:rsid w:val="002C0099"/>
    <w:rsid w:val="002C08AF"/>
    <w:rsid w:val="002C0A96"/>
    <w:rsid w:val="002C0D17"/>
    <w:rsid w:val="002C1B57"/>
    <w:rsid w:val="002C1CA0"/>
    <w:rsid w:val="002C1F74"/>
    <w:rsid w:val="002C272F"/>
    <w:rsid w:val="002C30F3"/>
    <w:rsid w:val="002C3649"/>
    <w:rsid w:val="002C4480"/>
    <w:rsid w:val="002C46A9"/>
    <w:rsid w:val="002C47B4"/>
    <w:rsid w:val="002C4A24"/>
    <w:rsid w:val="002C4E3B"/>
    <w:rsid w:val="002C51B5"/>
    <w:rsid w:val="002C5209"/>
    <w:rsid w:val="002C5ACB"/>
    <w:rsid w:val="002C5BD7"/>
    <w:rsid w:val="002C7242"/>
    <w:rsid w:val="002C745A"/>
    <w:rsid w:val="002C7B32"/>
    <w:rsid w:val="002C7F2B"/>
    <w:rsid w:val="002D034E"/>
    <w:rsid w:val="002D05EE"/>
    <w:rsid w:val="002D08AA"/>
    <w:rsid w:val="002D0CBC"/>
    <w:rsid w:val="002D0E12"/>
    <w:rsid w:val="002D0FC3"/>
    <w:rsid w:val="002D107E"/>
    <w:rsid w:val="002D1209"/>
    <w:rsid w:val="002D13B8"/>
    <w:rsid w:val="002D15D9"/>
    <w:rsid w:val="002D1FD7"/>
    <w:rsid w:val="002D2570"/>
    <w:rsid w:val="002D2CA2"/>
    <w:rsid w:val="002D340A"/>
    <w:rsid w:val="002D3B89"/>
    <w:rsid w:val="002D3BDE"/>
    <w:rsid w:val="002D4095"/>
    <w:rsid w:val="002D500B"/>
    <w:rsid w:val="002D5298"/>
    <w:rsid w:val="002D5A93"/>
    <w:rsid w:val="002D5DCE"/>
    <w:rsid w:val="002D60CF"/>
    <w:rsid w:val="002D69F0"/>
    <w:rsid w:val="002D6FFD"/>
    <w:rsid w:val="002D7541"/>
    <w:rsid w:val="002D7C68"/>
    <w:rsid w:val="002D7C83"/>
    <w:rsid w:val="002E016E"/>
    <w:rsid w:val="002E037A"/>
    <w:rsid w:val="002E0920"/>
    <w:rsid w:val="002E119B"/>
    <w:rsid w:val="002E1872"/>
    <w:rsid w:val="002E2845"/>
    <w:rsid w:val="002E3406"/>
    <w:rsid w:val="002E34F3"/>
    <w:rsid w:val="002E3C51"/>
    <w:rsid w:val="002E417D"/>
    <w:rsid w:val="002E49A4"/>
    <w:rsid w:val="002E4BE3"/>
    <w:rsid w:val="002E511B"/>
    <w:rsid w:val="002E5732"/>
    <w:rsid w:val="002E59A1"/>
    <w:rsid w:val="002E5FA8"/>
    <w:rsid w:val="002E6360"/>
    <w:rsid w:val="002E7193"/>
    <w:rsid w:val="002E71AB"/>
    <w:rsid w:val="002E75B4"/>
    <w:rsid w:val="002E7847"/>
    <w:rsid w:val="002E7AB0"/>
    <w:rsid w:val="002E7D88"/>
    <w:rsid w:val="002F02A0"/>
    <w:rsid w:val="002F064B"/>
    <w:rsid w:val="002F0753"/>
    <w:rsid w:val="002F081B"/>
    <w:rsid w:val="002F08CC"/>
    <w:rsid w:val="002F0A6F"/>
    <w:rsid w:val="002F0B27"/>
    <w:rsid w:val="002F0F6F"/>
    <w:rsid w:val="002F158D"/>
    <w:rsid w:val="002F188B"/>
    <w:rsid w:val="002F1C04"/>
    <w:rsid w:val="002F1CD0"/>
    <w:rsid w:val="002F1D96"/>
    <w:rsid w:val="002F1DA2"/>
    <w:rsid w:val="002F24CD"/>
    <w:rsid w:val="002F26A3"/>
    <w:rsid w:val="002F2A78"/>
    <w:rsid w:val="002F3217"/>
    <w:rsid w:val="002F3848"/>
    <w:rsid w:val="002F3AFA"/>
    <w:rsid w:val="002F4190"/>
    <w:rsid w:val="002F4369"/>
    <w:rsid w:val="002F50C6"/>
    <w:rsid w:val="002F5210"/>
    <w:rsid w:val="002F5223"/>
    <w:rsid w:val="002F5798"/>
    <w:rsid w:val="002F7DA8"/>
    <w:rsid w:val="003000B9"/>
    <w:rsid w:val="00300626"/>
    <w:rsid w:val="00301215"/>
    <w:rsid w:val="003014C3"/>
    <w:rsid w:val="00301704"/>
    <w:rsid w:val="00303203"/>
    <w:rsid w:val="0030438B"/>
    <w:rsid w:val="00305273"/>
    <w:rsid w:val="00305341"/>
    <w:rsid w:val="00305983"/>
    <w:rsid w:val="003065CC"/>
    <w:rsid w:val="003066E2"/>
    <w:rsid w:val="0030693B"/>
    <w:rsid w:val="00306D1E"/>
    <w:rsid w:val="00306D73"/>
    <w:rsid w:val="00306FD3"/>
    <w:rsid w:val="00307379"/>
    <w:rsid w:val="003078D6"/>
    <w:rsid w:val="00307A4C"/>
    <w:rsid w:val="00310A77"/>
    <w:rsid w:val="00310A81"/>
    <w:rsid w:val="00310D67"/>
    <w:rsid w:val="0031122C"/>
    <w:rsid w:val="00311442"/>
    <w:rsid w:val="00311BC5"/>
    <w:rsid w:val="00312527"/>
    <w:rsid w:val="003129FF"/>
    <w:rsid w:val="00312AB2"/>
    <w:rsid w:val="00312C5C"/>
    <w:rsid w:val="00312FF8"/>
    <w:rsid w:val="00313B24"/>
    <w:rsid w:val="00314543"/>
    <w:rsid w:val="0031464C"/>
    <w:rsid w:val="003149DA"/>
    <w:rsid w:val="00314D14"/>
    <w:rsid w:val="00314E2A"/>
    <w:rsid w:val="00315029"/>
    <w:rsid w:val="00315955"/>
    <w:rsid w:val="00315B59"/>
    <w:rsid w:val="00315B5A"/>
    <w:rsid w:val="0031655C"/>
    <w:rsid w:val="00316CAB"/>
    <w:rsid w:val="003173BF"/>
    <w:rsid w:val="00317771"/>
    <w:rsid w:val="00320442"/>
    <w:rsid w:val="003205AC"/>
    <w:rsid w:val="00320E3E"/>
    <w:rsid w:val="0032132B"/>
    <w:rsid w:val="00321772"/>
    <w:rsid w:val="00322C8E"/>
    <w:rsid w:val="00322F35"/>
    <w:rsid w:val="00323554"/>
    <w:rsid w:val="00323805"/>
    <w:rsid w:val="0032441D"/>
    <w:rsid w:val="00324AE7"/>
    <w:rsid w:val="00324BDD"/>
    <w:rsid w:val="003260B8"/>
    <w:rsid w:val="0032704C"/>
    <w:rsid w:val="0032782E"/>
    <w:rsid w:val="003279C1"/>
    <w:rsid w:val="00327B19"/>
    <w:rsid w:val="00327D9B"/>
    <w:rsid w:val="00330492"/>
    <w:rsid w:val="003307F2"/>
    <w:rsid w:val="00330878"/>
    <w:rsid w:val="00330E95"/>
    <w:rsid w:val="00331438"/>
    <w:rsid w:val="003314E3"/>
    <w:rsid w:val="00332521"/>
    <w:rsid w:val="00332A10"/>
    <w:rsid w:val="00333E12"/>
    <w:rsid w:val="003342B1"/>
    <w:rsid w:val="0033460A"/>
    <w:rsid w:val="00334F2F"/>
    <w:rsid w:val="0033501C"/>
    <w:rsid w:val="003352C2"/>
    <w:rsid w:val="00335852"/>
    <w:rsid w:val="003359F3"/>
    <w:rsid w:val="00335A16"/>
    <w:rsid w:val="00335BDA"/>
    <w:rsid w:val="00336316"/>
    <w:rsid w:val="003365CD"/>
    <w:rsid w:val="0033663C"/>
    <w:rsid w:val="00336F3E"/>
    <w:rsid w:val="00336F9D"/>
    <w:rsid w:val="003370E1"/>
    <w:rsid w:val="00340F33"/>
    <w:rsid w:val="003414EE"/>
    <w:rsid w:val="00341FBA"/>
    <w:rsid w:val="0034299D"/>
    <w:rsid w:val="00342A0A"/>
    <w:rsid w:val="00342E10"/>
    <w:rsid w:val="00342EAF"/>
    <w:rsid w:val="00342F6E"/>
    <w:rsid w:val="00342FBE"/>
    <w:rsid w:val="00343041"/>
    <w:rsid w:val="00343768"/>
    <w:rsid w:val="00343B0C"/>
    <w:rsid w:val="00343F07"/>
    <w:rsid w:val="00344DDD"/>
    <w:rsid w:val="00345F11"/>
    <w:rsid w:val="00346215"/>
    <w:rsid w:val="00346BD7"/>
    <w:rsid w:val="0034727D"/>
    <w:rsid w:val="0035094D"/>
    <w:rsid w:val="003509F1"/>
    <w:rsid w:val="003509F5"/>
    <w:rsid w:val="00351509"/>
    <w:rsid w:val="00351520"/>
    <w:rsid w:val="00351C4F"/>
    <w:rsid w:val="00351CB7"/>
    <w:rsid w:val="00352222"/>
    <w:rsid w:val="00352B75"/>
    <w:rsid w:val="003531F5"/>
    <w:rsid w:val="00353496"/>
    <w:rsid w:val="003535CB"/>
    <w:rsid w:val="00353BF8"/>
    <w:rsid w:val="00353D8A"/>
    <w:rsid w:val="003547F0"/>
    <w:rsid w:val="00354813"/>
    <w:rsid w:val="0035576A"/>
    <w:rsid w:val="003557B4"/>
    <w:rsid w:val="00355DB2"/>
    <w:rsid w:val="00355F39"/>
    <w:rsid w:val="003561FE"/>
    <w:rsid w:val="00356CFA"/>
    <w:rsid w:val="00357446"/>
    <w:rsid w:val="00357945"/>
    <w:rsid w:val="003602D2"/>
    <w:rsid w:val="003605BC"/>
    <w:rsid w:val="00360DCC"/>
    <w:rsid w:val="00361AEF"/>
    <w:rsid w:val="00361B30"/>
    <w:rsid w:val="00362D78"/>
    <w:rsid w:val="00362FE8"/>
    <w:rsid w:val="0036359E"/>
    <w:rsid w:val="0036364C"/>
    <w:rsid w:val="003639C0"/>
    <w:rsid w:val="00363F47"/>
    <w:rsid w:val="00363F54"/>
    <w:rsid w:val="003642D5"/>
    <w:rsid w:val="003645B1"/>
    <w:rsid w:val="00364B29"/>
    <w:rsid w:val="00365E39"/>
    <w:rsid w:val="003665CB"/>
    <w:rsid w:val="003669A4"/>
    <w:rsid w:val="003670E6"/>
    <w:rsid w:val="00367210"/>
    <w:rsid w:val="00367324"/>
    <w:rsid w:val="00367960"/>
    <w:rsid w:val="003707AE"/>
    <w:rsid w:val="003716E2"/>
    <w:rsid w:val="00371D33"/>
    <w:rsid w:val="003724A8"/>
    <w:rsid w:val="003727F8"/>
    <w:rsid w:val="00372D37"/>
    <w:rsid w:val="0037359B"/>
    <w:rsid w:val="0037392B"/>
    <w:rsid w:val="00373A19"/>
    <w:rsid w:val="0037402A"/>
    <w:rsid w:val="0037408E"/>
    <w:rsid w:val="003740D7"/>
    <w:rsid w:val="003741B1"/>
    <w:rsid w:val="003742E7"/>
    <w:rsid w:val="003748F3"/>
    <w:rsid w:val="00374E73"/>
    <w:rsid w:val="00375033"/>
    <w:rsid w:val="00375059"/>
    <w:rsid w:val="00375609"/>
    <w:rsid w:val="003763C4"/>
    <w:rsid w:val="003763F1"/>
    <w:rsid w:val="00377018"/>
    <w:rsid w:val="003770A8"/>
    <w:rsid w:val="0037731A"/>
    <w:rsid w:val="003775C5"/>
    <w:rsid w:val="003777C4"/>
    <w:rsid w:val="00377931"/>
    <w:rsid w:val="00380240"/>
    <w:rsid w:val="00381ECF"/>
    <w:rsid w:val="00381FF5"/>
    <w:rsid w:val="00382624"/>
    <w:rsid w:val="00383A4E"/>
    <w:rsid w:val="00383B9C"/>
    <w:rsid w:val="003843C3"/>
    <w:rsid w:val="00384967"/>
    <w:rsid w:val="00384CB6"/>
    <w:rsid w:val="003851A0"/>
    <w:rsid w:val="003858FA"/>
    <w:rsid w:val="00385DFC"/>
    <w:rsid w:val="00386DFE"/>
    <w:rsid w:val="00387347"/>
    <w:rsid w:val="00387B89"/>
    <w:rsid w:val="00390009"/>
    <w:rsid w:val="00391225"/>
    <w:rsid w:val="00391448"/>
    <w:rsid w:val="00391555"/>
    <w:rsid w:val="0039161C"/>
    <w:rsid w:val="003917F4"/>
    <w:rsid w:val="00391919"/>
    <w:rsid w:val="003929D2"/>
    <w:rsid w:val="0039312E"/>
    <w:rsid w:val="0039366B"/>
    <w:rsid w:val="003937F3"/>
    <w:rsid w:val="00393D27"/>
    <w:rsid w:val="00393D33"/>
    <w:rsid w:val="00394038"/>
    <w:rsid w:val="00394275"/>
    <w:rsid w:val="003949C3"/>
    <w:rsid w:val="00394D03"/>
    <w:rsid w:val="00394E94"/>
    <w:rsid w:val="003951A8"/>
    <w:rsid w:val="00395594"/>
    <w:rsid w:val="00395A66"/>
    <w:rsid w:val="00396221"/>
    <w:rsid w:val="00396639"/>
    <w:rsid w:val="00396D9C"/>
    <w:rsid w:val="003972AC"/>
    <w:rsid w:val="0039748F"/>
    <w:rsid w:val="00397D92"/>
    <w:rsid w:val="003A0082"/>
    <w:rsid w:val="003A0402"/>
    <w:rsid w:val="003A0A09"/>
    <w:rsid w:val="003A0ED9"/>
    <w:rsid w:val="003A23A5"/>
    <w:rsid w:val="003A23E3"/>
    <w:rsid w:val="003A26A4"/>
    <w:rsid w:val="003A27A8"/>
    <w:rsid w:val="003A2B9B"/>
    <w:rsid w:val="003A3272"/>
    <w:rsid w:val="003A328D"/>
    <w:rsid w:val="003A382A"/>
    <w:rsid w:val="003A40AF"/>
    <w:rsid w:val="003A467D"/>
    <w:rsid w:val="003A489F"/>
    <w:rsid w:val="003A4DED"/>
    <w:rsid w:val="003A52E7"/>
    <w:rsid w:val="003A5CCC"/>
    <w:rsid w:val="003A5E1B"/>
    <w:rsid w:val="003A6475"/>
    <w:rsid w:val="003A650B"/>
    <w:rsid w:val="003A66D2"/>
    <w:rsid w:val="003A6862"/>
    <w:rsid w:val="003A71B4"/>
    <w:rsid w:val="003A75A9"/>
    <w:rsid w:val="003A770B"/>
    <w:rsid w:val="003A7CB6"/>
    <w:rsid w:val="003B0161"/>
    <w:rsid w:val="003B0646"/>
    <w:rsid w:val="003B070C"/>
    <w:rsid w:val="003B12A5"/>
    <w:rsid w:val="003B1983"/>
    <w:rsid w:val="003B2E2F"/>
    <w:rsid w:val="003B3550"/>
    <w:rsid w:val="003B3638"/>
    <w:rsid w:val="003B40A4"/>
    <w:rsid w:val="003B4D25"/>
    <w:rsid w:val="003B5246"/>
    <w:rsid w:val="003B5630"/>
    <w:rsid w:val="003B687B"/>
    <w:rsid w:val="003B68AB"/>
    <w:rsid w:val="003B68F9"/>
    <w:rsid w:val="003B6BBD"/>
    <w:rsid w:val="003B71B6"/>
    <w:rsid w:val="003B7AF5"/>
    <w:rsid w:val="003B7C5B"/>
    <w:rsid w:val="003C1A83"/>
    <w:rsid w:val="003C1B7C"/>
    <w:rsid w:val="003C29F8"/>
    <w:rsid w:val="003C2B98"/>
    <w:rsid w:val="003C2D08"/>
    <w:rsid w:val="003C3238"/>
    <w:rsid w:val="003C369F"/>
    <w:rsid w:val="003C3844"/>
    <w:rsid w:val="003C394B"/>
    <w:rsid w:val="003C3988"/>
    <w:rsid w:val="003C3A7C"/>
    <w:rsid w:val="003C41E5"/>
    <w:rsid w:val="003C569B"/>
    <w:rsid w:val="003C57B0"/>
    <w:rsid w:val="003C6102"/>
    <w:rsid w:val="003C74F8"/>
    <w:rsid w:val="003C7AAA"/>
    <w:rsid w:val="003C7E22"/>
    <w:rsid w:val="003C7F95"/>
    <w:rsid w:val="003D0645"/>
    <w:rsid w:val="003D094A"/>
    <w:rsid w:val="003D09EA"/>
    <w:rsid w:val="003D0BD3"/>
    <w:rsid w:val="003D10D9"/>
    <w:rsid w:val="003D12AD"/>
    <w:rsid w:val="003D1827"/>
    <w:rsid w:val="003D1D04"/>
    <w:rsid w:val="003D1E00"/>
    <w:rsid w:val="003D1F2C"/>
    <w:rsid w:val="003D2216"/>
    <w:rsid w:val="003D258A"/>
    <w:rsid w:val="003D26E9"/>
    <w:rsid w:val="003D27B6"/>
    <w:rsid w:val="003D2B8F"/>
    <w:rsid w:val="003D2D0E"/>
    <w:rsid w:val="003D2D1B"/>
    <w:rsid w:val="003D2DA6"/>
    <w:rsid w:val="003D3060"/>
    <w:rsid w:val="003D3E4C"/>
    <w:rsid w:val="003D4116"/>
    <w:rsid w:val="003D41D8"/>
    <w:rsid w:val="003D464E"/>
    <w:rsid w:val="003D48BA"/>
    <w:rsid w:val="003D4C44"/>
    <w:rsid w:val="003D54DD"/>
    <w:rsid w:val="003D56EE"/>
    <w:rsid w:val="003D5800"/>
    <w:rsid w:val="003D678F"/>
    <w:rsid w:val="003D6EEE"/>
    <w:rsid w:val="003E072F"/>
    <w:rsid w:val="003E1058"/>
    <w:rsid w:val="003E1178"/>
    <w:rsid w:val="003E18D9"/>
    <w:rsid w:val="003E1CC0"/>
    <w:rsid w:val="003E2481"/>
    <w:rsid w:val="003E2EC0"/>
    <w:rsid w:val="003E3D51"/>
    <w:rsid w:val="003E4093"/>
    <w:rsid w:val="003E4936"/>
    <w:rsid w:val="003E4DE0"/>
    <w:rsid w:val="003E50F3"/>
    <w:rsid w:val="003E515A"/>
    <w:rsid w:val="003E5572"/>
    <w:rsid w:val="003E5AC6"/>
    <w:rsid w:val="003E6052"/>
    <w:rsid w:val="003E73CA"/>
    <w:rsid w:val="003E74E9"/>
    <w:rsid w:val="003E77A2"/>
    <w:rsid w:val="003E77C5"/>
    <w:rsid w:val="003E7DB6"/>
    <w:rsid w:val="003F0CC1"/>
    <w:rsid w:val="003F1F04"/>
    <w:rsid w:val="003F2667"/>
    <w:rsid w:val="003F2876"/>
    <w:rsid w:val="003F2901"/>
    <w:rsid w:val="003F35B4"/>
    <w:rsid w:val="003F3662"/>
    <w:rsid w:val="003F566C"/>
    <w:rsid w:val="003F5813"/>
    <w:rsid w:val="003F5AAD"/>
    <w:rsid w:val="003F5AB6"/>
    <w:rsid w:val="003F5B37"/>
    <w:rsid w:val="003F6489"/>
    <w:rsid w:val="003F6760"/>
    <w:rsid w:val="003F6FCA"/>
    <w:rsid w:val="003F7C94"/>
    <w:rsid w:val="00400247"/>
    <w:rsid w:val="004002E9"/>
    <w:rsid w:val="00400888"/>
    <w:rsid w:val="00400BBA"/>
    <w:rsid w:val="0040175A"/>
    <w:rsid w:val="00402080"/>
    <w:rsid w:val="0040247D"/>
    <w:rsid w:val="004024A1"/>
    <w:rsid w:val="00402794"/>
    <w:rsid w:val="00402877"/>
    <w:rsid w:val="00402BEC"/>
    <w:rsid w:val="0040315D"/>
    <w:rsid w:val="0040344E"/>
    <w:rsid w:val="00403AB0"/>
    <w:rsid w:val="004046F0"/>
    <w:rsid w:val="00404878"/>
    <w:rsid w:val="00406416"/>
    <w:rsid w:val="004064F9"/>
    <w:rsid w:val="0040666B"/>
    <w:rsid w:val="004068A1"/>
    <w:rsid w:val="0040692E"/>
    <w:rsid w:val="004071D5"/>
    <w:rsid w:val="00407B51"/>
    <w:rsid w:val="00407F24"/>
    <w:rsid w:val="00410052"/>
    <w:rsid w:val="00411ED9"/>
    <w:rsid w:val="00411FF6"/>
    <w:rsid w:val="004133B7"/>
    <w:rsid w:val="0041363C"/>
    <w:rsid w:val="00413C5C"/>
    <w:rsid w:val="004147EB"/>
    <w:rsid w:val="00414CFA"/>
    <w:rsid w:val="00415260"/>
    <w:rsid w:val="0041533F"/>
    <w:rsid w:val="004153CD"/>
    <w:rsid w:val="00415746"/>
    <w:rsid w:val="00415822"/>
    <w:rsid w:val="004167E2"/>
    <w:rsid w:val="00416AA7"/>
    <w:rsid w:val="00416B39"/>
    <w:rsid w:val="00416B50"/>
    <w:rsid w:val="00417FB3"/>
    <w:rsid w:val="00420168"/>
    <w:rsid w:val="00420E20"/>
    <w:rsid w:val="00420E33"/>
    <w:rsid w:val="004211FB"/>
    <w:rsid w:val="0042174D"/>
    <w:rsid w:val="00421C17"/>
    <w:rsid w:val="00421F33"/>
    <w:rsid w:val="0042225F"/>
    <w:rsid w:val="004227F4"/>
    <w:rsid w:val="00422862"/>
    <w:rsid w:val="00422D6A"/>
    <w:rsid w:val="00423B0E"/>
    <w:rsid w:val="004248E8"/>
    <w:rsid w:val="0042493E"/>
    <w:rsid w:val="004252D6"/>
    <w:rsid w:val="004259C4"/>
    <w:rsid w:val="004259EE"/>
    <w:rsid w:val="0042633D"/>
    <w:rsid w:val="00426810"/>
    <w:rsid w:val="00427712"/>
    <w:rsid w:val="0042782E"/>
    <w:rsid w:val="00427B60"/>
    <w:rsid w:val="00430014"/>
    <w:rsid w:val="00431573"/>
    <w:rsid w:val="00431B08"/>
    <w:rsid w:val="00431FCE"/>
    <w:rsid w:val="004324AF"/>
    <w:rsid w:val="00432678"/>
    <w:rsid w:val="00432BF6"/>
    <w:rsid w:val="00432F46"/>
    <w:rsid w:val="00433795"/>
    <w:rsid w:val="0043382B"/>
    <w:rsid w:val="00433B04"/>
    <w:rsid w:val="004340F1"/>
    <w:rsid w:val="004346C4"/>
    <w:rsid w:val="004355FD"/>
    <w:rsid w:val="004357D5"/>
    <w:rsid w:val="00435E77"/>
    <w:rsid w:val="00436458"/>
    <w:rsid w:val="004367E7"/>
    <w:rsid w:val="00437EA7"/>
    <w:rsid w:val="00437F52"/>
    <w:rsid w:val="00440A21"/>
    <w:rsid w:val="0044112E"/>
    <w:rsid w:val="00441382"/>
    <w:rsid w:val="0044159E"/>
    <w:rsid w:val="004416A8"/>
    <w:rsid w:val="004418F9"/>
    <w:rsid w:val="00441F25"/>
    <w:rsid w:val="00441FFE"/>
    <w:rsid w:val="0044280C"/>
    <w:rsid w:val="00442D97"/>
    <w:rsid w:val="00443709"/>
    <w:rsid w:val="004437AE"/>
    <w:rsid w:val="00443B1F"/>
    <w:rsid w:val="00444235"/>
    <w:rsid w:val="0044468D"/>
    <w:rsid w:val="00444D47"/>
    <w:rsid w:val="0044507F"/>
    <w:rsid w:val="004454C5"/>
    <w:rsid w:val="004462BF"/>
    <w:rsid w:val="0044631B"/>
    <w:rsid w:val="00446374"/>
    <w:rsid w:val="00446B32"/>
    <w:rsid w:val="00446B48"/>
    <w:rsid w:val="004470EF"/>
    <w:rsid w:val="00447116"/>
    <w:rsid w:val="0044714F"/>
    <w:rsid w:val="00450055"/>
    <w:rsid w:val="004500C9"/>
    <w:rsid w:val="004504CB"/>
    <w:rsid w:val="00450723"/>
    <w:rsid w:val="0045108E"/>
    <w:rsid w:val="004513B9"/>
    <w:rsid w:val="004519F1"/>
    <w:rsid w:val="00451B5D"/>
    <w:rsid w:val="004521FB"/>
    <w:rsid w:val="00452C0C"/>
    <w:rsid w:val="00452F6A"/>
    <w:rsid w:val="00453074"/>
    <w:rsid w:val="004530DE"/>
    <w:rsid w:val="00453507"/>
    <w:rsid w:val="00453E75"/>
    <w:rsid w:val="00453EFD"/>
    <w:rsid w:val="004540D0"/>
    <w:rsid w:val="004542F9"/>
    <w:rsid w:val="00454D0A"/>
    <w:rsid w:val="0045501F"/>
    <w:rsid w:val="0045515F"/>
    <w:rsid w:val="00455342"/>
    <w:rsid w:val="00455387"/>
    <w:rsid w:val="00455391"/>
    <w:rsid w:val="00455B8D"/>
    <w:rsid w:val="00455E48"/>
    <w:rsid w:val="00456B3F"/>
    <w:rsid w:val="00457618"/>
    <w:rsid w:val="0045786C"/>
    <w:rsid w:val="004611B9"/>
    <w:rsid w:val="004617C1"/>
    <w:rsid w:val="00461A02"/>
    <w:rsid w:val="00461E72"/>
    <w:rsid w:val="00461F22"/>
    <w:rsid w:val="00462349"/>
    <w:rsid w:val="00462877"/>
    <w:rsid w:val="00462DB8"/>
    <w:rsid w:val="00463A9F"/>
    <w:rsid w:val="004642DC"/>
    <w:rsid w:val="00464894"/>
    <w:rsid w:val="00465032"/>
    <w:rsid w:val="0046569A"/>
    <w:rsid w:val="00465A10"/>
    <w:rsid w:val="00465C49"/>
    <w:rsid w:val="004666FC"/>
    <w:rsid w:val="0046694A"/>
    <w:rsid w:val="00466FBC"/>
    <w:rsid w:val="0046706B"/>
    <w:rsid w:val="00467717"/>
    <w:rsid w:val="00467B83"/>
    <w:rsid w:val="00470099"/>
    <w:rsid w:val="0047050C"/>
    <w:rsid w:val="00470F38"/>
    <w:rsid w:val="00470FB9"/>
    <w:rsid w:val="0047245B"/>
    <w:rsid w:val="004729DF"/>
    <w:rsid w:val="00473972"/>
    <w:rsid w:val="00473A71"/>
    <w:rsid w:val="00473B4D"/>
    <w:rsid w:val="004747DB"/>
    <w:rsid w:val="00474970"/>
    <w:rsid w:val="00474F66"/>
    <w:rsid w:val="00476561"/>
    <w:rsid w:val="00476866"/>
    <w:rsid w:val="00476B26"/>
    <w:rsid w:val="0047701B"/>
    <w:rsid w:val="004778BC"/>
    <w:rsid w:val="00480088"/>
    <w:rsid w:val="00480433"/>
    <w:rsid w:val="004810BA"/>
    <w:rsid w:val="00481909"/>
    <w:rsid w:val="004821A8"/>
    <w:rsid w:val="004822AA"/>
    <w:rsid w:val="004823C4"/>
    <w:rsid w:val="00482867"/>
    <w:rsid w:val="004829CA"/>
    <w:rsid w:val="00482BD7"/>
    <w:rsid w:val="00482C9B"/>
    <w:rsid w:val="00482F6E"/>
    <w:rsid w:val="0048385A"/>
    <w:rsid w:val="00483B4F"/>
    <w:rsid w:val="00483C9B"/>
    <w:rsid w:val="00484123"/>
    <w:rsid w:val="004843FE"/>
    <w:rsid w:val="00484DBC"/>
    <w:rsid w:val="0048528D"/>
    <w:rsid w:val="00485983"/>
    <w:rsid w:val="00486509"/>
    <w:rsid w:val="0048665A"/>
    <w:rsid w:val="00486D2F"/>
    <w:rsid w:val="00487722"/>
    <w:rsid w:val="0049094C"/>
    <w:rsid w:val="00491526"/>
    <w:rsid w:val="004917E7"/>
    <w:rsid w:val="00491C49"/>
    <w:rsid w:val="004935DC"/>
    <w:rsid w:val="00493F39"/>
    <w:rsid w:val="00493FB1"/>
    <w:rsid w:val="00494103"/>
    <w:rsid w:val="00494124"/>
    <w:rsid w:val="0049487C"/>
    <w:rsid w:val="00494B5A"/>
    <w:rsid w:val="00494CF9"/>
    <w:rsid w:val="00494D37"/>
    <w:rsid w:val="00494F1F"/>
    <w:rsid w:val="00494F58"/>
    <w:rsid w:val="004957D7"/>
    <w:rsid w:val="0049606B"/>
    <w:rsid w:val="00496163"/>
    <w:rsid w:val="00496CB4"/>
    <w:rsid w:val="00496CD3"/>
    <w:rsid w:val="00497762"/>
    <w:rsid w:val="00497822"/>
    <w:rsid w:val="00497886"/>
    <w:rsid w:val="004A018F"/>
    <w:rsid w:val="004A0920"/>
    <w:rsid w:val="004A1610"/>
    <w:rsid w:val="004A189F"/>
    <w:rsid w:val="004A1ECD"/>
    <w:rsid w:val="004A2096"/>
    <w:rsid w:val="004A34C2"/>
    <w:rsid w:val="004A3779"/>
    <w:rsid w:val="004A3D1D"/>
    <w:rsid w:val="004A4C3C"/>
    <w:rsid w:val="004A50D5"/>
    <w:rsid w:val="004A575E"/>
    <w:rsid w:val="004A57FF"/>
    <w:rsid w:val="004A601D"/>
    <w:rsid w:val="004A63DE"/>
    <w:rsid w:val="004A6A31"/>
    <w:rsid w:val="004B03DD"/>
    <w:rsid w:val="004B0679"/>
    <w:rsid w:val="004B088E"/>
    <w:rsid w:val="004B1530"/>
    <w:rsid w:val="004B1761"/>
    <w:rsid w:val="004B17DA"/>
    <w:rsid w:val="004B193D"/>
    <w:rsid w:val="004B1AAC"/>
    <w:rsid w:val="004B21C3"/>
    <w:rsid w:val="004B25EA"/>
    <w:rsid w:val="004B2853"/>
    <w:rsid w:val="004B31AF"/>
    <w:rsid w:val="004B3458"/>
    <w:rsid w:val="004B3B94"/>
    <w:rsid w:val="004B3D9B"/>
    <w:rsid w:val="004B4F44"/>
    <w:rsid w:val="004B5260"/>
    <w:rsid w:val="004B5666"/>
    <w:rsid w:val="004B5E22"/>
    <w:rsid w:val="004B6907"/>
    <w:rsid w:val="004B6F0E"/>
    <w:rsid w:val="004B76B6"/>
    <w:rsid w:val="004B7ADE"/>
    <w:rsid w:val="004B7ADF"/>
    <w:rsid w:val="004B7C0A"/>
    <w:rsid w:val="004B7CCF"/>
    <w:rsid w:val="004C11E4"/>
    <w:rsid w:val="004C1CE9"/>
    <w:rsid w:val="004C2BCD"/>
    <w:rsid w:val="004C421B"/>
    <w:rsid w:val="004C4C6E"/>
    <w:rsid w:val="004C4D11"/>
    <w:rsid w:val="004C4EAE"/>
    <w:rsid w:val="004C53B9"/>
    <w:rsid w:val="004C564B"/>
    <w:rsid w:val="004C568E"/>
    <w:rsid w:val="004C5876"/>
    <w:rsid w:val="004C5B09"/>
    <w:rsid w:val="004C5F62"/>
    <w:rsid w:val="004C5F73"/>
    <w:rsid w:val="004C61F5"/>
    <w:rsid w:val="004C68C9"/>
    <w:rsid w:val="004C6EA8"/>
    <w:rsid w:val="004C7236"/>
    <w:rsid w:val="004C79FB"/>
    <w:rsid w:val="004C7BDD"/>
    <w:rsid w:val="004D0267"/>
    <w:rsid w:val="004D0742"/>
    <w:rsid w:val="004D0F78"/>
    <w:rsid w:val="004D24F7"/>
    <w:rsid w:val="004D2C4B"/>
    <w:rsid w:val="004D406C"/>
    <w:rsid w:val="004D41F6"/>
    <w:rsid w:val="004D4692"/>
    <w:rsid w:val="004D4922"/>
    <w:rsid w:val="004D4B2F"/>
    <w:rsid w:val="004D4BBD"/>
    <w:rsid w:val="004D50CB"/>
    <w:rsid w:val="004D52EA"/>
    <w:rsid w:val="004D5979"/>
    <w:rsid w:val="004D5984"/>
    <w:rsid w:val="004D5A39"/>
    <w:rsid w:val="004D5B1A"/>
    <w:rsid w:val="004D6B09"/>
    <w:rsid w:val="004D6D56"/>
    <w:rsid w:val="004D71A9"/>
    <w:rsid w:val="004D7E14"/>
    <w:rsid w:val="004E01BF"/>
    <w:rsid w:val="004E0217"/>
    <w:rsid w:val="004E04E4"/>
    <w:rsid w:val="004E157B"/>
    <w:rsid w:val="004E1AA6"/>
    <w:rsid w:val="004E1EDC"/>
    <w:rsid w:val="004E2168"/>
    <w:rsid w:val="004E2362"/>
    <w:rsid w:val="004E2527"/>
    <w:rsid w:val="004E2773"/>
    <w:rsid w:val="004E33BB"/>
    <w:rsid w:val="004E3797"/>
    <w:rsid w:val="004E3EEC"/>
    <w:rsid w:val="004E419F"/>
    <w:rsid w:val="004E453B"/>
    <w:rsid w:val="004E47EE"/>
    <w:rsid w:val="004E5374"/>
    <w:rsid w:val="004E55A9"/>
    <w:rsid w:val="004E5810"/>
    <w:rsid w:val="004E61D7"/>
    <w:rsid w:val="004E66D5"/>
    <w:rsid w:val="004E6FF1"/>
    <w:rsid w:val="004E7C80"/>
    <w:rsid w:val="004F0049"/>
    <w:rsid w:val="004F0913"/>
    <w:rsid w:val="004F0A06"/>
    <w:rsid w:val="004F0C0A"/>
    <w:rsid w:val="004F0F41"/>
    <w:rsid w:val="004F13D9"/>
    <w:rsid w:val="004F16DE"/>
    <w:rsid w:val="004F1A07"/>
    <w:rsid w:val="004F24D8"/>
    <w:rsid w:val="004F293D"/>
    <w:rsid w:val="004F2B8B"/>
    <w:rsid w:val="004F2CEA"/>
    <w:rsid w:val="004F2EE4"/>
    <w:rsid w:val="004F36E2"/>
    <w:rsid w:val="004F37F2"/>
    <w:rsid w:val="004F4701"/>
    <w:rsid w:val="004F4D50"/>
    <w:rsid w:val="004F5769"/>
    <w:rsid w:val="004F6507"/>
    <w:rsid w:val="004F65C9"/>
    <w:rsid w:val="004F67CE"/>
    <w:rsid w:val="004F7406"/>
    <w:rsid w:val="004F763E"/>
    <w:rsid w:val="004F7917"/>
    <w:rsid w:val="004F7B7F"/>
    <w:rsid w:val="004F7D11"/>
    <w:rsid w:val="004F7D79"/>
    <w:rsid w:val="00500142"/>
    <w:rsid w:val="00500B45"/>
    <w:rsid w:val="005014E1"/>
    <w:rsid w:val="00501DCA"/>
    <w:rsid w:val="00502088"/>
    <w:rsid w:val="00502A9B"/>
    <w:rsid w:val="00502AC6"/>
    <w:rsid w:val="00503968"/>
    <w:rsid w:val="0050458D"/>
    <w:rsid w:val="00504C0A"/>
    <w:rsid w:val="00506152"/>
    <w:rsid w:val="00506B08"/>
    <w:rsid w:val="005072D0"/>
    <w:rsid w:val="00507601"/>
    <w:rsid w:val="00507CEE"/>
    <w:rsid w:val="0051010D"/>
    <w:rsid w:val="00510D92"/>
    <w:rsid w:val="00510E03"/>
    <w:rsid w:val="00511418"/>
    <w:rsid w:val="00511872"/>
    <w:rsid w:val="00511C5F"/>
    <w:rsid w:val="0051424E"/>
    <w:rsid w:val="00514919"/>
    <w:rsid w:val="0051625E"/>
    <w:rsid w:val="00517B26"/>
    <w:rsid w:val="00517FE0"/>
    <w:rsid w:val="00520AD6"/>
    <w:rsid w:val="00520FD9"/>
    <w:rsid w:val="0052107C"/>
    <w:rsid w:val="00521221"/>
    <w:rsid w:val="00522258"/>
    <w:rsid w:val="005227C1"/>
    <w:rsid w:val="005228EA"/>
    <w:rsid w:val="00522ED3"/>
    <w:rsid w:val="00523182"/>
    <w:rsid w:val="005236F3"/>
    <w:rsid w:val="00524011"/>
    <w:rsid w:val="00524211"/>
    <w:rsid w:val="00524329"/>
    <w:rsid w:val="00524693"/>
    <w:rsid w:val="00524D81"/>
    <w:rsid w:val="00525A1E"/>
    <w:rsid w:val="00525B9A"/>
    <w:rsid w:val="005266C4"/>
    <w:rsid w:val="005270DD"/>
    <w:rsid w:val="00527672"/>
    <w:rsid w:val="00527815"/>
    <w:rsid w:val="00527ADC"/>
    <w:rsid w:val="00527AFA"/>
    <w:rsid w:val="00527F8F"/>
    <w:rsid w:val="00530205"/>
    <w:rsid w:val="0053023C"/>
    <w:rsid w:val="005303CF"/>
    <w:rsid w:val="00530804"/>
    <w:rsid w:val="005308E4"/>
    <w:rsid w:val="00531014"/>
    <w:rsid w:val="0053165A"/>
    <w:rsid w:val="0053219A"/>
    <w:rsid w:val="005321B8"/>
    <w:rsid w:val="00532AB4"/>
    <w:rsid w:val="00532F41"/>
    <w:rsid w:val="005333C5"/>
    <w:rsid w:val="00534103"/>
    <w:rsid w:val="0053447D"/>
    <w:rsid w:val="005349A2"/>
    <w:rsid w:val="00534A0A"/>
    <w:rsid w:val="005352D1"/>
    <w:rsid w:val="0053537A"/>
    <w:rsid w:val="00535B8E"/>
    <w:rsid w:val="00535C0A"/>
    <w:rsid w:val="00535CE8"/>
    <w:rsid w:val="00536DC0"/>
    <w:rsid w:val="005375B7"/>
    <w:rsid w:val="00537AA1"/>
    <w:rsid w:val="00540322"/>
    <w:rsid w:val="00540A03"/>
    <w:rsid w:val="0054122F"/>
    <w:rsid w:val="005414D5"/>
    <w:rsid w:val="005415E1"/>
    <w:rsid w:val="005422B7"/>
    <w:rsid w:val="005439C3"/>
    <w:rsid w:val="005449F4"/>
    <w:rsid w:val="00544A83"/>
    <w:rsid w:val="005450CE"/>
    <w:rsid w:val="00545103"/>
    <w:rsid w:val="005457EB"/>
    <w:rsid w:val="005458E5"/>
    <w:rsid w:val="00546381"/>
    <w:rsid w:val="00546B85"/>
    <w:rsid w:val="005477A1"/>
    <w:rsid w:val="00547834"/>
    <w:rsid w:val="00547DE4"/>
    <w:rsid w:val="0055038A"/>
    <w:rsid w:val="005509B2"/>
    <w:rsid w:val="00550DB6"/>
    <w:rsid w:val="00550FC0"/>
    <w:rsid w:val="005512F5"/>
    <w:rsid w:val="0055144B"/>
    <w:rsid w:val="005517B2"/>
    <w:rsid w:val="00551B72"/>
    <w:rsid w:val="00551E20"/>
    <w:rsid w:val="0055213C"/>
    <w:rsid w:val="0055216B"/>
    <w:rsid w:val="00552307"/>
    <w:rsid w:val="00552AE5"/>
    <w:rsid w:val="005531B1"/>
    <w:rsid w:val="005536F9"/>
    <w:rsid w:val="00553FDC"/>
    <w:rsid w:val="00554879"/>
    <w:rsid w:val="0055572D"/>
    <w:rsid w:val="00557D26"/>
    <w:rsid w:val="005605EF"/>
    <w:rsid w:val="005606BA"/>
    <w:rsid w:val="005607C7"/>
    <w:rsid w:val="00560943"/>
    <w:rsid w:val="00560982"/>
    <w:rsid w:val="005609A6"/>
    <w:rsid w:val="00560CA5"/>
    <w:rsid w:val="005611D9"/>
    <w:rsid w:val="0056166B"/>
    <w:rsid w:val="00561DE0"/>
    <w:rsid w:val="0056299B"/>
    <w:rsid w:val="00562F97"/>
    <w:rsid w:val="00564348"/>
    <w:rsid w:val="00564510"/>
    <w:rsid w:val="00564A6F"/>
    <w:rsid w:val="00564D6C"/>
    <w:rsid w:val="00565833"/>
    <w:rsid w:val="00566168"/>
    <w:rsid w:val="005667BC"/>
    <w:rsid w:val="00566B23"/>
    <w:rsid w:val="00567081"/>
    <w:rsid w:val="005673B1"/>
    <w:rsid w:val="00570919"/>
    <w:rsid w:val="00570F68"/>
    <w:rsid w:val="005710B9"/>
    <w:rsid w:val="00571AB4"/>
    <w:rsid w:val="00571DE7"/>
    <w:rsid w:val="0057228A"/>
    <w:rsid w:val="005727C1"/>
    <w:rsid w:val="0057285D"/>
    <w:rsid w:val="00572BFD"/>
    <w:rsid w:val="005732E7"/>
    <w:rsid w:val="00573C38"/>
    <w:rsid w:val="00573ED7"/>
    <w:rsid w:val="00575328"/>
    <w:rsid w:val="0057563D"/>
    <w:rsid w:val="0057584F"/>
    <w:rsid w:val="00575CC7"/>
    <w:rsid w:val="00575F2D"/>
    <w:rsid w:val="00576708"/>
    <w:rsid w:val="00576B64"/>
    <w:rsid w:val="00576FDA"/>
    <w:rsid w:val="005771B3"/>
    <w:rsid w:val="00577DE3"/>
    <w:rsid w:val="00580076"/>
    <w:rsid w:val="00580248"/>
    <w:rsid w:val="0058034E"/>
    <w:rsid w:val="005824F7"/>
    <w:rsid w:val="00582C4C"/>
    <w:rsid w:val="00582D4A"/>
    <w:rsid w:val="00583F08"/>
    <w:rsid w:val="005843EF"/>
    <w:rsid w:val="005847D0"/>
    <w:rsid w:val="005852E3"/>
    <w:rsid w:val="0058691D"/>
    <w:rsid w:val="005874E1"/>
    <w:rsid w:val="005876DE"/>
    <w:rsid w:val="005877CA"/>
    <w:rsid w:val="00587D0B"/>
    <w:rsid w:val="005904F4"/>
    <w:rsid w:val="0059093B"/>
    <w:rsid w:val="00590D70"/>
    <w:rsid w:val="0059157D"/>
    <w:rsid w:val="00591EA0"/>
    <w:rsid w:val="005923A5"/>
    <w:rsid w:val="005923AE"/>
    <w:rsid w:val="0059247D"/>
    <w:rsid w:val="00592560"/>
    <w:rsid w:val="005928AC"/>
    <w:rsid w:val="00592BD6"/>
    <w:rsid w:val="00593630"/>
    <w:rsid w:val="00593EAA"/>
    <w:rsid w:val="005944B3"/>
    <w:rsid w:val="005947DF"/>
    <w:rsid w:val="00595592"/>
    <w:rsid w:val="0059593D"/>
    <w:rsid w:val="00596682"/>
    <w:rsid w:val="005966D9"/>
    <w:rsid w:val="00596856"/>
    <w:rsid w:val="00596C8C"/>
    <w:rsid w:val="00596CE5"/>
    <w:rsid w:val="005975A9"/>
    <w:rsid w:val="005A1845"/>
    <w:rsid w:val="005A1FFA"/>
    <w:rsid w:val="005A26F6"/>
    <w:rsid w:val="005A4448"/>
    <w:rsid w:val="005A4B48"/>
    <w:rsid w:val="005A59CC"/>
    <w:rsid w:val="005A6196"/>
    <w:rsid w:val="005A65C5"/>
    <w:rsid w:val="005A684A"/>
    <w:rsid w:val="005A6BBB"/>
    <w:rsid w:val="005A758D"/>
    <w:rsid w:val="005A766B"/>
    <w:rsid w:val="005A7908"/>
    <w:rsid w:val="005B0100"/>
    <w:rsid w:val="005B03EF"/>
    <w:rsid w:val="005B113B"/>
    <w:rsid w:val="005B13A0"/>
    <w:rsid w:val="005B140F"/>
    <w:rsid w:val="005B17D2"/>
    <w:rsid w:val="005B17D8"/>
    <w:rsid w:val="005B1BF3"/>
    <w:rsid w:val="005B2658"/>
    <w:rsid w:val="005B26CB"/>
    <w:rsid w:val="005B2718"/>
    <w:rsid w:val="005B29D2"/>
    <w:rsid w:val="005B312B"/>
    <w:rsid w:val="005B3AA3"/>
    <w:rsid w:val="005B3C42"/>
    <w:rsid w:val="005B416E"/>
    <w:rsid w:val="005B42B1"/>
    <w:rsid w:val="005B493D"/>
    <w:rsid w:val="005B4CD6"/>
    <w:rsid w:val="005B4F77"/>
    <w:rsid w:val="005B56F0"/>
    <w:rsid w:val="005B59D8"/>
    <w:rsid w:val="005B60E0"/>
    <w:rsid w:val="005B70C4"/>
    <w:rsid w:val="005B7EF2"/>
    <w:rsid w:val="005C01E8"/>
    <w:rsid w:val="005C09C2"/>
    <w:rsid w:val="005C19CC"/>
    <w:rsid w:val="005C20B2"/>
    <w:rsid w:val="005C2E9D"/>
    <w:rsid w:val="005C2EEC"/>
    <w:rsid w:val="005C32D4"/>
    <w:rsid w:val="005C3392"/>
    <w:rsid w:val="005C36AE"/>
    <w:rsid w:val="005C39A9"/>
    <w:rsid w:val="005C4AF9"/>
    <w:rsid w:val="005C4F85"/>
    <w:rsid w:val="005C531E"/>
    <w:rsid w:val="005C5701"/>
    <w:rsid w:val="005C5E9A"/>
    <w:rsid w:val="005C612F"/>
    <w:rsid w:val="005C6CAF"/>
    <w:rsid w:val="005C6F98"/>
    <w:rsid w:val="005C7189"/>
    <w:rsid w:val="005D0279"/>
    <w:rsid w:val="005D05CA"/>
    <w:rsid w:val="005D05DA"/>
    <w:rsid w:val="005D0689"/>
    <w:rsid w:val="005D13F3"/>
    <w:rsid w:val="005D16F5"/>
    <w:rsid w:val="005D1819"/>
    <w:rsid w:val="005D1880"/>
    <w:rsid w:val="005D188F"/>
    <w:rsid w:val="005D257D"/>
    <w:rsid w:val="005D26D5"/>
    <w:rsid w:val="005D2A43"/>
    <w:rsid w:val="005D3564"/>
    <w:rsid w:val="005D3D63"/>
    <w:rsid w:val="005D3F95"/>
    <w:rsid w:val="005D41F6"/>
    <w:rsid w:val="005D43D0"/>
    <w:rsid w:val="005D44F4"/>
    <w:rsid w:val="005D4D6E"/>
    <w:rsid w:val="005D5AEE"/>
    <w:rsid w:val="005D6127"/>
    <w:rsid w:val="005D6A2D"/>
    <w:rsid w:val="005D7863"/>
    <w:rsid w:val="005E0689"/>
    <w:rsid w:val="005E06F6"/>
    <w:rsid w:val="005E0860"/>
    <w:rsid w:val="005E0879"/>
    <w:rsid w:val="005E1246"/>
    <w:rsid w:val="005E1386"/>
    <w:rsid w:val="005E1599"/>
    <w:rsid w:val="005E163C"/>
    <w:rsid w:val="005E18E5"/>
    <w:rsid w:val="005E1909"/>
    <w:rsid w:val="005E2147"/>
    <w:rsid w:val="005E2516"/>
    <w:rsid w:val="005E297D"/>
    <w:rsid w:val="005E3DA6"/>
    <w:rsid w:val="005E5110"/>
    <w:rsid w:val="005E636A"/>
    <w:rsid w:val="005E6AC3"/>
    <w:rsid w:val="005E74D4"/>
    <w:rsid w:val="005F0A9D"/>
    <w:rsid w:val="005F145C"/>
    <w:rsid w:val="005F14B3"/>
    <w:rsid w:val="005F21AD"/>
    <w:rsid w:val="005F2650"/>
    <w:rsid w:val="005F29C8"/>
    <w:rsid w:val="005F2FAA"/>
    <w:rsid w:val="005F30E3"/>
    <w:rsid w:val="005F3AD2"/>
    <w:rsid w:val="005F3EA8"/>
    <w:rsid w:val="005F5009"/>
    <w:rsid w:val="005F5764"/>
    <w:rsid w:val="005F5CFB"/>
    <w:rsid w:val="005F5DA8"/>
    <w:rsid w:val="005F6A07"/>
    <w:rsid w:val="005F70A7"/>
    <w:rsid w:val="005F72A4"/>
    <w:rsid w:val="005F76DE"/>
    <w:rsid w:val="005F7861"/>
    <w:rsid w:val="005F7B8C"/>
    <w:rsid w:val="005F7BB5"/>
    <w:rsid w:val="00600E07"/>
    <w:rsid w:val="0060112D"/>
    <w:rsid w:val="00601B2D"/>
    <w:rsid w:val="00601E89"/>
    <w:rsid w:val="006020DB"/>
    <w:rsid w:val="006026BE"/>
    <w:rsid w:val="00602D13"/>
    <w:rsid w:val="00602E2C"/>
    <w:rsid w:val="006047B9"/>
    <w:rsid w:val="0060484C"/>
    <w:rsid w:val="0060563E"/>
    <w:rsid w:val="00606276"/>
    <w:rsid w:val="0060648D"/>
    <w:rsid w:val="006065E9"/>
    <w:rsid w:val="00606670"/>
    <w:rsid w:val="00606B06"/>
    <w:rsid w:val="00607E6A"/>
    <w:rsid w:val="0061025D"/>
    <w:rsid w:val="006104A2"/>
    <w:rsid w:val="00610693"/>
    <w:rsid w:val="006107DE"/>
    <w:rsid w:val="006108F0"/>
    <w:rsid w:val="00611163"/>
    <w:rsid w:val="006111F8"/>
    <w:rsid w:val="006112B9"/>
    <w:rsid w:val="00611883"/>
    <w:rsid w:val="00611C7E"/>
    <w:rsid w:val="00611FD1"/>
    <w:rsid w:val="0061312D"/>
    <w:rsid w:val="00613202"/>
    <w:rsid w:val="006137AC"/>
    <w:rsid w:val="0061457A"/>
    <w:rsid w:val="006147CA"/>
    <w:rsid w:val="006147E8"/>
    <w:rsid w:val="00614FE3"/>
    <w:rsid w:val="00615A40"/>
    <w:rsid w:val="00615BE2"/>
    <w:rsid w:val="006161B9"/>
    <w:rsid w:val="0061656B"/>
    <w:rsid w:val="006165C5"/>
    <w:rsid w:val="006166C1"/>
    <w:rsid w:val="006169E6"/>
    <w:rsid w:val="006177B1"/>
    <w:rsid w:val="00617AC7"/>
    <w:rsid w:val="00617FF5"/>
    <w:rsid w:val="006200BC"/>
    <w:rsid w:val="006204CE"/>
    <w:rsid w:val="00620999"/>
    <w:rsid w:val="006209D3"/>
    <w:rsid w:val="00620AC3"/>
    <w:rsid w:val="00620BE1"/>
    <w:rsid w:val="00620E1E"/>
    <w:rsid w:val="0062148B"/>
    <w:rsid w:val="0062172A"/>
    <w:rsid w:val="00621D79"/>
    <w:rsid w:val="00622291"/>
    <w:rsid w:val="006225DC"/>
    <w:rsid w:val="00622719"/>
    <w:rsid w:val="00622F0D"/>
    <w:rsid w:val="00623264"/>
    <w:rsid w:val="00623C2D"/>
    <w:rsid w:val="00624354"/>
    <w:rsid w:val="006247E7"/>
    <w:rsid w:val="006248C0"/>
    <w:rsid w:val="006258D7"/>
    <w:rsid w:val="00625B4B"/>
    <w:rsid w:val="006260D8"/>
    <w:rsid w:val="00626760"/>
    <w:rsid w:val="00627010"/>
    <w:rsid w:val="00627593"/>
    <w:rsid w:val="00627C45"/>
    <w:rsid w:val="0063036E"/>
    <w:rsid w:val="0063048A"/>
    <w:rsid w:val="006306B0"/>
    <w:rsid w:val="0063084E"/>
    <w:rsid w:val="00630B8B"/>
    <w:rsid w:val="00630DFE"/>
    <w:rsid w:val="006310B0"/>
    <w:rsid w:val="006315CC"/>
    <w:rsid w:val="00631C3B"/>
    <w:rsid w:val="006321E8"/>
    <w:rsid w:val="006326E4"/>
    <w:rsid w:val="0063273E"/>
    <w:rsid w:val="00632951"/>
    <w:rsid w:val="006336B3"/>
    <w:rsid w:val="00633736"/>
    <w:rsid w:val="00633997"/>
    <w:rsid w:val="0063410E"/>
    <w:rsid w:val="0063469F"/>
    <w:rsid w:val="00634780"/>
    <w:rsid w:val="0063493F"/>
    <w:rsid w:val="00634DC6"/>
    <w:rsid w:val="006352A1"/>
    <w:rsid w:val="00640345"/>
    <w:rsid w:val="0064039F"/>
    <w:rsid w:val="00640529"/>
    <w:rsid w:val="0064056C"/>
    <w:rsid w:val="00640831"/>
    <w:rsid w:val="00640D73"/>
    <w:rsid w:val="00640FDF"/>
    <w:rsid w:val="00641E47"/>
    <w:rsid w:val="00642EC3"/>
    <w:rsid w:val="006430D2"/>
    <w:rsid w:val="0064346B"/>
    <w:rsid w:val="00643A3B"/>
    <w:rsid w:val="00643D05"/>
    <w:rsid w:val="00643DD0"/>
    <w:rsid w:val="006440FC"/>
    <w:rsid w:val="00644912"/>
    <w:rsid w:val="00644AC5"/>
    <w:rsid w:val="00645793"/>
    <w:rsid w:val="00645C11"/>
    <w:rsid w:val="0064607F"/>
    <w:rsid w:val="006465E9"/>
    <w:rsid w:val="0064684F"/>
    <w:rsid w:val="006469E5"/>
    <w:rsid w:val="00650085"/>
    <w:rsid w:val="00650278"/>
    <w:rsid w:val="0065092C"/>
    <w:rsid w:val="00650968"/>
    <w:rsid w:val="00650AF4"/>
    <w:rsid w:val="00650C60"/>
    <w:rsid w:val="006513C9"/>
    <w:rsid w:val="00651428"/>
    <w:rsid w:val="006514F9"/>
    <w:rsid w:val="00651CA5"/>
    <w:rsid w:val="00651E69"/>
    <w:rsid w:val="00652C9A"/>
    <w:rsid w:val="00652D98"/>
    <w:rsid w:val="00652F75"/>
    <w:rsid w:val="006531A1"/>
    <w:rsid w:val="0065367A"/>
    <w:rsid w:val="00654128"/>
    <w:rsid w:val="0065476D"/>
    <w:rsid w:val="0065573B"/>
    <w:rsid w:val="00655AEA"/>
    <w:rsid w:val="00655D82"/>
    <w:rsid w:val="00655EE3"/>
    <w:rsid w:val="00656B08"/>
    <w:rsid w:val="0066084C"/>
    <w:rsid w:val="00660870"/>
    <w:rsid w:val="006609F6"/>
    <w:rsid w:val="00661144"/>
    <w:rsid w:val="00661968"/>
    <w:rsid w:val="00661C61"/>
    <w:rsid w:val="0066256F"/>
    <w:rsid w:val="00662AFB"/>
    <w:rsid w:val="00662BD9"/>
    <w:rsid w:val="00662D50"/>
    <w:rsid w:val="00663041"/>
    <w:rsid w:val="00663C50"/>
    <w:rsid w:val="00664019"/>
    <w:rsid w:val="0066420A"/>
    <w:rsid w:val="00664532"/>
    <w:rsid w:val="0066460B"/>
    <w:rsid w:val="00664871"/>
    <w:rsid w:val="00664CC5"/>
    <w:rsid w:val="00665042"/>
    <w:rsid w:val="00665087"/>
    <w:rsid w:val="00665409"/>
    <w:rsid w:val="00665538"/>
    <w:rsid w:val="00665BC3"/>
    <w:rsid w:val="00665BE2"/>
    <w:rsid w:val="00665F02"/>
    <w:rsid w:val="00667599"/>
    <w:rsid w:val="00667EDD"/>
    <w:rsid w:val="0067019F"/>
    <w:rsid w:val="0067041F"/>
    <w:rsid w:val="00670B08"/>
    <w:rsid w:val="0067145B"/>
    <w:rsid w:val="0067303F"/>
    <w:rsid w:val="00674133"/>
    <w:rsid w:val="00674846"/>
    <w:rsid w:val="00674A98"/>
    <w:rsid w:val="0067567A"/>
    <w:rsid w:val="00675B9F"/>
    <w:rsid w:val="00675CF0"/>
    <w:rsid w:val="00675DFB"/>
    <w:rsid w:val="00675E06"/>
    <w:rsid w:val="006767E9"/>
    <w:rsid w:val="006769B0"/>
    <w:rsid w:val="00676B8D"/>
    <w:rsid w:val="00677BB4"/>
    <w:rsid w:val="00677D9B"/>
    <w:rsid w:val="00677FC4"/>
    <w:rsid w:val="006801E4"/>
    <w:rsid w:val="00680760"/>
    <w:rsid w:val="00680D34"/>
    <w:rsid w:val="006814BF"/>
    <w:rsid w:val="00681544"/>
    <w:rsid w:val="006819F2"/>
    <w:rsid w:val="00681FB1"/>
    <w:rsid w:val="00682213"/>
    <w:rsid w:val="0068222C"/>
    <w:rsid w:val="006823A4"/>
    <w:rsid w:val="00682577"/>
    <w:rsid w:val="00682A8D"/>
    <w:rsid w:val="00682FD1"/>
    <w:rsid w:val="006836F3"/>
    <w:rsid w:val="00683C44"/>
    <w:rsid w:val="00684633"/>
    <w:rsid w:val="00684662"/>
    <w:rsid w:val="006849B5"/>
    <w:rsid w:val="00685928"/>
    <w:rsid w:val="00685F95"/>
    <w:rsid w:val="00686024"/>
    <w:rsid w:val="0068669A"/>
    <w:rsid w:val="00686AA3"/>
    <w:rsid w:val="00687BDE"/>
    <w:rsid w:val="00687D2D"/>
    <w:rsid w:val="00687F56"/>
    <w:rsid w:val="00690303"/>
    <w:rsid w:val="006909B5"/>
    <w:rsid w:val="00690E63"/>
    <w:rsid w:val="00690FB7"/>
    <w:rsid w:val="006910E0"/>
    <w:rsid w:val="00691875"/>
    <w:rsid w:val="00692B54"/>
    <w:rsid w:val="00692C6F"/>
    <w:rsid w:val="00693175"/>
    <w:rsid w:val="00693585"/>
    <w:rsid w:val="00693921"/>
    <w:rsid w:val="00694627"/>
    <w:rsid w:val="00695178"/>
    <w:rsid w:val="0069518F"/>
    <w:rsid w:val="00695254"/>
    <w:rsid w:val="0069528B"/>
    <w:rsid w:val="00696D95"/>
    <w:rsid w:val="0069786D"/>
    <w:rsid w:val="006978FE"/>
    <w:rsid w:val="006A0E6E"/>
    <w:rsid w:val="006A1269"/>
    <w:rsid w:val="006A1C50"/>
    <w:rsid w:val="006A22A4"/>
    <w:rsid w:val="006A2B62"/>
    <w:rsid w:val="006A31DF"/>
    <w:rsid w:val="006A4121"/>
    <w:rsid w:val="006A41AD"/>
    <w:rsid w:val="006A457D"/>
    <w:rsid w:val="006A47EE"/>
    <w:rsid w:val="006A578D"/>
    <w:rsid w:val="006A5C03"/>
    <w:rsid w:val="006A5F45"/>
    <w:rsid w:val="006A65A9"/>
    <w:rsid w:val="006A6942"/>
    <w:rsid w:val="006A6EFF"/>
    <w:rsid w:val="006A6F7F"/>
    <w:rsid w:val="006A7337"/>
    <w:rsid w:val="006A782B"/>
    <w:rsid w:val="006A7B7D"/>
    <w:rsid w:val="006B0AE7"/>
    <w:rsid w:val="006B0D0B"/>
    <w:rsid w:val="006B0F26"/>
    <w:rsid w:val="006B0FD5"/>
    <w:rsid w:val="006B14C7"/>
    <w:rsid w:val="006B150B"/>
    <w:rsid w:val="006B1F4B"/>
    <w:rsid w:val="006B1FCB"/>
    <w:rsid w:val="006B2749"/>
    <w:rsid w:val="006B2E00"/>
    <w:rsid w:val="006B34EA"/>
    <w:rsid w:val="006B3649"/>
    <w:rsid w:val="006B3A50"/>
    <w:rsid w:val="006B3CB0"/>
    <w:rsid w:val="006B45AE"/>
    <w:rsid w:val="006B474A"/>
    <w:rsid w:val="006B4864"/>
    <w:rsid w:val="006B4B19"/>
    <w:rsid w:val="006B4F05"/>
    <w:rsid w:val="006B5632"/>
    <w:rsid w:val="006B58FE"/>
    <w:rsid w:val="006B5D4C"/>
    <w:rsid w:val="006B60CA"/>
    <w:rsid w:val="006B6B37"/>
    <w:rsid w:val="006B6ED0"/>
    <w:rsid w:val="006B790E"/>
    <w:rsid w:val="006B7E33"/>
    <w:rsid w:val="006C0E4D"/>
    <w:rsid w:val="006C15AE"/>
    <w:rsid w:val="006C1907"/>
    <w:rsid w:val="006C1BE6"/>
    <w:rsid w:val="006C1D93"/>
    <w:rsid w:val="006C1FC2"/>
    <w:rsid w:val="006C20D5"/>
    <w:rsid w:val="006C2B5E"/>
    <w:rsid w:val="006C34AB"/>
    <w:rsid w:val="006C3C55"/>
    <w:rsid w:val="006C434B"/>
    <w:rsid w:val="006C45D3"/>
    <w:rsid w:val="006C472E"/>
    <w:rsid w:val="006C49ED"/>
    <w:rsid w:val="006C4DA9"/>
    <w:rsid w:val="006C4FB0"/>
    <w:rsid w:val="006C5CD5"/>
    <w:rsid w:val="006C5D2A"/>
    <w:rsid w:val="006C6308"/>
    <w:rsid w:val="006C66CD"/>
    <w:rsid w:val="006C6CC6"/>
    <w:rsid w:val="006D0210"/>
    <w:rsid w:val="006D0C0B"/>
    <w:rsid w:val="006D0E2F"/>
    <w:rsid w:val="006D1E49"/>
    <w:rsid w:val="006D1FCE"/>
    <w:rsid w:val="006D22C1"/>
    <w:rsid w:val="006D28AE"/>
    <w:rsid w:val="006D3B2E"/>
    <w:rsid w:val="006D3B71"/>
    <w:rsid w:val="006D3FDC"/>
    <w:rsid w:val="006D42A3"/>
    <w:rsid w:val="006D4672"/>
    <w:rsid w:val="006D4A98"/>
    <w:rsid w:val="006D4C7A"/>
    <w:rsid w:val="006D684B"/>
    <w:rsid w:val="006D6B8C"/>
    <w:rsid w:val="006D7714"/>
    <w:rsid w:val="006E0B2A"/>
    <w:rsid w:val="006E113D"/>
    <w:rsid w:val="006E193D"/>
    <w:rsid w:val="006E3012"/>
    <w:rsid w:val="006E421D"/>
    <w:rsid w:val="006E49A4"/>
    <w:rsid w:val="006E4A1C"/>
    <w:rsid w:val="006E5B48"/>
    <w:rsid w:val="006E634B"/>
    <w:rsid w:val="006E6F47"/>
    <w:rsid w:val="006E752D"/>
    <w:rsid w:val="006E7D54"/>
    <w:rsid w:val="006F030B"/>
    <w:rsid w:val="006F069F"/>
    <w:rsid w:val="006F0B71"/>
    <w:rsid w:val="006F2365"/>
    <w:rsid w:val="006F3142"/>
    <w:rsid w:val="006F378E"/>
    <w:rsid w:val="006F3809"/>
    <w:rsid w:val="006F3ABD"/>
    <w:rsid w:val="006F4043"/>
    <w:rsid w:val="006F48BF"/>
    <w:rsid w:val="006F4C4D"/>
    <w:rsid w:val="006F4D1E"/>
    <w:rsid w:val="006F5DAE"/>
    <w:rsid w:val="006F5E8E"/>
    <w:rsid w:val="006F601A"/>
    <w:rsid w:val="006F60A0"/>
    <w:rsid w:val="006F628F"/>
    <w:rsid w:val="006F6ACD"/>
    <w:rsid w:val="006F703D"/>
    <w:rsid w:val="006F7295"/>
    <w:rsid w:val="006F74FF"/>
    <w:rsid w:val="0070088E"/>
    <w:rsid w:val="007010ED"/>
    <w:rsid w:val="00701BEB"/>
    <w:rsid w:val="0070201A"/>
    <w:rsid w:val="00702C8C"/>
    <w:rsid w:val="00703617"/>
    <w:rsid w:val="007042FC"/>
    <w:rsid w:val="00704373"/>
    <w:rsid w:val="00704629"/>
    <w:rsid w:val="00704A21"/>
    <w:rsid w:val="00704B38"/>
    <w:rsid w:val="00704B99"/>
    <w:rsid w:val="0070522C"/>
    <w:rsid w:val="007053C9"/>
    <w:rsid w:val="007053D8"/>
    <w:rsid w:val="00705504"/>
    <w:rsid w:val="0070552B"/>
    <w:rsid w:val="007057F0"/>
    <w:rsid w:val="00706565"/>
    <w:rsid w:val="00706572"/>
    <w:rsid w:val="0070664B"/>
    <w:rsid w:val="00706DA2"/>
    <w:rsid w:val="00707058"/>
    <w:rsid w:val="007079DC"/>
    <w:rsid w:val="00707AA3"/>
    <w:rsid w:val="00707CC6"/>
    <w:rsid w:val="00707D1B"/>
    <w:rsid w:val="00707D37"/>
    <w:rsid w:val="007106A2"/>
    <w:rsid w:val="00710F44"/>
    <w:rsid w:val="007112B3"/>
    <w:rsid w:val="007113E0"/>
    <w:rsid w:val="007116C1"/>
    <w:rsid w:val="007117ED"/>
    <w:rsid w:val="00711E20"/>
    <w:rsid w:val="00711E44"/>
    <w:rsid w:val="00712D12"/>
    <w:rsid w:val="00713230"/>
    <w:rsid w:val="00713C6B"/>
    <w:rsid w:val="00713D0E"/>
    <w:rsid w:val="00713F4E"/>
    <w:rsid w:val="00714252"/>
    <w:rsid w:val="007147B2"/>
    <w:rsid w:val="00714C7E"/>
    <w:rsid w:val="0071543E"/>
    <w:rsid w:val="00715AC6"/>
    <w:rsid w:val="00716606"/>
    <w:rsid w:val="00716F0C"/>
    <w:rsid w:val="00717106"/>
    <w:rsid w:val="00717426"/>
    <w:rsid w:val="00717636"/>
    <w:rsid w:val="007176DC"/>
    <w:rsid w:val="00720D9D"/>
    <w:rsid w:val="0072171B"/>
    <w:rsid w:val="00721B3D"/>
    <w:rsid w:val="00721DD5"/>
    <w:rsid w:val="00722839"/>
    <w:rsid w:val="00722FD3"/>
    <w:rsid w:val="007233CA"/>
    <w:rsid w:val="00723EFC"/>
    <w:rsid w:val="00724300"/>
    <w:rsid w:val="00725275"/>
    <w:rsid w:val="007269BD"/>
    <w:rsid w:val="00726C32"/>
    <w:rsid w:val="007274B4"/>
    <w:rsid w:val="00727822"/>
    <w:rsid w:val="0073035D"/>
    <w:rsid w:val="007307F6"/>
    <w:rsid w:val="00730AD9"/>
    <w:rsid w:val="00731171"/>
    <w:rsid w:val="007317AA"/>
    <w:rsid w:val="00731884"/>
    <w:rsid w:val="007325CE"/>
    <w:rsid w:val="00733701"/>
    <w:rsid w:val="00733A4C"/>
    <w:rsid w:val="00734722"/>
    <w:rsid w:val="00734B6E"/>
    <w:rsid w:val="00734D11"/>
    <w:rsid w:val="00734E46"/>
    <w:rsid w:val="00735180"/>
    <w:rsid w:val="007359F6"/>
    <w:rsid w:val="0073629E"/>
    <w:rsid w:val="00736822"/>
    <w:rsid w:val="007370D9"/>
    <w:rsid w:val="00737418"/>
    <w:rsid w:val="007375D6"/>
    <w:rsid w:val="00737D43"/>
    <w:rsid w:val="00740033"/>
    <w:rsid w:val="0074090C"/>
    <w:rsid w:val="00740B4A"/>
    <w:rsid w:val="00740B65"/>
    <w:rsid w:val="00741271"/>
    <w:rsid w:val="00742039"/>
    <w:rsid w:val="00742168"/>
    <w:rsid w:val="007429CE"/>
    <w:rsid w:val="00742FCC"/>
    <w:rsid w:val="00743583"/>
    <w:rsid w:val="00743AA6"/>
    <w:rsid w:val="0074448E"/>
    <w:rsid w:val="0074498B"/>
    <w:rsid w:val="00744AED"/>
    <w:rsid w:val="0074548D"/>
    <w:rsid w:val="007457E1"/>
    <w:rsid w:val="00745EF0"/>
    <w:rsid w:val="00746BA8"/>
    <w:rsid w:val="00750373"/>
    <w:rsid w:val="00750441"/>
    <w:rsid w:val="00750519"/>
    <w:rsid w:val="0075075E"/>
    <w:rsid w:val="00750B33"/>
    <w:rsid w:val="007515E4"/>
    <w:rsid w:val="007518B9"/>
    <w:rsid w:val="00751C17"/>
    <w:rsid w:val="00751D91"/>
    <w:rsid w:val="00753596"/>
    <w:rsid w:val="00754588"/>
    <w:rsid w:val="007555E3"/>
    <w:rsid w:val="00756691"/>
    <w:rsid w:val="00756D0D"/>
    <w:rsid w:val="00757B97"/>
    <w:rsid w:val="00757D9C"/>
    <w:rsid w:val="00760227"/>
    <w:rsid w:val="007611E9"/>
    <w:rsid w:val="00761428"/>
    <w:rsid w:val="00761CF6"/>
    <w:rsid w:val="007622D9"/>
    <w:rsid w:val="007624E6"/>
    <w:rsid w:val="007629AE"/>
    <w:rsid w:val="007629D1"/>
    <w:rsid w:val="00762ACF"/>
    <w:rsid w:val="007631CA"/>
    <w:rsid w:val="00763FBC"/>
    <w:rsid w:val="00764134"/>
    <w:rsid w:val="00764E34"/>
    <w:rsid w:val="007652B5"/>
    <w:rsid w:val="0076544B"/>
    <w:rsid w:val="00765F9F"/>
    <w:rsid w:val="007667BB"/>
    <w:rsid w:val="0076692C"/>
    <w:rsid w:val="00766C7C"/>
    <w:rsid w:val="00767190"/>
    <w:rsid w:val="0076792B"/>
    <w:rsid w:val="00767ADF"/>
    <w:rsid w:val="00767D41"/>
    <w:rsid w:val="0077142D"/>
    <w:rsid w:val="0077157B"/>
    <w:rsid w:val="007715D9"/>
    <w:rsid w:val="0077214E"/>
    <w:rsid w:val="00772CB5"/>
    <w:rsid w:val="007732D1"/>
    <w:rsid w:val="0077333A"/>
    <w:rsid w:val="00773C1B"/>
    <w:rsid w:val="0077419C"/>
    <w:rsid w:val="007752A1"/>
    <w:rsid w:val="007752EE"/>
    <w:rsid w:val="0077573C"/>
    <w:rsid w:val="007757FC"/>
    <w:rsid w:val="007758CD"/>
    <w:rsid w:val="00775F06"/>
    <w:rsid w:val="00775F52"/>
    <w:rsid w:val="00777887"/>
    <w:rsid w:val="00777D27"/>
    <w:rsid w:val="00777F1E"/>
    <w:rsid w:val="00777F46"/>
    <w:rsid w:val="007806EB"/>
    <w:rsid w:val="00780759"/>
    <w:rsid w:val="00780E59"/>
    <w:rsid w:val="0078104B"/>
    <w:rsid w:val="007813A1"/>
    <w:rsid w:val="00782329"/>
    <w:rsid w:val="00782B25"/>
    <w:rsid w:val="0078313A"/>
    <w:rsid w:val="007837FA"/>
    <w:rsid w:val="007839A5"/>
    <w:rsid w:val="007841C0"/>
    <w:rsid w:val="0078433F"/>
    <w:rsid w:val="00784528"/>
    <w:rsid w:val="00784AC9"/>
    <w:rsid w:val="00784CA8"/>
    <w:rsid w:val="00787279"/>
    <w:rsid w:val="007902F2"/>
    <w:rsid w:val="00790358"/>
    <w:rsid w:val="00790D23"/>
    <w:rsid w:val="00790F92"/>
    <w:rsid w:val="00790FEF"/>
    <w:rsid w:val="00791060"/>
    <w:rsid w:val="0079109D"/>
    <w:rsid w:val="00791102"/>
    <w:rsid w:val="007915FE"/>
    <w:rsid w:val="00791DF3"/>
    <w:rsid w:val="00791F1A"/>
    <w:rsid w:val="00792099"/>
    <w:rsid w:val="0079274E"/>
    <w:rsid w:val="007928FB"/>
    <w:rsid w:val="00792EC9"/>
    <w:rsid w:val="00794B45"/>
    <w:rsid w:val="00796061"/>
    <w:rsid w:val="007962C8"/>
    <w:rsid w:val="00797273"/>
    <w:rsid w:val="007972CB"/>
    <w:rsid w:val="00797A81"/>
    <w:rsid w:val="00797C3B"/>
    <w:rsid w:val="007A0332"/>
    <w:rsid w:val="007A07A6"/>
    <w:rsid w:val="007A08C9"/>
    <w:rsid w:val="007A08F8"/>
    <w:rsid w:val="007A0F53"/>
    <w:rsid w:val="007A1038"/>
    <w:rsid w:val="007A142A"/>
    <w:rsid w:val="007A1766"/>
    <w:rsid w:val="007A20F2"/>
    <w:rsid w:val="007A2FD7"/>
    <w:rsid w:val="007A3166"/>
    <w:rsid w:val="007A3171"/>
    <w:rsid w:val="007A33B4"/>
    <w:rsid w:val="007A342D"/>
    <w:rsid w:val="007A390B"/>
    <w:rsid w:val="007A3B35"/>
    <w:rsid w:val="007A40AA"/>
    <w:rsid w:val="007A452A"/>
    <w:rsid w:val="007A454F"/>
    <w:rsid w:val="007A4582"/>
    <w:rsid w:val="007A4586"/>
    <w:rsid w:val="007A4829"/>
    <w:rsid w:val="007A4D2A"/>
    <w:rsid w:val="007A4EEE"/>
    <w:rsid w:val="007A5A74"/>
    <w:rsid w:val="007A5E3E"/>
    <w:rsid w:val="007A6EB7"/>
    <w:rsid w:val="007A72D0"/>
    <w:rsid w:val="007A7AD4"/>
    <w:rsid w:val="007B01A5"/>
    <w:rsid w:val="007B103A"/>
    <w:rsid w:val="007B1C02"/>
    <w:rsid w:val="007B1C48"/>
    <w:rsid w:val="007B278D"/>
    <w:rsid w:val="007B28A6"/>
    <w:rsid w:val="007B342D"/>
    <w:rsid w:val="007B3509"/>
    <w:rsid w:val="007B3B8C"/>
    <w:rsid w:val="007B4317"/>
    <w:rsid w:val="007B45F4"/>
    <w:rsid w:val="007B468F"/>
    <w:rsid w:val="007B4BE7"/>
    <w:rsid w:val="007B59A1"/>
    <w:rsid w:val="007B5A59"/>
    <w:rsid w:val="007B6C7F"/>
    <w:rsid w:val="007B76D8"/>
    <w:rsid w:val="007C02EB"/>
    <w:rsid w:val="007C0B11"/>
    <w:rsid w:val="007C1046"/>
    <w:rsid w:val="007C13F8"/>
    <w:rsid w:val="007C142C"/>
    <w:rsid w:val="007C19ED"/>
    <w:rsid w:val="007C1EC7"/>
    <w:rsid w:val="007C24CE"/>
    <w:rsid w:val="007C2688"/>
    <w:rsid w:val="007C26BD"/>
    <w:rsid w:val="007C2719"/>
    <w:rsid w:val="007C366F"/>
    <w:rsid w:val="007C3BF1"/>
    <w:rsid w:val="007C418C"/>
    <w:rsid w:val="007C434B"/>
    <w:rsid w:val="007C4674"/>
    <w:rsid w:val="007C47E5"/>
    <w:rsid w:val="007C4974"/>
    <w:rsid w:val="007C57A6"/>
    <w:rsid w:val="007C5878"/>
    <w:rsid w:val="007C75A6"/>
    <w:rsid w:val="007C79FC"/>
    <w:rsid w:val="007C7E9E"/>
    <w:rsid w:val="007D05FA"/>
    <w:rsid w:val="007D06B6"/>
    <w:rsid w:val="007D25B1"/>
    <w:rsid w:val="007D39D3"/>
    <w:rsid w:val="007D3B0E"/>
    <w:rsid w:val="007D3F35"/>
    <w:rsid w:val="007D4338"/>
    <w:rsid w:val="007D5738"/>
    <w:rsid w:val="007D5C99"/>
    <w:rsid w:val="007D6189"/>
    <w:rsid w:val="007D637A"/>
    <w:rsid w:val="007D63EB"/>
    <w:rsid w:val="007D6E88"/>
    <w:rsid w:val="007D7087"/>
    <w:rsid w:val="007D7640"/>
    <w:rsid w:val="007D7C9A"/>
    <w:rsid w:val="007E00FE"/>
    <w:rsid w:val="007E0461"/>
    <w:rsid w:val="007E0738"/>
    <w:rsid w:val="007E0C87"/>
    <w:rsid w:val="007E14A0"/>
    <w:rsid w:val="007E1860"/>
    <w:rsid w:val="007E20B3"/>
    <w:rsid w:val="007E24E6"/>
    <w:rsid w:val="007E289C"/>
    <w:rsid w:val="007E445E"/>
    <w:rsid w:val="007E4A58"/>
    <w:rsid w:val="007E58FC"/>
    <w:rsid w:val="007E5AF3"/>
    <w:rsid w:val="007E5C0B"/>
    <w:rsid w:val="007E67CD"/>
    <w:rsid w:val="007E68AF"/>
    <w:rsid w:val="007E6DEB"/>
    <w:rsid w:val="007E6DFD"/>
    <w:rsid w:val="007E75D6"/>
    <w:rsid w:val="007E7B18"/>
    <w:rsid w:val="007F01CD"/>
    <w:rsid w:val="007F0D69"/>
    <w:rsid w:val="007F0D9A"/>
    <w:rsid w:val="007F1019"/>
    <w:rsid w:val="007F161F"/>
    <w:rsid w:val="007F20CD"/>
    <w:rsid w:val="007F241A"/>
    <w:rsid w:val="007F24B7"/>
    <w:rsid w:val="007F2DDC"/>
    <w:rsid w:val="007F3072"/>
    <w:rsid w:val="007F33DC"/>
    <w:rsid w:val="007F370B"/>
    <w:rsid w:val="007F39C9"/>
    <w:rsid w:val="007F39FF"/>
    <w:rsid w:val="007F3B99"/>
    <w:rsid w:val="007F3C87"/>
    <w:rsid w:val="007F3DB9"/>
    <w:rsid w:val="007F4BE4"/>
    <w:rsid w:val="007F5129"/>
    <w:rsid w:val="007F535D"/>
    <w:rsid w:val="007F535E"/>
    <w:rsid w:val="007F57A1"/>
    <w:rsid w:val="007F5A5F"/>
    <w:rsid w:val="007F5AB3"/>
    <w:rsid w:val="007F5B11"/>
    <w:rsid w:val="007F5D3E"/>
    <w:rsid w:val="007F6533"/>
    <w:rsid w:val="007F70C3"/>
    <w:rsid w:val="007F77BA"/>
    <w:rsid w:val="00800376"/>
    <w:rsid w:val="00800A49"/>
    <w:rsid w:val="00801A8D"/>
    <w:rsid w:val="00801AF1"/>
    <w:rsid w:val="00801D00"/>
    <w:rsid w:val="008030F8"/>
    <w:rsid w:val="008038BF"/>
    <w:rsid w:val="00803FAF"/>
    <w:rsid w:val="008044C8"/>
    <w:rsid w:val="00804DA2"/>
    <w:rsid w:val="00805347"/>
    <w:rsid w:val="00805953"/>
    <w:rsid w:val="00805EFD"/>
    <w:rsid w:val="00806274"/>
    <w:rsid w:val="008062D6"/>
    <w:rsid w:val="008064BE"/>
    <w:rsid w:val="00806CE9"/>
    <w:rsid w:val="0081051B"/>
    <w:rsid w:val="0081072F"/>
    <w:rsid w:val="00810AB7"/>
    <w:rsid w:val="0081165B"/>
    <w:rsid w:val="0081184A"/>
    <w:rsid w:val="00811900"/>
    <w:rsid w:val="00811929"/>
    <w:rsid w:val="0081200F"/>
    <w:rsid w:val="008131AA"/>
    <w:rsid w:val="0081364F"/>
    <w:rsid w:val="008149A5"/>
    <w:rsid w:val="00814A3E"/>
    <w:rsid w:val="00814AE4"/>
    <w:rsid w:val="00815582"/>
    <w:rsid w:val="00815FEE"/>
    <w:rsid w:val="0081645A"/>
    <w:rsid w:val="00816BC6"/>
    <w:rsid w:val="00817132"/>
    <w:rsid w:val="008178A5"/>
    <w:rsid w:val="00817B44"/>
    <w:rsid w:val="00817C0D"/>
    <w:rsid w:val="00817F2A"/>
    <w:rsid w:val="008202E2"/>
    <w:rsid w:val="00820397"/>
    <w:rsid w:val="008203A6"/>
    <w:rsid w:val="00820435"/>
    <w:rsid w:val="00820815"/>
    <w:rsid w:val="00820AE2"/>
    <w:rsid w:val="00820BE9"/>
    <w:rsid w:val="0082132D"/>
    <w:rsid w:val="00821930"/>
    <w:rsid w:val="00821D87"/>
    <w:rsid w:val="00822409"/>
    <w:rsid w:val="00822720"/>
    <w:rsid w:val="00822FBB"/>
    <w:rsid w:val="00823513"/>
    <w:rsid w:val="00823B87"/>
    <w:rsid w:val="00824BAA"/>
    <w:rsid w:val="00824E31"/>
    <w:rsid w:val="00825219"/>
    <w:rsid w:val="008258FB"/>
    <w:rsid w:val="00825BDB"/>
    <w:rsid w:val="00825E79"/>
    <w:rsid w:val="00826825"/>
    <w:rsid w:val="008272F4"/>
    <w:rsid w:val="008279E7"/>
    <w:rsid w:val="00830193"/>
    <w:rsid w:val="008301EE"/>
    <w:rsid w:val="00830613"/>
    <w:rsid w:val="008309A4"/>
    <w:rsid w:val="00831874"/>
    <w:rsid w:val="008336ED"/>
    <w:rsid w:val="00833A9D"/>
    <w:rsid w:val="00833C03"/>
    <w:rsid w:val="00833D39"/>
    <w:rsid w:val="00833E3E"/>
    <w:rsid w:val="0083438F"/>
    <w:rsid w:val="008346CE"/>
    <w:rsid w:val="00834A58"/>
    <w:rsid w:val="00834CBF"/>
    <w:rsid w:val="00834F68"/>
    <w:rsid w:val="0083535E"/>
    <w:rsid w:val="00835D36"/>
    <w:rsid w:val="00836608"/>
    <w:rsid w:val="00836908"/>
    <w:rsid w:val="00837AE8"/>
    <w:rsid w:val="008406E7"/>
    <w:rsid w:val="00840AB1"/>
    <w:rsid w:val="00840E7C"/>
    <w:rsid w:val="00841045"/>
    <w:rsid w:val="008413A9"/>
    <w:rsid w:val="00841AEF"/>
    <w:rsid w:val="00842794"/>
    <w:rsid w:val="00842C48"/>
    <w:rsid w:val="0084341B"/>
    <w:rsid w:val="00843D8E"/>
    <w:rsid w:val="00844BAA"/>
    <w:rsid w:val="00844EAE"/>
    <w:rsid w:val="00845469"/>
    <w:rsid w:val="0084561B"/>
    <w:rsid w:val="008456A5"/>
    <w:rsid w:val="00846041"/>
    <w:rsid w:val="008469ED"/>
    <w:rsid w:val="00846AAA"/>
    <w:rsid w:val="00847035"/>
    <w:rsid w:val="00847113"/>
    <w:rsid w:val="00847D01"/>
    <w:rsid w:val="00847E16"/>
    <w:rsid w:val="00850023"/>
    <w:rsid w:val="008501C2"/>
    <w:rsid w:val="00851007"/>
    <w:rsid w:val="0085165D"/>
    <w:rsid w:val="008519C1"/>
    <w:rsid w:val="00851B15"/>
    <w:rsid w:val="00852033"/>
    <w:rsid w:val="0085247D"/>
    <w:rsid w:val="00852959"/>
    <w:rsid w:val="00852FF3"/>
    <w:rsid w:val="00853504"/>
    <w:rsid w:val="008535A2"/>
    <w:rsid w:val="00853780"/>
    <w:rsid w:val="00853826"/>
    <w:rsid w:val="00853E70"/>
    <w:rsid w:val="00854217"/>
    <w:rsid w:val="0085469E"/>
    <w:rsid w:val="00854A9D"/>
    <w:rsid w:val="00855C74"/>
    <w:rsid w:val="0085649B"/>
    <w:rsid w:val="0085674C"/>
    <w:rsid w:val="00856A8E"/>
    <w:rsid w:val="00856BFB"/>
    <w:rsid w:val="00856C47"/>
    <w:rsid w:val="00856E47"/>
    <w:rsid w:val="00856E6C"/>
    <w:rsid w:val="00856F2A"/>
    <w:rsid w:val="00856FC1"/>
    <w:rsid w:val="0085727D"/>
    <w:rsid w:val="008573F3"/>
    <w:rsid w:val="008577B7"/>
    <w:rsid w:val="00857868"/>
    <w:rsid w:val="0086044D"/>
    <w:rsid w:val="008606C5"/>
    <w:rsid w:val="00861146"/>
    <w:rsid w:val="008617AA"/>
    <w:rsid w:val="0086202B"/>
    <w:rsid w:val="008620C7"/>
    <w:rsid w:val="008621AA"/>
    <w:rsid w:val="00862881"/>
    <w:rsid w:val="00862BA0"/>
    <w:rsid w:val="00863008"/>
    <w:rsid w:val="00864152"/>
    <w:rsid w:val="008649F8"/>
    <w:rsid w:val="00864C93"/>
    <w:rsid w:val="0086529E"/>
    <w:rsid w:val="0086668E"/>
    <w:rsid w:val="00867FD0"/>
    <w:rsid w:val="0087051B"/>
    <w:rsid w:val="00870544"/>
    <w:rsid w:val="008707A2"/>
    <w:rsid w:val="00870B66"/>
    <w:rsid w:val="00872737"/>
    <w:rsid w:val="00872848"/>
    <w:rsid w:val="0087293D"/>
    <w:rsid w:val="00873952"/>
    <w:rsid w:val="00873A1D"/>
    <w:rsid w:val="00873DBA"/>
    <w:rsid w:val="00874054"/>
    <w:rsid w:val="00874329"/>
    <w:rsid w:val="0087453D"/>
    <w:rsid w:val="0087486C"/>
    <w:rsid w:val="00874BB4"/>
    <w:rsid w:val="008756DB"/>
    <w:rsid w:val="00875873"/>
    <w:rsid w:val="00875BD3"/>
    <w:rsid w:val="0087617C"/>
    <w:rsid w:val="0087627B"/>
    <w:rsid w:val="0087632A"/>
    <w:rsid w:val="00876855"/>
    <w:rsid w:val="00877112"/>
    <w:rsid w:val="008776BF"/>
    <w:rsid w:val="00877ED3"/>
    <w:rsid w:val="00877EE5"/>
    <w:rsid w:val="008803B5"/>
    <w:rsid w:val="00880684"/>
    <w:rsid w:val="008812D3"/>
    <w:rsid w:val="0088150D"/>
    <w:rsid w:val="0088175B"/>
    <w:rsid w:val="00881EDA"/>
    <w:rsid w:val="008829B8"/>
    <w:rsid w:val="00882D45"/>
    <w:rsid w:val="00883A5F"/>
    <w:rsid w:val="00883B4C"/>
    <w:rsid w:val="00883F37"/>
    <w:rsid w:val="00883F85"/>
    <w:rsid w:val="00884504"/>
    <w:rsid w:val="00884A7D"/>
    <w:rsid w:val="00885377"/>
    <w:rsid w:val="008855ED"/>
    <w:rsid w:val="00885C1F"/>
    <w:rsid w:val="00885E1B"/>
    <w:rsid w:val="00886C4D"/>
    <w:rsid w:val="00886DB5"/>
    <w:rsid w:val="00886F4F"/>
    <w:rsid w:val="008870BC"/>
    <w:rsid w:val="008877BD"/>
    <w:rsid w:val="00887C48"/>
    <w:rsid w:val="0089028D"/>
    <w:rsid w:val="0089032D"/>
    <w:rsid w:val="008907D8"/>
    <w:rsid w:val="00890948"/>
    <w:rsid w:val="0089123B"/>
    <w:rsid w:val="00891480"/>
    <w:rsid w:val="0089170F"/>
    <w:rsid w:val="00891916"/>
    <w:rsid w:val="00891DE7"/>
    <w:rsid w:val="00891EBB"/>
    <w:rsid w:val="00891F61"/>
    <w:rsid w:val="00892285"/>
    <w:rsid w:val="00892B2B"/>
    <w:rsid w:val="00893BCE"/>
    <w:rsid w:val="00893F00"/>
    <w:rsid w:val="008943F3"/>
    <w:rsid w:val="00894A69"/>
    <w:rsid w:val="00894AEF"/>
    <w:rsid w:val="00895229"/>
    <w:rsid w:val="008952F5"/>
    <w:rsid w:val="008953F0"/>
    <w:rsid w:val="00895423"/>
    <w:rsid w:val="00895B6E"/>
    <w:rsid w:val="00896B8F"/>
    <w:rsid w:val="0089703E"/>
    <w:rsid w:val="0089708F"/>
    <w:rsid w:val="00897246"/>
    <w:rsid w:val="00897760"/>
    <w:rsid w:val="008A00D2"/>
    <w:rsid w:val="008A0B26"/>
    <w:rsid w:val="008A15BA"/>
    <w:rsid w:val="008A169F"/>
    <w:rsid w:val="008A1C8C"/>
    <w:rsid w:val="008A23AA"/>
    <w:rsid w:val="008A2763"/>
    <w:rsid w:val="008A39BD"/>
    <w:rsid w:val="008A3A08"/>
    <w:rsid w:val="008A3BFA"/>
    <w:rsid w:val="008A3C79"/>
    <w:rsid w:val="008A4188"/>
    <w:rsid w:val="008A54A4"/>
    <w:rsid w:val="008A5647"/>
    <w:rsid w:val="008A5C19"/>
    <w:rsid w:val="008A654B"/>
    <w:rsid w:val="008A65B9"/>
    <w:rsid w:val="008A6F13"/>
    <w:rsid w:val="008A7173"/>
    <w:rsid w:val="008A7250"/>
    <w:rsid w:val="008A7533"/>
    <w:rsid w:val="008A7C6B"/>
    <w:rsid w:val="008A7D14"/>
    <w:rsid w:val="008B00F6"/>
    <w:rsid w:val="008B053F"/>
    <w:rsid w:val="008B0750"/>
    <w:rsid w:val="008B0FA1"/>
    <w:rsid w:val="008B1607"/>
    <w:rsid w:val="008B2590"/>
    <w:rsid w:val="008B2B53"/>
    <w:rsid w:val="008B48EB"/>
    <w:rsid w:val="008B494F"/>
    <w:rsid w:val="008B52F5"/>
    <w:rsid w:val="008B5ACD"/>
    <w:rsid w:val="008B5B48"/>
    <w:rsid w:val="008B6016"/>
    <w:rsid w:val="008B6627"/>
    <w:rsid w:val="008B69CB"/>
    <w:rsid w:val="008B6E8E"/>
    <w:rsid w:val="008B7292"/>
    <w:rsid w:val="008B7607"/>
    <w:rsid w:val="008B777C"/>
    <w:rsid w:val="008B7D2F"/>
    <w:rsid w:val="008B7E65"/>
    <w:rsid w:val="008B7F35"/>
    <w:rsid w:val="008C1349"/>
    <w:rsid w:val="008C13D7"/>
    <w:rsid w:val="008C1709"/>
    <w:rsid w:val="008C1DF8"/>
    <w:rsid w:val="008C1E6E"/>
    <w:rsid w:val="008C20AA"/>
    <w:rsid w:val="008C3A02"/>
    <w:rsid w:val="008C3DAC"/>
    <w:rsid w:val="008C469A"/>
    <w:rsid w:val="008C473A"/>
    <w:rsid w:val="008C4C41"/>
    <w:rsid w:val="008C4DE4"/>
    <w:rsid w:val="008C4EDF"/>
    <w:rsid w:val="008C5651"/>
    <w:rsid w:val="008C5862"/>
    <w:rsid w:val="008C58C5"/>
    <w:rsid w:val="008C596A"/>
    <w:rsid w:val="008C5E89"/>
    <w:rsid w:val="008C68B4"/>
    <w:rsid w:val="008C6EFC"/>
    <w:rsid w:val="008C752C"/>
    <w:rsid w:val="008C7579"/>
    <w:rsid w:val="008C7D2B"/>
    <w:rsid w:val="008D0068"/>
    <w:rsid w:val="008D00C8"/>
    <w:rsid w:val="008D026D"/>
    <w:rsid w:val="008D031F"/>
    <w:rsid w:val="008D09F0"/>
    <w:rsid w:val="008D0FB9"/>
    <w:rsid w:val="008D0FDF"/>
    <w:rsid w:val="008D17F5"/>
    <w:rsid w:val="008D1893"/>
    <w:rsid w:val="008D3048"/>
    <w:rsid w:val="008D320D"/>
    <w:rsid w:val="008D3C26"/>
    <w:rsid w:val="008D42E2"/>
    <w:rsid w:val="008D438D"/>
    <w:rsid w:val="008D49D8"/>
    <w:rsid w:val="008D5510"/>
    <w:rsid w:val="008D57A9"/>
    <w:rsid w:val="008D5D9D"/>
    <w:rsid w:val="008D6251"/>
    <w:rsid w:val="008D67AA"/>
    <w:rsid w:val="008D6942"/>
    <w:rsid w:val="008D7560"/>
    <w:rsid w:val="008E0076"/>
    <w:rsid w:val="008E0F05"/>
    <w:rsid w:val="008E15DE"/>
    <w:rsid w:val="008E190A"/>
    <w:rsid w:val="008E1A45"/>
    <w:rsid w:val="008E26C7"/>
    <w:rsid w:val="008E3C45"/>
    <w:rsid w:val="008E42FC"/>
    <w:rsid w:val="008E5024"/>
    <w:rsid w:val="008E502F"/>
    <w:rsid w:val="008E52A4"/>
    <w:rsid w:val="008E54D1"/>
    <w:rsid w:val="008E5689"/>
    <w:rsid w:val="008E5691"/>
    <w:rsid w:val="008E5936"/>
    <w:rsid w:val="008E6620"/>
    <w:rsid w:val="008E67C1"/>
    <w:rsid w:val="008E731A"/>
    <w:rsid w:val="008E7674"/>
    <w:rsid w:val="008F0018"/>
    <w:rsid w:val="008F04AD"/>
    <w:rsid w:val="008F09F0"/>
    <w:rsid w:val="008F0CB7"/>
    <w:rsid w:val="008F0F1C"/>
    <w:rsid w:val="008F1428"/>
    <w:rsid w:val="008F1DDD"/>
    <w:rsid w:val="008F2164"/>
    <w:rsid w:val="008F24D1"/>
    <w:rsid w:val="008F3411"/>
    <w:rsid w:val="008F358A"/>
    <w:rsid w:val="008F3C32"/>
    <w:rsid w:val="008F3D37"/>
    <w:rsid w:val="008F449F"/>
    <w:rsid w:val="008F4534"/>
    <w:rsid w:val="008F455B"/>
    <w:rsid w:val="008F4933"/>
    <w:rsid w:val="008F4A19"/>
    <w:rsid w:val="008F5290"/>
    <w:rsid w:val="008F549A"/>
    <w:rsid w:val="008F68CC"/>
    <w:rsid w:val="008F7051"/>
    <w:rsid w:val="008F72E5"/>
    <w:rsid w:val="009003F2"/>
    <w:rsid w:val="00900403"/>
    <w:rsid w:val="0090095D"/>
    <w:rsid w:val="009010C6"/>
    <w:rsid w:val="00901470"/>
    <w:rsid w:val="00901960"/>
    <w:rsid w:val="00901C73"/>
    <w:rsid w:val="009021BA"/>
    <w:rsid w:val="0090279B"/>
    <w:rsid w:val="0090319D"/>
    <w:rsid w:val="009033F5"/>
    <w:rsid w:val="009038D2"/>
    <w:rsid w:val="0090422B"/>
    <w:rsid w:val="00904262"/>
    <w:rsid w:val="00904E2B"/>
    <w:rsid w:val="00905412"/>
    <w:rsid w:val="00905641"/>
    <w:rsid w:val="00905924"/>
    <w:rsid w:val="00905ECB"/>
    <w:rsid w:val="00906567"/>
    <w:rsid w:val="00906571"/>
    <w:rsid w:val="00906634"/>
    <w:rsid w:val="009075DD"/>
    <w:rsid w:val="00907A05"/>
    <w:rsid w:val="00910004"/>
    <w:rsid w:val="009113A1"/>
    <w:rsid w:val="0091150B"/>
    <w:rsid w:val="00911819"/>
    <w:rsid w:val="00911E67"/>
    <w:rsid w:val="009126FA"/>
    <w:rsid w:val="00912890"/>
    <w:rsid w:val="00912964"/>
    <w:rsid w:val="00912FAF"/>
    <w:rsid w:val="009130A2"/>
    <w:rsid w:val="00913845"/>
    <w:rsid w:val="0091388C"/>
    <w:rsid w:val="00913B4C"/>
    <w:rsid w:val="00913C6A"/>
    <w:rsid w:val="0091404A"/>
    <w:rsid w:val="0091405C"/>
    <w:rsid w:val="00914B57"/>
    <w:rsid w:val="00914CD4"/>
    <w:rsid w:val="0091526B"/>
    <w:rsid w:val="009156E5"/>
    <w:rsid w:val="00915760"/>
    <w:rsid w:val="00915789"/>
    <w:rsid w:val="00915B1C"/>
    <w:rsid w:val="00916162"/>
    <w:rsid w:val="00916192"/>
    <w:rsid w:val="00916595"/>
    <w:rsid w:val="00916721"/>
    <w:rsid w:val="00916A82"/>
    <w:rsid w:val="00916ADF"/>
    <w:rsid w:val="00916D70"/>
    <w:rsid w:val="00916E6A"/>
    <w:rsid w:val="00916F9D"/>
    <w:rsid w:val="009170C2"/>
    <w:rsid w:val="00917310"/>
    <w:rsid w:val="0091732E"/>
    <w:rsid w:val="009200B1"/>
    <w:rsid w:val="00920A2D"/>
    <w:rsid w:val="00921852"/>
    <w:rsid w:val="00921A4D"/>
    <w:rsid w:val="00921D58"/>
    <w:rsid w:val="00921E24"/>
    <w:rsid w:val="00923DA9"/>
    <w:rsid w:val="009248B2"/>
    <w:rsid w:val="0092505D"/>
    <w:rsid w:val="009254AD"/>
    <w:rsid w:val="00926DBB"/>
    <w:rsid w:val="00926EEC"/>
    <w:rsid w:val="0092720F"/>
    <w:rsid w:val="009303EC"/>
    <w:rsid w:val="00930A6B"/>
    <w:rsid w:val="00930B48"/>
    <w:rsid w:val="009319CD"/>
    <w:rsid w:val="009328CA"/>
    <w:rsid w:val="009331F7"/>
    <w:rsid w:val="00933772"/>
    <w:rsid w:val="0093409A"/>
    <w:rsid w:val="00934E51"/>
    <w:rsid w:val="009354AC"/>
    <w:rsid w:val="00935AA7"/>
    <w:rsid w:val="00936137"/>
    <w:rsid w:val="00937002"/>
    <w:rsid w:val="0093710D"/>
    <w:rsid w:val="0093755D"/>
    <w:rsid w:val="009379E0"/>
    <w:rsid w:val="00937B63"/>
    <w:rsid w:val="00937CD9"/>
    <w:rsid w:val="00940B34"/>
    <w:rsid w:val="00941140"/>
    <w:rsid w:val="00941330"/>
    <w:rsid w:val="009413DB"/>
    <w:rsid w:val="00941DE6"/>
    <w:rsid w:val="00942097"/>
    <w:rsid w:val="00942220"/>
    <w:rsid w:val="009423E9"/>
    <w:rsid w:val="0094340B"/>
    <w:rsid w:val="00943945"/>
    <w:rsid w:val="00943B67"/>
    <w:rsid w:val="0094449B"/>
    <w:rsid w:val="00944675"/>
    <w:rsid w:val="00944F07"/>
    <w:rsid w:val="00945362"/>
    <w:rsid w:val="009458AA"/>
    <w:rsid w:val="0094590C"/>
    <w:rsid w:val="00945A59"/>
    <w:rsid w:val="00945D3F"/>
    <w:rsid w:val="00946439"/>
    <w:rsid w:val="009465EB"/>
    <w:rsid w:val="00946689"/>
    <w:rsid w:val="0094675E"/>
    <w:rsid w:val="0094690F"/>
    <w:rsid w:val="00946EE8"/>
    <w:rsid w:val="00947011"/>
    <w:rsid w:val="00947D82"/>
    <w:rsid w:val="00947F0E"/>
    <w:rsid w:val="00950270"/>
    <w:rsid w:val="00950A20"/>
    <w:rsid w:val="00950F3B"/>
    <w:rsid w:val="00951193"/>
    <w:rsid w:val="0095146D"/>
    <w:rsid w:val="00951BF2"/>
    <w:rsid w:val="00952683"/>
    <w:rsid w:val="009529DA"/>
    <w:rsid w:val="00952F58"/>
    <w:rsid w:val="0095362E"/>
    <w:rsid w:val="00953ECF"/>
    <w:rsid w:val="0095407D"/>
    <w:rsid w:val="00955B5A"/>
    <w:rsid w:val="0095600F"/>
    <w:rsid w:val="009560B3"/>
    <w:rsid w:val="00956676"/>
    <w:rsid w:val="0095670E"/>
    <w:rsid w:val="0095697C"/>
    <w:rsid w:val="00957139"/>
    <w:rsid w:val="009573C6"/>
    <w:rsid w:val="0095746A"/>
    <w:rsid w:val="009574F2"/>
    <w:rsid w:val="00957670"/>
    <w:rsid w:val="009577E9"/>
    <w:rsid w:val="009607C2"/>
    <w:rsid w:val="0096132C"/>
    <w:rsid w:val="0096178D"/>
    <w:rsid w:val="009617D4"/>
    <w:rsid w:val="00961823"/>
    <w:rsid w:val="00961989"/>
    <w:rsid w:val="00961D68"/>
    <w:rsid w:val="009622D9"/>
    <w:rsid w:val="009629F2"/>
    <w:rsid w:val="00962A64"/>
    <w:rsid w:val="00962B67"/>
    <w:rsid w:val="00962BE9"/>
    <w:rsid w:val="009635D7"/>
    <w:rsid w:val="00963A40"/>
    <w:rsid w:val="00963CC9"/>
    <w:rsid w:val="0096476A"/>
    <w:rsid w:val="00965735"/>
    <w:rsid w:val="00965B71"/>
    <w:rsid w:val="009666D0"/>
    <w:rsid w:val="009666F0"/>
    <w:rsid w:val="00966B2C"/>
    <w:rsid w:val="0096756D"/>
    <w:rsid w:val="0096769D"/>
    <w:rsid w:val="00967746"/>
    <w:rsid w:val="00967A74"/>
    <w:rsid w:val="00967EA9"/>
    <w:rsid w:val="009700AA"/>
    <w:rsid w:val="009708D6"/>
    <w:rsid w:val="00970B64"/>
    <w:rsid w:val="00970D06"/>
    <w:rsid w:val="00971156"/>
    <w:rsid w:val="009716E0"/>
    <w:rsid w:val="0097179A"/>
    <w:rsid w:val="00971B80"/>
    <w:rsid w:val="00971DFA"/>
    <w:rsid w:val="00971F47"/>
    <w:rsid w:val="0097257B"/>
    <w:rsid w:val="00972DE7"/>
    <w:rsid w:val="0097345C"/>
    <w:rsid w:val="00973EF5"/>
    <w:rsid w:val="00974026"/>
    <w:rsid w:val="00974061"/>
    <w:rsid w:val="0097423F"/>
    <w:rsid w:val="0097482C"/>
    <w:rsid w:val="00975051"/>
    <w:rsid w:val="00975468"/>
    <w:rsid w:val="009757F6"/>
    <w:rsid w:val="0097589E"/>
    <w:rsid w:val="00975BA7"/>
    <w:rsid w:val="00976249"/>
    <w:rsid w:val="00976691"/>
    <w:rsid w:val="00977227"/>
    <w:rsid w:val="00977F89"/>
    <w:rsid w:val="009800B9"/>
    <w:rsid w:val="00981135"/>
    <w:rsid w:val="009811D8"/>
    <w:rsid w:val="0098127A"/>
    <w:rsid w:val="00981904"/>
    <w:rsid w:val="00981C0C"/>
    <w:rsid w:val="00981F8D"/>
    <w:rsid w:val="00982416"/>
    <w:rsid w:val="009842B6"/>
    <w:rsid w:val="00984787"/>
    <w:rsid w:val="009848FD"/>
    <w:rsid w:val="00984A3A"/>
    <w:rsid w:val="00984BEF"/>
    <w:rsid w:val="00984C8A"/>
    <w:rsid w:val="00984E03"/>
    <w:rsid w:val="009854F0"/>
    <w:rsid w:val="0098561F"/>
    <w:rsid w:val="0098562A"/>
    <w:rsid w:val="00985A3A"/>
    <w:rsid w:val="0098623F"/>
    <w:rsid w:val="009866FA"/>
    <w:rsid w:val="00986B36"/>
    <w:rsid w:val="00986DB0"/>
    <w:rsid w:val="00986ED9"/>
    <w:rsid w:val="00986F09"/>
    <w:rsid w:val="00987580"/>
    <w:rsid w:val="00990134"/>
    <w:rsid w:val="009902B3"/>
    <w:rsid w:val="009906B4"/>
    <w:rsid w:val="00991AF8"/>
    <w:rsid w:val="00992053"/>
    <w:rsid w:val="009926BA"/>
    <w:rsid w:val="00993139"/>
    <w:rsid w:val="0099315D"/>
    <w:rsid w:val="00993507"/>
    <w:rsid w:val="00993A37"/>
    <w:rsid w:val="00993AE0"/>
    <w:rsid w:val="00993F3A"/>
    <w:rsid w:val="00994201"/>
    <w:rsid w:val="00995085"/>
    <w:rsid w:val="009955B3"/>
    <w:rsid w:val="009957CE"/>
    <w:rsid w:val="0099581A"/>
    <w:rsid w:val="0099589A"/>
    <w:rsid w:val="00995ACA"/>
    <w:rsid w:val="00995BE6"/>
    <w:rsid w:val="00995FDF"/>
    <w:rsid w:val="00996254"/>
    <w:rsid w:val="00996D21"/>
    <w:rsid w:val="00996E12"/>
    <w:rsid w:val="0099716B"/>
    <w:rsid w:val="009A01B2"/>
    <w:rsid w:val="009A099D"/>
    <w:rsid w:val="009A0B5D"/>
    <w:rsid w:val="009A0C5B"/>
    <w:rsid w:val="009A122A"/>
    <w:rsid w:val="009A136C"/>
    <w:rsid w:val="009A1DB1"/>
    <w:rsid w:val="009A20A5"/>
    <w:rsid w:val="009A20B2"/>
    <w:rsid w:val="009A3386"/>
    <w:rsid w:val="009A38E3"/>
    <w:rsid w:val="009A3B08"/>
    <w:rsid w:val="009A3F36"/>
    <w:rsid w:val="009A4524"/>
    <w:rsid w:val="009A6265"/>
    <w:rsid w:val="009A69CD"/>
    <w:rsid w:val="009B0635"/>
    <w:rsid w:val="009B110C"/>
    <w:rsid w:val="009B120B"/>
    <w:rsid w:val="009B151E"/>
    <w:rsid w:val="009B167A"/>
    <w:rsid w:val="009B1B23"/>
    <w:rsid w:val="009B1B73"/>
    <w:rsid w:val="009B2052"/>
    <w:rsid w:val="009B2997"/>
    <w:rsid w:val="009B2EBC"/>
    <w:rsid w:val="009B2FF5"/>
    <w:rsid w:val="009B3849"/>
    <w:rsid w:val="009B40B8"/>
    <w:rsid w:val="009B46E4"/>
    <w:rsid w:val="009B4C25"/>
    <w:rsid w:val="009B4C47"/>
    <w:rsid w:val="009B5B4B"/>
    <w:rsid w:val="009B5D59"/>
    <w:rsid w:val="009B5F79"/>
    <w:rsid w:val="009B6306"/>
    <w:rsid w:val="009B670E"/>
    <w:rsid w:val="009B6C17"/>
    <w:rsid w:val="009B6EAE"/>
    <w:rsid w:val="009B7199"/>
    <w:rsid w:val="009B7377"/>
    <w:rsid w:val="009B75F4"/>
    <w:rsid w:val="009B76D2"/>
    <w:rsid w:val="009B7862"/>
    <w:rsid w:val="009C00EF"/>
    <w:rsid w:val="009C0147"/>
    <w:rsid w:val="009C0BD7"/>
    <w:rsid w:val="009C0CC9"/>
    <w:rsid w:val="009C133A"/>
    <w:rsid w:val="009C2302"/>
    <w:rsid w:val="009C267C"/>
    <w:rsid w:val="009C2D92"/>
    <w:rsid w:val="009C2EAC"/>
    <w:rsid w:val="009C3DC9"/>
    <w:rsid w:val="009C40AE"/>
    <w:rsid w:val="009C45C5"/>
    <w:rsid w:val="009C4A34"/>
    <w:rsid w:val="009C4FFC"/>
    <w:rsid w:val="009C5008"/>
    <w:rsid w:val="009C5436"/>
    <w:rsid w:val="009C62A0"/>
    <w:rsid w:val="009C637B"/>
    <w:rsid w:val="009C7377"/>
    <w:rsid w:val="009C7812"/>
    <w:rsid w:val="009C78C9"/>
    <w:rsid w:val="009D0106"/>
    <w:rsid w:val="009D0551"/>
    <w:rsid w:val="009D08F6"/>
    <w:rsid w:val="009D0FE8"/>
    <w:rsid w:val="009D1B32"/>
    <w:rsid w:val="009D1D3C"/>
    <w:rsid w:val="009D22BB"/>
    <w:rsid w:val="009D2ED6"/>
    <w:rsid w:val="009D340D"/>
    <w:rsid w:val="009D3B8A"/>
    <w:rsid w:val="009D4170"/>
    <w:rsid w:val="009D4191"/>
    <w:rsid w:val="009D434C"/>
    <w:rsid w:val="009D4771"/>
    <w:rsid w:val="009D4E22"/>
    <w:rsid w:val="009D50DA"/>
    <w:rsid w:val="009D5123"/>
    <w:rsid w:val="009D55C4"/>
    <w:rsid w:val="009D610A"/>
    <w:rsid w:val="009D64B5"/>
    <w:rsid w:val="009D6685"/>
    <w:rsid w:val="009D74F5"/>
    <w:rsid w:val="009D77D7"/>
    <w:rsid w:val="009D7D86"/>
    <w:rsid w:val="009D7FD9"/>
    <w:rsid w:val="009E0B26"/>
    <w:rsid w:val="009E0D8A"/>
    <w:rsid w:val="009E139C"/>
    <w:rsid w:val="009E17BB"/>
    <w:rsid w:val="009E1866"/>
    <w:rsid w:val="009E1CD9"/>
    <w:rsid w:val="009E2584"/>
    <w:rsid w:val="009E25A8"/>
    <w:rsid w:val="009E2B75"/>
    <w:rsid w:val="009E3757"/>
    <w:rsid w:val="009E3B0B"/>
    <w:rsid w:val="009E3E19"/>
    <w:rsid w:val="009E47FC"/>
    <w:rsid w:val="009E4A31"/>
    <w:rsid w:val="009E5382"/>
    <w:rsid w:val="009E5456"/>
    <w:rsid w:val="009E61B4"/>
    <w:rsid w:val="009E6552"/>
    <w:rsid w:val="009E68A6"/>
    <w:rsid w:val="009E6AEB"/>
    <w:rsid w:val="009E7699"/>
    <w:rsid w:val="009E7A1B"/>
    <w:rsid w:val="009F00B2"/>
    <w:rsid w:val="009F0228"/>
    <w:rsid w:val="009F026C"/>
    <w:rsid w:val="009F12CE"/>
    <w:rsid w:val="009F13AC"/>
    <w:rsid w:val="009F18FF"/>
    <w:rsid w:val="009F23B7"/>
    <w:rsid w:val="009F2679"/>
    <w:rsid w:val="009F356A"/>
    <w:rsid w:val="009F36A8"/>
    <w:rsid w:val="009F37DC"/>
    <w:rsid w:val="009F400A"/>
    <w:rsid w:val="009F4AEC"/>
    <w:rsid w:val="009F4EFE"/>
    <w:rsid w:val="009F5A03"/>
    <w:rsid w:val="009F618B"/>
    <w:rsid w:val="009F6443"/>
    <w:rsid w:val="009F64ED"/>
    <w:rsid w:val="009F6B4B"/>
    <w:rsid w:val="009F7BEB"/>
    <w:rsid w:val="00A004B7"/>
    <w:rsid w:val="00A00527"/>
    <w:rsid w:val="00A00538"/>
    <w:rsid w:val="00A00BD7"/>
    <w:rsid w:val="00A00C71"/>
    <w:rsid w:val="00A01111"/>
    <w:rsid w:val="00A01420"/>
    <w:rsid w:val="00A02645"/>
    <w:rsid w:val="00A03620"/>
    <w:rsid w:val="00A03A35"/>
    <w:rsid w:val="00A03D05"/>
    <w:rsid w:val="00A03F52"/>
    <w:rsid w:val="00A04555"/>
    <w:rsid w:val="00A045CD"/>
    <w:rsid w:val="00A0484B"/>
    <w:rsid w:val="00A04A0D"/>
    <w:rsid w:val="00A05267"/>
    <w:rsid w:val="00A0569B"/>
    <w:rsid w:val="00A05C2F"/>
    <w:rsid w:val="00A0652C"/>
    <w:rsid w:val="00A06574"/>
    <w:rsid w:val="00A078AF"/>
    <w:rsid w:val="00A07C61"/>
    <w:rsid w:val="00A07DD4"/>
    <w:rsid w:val="00A07F57"/>
    <w:rsid w:val="00A10768"/>
    <w:rsid w:val="00A10AE9"/>
    <w:rsid w:val="00A10C4C"/>
    <w:rsid w:val="00A10D5A"/>
    <w:rsid w:val="00A10DB2"/>
    <w:rsid w:val="00A10DD3"/>
    <w:rsid w:val="00A11214"/>
    <w:rsid w:val="00A1156F"/>
    <w:rsid w:val="00A1183B"/>
    <w:rsid w:val="00A1189F"/>
    <w:rsid w:val="00A1192E"/>
    <w:rsid w:val="00A1215C"/>
    <w:rsid w:val="00A12E22"/>
    <w:rsid w:val="00A131AD"/>
    <w:rsid w:val="00A133EF"/>
    <w:rsid w:val="00A14031"/>
    <w:rsid w:val="00A141B9"/>
    <w:rsid w:val="00A145B6"/>
    <w:rsid w:val="00A14976"/>
    <w:rsid w:val="00A14EEE"/>
    <w:rsid w:val="00A15438"/>
    <w:rsid w:val="00A15B5C"/>
    <w:rsid w:val="00A15BBC"/>
    <w:rsid w:val="00A15D8B"/>
    <w:rsid w:val="00A175FC"/>
    <w:rsid w:val="00A17786"/>
    <w:rsid w:val="00A177B2"/>
    <w:rsid w:val="00A17853"/>
    <w:rsid w:val="00A17BE9"/>
    <w:rsid w:val="00A20900"/>
    <w:rsid w:val="00A20A14"/>
    <w:rsid w:val="00A20ABB"/>
    <w:rsid w:val="00A21460"/>
    <w:rsid w:val="00A217A3"/>
    <w:rsid w:val="00A21AD9"/>
    <w:rsid w:val="00A21D21"/>
    <w:rsid w:val="00A21DF7"/>
    <w:rsid w:val="00A2280D"/>
    <w:rsid w:val="00A2323F"/>
    <w:rsid w:val="00A23380"/>
    <w:rsid w:val="00A23DFF"/>
    <w:rsid w:val="00A24367"/>
    <w:rsid w:val="00A248EF"/>
    <w:rsid w:val="00A24C36"/>
    <w:rsid w:val="00A25E58"/>
    <w:rsid w:val="00A2641F"/>
    <w:rsid w:val="00A2645F"/>
    <w:rsid w:val="00A272FD"/>
    <w:rsid w:val="00A2741C"/>
    <w:rsid w:val="00A27559"/>
    <w:rsid w:val="00A27FD0"/>
    <w:rsid w:val="00A304B0"/>
    <w:rsid w:val="00A308C9"/>
    <w:rsid w:val="00A30922"/>
    <w:rsid w:val="00A30B50"/>
    <w:rsid w:val="00A30EEE"/>
    <w:rsid w:val="00A310BB"/>
    <w:rsid w:val="00A31128"/>
    <w:rsid w:val="00A31E60"/>
    <w:rsid w:val="00A3241F"/>
    <w:rsid w:val="00A32B11"/>
    <w:rsid w:val="00A33D8C"/>
    <w:rsid w:val="00A345C0"/>
    <w:rsid w:val="00A34819"/>
    <w:rsid w:val="00A352DC"/>
    <w:rsid w:val="00A35452"/>
    <w:rsid w:val="00A35846"/>
    <w:rsid w:val="00A358A0"/>
    <w:rsid w:val="00A35E9C"/>
    <w:rsid w:val="00A366EA"/>
    <w:rsid w:val="00A36796"/>
    <w:rsid w:val="00A36BBD"/>
    <w:rsid w:val="00A3700A"/>
    <w:rsid w:val="00A37965"/>
    <w:rsid w:val="00A40780"/>
    <w:rsid w:val="00A408D4"/>
    <w:rsid w:val="00A40E2D"/>
    <w:rsid w:val="00A41718"/>
    <w:rsid w:val="00A41CB7"/>
    <w:rsid w:val="00A425DE"/>
    <w:rsid w:val="00A426E9"/>
    <w:rsid w:val="00A42E48"/>
    <w:rsid w:val="00A42FB5"/>
    <w:rsid w:val="00A43489"/>
    <w:rsid w:val="00A448EE"/>
    <w:rsid w:val="00A449E4"/>
    <w:rsid w:val="00A4546C"/>
    <w:rsid w:val="00A45990"/>
    <w:rsid w:val="00A4641B"/>
    <w:rsid w:val="00A46E8B"/>
    <w:rsid w:val="00A47471"/>
    <w:rsid w:val="00A4759F"/>
    <w:rsid w:val="00A47B09"/>
    <w:rsid w:val="00A501A8"/>
    <w:rsid w:val="00A5097F"/>
    <w:rsid w:val="00A50B90"/>
    <w:rsid w:val="00A52794"/>
    <w:rsid w:val="00A5359B"/>
    <w:rsid w:val="00A53B54"/>
    <w:rsid w:val="00A548C6"/>
    <w:rsid w:val="00A54E20"/>
    <w:rsid w:val="00A55416"/>
    <w:rsid w:val="00A55B2F"/>
    <w:rsid w:val="00A567BA"/>
    <w:rsid w:val="00A56E1B"/>
    <w:rsid w:val="00A574AC"/>
    <w:rsid w:val="00A57C6B"/>
    <w:rsid w:val="00A57C80"/>
    <w:rsid w:val="00A605E2"/>
    <w:rsid w:val="00A607DE"/>
    <w:rsid w:val="00A60E5C"/>
    <w:rsid w:val="00A60EBB"/>
    <w:rsid w:val="00A60FE0"/>
    <w:rsid w:val="00A612AF"/>
    <w:rsid w:val="00A616EF"/>
    <w:rsid w:val="00A6183C"/>
    <w:rsid w:val="00A61866"/>
    <w:rsid w:val="00A61E71"/>
    <w:rsid w:val="00A62E71"/>
    <w:rsid w:val="00A632B0"/>
    <w:rsid w:val="00A633F8"/>
    <w:rsid w:val="00A64250"/>
    <w:rsid w:val="00A64656"/>
    <w:rsid w:val="00A64F5A"/>
    <w:rsid w:val="00A651B4"/>
    <w:rsid w:val="00A651CC"/>
    <w:rsid w:val="00A65CA6"/>
    <w:rsid w:val="00A65FDA"/>
    <w:rsid w:val="00A66124"/>
    <w:rsid w:val="00A66622"/>
    <w:rsid w:val="00A66E88"/>
    <w:rsid w:val="00A66F9A"/>
    <w:rsid w:val="00A67260"/>
    <w:rsid w:val="00A67CBC"/>
    <w:rsid w:val="00A701CC"/>
    <w:rsid w:val="00A70B10"/>
    <w:rsid w:val="00A70BA5"/>
    <w:rsid w:val="00A70ED7"/>
    <w:rsid w:val="00A7104B"/>
    <w:rsid w:val="00A7106C"/>
    <w:rsid w:val="00A71265"/>
    <w:rsid w:val="00A714C1"/>
    <w:rsid w:val="00A71723"/>
    <w:rsid w:val="00A71978"/>
    <w:rsid w:val="00A719E5"/>
    <w:rsid w:val="00A71BB7"/>
    <w:rsid w:val="00A72028"/>
    <w:rsid w:val="00A72762"/>
    <w:rsid w:val="00A72A17"/>
    <w:rsid w:val="00A73125"/>
    <w:rsid w:val="00A73A89"/>
    <w:rsid w:val="00A73E19"/>
    <w:rsid w:val="00A74357"/>
    <w:rsid w:val="00A7492D"/>
    <w:rsid w:val="00A74A3F"/>
    <w:rsid w:val="00A74CE5"/>
    <w:rsid w:val="00A750DF"/>
    <w:rsid w:val="00A7539D"/>
    <w:rsid w:val="00A753E0"/>
    <w:rsid w:val="00A754E5"/>
    <w:rsid w:val="00A75DBB"/>
    <w:rsid w:val="00A76515"/>
    <w:rsid w:val="00A76519"/>
    <w:rsid w:val="00A7686C"/>
    <w:rsid w:val="00A76B62"/>
    <w:rsid w:val="00A77A41"/>
    <w:rsid w:val="00A77D45"/>
    <w:rsid w:val="00A81B3E"/>
    <w:rsid w:val="00A82373"/>
    <w:rsid w:val="00A8249F"/>
    <w:rsid w:val="00A832B0"/>
    <w:rsid w:val="00A83BE5"/>
    <w:rsid w:val="00A840D5"/>
    <w:rsid w:val="00A84230"/>
    <w:rsid w:val="00A84A3D"/>
    <w:rsid w:val="00A84C9D"/>
    <w:rsid w:val="00A8502A"/>
    <w:rsid w:val="00A850D1"/>
    <w:rsid w:val="00A8549B"/>
    <w:rsid w:val="00A85D5E"/>
    <w:rsid w:val="00A85F03"/>
    <w:rsid w:val="00A86269"/>
    <w:rsid w:val="00A862C8"/>
    <w:rsid w:val="00A86CBB"/>
    <w:rsid w:val="00A8727F"/>
    <w:rsid w:val="00A877C2"/>
    <w:rsid w:val="00A87B86"/>
    <w:rsid w:val="00A90212"/>
    <w:rsid w:val="00A90A42"/>
    <w:rsid w:val="00A90E50"/>
    <w:rsid w:val="00A91747"/>
    <w:rsid w:val="00A91A56"/>
    <w:rsid w:val="00A91D48"/>
    <w:rsid w:val="00A91EA8"/>
    <w:rsid w:val="00A920A5"/>
    <w:rsid w:val="00A92BB7"/>
    <w:rsid w:val="00A92BD1"/>
    <w:rsid w:val="00A93211"/>
    <w:rsid w:val="00A9325B"/>
    <w:rsid w:val="00A943A7"/>
    <w:rsid w:val="00A9456F"/>
    <w:rsid w:val="00A9479B"/>
    <w:rsid w:val="00A94CD5"/>
    <w:rsid w:val="00A9524A"/>
    <w:rsid w:val="00A95AA1"/>
    <w:rsid w:val="00A95AC6"/>
    <w:rsid w:val="00A95EA0"/>
    <w:rsid w:val="00A95FC7"/>
    <w:rsid w:val="00A96073"/>
    <w:rsid w:val="00A9608F"/>
    <w:rsid w:val="00A96604"/>
    <w:rsid w:val="00A966CC"/>
    <w:rsid w:val="00A966F7"/>
    <w:rsid w:val="00A96B87"/>
    <w:rsid w:val="00A96E00"/>
    <w:rsid w:val="00A971A9"/>
    <w:rsid w:val="00A97302"/>
    <w:rsid w:val="00A97BE7"/>
    <w:rsid w:val="00A97D64"/>
    <w:rsid w:val="00A97E1B"/>
    <w:rsid w:val="00AA056B"/>
    <w:rsid w:val="00AA10B2"/>
    <w:rsid w:val="00AA1552"/>
    <w:rsid w:val="00AA163A"/>
    <w:rsid w:val="00AA27D4"/>
    <w:rsid w:val="00AA293E"/>
    <w:rsid w:val="00AA29AC"/>
    <w:rsid w:val="00AA2AD7"/>
    <w:rsid w:val="00AA2CB0"/>
    <w:rsid w:val="00AA2F4A"/>
    <w:rsid w:val="00AA35D2"/>
    <w:rsid w:val="00AA3D4A"/>
    <w:rsid w:val="00AA3E74"/>
    <w:rsid w:val="00AA44D6"/>
    <w:rsid w:val="00AA47CA"/>
    <w:rsid w:val="00AA4F49"/>
    <w:rsid w:val="00AA5001"/>
    <w:rsid w:val="00AA5E73"/>
    <w:rsid w:val="00AA64CE"/>
    <w:rsid w:val="00AA69DC"/>
    <w:rsid w:val="00AA7E81"/>
    <w:rsid w:val="00AB008B"/>
    <w:rsid w:val="00AB0AB2"/>
    <w:rsid w:val="00AB1324"/>
    <w:rsid w:val="00AB184A"/>
    <w:rsid w:val="00AB1929"/>
    <w:rsid w:val="00AB1D9F"/>
    <w:rsid w:val="00AB1E5A"/>
    <w:rsid w:val="00AB2324"/>
    <w:rsid w:val="00AB2344"/>
    <w:rsid w:val="00AB24D4"/>
    <w:rsid w:val="00AB28F8"/>
    <w:rsid w:val="00AB295A"/>
    <w:rsid w:val="00AB2BD4"/>
    <w:rsid w:val="00AB2E48"/>
    <w:rsid w:val="00AB2FBE"/>
    <w:rsid w:val="00AB386E"/>
    <w:rsid w:val="00AB39C8"/>
    <w:rsid w:val="00AB3E17"/>
    <w:rsid w:val="00AB423E"/>
    <w:rsid w:val="00AB4DB6"/>
    <w:rsid w:val="00AB5C30"/>
    <w:rsid w:val="00AB645A"/>
    <w:rsid w:val="00AB6559"/>
    <w:rsid w:val="00AB6AEC"/>
    <w:rsid w:val="00AB6D11"/>
    <w:rsid w:val="00AB6FD2"/>
    <w:rsid w:val="00AB7141"/>
    <w:rsid w:val="00AB7454"/>
    <w:rsid w:val="00AB7BF6"/>
    <w:rsid w:val="00AC00B5"/>
    <w:rsid w:val="00AC0579"/>
    <w:rsid w:val="00AC0786"/>
    <w:rsid w:val="00AC10D9"/>
    <w:rsid w:val="00AC14B4"/>
    <w:rsid w:val="00AC1665"/>
    <w:rsid w:val="00AC1AAF"/>
    <w:rsid w:val="00AC1B6C"/>
    <w:rsid w:val="00AC218F"/>
    <w:rsid w:val="00AC21AB"/>
    <w:rsid w:val="00AC2435"/>
    <w:rsid w:val="00AC26E6"/>
    <w:rsid w:val="00AC2DC0"/>
    <w:rsid w:val="00AC4894"/>
    <w:rsid w:val="00AC4A3B"/>
    <w:rsid w:val="00AC4E15"/>
    <w:rsid w:val="00AC4EA9"/>
    <w:rsid w:val="00AC5239"/>
    <w:rsid w:val="00AC6052"/>
    <w:rsid w:val="00AC65C6"/>
    <w:rsid w:val="00AC6D04"/>
    <w:rsid w:val="00AC6E5C"/>
    <w:rsid w:val="00AC6E7D"/>
    <w:rsid w:val="00AC7852"/>
    <w:rsid w:val="00AC7C2A"/>
    <w:rsid w:val="00AC7C3E"/>
    <w:rsid w:val="00AD02F4"/>
    <w:rsid w:val="00AD0879"/>
    <w:rsid w:val="00AD08C9"/>
    <w:rsid w:val="00AD094A"/>
    <w:rsid w:val="00AD0BE9"/>
    <w:rsid w:val="00AD1026"/>
    <w:rsid w:val="00AD3AAD"/>
    <w:rsid w:val="00AD3FD8"/>
    <w:rsid w:val="00AD462D"/>
    <w:rsid w:val="00AD4978"/>
    <w:rsid w:val="00AD51F5"/>
    <w:rsid w:val="00AD533A"/>
    <w:rsid w:val="00AD5F7F"/>
    <w:rsid w:val="00AD704A"/>
    <w:rsid w:val="00AD715B"/>
    <w:rsid w:val="00AD73B3"/>
    <w:rsid w:val="00AD7449"/>
    <w:rsid w:val="00AD74C2"/>
    <w:rsid w:val="00AD7CC4"/>
    <w:rsid w:val="00AD7FFB"/>
    <w:rsid w:val="00AE049A"/>
    <w:rsid w:val="00AE0561"/>
    <w:rsid w:val="00AE0D2F"/>
    <w:rsid w:val="00AE1A35"/>
    <w:rsid w:val="00AE1AD6"/>
    <w:rsid w:val="00AE317E"/>
    <w:rsid w:val="00AE3B7C"/>
    <w:rsid w:val="00AE433F"/>
    <w:rsid w:val="00AE44F0"/>
    <w:rsid w:val="00AE4995"/>
    <w:rsid w:val="00AE4E00"/>
    <w:rsid w:val="00AE5032"/>
    <w:rsid w:val="00AE50C4"/>
    <w:rsid w:val="00AE544D"/>
    <w:rsid w:val="00AE551E"/>
    <w:rsid w:val="00AE55BA"/>
    <w:rsid w:val="00AE5D7F"/>
    <w:rsid w:val="00AE62B8"/>
    <w:rsid w:val="00AE638B"/>
    <w:rsid w:val="00AE6DE0"/>
    <w:rsid w:val="00AE71D9"/>
    <w:rsid w:val="00AE7262"/>
    <w:rsid w:val="00AE72B4"/>
    <w:rsid w:val="00AE7714"/>
    <w:rsid w:val="00AE7A1F"/>
    <w:rsid w:val="00AE7A35"/>
    <w:rsid w:val="00AE7A38"/>
    <w:rsid w:val="00AF0EAA"/>
    <w:rsid w:val="00AF1703"/>
    <w:rsid w:val="00AF1999"/>
    <w:rsid w:val="00AF1C24"/>
    <w:rsid w:val="00AF1E9B"/>
    <w:rsid w:val="00AF21EC"/>
    <w:rsid w:val="00AF2720"/>
    <w:rsid w:val="00AF272F"/>
    <w:rsid w:val="00AF28AD"/>
    <w:rsid w:val="00AF2901"/>
    <w:rsid w:val="00AF302F"/>
    <w:rsid w:val="00AF3862"/>
    <w:rsid w:val="00AF3D6E"/>
    <w:rsid w:val="00AF43FD"/>
    <w:rsid w:val="00AF4C03"/>
    <w:rsid w:val="00AF4F47"/>
    <w:rsid w:val="00AF55C2"/>
    <w:rsid w:val="00AF56C7"/>
    <w:rsid w:val="00AF581E"/>
    <w:rsid w:val="00AF5E74"/>
    <w:rsid w:val="00AF6324"/>
    <w:rsid w:val="00AF70F3"/>
    <w:rsid w:val="00AF7239"/>
    <w:rsid w:val="00AF79AD"/>
    <w:rsid w:val="00B00369"/>
    <w:rsid w:val="00B005BC"/>
    <w:rsid w:val="00B008F9"/>
    <w:rsid w:val="00B016A3"/>
    <w:rsid w:val="00B01AD0"/>
    <w:rsid w:val="00B01B67"/>
    <w:rsid w:val="00B01EAB"/>
    <w:rsid w:val="00B02403"/>
    <w:rsid w:val="00B02CB7"/>
    <w:rsid w:val="00B03059"/>
    <w:rsid w:val="00B03078"/>
    <w:rsid w:val="00B03158"/>
    <w:rsid w:val="00B03259"/>
    <w:rsid w:val="00B036B7"/>
    <w:rsid w:val="00B03E16"/>
    <w:rsid w:val="00B03FF5"/>
    <w:rsid w:val="00B0484F"/>
    <w:rsid w:val="00B0487D"/>
    <w:rsid w:val="00B050FB"/>
    <w:rsid w:val="00B057C3"/>
    <w:rsid w:val="00B058A0"/>
    <w:rsid w:val="00B05ABC"/>
    <w:rsid w:val="00B061BC"/>
    <w:rsid w:val="00B0641C"/>
    <w:rsid w:val="00B06F47"/>
    <w:rsid w:val="00B07479"/>
    <w:rsid w:val="00B07A43"/>
    <w:rsid w:val="00B07D6A"/>
    <w:rsid w:val="00B113BF"/>
    <w:rsid w:val="00B12299"/>
    <w:rsid w:val="00B12976"/>
    <w:rsid w:val="00B12C78"/>
    <w:rsid w:val="00B12DE2"/>
    <w:rsid w:val="00B13858"/>
    <w:rsid w:val="00B13B96"/>
    <w:rsid w:val="00B13FFB"/>
    <w:rsid w:val="00B1414D"/>
    <w:rsid w:val="00B14B38"/>
    <w:rsid w:val="00B1549D"/>
    <w:rsid w:val="00B155ED"/>
    <w:rsid w:val="00B16344"/>
    <w:rsid w:val="00B16393"/>
    <w:rsid w:val="00B163C3"/>
    <w:rsid w:val="00B171E3"/>
    <w:rsid w:val="00B177D6"/>
    <w:rsid w:val="00B203DC"/>
    <w:rsid w:val="00B20E81"/>
    <w:rsid w:val="00B2168F"/>
    <w:rsid w:val="00B21D1E"/>
    <w:rsid w:val="00B21ED7"/>
    <w:rsid w:val="00B22032"/>
    <w:rsid w:val="00B22052"/>
    <w:rsid w:val="00B22150"/>
    <w:rsid w:val="00B2220D"/>
    <w:rsid w:val="00B2346F"/>
    <w:rsid w:val="00B23DA2"/>
    <w:rsid w:val="00B2443C"/>
    <w:rsid w:val="00B245A7"/>
    <w:rsid w:val="00B2500F"/>
    <w:rsid w:val="00B2505F"/>
    <w:rsid w:val="00B25281"/>
    <w:rsid w:val="00B25347"/>
    <w:rsid w:val="00B254FF"/>
    <w:rsid w:val="00B2576E"/>
    <w:rsid w:val="00B25DEA"/>
    <w:rsid w:val="00B26BD7"/>
    <w:rsid w:val="00B26F30"/>
    <w:rsid w:val="00B27A74"/>
    <w:rsid w:val="00B27E9D"/>
    <w:rsid w:val="00B300BC"/>
    <w:rsid w:val="00B306A3"/>
    <w:rsid w:val="00B30745"/>
    <w:rsid w:val="00B30A22"/>
    <w:rsid w:val="00B30B06"/>
    <w:rsid w:val="00B30E66"/>
    <w:rsid w:val="00B31076"/>
    <w:rsid w:val="00B31AA5"/>
    <w:rsid w:val="00B32B25"/>
    <w:rsid w:val="00B32E2A"/>
    <w:rsid w:val="00B33750"/>
    <w:rsid w:val="00B34E42"/>
    <w:rsid w:val="00B35463"/>
    <w:rsid w:val="00B360EF"/>
    <w:rsid w:val="00B361DB"/>
    <w:rsid w:val="00B36761"/>
    <w:rsid w:val="00B36B9C"/>
    <w:rsid w:val="00B36FBB"/>
    <w:rsid w:val="00B36FDC"/>
    <w:rsid w:val="00B37291"/>
    <w:rsid w:val="00B37F91"/>
    <w:rsid w:val="00B403A8"/>
    <w:rsid w:val="00B403D5"/>
    <w:rsid w:val="00B404E9"/>
    <w:rsid w:val="00B41748"/>
    <w:rsid w:val="00B4293C"/>
    <w:rsid w:val="00B43095"/>
    <w:rsid w:val="00B43122"/>
    <w:rsid w:val="00B431D1"/>
    <w:rsid w:val="00B433C0"/>
    <w:rsid w:val="00B44023"/>
    <w:rsid w:val="00B44889"/>
    <w:rsid w:val="00B44938"/>
    <w:rsid w:val="00B4497D"/>
    <w:rsid w:val="00B44B3F"/>
    <w:rsid w:val="00B451ED"/>
    <w:rsid w:val="00B45590"/>
    <w:rsid w:val="00B459E3"/>
    <w:rsid w:val="00B47BA3"/>
    <w:rsid w:val="00B50008"/>
    <w:rsid w:val="00B50774"/>
    <w:rsid w:val="00B50D85"/>
    <w:rsid w:val="00B50DCF"/>
    <w:rsid w:val="00B50E07"/>
    <w:rsid w:val="00B510EE"/>
    <w:rsid w:val="00B51AA0"/>
    <w:rsid w:val="00B51D70"/>
    <w:rsid w:val="00B51FE0"/>
    <w:rsid w:val="00B52A27"/>
    <w:rsid w:val="00B52BF5"/>
    <w:rsid w:val="00B52F53"/>
    <w:rsid w:val="00B5341A"/>
    <w:rsid w:val="00B53889"/>
    <w:rsid w:val="00B53BDF"/>
    <w:rsid w:val="00B53F28"/>
    <w:rsid w:val="00B5424C"/>
    <w:rsid w:val="00B5436F"/>
    <w:rsid w:val="00B546AA"/>
    <w:rsid w:val="00B54753"/>
    <w:rsid w:val="00B54860"/>
    <w:rsid w:val="00B549FD"/>
    <w:rsid w:val="00B54A46"/>
    <w:rsid w:val="00B54D68"/>
    <w:rsid w:val="00B55857"/>
    <w:rsid w:val="00B558EF"/>
    <w:rsid w:val="00B559B9"/>
    <w:rsid w:val="00B55A01"/>
    <w:rsid w:val="00B55F7A"/>
    <w:rsid w:val="00B5618B"/>
    <w:rsid w:val="00B5625D"/>
    <w:rsid w:val="00B562E3"/>
    <w:rsid w:val="00B56947"/>
    <w:rsid w:val="00B57559"/>
    <w:rsid w:val="00B6029E"/>
    <w:rsid w:val="00B603B1"/>
    <w:rsid w:val="00B60517"/>
    <w:rsid w:val="00B60A6E"/>
    <w:rsid w:val="00B60BBC"/>
    <w:rsid w:val="00B61663"/>
    <w:rsid w:val="00B61E83"/>
    <w:rsid w:val="00B62801"/>
    <w:rsid w:val="00B62D1B"/>
    <w:rsid w:val="00B62E9C"/>
    <w:rsid w:val="00B62F62"/>
    <w:rsid w:val="00B63335"/>
    <w:rsid w:val="00B6347A"/>
    <w:rsid w:val="00B63B2A"/>
    <w:rsid w:val="00B643F2"/>
    <w:rsid w:val="00B64829"/>
    <w:rsid w:val="00B65527"/>
    <w:rsid w:val="00B6557D"/>
    <w:rsid w:val="00B65AE9"/>
    <w:rsid w:val="00B65AEA"/>
    <w:rsid w:val="00B66863"/>
    <w:rsid w:val="00B66FB3"/>
    <w:rsid w:val="00B67E7F"/>
    <w:rsid w:val="00B71671"/>
    <w:rsid w:val="00B71CFD"/>
    <w:rsid w:val="00B7202B"/>
    <w:rsid w:val="00B727F6"/>
    <w:rsid w:val="00B73976"/>
    <w:rsid w:val="00B73C9F"/>
    <w:rsid w:val="00B73E9F"/>
    <w:rsid w:val="00B74046"/>
    <w:rsid w:val="00B745FC"/>
    <w:rsid w:val="00B74EDE"/>
    <w:rsid w:val="00B75836"/>
    <w:rsid w:val="00B75A28"/>
    <w:rsid w:val="00B7611E"/>
    <w:rsid w:val="00B76A7F"/>
    <w:rsid w:val="00B76F61"/>
    <w:rsid w:val="00B7714D"/>
    <w:rsid w:val="00B77340"/>
    <w:rsid w:val="00B77665"/>
    <w:rsid w:val="00B7774C"/>
    <w:rsid w:val="00B81E36"/>
    <w:rsid w:val="00B81E90"/>
    <w:rsid w:val="00B81FF5"/>
    <w:rsid w:val="00B82A55"/>
    <w:rsid w:val="00B82E64"/>
    <w:rsid w:val="00B83C08"/>
    <w:rsid w:val="00B846EE"/>
    <w:rsid w:val="00B84C84"/>
    <w:rsid w:val="00B8604F"/>
    <w:rsid w:val="00B8620C"/>
    <w:rsid w:val="00B86806"/>
    <w:rsid w:val="00B86CFC"/>
    <w:rsid w:val="00B86DAC"/>
    <w:rsid w:val="00B87016"/>
    <w:rsid w:val="00B873DB"/>
    <w:rsid w:val="00B87925"/>
    <w:rsid w:val="00B90B73"/>
    <w:rsid w:val="00B913B2"/>
    <w:rsid w:val="00B91713"/>
    <w:rsid w:val="00B91D5E"/>
    <w:rsid w:val="00B92213"/>
    <w:rsid w:val="00B926C4"/>
    <w:rsid w:val="00B92740"/>
    <w:rsid w:val="00B9286E"/>
    <w:rsid w:val="00B9319B"/>
    <w:rsid w:val="00B933A8"/>
    <w:rsid w:val="00B93B76"/>
    <w:rsid w:val="00B93F96"/>
    <w:rsid w:val="00B9454C"/>
    <w:rsid w:val="00B94DBC"/>
    <w:rsid w:val="00B953A0"/>
    <w:rsid w:val="00B95744"/>
    <w:rsid w:val="00B95BA8"/>
    <w:rsid w:val="00B95BCA"/>
    <w:rsid w:val="00B95F5C"/>
    <w:rsid w:val="00B96B71"/>
    <w:rsid w:val="00B970ED"/>
    <w:rsid w:val="00B97BBB"/>
    <w:rsid w:val="00BA008B"/>
    <w:rsid w:val="00BA0B53"/>
    <w:rsid w:val="00BA0B59"/>
    <w:rsid w:val="00BA1E38"/>
    <w:rsid w:val="00BA1FFF"/>
    <w:rsid w:val="00BA2B99"/>
    <w:rsid w:val="00BA2E91"/>
    <w:rsid w:val="00BA2F96"/>
    <w:rsid w:val="00BA3135"/>
    <w:rsid w:val="00BA39FE"/>
    <w:rsid w:val="00BA3DE3"/>
    <w:rsid w:val="00BA44D7"/>
    <w:rsid w:val="00BA4A54"/>
    <w:rsid w:val="00BA4A66"/>
    <w:rsid w:val="00BA4CE4"/>
    <w:rsid w:val="00BA4D1E"/>
    <w:rsid w:val="00BA4E64"/>
    <w:rsid w:val="00BA4EAF"/>
    <w:rsid w:val="00BA52D4"/>
    <w:rsid w:val="00BA53F0"/>
    <w:rsid w:val="00BA5426"/>
    <w:rsid w:val="00BA573E"/>
    <w:rsid w:val="00BA57E2"/>
    <w:rsid w:val="00BA5A4D"/>
    <w:rsid w:val="00BA5E39"/>
    <w:rsid w:val="00BA6910"/>
    <w:rsid w:val="00BA6AE6"/>
    <w:rsid w:val="00BA7331"/>
    <w:rsid w:val="00BB0543"/>
    <w:rsid w:val="00BB05C7"/>
    <w:rsid w:val="00BB0604"/>
    <w:rsid w:val="00BB068C"/>
    <w:rsid w:val="00BB091D"/>
    <w:rsid w:val="00BB0951"/>
    <w:rsid w:val="00BB0AFF"/>
    <w:rsid w:val="00BB0F6A"/>
    <w:rsid w:val="00BB142A"/>
    <w:rsid w:val="00BB142E"/>
    <w:rsid w:val="00BB2479"/>
    <w:rsid w:val="00BB24B1"/>
    <w:rsid w:val="00BB27FC"/>
    <w:rsid w:val="00BB3421"/>
    <w:rsid w:val="00BB38A8"/>
    <w:rsid w:val="00BB3CFB"/>
    <w:rsid w:val="00BB3ECB"/>
    <w:rsid w:val="00BB4115"/>
    <w:rsid w:val="00BB441A"/>
    <w:rsid w:val="00BB4987"/>
    <w:rsid w:val="00BB52AA"/>
    <w:rsid w:val="00BB5532"/>
    <w:rsid w:val="00BB59F4"/>
    <w:rsid w:val="00BB5B6B"/>
    <w:rsid w:val="00BB6039"/>
    <w:rsid w:val="00BB6AF2"/>
    <w:rsid w:val="00BB76B2"/>
    <w:rsid w:val="00BC0716"/>
    <w:rsid w:val="00BC0813"/>
    <w:rsid w:val="00BC0C93"/>
    <w:rsid w:val="00BC165B"/>
    <w:rsid w:val="00BC1BBC"/>
    <w:rsid w:val="00BC231B"/>
    <w:rsid w:val="00BC2746"/>
    <w:rsid w:val="00BC274D"/>
    <w:rsid w:val="00BC2995"/>
    <w:rsid w:val="00BC31E7"/>
    <w:rsid w:val="00BC37A6"/>
    <w:rsid w:val="00BC37B5"/>
    <w:rsid w:val="00BC3809"/>
    <w:rsid w:val="00BC3FD4"/>
    <w:rsid w:val="00BC4E0B"/>
    <w:rsid w:val="00BC5759"/>
    <w:rsid w:val="00BC581C"/>
    <w:rsid w:val="00BC5B8E"/>
    <w:rsid w:val="00BC5E48"/>
    <w:rsid w:val="00BC6180"/>
    <w:rsid w:val="00BC670A"/>
    <w:rsid w:val="00BC6DA9"/>
    <w:rsid w:val="00BC6DB1"/>
    <w:rsid w:val="00BC7603"/>
    <w:rsid w:val="00BC7C00"/>
    <w:rsid w:val="00BD132E"/>
    <w:rsid w:val="00BD22BC"/>
    <w:rsid w:val="00BD2773"/>
    <w:rsid w:val="00BD293B"/>
    <w:rsid w:val="00BD2B59"/>
    <w:rsid w:val="00BD2E83"/>
    <w:rsid w:val="00BD3115"/>
    <w:rsid w:val="00BD3D7B"/>
    <w:rsid w:val="00BD3F6C"/>
    <w:rsid w:val="00BD485B"/>
    <w:rsid w:val="00BD4C33"/>
    <w:rsid w:val="00BD5300"/>
    <w:rsid w:val="00BD550C"/>
    <w:rsid w:val="00BD5A7C"/>
    <w:rsid w:val="00BD5D1D"/>
    <w:rsid w:val="00BD5E5F"/>
    <w:rsid w:val="00BD6874"/>
    <w:rsid w:val="00BD6932"/>
    <w:rsid w:val="00BD7C24"/>
    <w:rsid w:val="00BE05FE"/>
    <w:rsid w:val="00BE0ACE"/>
    <w:rsid w:val="00BE0CA7"/>
    <w:rsid w:val="00BE1344"/>
    <w:rsid w:val="00BE34F5"/>
    <w:rsid w:val="00BE38CA"/>
    <w:rsid w:val="00BE3AFA"/>
    <w:rsid w:val="00BE42B7"/>
    <w:rsid w:val="00BE5728"/>
    <w:rsid w:val="00BE5E75"/>
    <w:rsid w:val="00BE5F91"/>
    <w:rsid w:val="00BE5FA2"/>
    <w:rsid w:val="00BE6609"/>
    <w:rsid w:val="00BE7434"/>
    <w:rsid w:val="00BE776F"/>
    <w:rsid w:val="00BF0023"/>
    <w:rsid w:val="00BF0A3C"/>
    <w:rsid w:val="00BF11F6"/>
    <w:rsid w:val="00BF1548"/>
    <w:rsid w:val="00BF17E7"/>
    <w:rsid w:val="00BF1997"/>
    <w:rsid w:val="00BF1CDF"/>
    <w:rsid w:val="00BF1D93"/>
    <w:rsid w:val="00BF2B01"/>
    <w:rsid w:val="00BF2C1E"/>
    <w:rsid w:val="00BF2F22"/>
    <w:rsid w:val="00BF3937"/>
    <w:rsid w:val="00BF3D23"/>
    <w:rsid w:val="00BF3E60"/>
    <w:rsid w:val="00BF3F32"/>
    <w:rsid w:val="00BF4341"/>
    <w:rsid w:val="00BF4D55"/>
    <w:rsid w:val="00BF4F03"/>
    <w:rsid w:val="00BF4F84"/>
    <w:rsid w:val="00BF5644"/>
    <w:rsid w:val="00BF58DD"/>
    <w:rsid w:val="00BF5F69"/>
    <w:rsid w:val="00BF6245"/>
    <w:rsid w:val="00BF6847"/>
    <w:rsid w:val="00BF6C30"/>
    <w:rsid w:val="00BF7377"/>
    <w:rsid w:val="00BF7BB6"/>
    <w:rsid w:val="00BF7F04"/>
    <w:rsid w:val="00C00097"/>
    <w:rsid w:val="00C00261"/>
    <w:rsid w:val="00C00A12"/>
    <w:rsid w:val="00C00A35"/>
    <w:rsid w:val="00C00EC6"/>
    <w:rsid w:val="00C00F15"/>
    <w:rsid w:val="00C01057"/>
    <w:rsid w:val="00C018C2"/>
    <w:rsid w:val="00C01BAC"/>
    <w:rsid w:val="00C02D04"/>
    <w:rsid w:val="00C0313D"/>
    <w:rsid w:val="00C0405D"/>
    <w:rsid w:val="00C04906"/>
    <w:rsid w:val="00C05751"/>
    <w:rsid w:val="00C05896"/>
    <w:rsid w:val="00C059FA"/>
    <w:rsid w:val="00C05A0D"/>
    <w:rsid w:val="00C060BE"/>
    <w:rsid w:val="00C075D0"/>
    <w:rsid w:val="00C07782"/>
    <w:rsid w:val="00C10187"/>
    <w:rsid w:val="00C10998"/>
    <w:rsid w:val="00C11AEA"/>
    <w:rsid w:val="00C120A8"/>
    <w:rsid w:val="00C122DC"/>
    <w:rsid w:val="00C13387"/>
    <w:rsid w:val="00C13763"/>
    <w:rsid w:val="00C13E47"/>
    <w:rsid w:val="00C140D6"/>
    <w:rsid w:val="00C1417D"/>
    <w:rsid w:val="00C14912"/>
    <w:rsid w:val="00C153A9"/>
    <w:rsid w:val="00C15546"/>
    <w:rsid w:val="00C16354"/>
    <w:rsid w:val="00C16A17"/>
    <w:rsid w:val="00C16C1B"/>
    <w:rsid w:val="00C17080"/>
    <w:rsid w:val="00C171FA"/>
    <w:rsid w:val="00C17264"/>
    <w:rsid w:val="00C175CD"/>
    <w:rsid w:val="00C1787E"/>
    <w:rsid w:val="00C17B5E"/>
    <w:rsid w:val="00C2056D"/>
    <w:rsid w:val="00C21133"/>
    <w:rsid w:val="00C219B5"/>
    <w:rsid w:val="00C21DD0"/>
    <w:rsid w:val="00C228CB"/>
    <w:rsid w:val="00C22B0C"/>
    <w:rsid w:val="00C22E48"/>
    <w:rsid w:val="00C2305A"/>
    <w:rsid w:val="00C2331A"/>
    <w:rsid w:val="00C233C6"/>
    <w:rsid w:val="00C23951"/>
    <w:rsid w:val="00C24435"/>
    <w:rsid w:val="00C2454D"/>
    <w:rsid w:val="00C246D4"/>
    <w:rsid w:val="00C254A9"/>
    <w:rsid w:val="00C25657"/>
    <w:rsid w:val="00C257CE"/>
    <w:rsid w:val="00C25ADF"/>
    <w:rsid w:val="00C26249"/>
    <w:rsid w:val="00C263ED"/>
    <w:rsid w:val="00C2662E"/>
    <w:rsid w:val="00C2677B"/>
    <w:rsid w:val="00C27A03"/>
    <w:rsid w:val="00C27D2C"/>
    <w:rsid w:val="00C307BD"/>
    <w:rsid w:val="00C307E8"/>
    <w:rsid w:val="00C30970"/>
    <w:rsid w:val="00C3099D"/>
    <w:rsid w:val="00C309F9"/>
    <w:rsid w:val="00C310E7"/>
    <w:rsid w:val="00C318C7"/>
    <w:rsid w:val="00C325AB"/>
    <w:rsid w:val="00C32A1E"/>
    <w:rsid w:val="00C333EC"/>
    <w:rsid w:val="00C33516"/>
    <w:rsid w:val="00C338FD"/>
    <w:rsid w:val="00C33A7C"/>
    <w:rsid w:val="00C33F70"/>
    <w:rsid w:val="00C34180"/>
    <w:rsid w:val="00C34282"/>
    <w:rsid w:val="00C34743"/>
    <w:rsid w:val="00C34A72"/>
    <w:rsid w:val="00C34BE5"/>
    <w:rsid w:val="00C350BA"/>
    <w:rsid w:val="00C350D6"/>
    <w:rsid w:val="00C35574"/>
    <w:rsid w:val="00C35E9A"/>
    <w:rsid w:val="00C36086"/>
    <w:rsid w:val="00C36818"/>
    <w:rsid w:val="00C36953"/>
    <w:rsid w:val="00C36AA3"/>
    <w:rsid w:val="00C37379"/>
    <w:rsid w:val="00C37578"/>
    <w:rsid w:val="00C3770E"/>
    <w:rsid w:val="00C37795"/>
    <w:rsid w:val="00C37924"/>
    <w:rsid w:val="00C40D1E"/>
    <w:rsid w:val="00C411CF"/>
    <w:rsid w:val="00C41D45"/>
    <w:rsid w:val="00C42B2C"/>
    <w:rsid w:val="00C43093"/>
    <w:rsid w:val="00C4313D"/>
    <w:rsid w:val="00C433FF"/>
    <w:rsid w:val="00C4375B"/>
    <w:rsid w:val="00C44D11"/>
    <w:rsid w:val="00C450DA"/>
    <w:rsid w:val="00C4537A"/>
    <w:rsid w:val="00C454B2"/>
    <w:rsid w:val="00C456AE"/>
    <w:rsid w:val="00C4575F"/>
    <w:rsid w:val="00C4578C"/>
    <w:rsid w:val="00C45B58"/>
    <w:rsid w:val="00C45C81"/>
    <w:rsid w:val="00C46175"/>
    <w:rsid w:val="00C4660B"/>
    <w:rsid w:val="00C46F53"/>
    <w:rsid w:val="00C47EF9"/>
    <w:rsid w:val="00C5018C"/>
    <w:rsid w:val="00C501AA"/>
    <w:rsid w:val="00C510F2"/>
    <w:rsid w:val="00C515AE"/>
    <w:rsid w:val="00C51AA9"/>
    <w:rsid w:val="00C525ED"/>
    <w:rsid w:val="00C52AF6"/>
    <w:rsid w:val="00C5347E"/>
    <w:rsid w:val="00C5393B"/>
    <w:rsid w:val="00C5400F"/>
    <w:rsid w:val="00C542B0"/>
    <w:rsid w:val="00C54C38"/>
    <w:rsid w:val="00C54E8D"/>
    <w:rsid w:val="00C5509D"/>
    <w:rsid w:val="00C55178"/>
    <w:rsid w:val="00C55737"/>
    <w:rsid w:val="00C559B3"/>
    <w:rsid w:val="00C561D1"/>
    <w:rsid w:val="00C563AD"/>
    <w:rsid w:val="00C563CC"/>
    <w:rsid w:val="00C56425"/>
    <w:rsid w:val="00C56DEE"/>
    <w:rsid w:val="00C57B72"/>
    <w:rsid w:val="00C57CC8"/>
    <w:rsid w:val="00C57E8A"/>
    <w:rsid w:val="00C606B0"/>
    <w:rsid w:val="00C609E3"/>
    <w:rsid w:val="00C61B03"/>
    <w:rsid w:val="00C61C57"/>
    <w:rsid w:val="00C61FFA"/>
    <w:rsid w:val="00C628A9"/>
    <w:rsid w:val="00C62F93"/>
    <w:rsid w:val="00C62FD1"/>
    <w:rsid w:val="00C63795"/>
    <w:rsid w:val="00C63D83"/>
    <w:rsid w:val="00C64926"/>
    <w:rsid w:val="00C65989"/>
    <w:rsid w:val="00C65DAA"/>
    <w:rsid w:val="00C65FD1"/>
    <w:rsid w:val="00C66AD5"/>
    <w:rsid w:val="00C66E0A"/>
    <w:rsid w:val="00C67E1B"/>
    <w:rsid w:val="00C70B5B"/>
    <w:rsid w:val="00C70D40"/>
    <w:rsid w:val="00C71028"/>
    <w:rsid w:val="00C710B1"/>
    <w:rsid w:val="00C715FF"/>
    <w:rsid w:val="00C71AB8"/>
    <w:rsid w:val="00C7229A"/>
    <w:rsid w:val="00C722B6"/>
    <w:rsid w:val="00C7284A"/>
    <w:rsid w:val="00C72D70"/>
    <w:rsid w:val="00C72FA1"/>
    <w:rsid w:val="00C7381C"/>
    <w:rsid w:val="00C73FC7"/>
    <w:rsid w:val="00C73FE3"/>
    <w:rsid w:val="00C746CA"/>
    <w:rsid w:val="00C74D14"/>
    <w:rsid w:val="00C74F69"/>
    <w:rsid w:val="00C74F93"/>
    <w:rsid w:val="00C7536D"/>
    <w:rsid w:val="00C75628"/>
    <w:rsid w:val="00C75A15"/>
    <w:rsid w:val="00C761A8"/>
    <w:rsid w:val="00C76BC8"/>
    <w:rsid w:val="00C7750E"/>
    <w:rsid w:val="00C77ACF"/>
    <w:rsid w:val="00C77AFB"/>
    <w:rsid w:val="00C77CF8"/>
    <w:rsid w:val="00C805A2"/>
    <w:rsid w:val="00C8088B"/>
    <w:rsid w:val="00C80F2F"/>
    <w:rsid w:val="00C81131"/>
    <w:rsid w:val="00C8133F"/>
    <w:rsid w:val="00C82206"/>
    <w:rsid w:val="00C824C2"/>
    <w:rsid w:val="00C82A75"/>
    <w:rsid w:val="00C83BF9"/>
    <w:rsid w:val="00C841A4"/>
    <w:rsid w:val="00C84AC6"/>
    <w:rsid w:val="00C85A2D"/>
    <w:rsid w:val="00C85A69"/>
    <w:rsid w:val="00C85DDA"/>
    <w:rsid w:val="00C85F39"/>
    <w:rsid w:val="00C86339"/>
    <w:rsid w:val="00C86A3E"/>
    <w:rsid w:val="00C86C1A"/>
    <w:rsid w:val="00C86E25"/>
    <w:rsid w:val="00C86E36"/>
    <w:rsid w:val="00C879B0"/>
    <w:rsid w:val="00C87C8A"/>
    <w:rsid w:val="00C90823"/>
    <w:rsid w:val="00C9096F"/>
    <w:rsid w:val="00C91400"/>
    <w:rsid w:val="00C91622"/>
    <w:rsid w:val="00C91F9E"/>
    <w:rsid w:val="00C9319E"/>
    <w:rsid w:val="00C937DE"/>
    <w:rsid w:val="00C93AA6"/>
    <w:rsid w:val="00C9453E"/>
    <w:rsid w:val="00C94578"/>
    <w:rsid w:val="00C945CE"/>
    <w:rsid w:val="00C9469B"/>
    <w:rsid w:val="00C95958"/>
    <w:rsid w:val="00C95B4B"/>
    <w:rsid w:val="00C97016"/>
    <w:rsid w:val="00C974F7"/>
    <w:rsid w:val="00C97E42"/>
    <w:rsid w:val="00CA030B"/>
    <w:rsid w:val="00CA076A"/>
    <w:rsid w:val="00CA1697"/>
    <w:rsid w:val="00CA1C8E"/>
    <w:rsid w:val="00CA1CFE"/>
    <w:rsid w:val="00CA2497"/>
    <w:rsid w:val="00CA28B4"/>
    <w:rsid w:val="00CA3139"/>
    <w:rsid w:val="00CA31D0"/>
    <w:rsid w:val="00CA4504"/>
    <w:rsid w:val="00CA47B1"/>
    <w:rsid w:val="00CA486A"/>
    <w:rsid w:val="00CA4CF1"/>
    <w:rsid w:val="00CA4F06"/>
    <w:rsid w:val="00CA54A9"/>
    <w:rsid w:val="00CA57BA"/>
    <w:rsid w:val="00CA5831"/>
    <w:rsid w:val="00CA5F04"/>
    <w:rsid w:val="00CA65E4"/>
    <w:rsid w:val="00CA6959"/>
    <w:rsid w:val="00CA6A44"/>
    <w:rsid w:val="00CA6B69"/>
    <w:rsid w:val="00CA7001"/>
    <w:rsid w:val="00CA74F5"/>
    <w:rsid w:val="00CA76BF"/>
    <w:rsid w:val="00CA78F4"/>
    <w:rsid w:val="00CB0287"/>
    <w:rsid w:val="00CB05AE"/>
    <w:rsid w:val="00CB0E73"/>
    <w:rsid w:val="00CB10C9"/>
    <w:rsid w:val="00CB1230"/>
    <w:rsid w:val="00CB1305"/>
    <w:rsid w:val="00CB13C8"/>
    <w:rsid w:val="00CB1A31"/>
    <w:rsid w:val="00CB1AB3"/>
    <w:rsid w:val="00CB23BE"/>
    <w:rsid w:val="00CB2526"/>
    <w:rsid w:val="00CB32CA"/>
    <w:rsid w:val="00CB3756"/>
    <w:rsid w:val="00CB4296"/>
    <w:rsid w:val="00CB4C79"/>
    <w:rsid w:val="00CB4E62"/>
    <w:rsid w:val="00CB5074"/>
    <w:rsid w:val="00CB5ABF"/>
    <w:rsid w:val="00CB5C0E"/>
    <w:rsid w:val="00CB5E14"/>
    <w:rsid w:val="00CB5F99"/>
    <w:rsid w:val="00CB6141"/>
    <w:rsid w:val="00CB76F7"/>
    <w:rsid w:val="00CB7746"/>
    <w:rsid w:val="00CB7883"/>
    <w:rsid w:val="00CB7B08"/>
    <w:rsid w:val="00CC00A9"/>
    <w:rsid w:val="00CC091D"/>
    <w:rsid w:val="00CC0A10"/>
    <w:rsid w:val="00CC0E83"/>
    <w:rsid w:val="00CC121D"/>
    <w:rsid w:val="00CC1B65"/>
    <w:rsid w:val="00CC2052"/>
    <w:rsid w:val="00CC26E0"/>
    <w:rsid w:val="00CC2923"/>
    <w:rsid w:val="00CC2FCC"/>
    <w:rsid w:val="00CC3759"/>
    <w:rsid w:val="00CC3937"/>
    <w:rsid w:val="00CC3D4C"/>
    <w:rsid w:val="00CC3DA0"/>
    <w:rsid w:val="00CC4302"/>
    <w:rsid w:val="00CC4A73"/>
    <w:rsid w:val="00CC4DC2"/>
    <w:rsid w:val="00CC4DFB"/>
    <w:rsid w:val="00CC5106"/>
    <w:rsid w:val="00CC595C"/>
    <w:rsid w:val="00CC622C"/>
    <w:rsid w:val="00CC62B7"/>
    <w:rsid w:val="00CC6FBC"/>
    <w:rsid w:val="00CC7944"/>
    <w:rsid w:val="00CC7ED2"/>
    <w:rsid w:val="00CD0258"/>
    <w:rsid w:val="00CD03DF"/>
    <w:rsid w:val="00CD05BF"/>
    <w:rsid w:val="00CD071B"/>
    <w:rsid w:val="00CD0C62"/>
    <w:rsid w:val="00CD1E46"/>
    <w:rsid w:val="00CD2482"/>
    <w:rsid w:val="00CD2ACE"/>
    <w:rsid w:val="00CD313B"/>
    <w:rsid w:val="00CD3156"/>
    <w:rsid w:val="00CD318C"/>
    <w:rsid w:val="00CD359B"/>
    <w:rsid w:val="00CD3F9D"/>
    <w:rsid w:val="00CD424A"/>
    <w:rsid w:val="00CD46AA"/>
    <w:rsid w:val="00CD4917"/>
    <w:rsid w:val="00CD4DEB"/>
    <w:rsid w:val="00CD54BE"/>
    <w:rsid w:val="00CD572F"/>
    <w:rsid w:val="00CD6482"/>
    <w:rsid w:val="00CD6AFC"/>
    <w:rsid w:val="00CE0574"/>
    <w:rsid w:val="00CE196C"/>
    <w:rsid w:val="00CE1B81"/>
    <w:rsid w:val="00CE2141"/>
    <w:rsid w:val="00CE2D99"/>
    <w:rsid w:val="00CE437D"/>
    <w:rsid w:val="00CE4A2E"/>
    <w:rsid w:val="00CE4DAA"/>
    <w:rsid w:val="00CE57C6"/>
    <w:rsid w:val="00CE57CA"/>
    <w:rsid w:val="00CE58E8"/>
    <w:rsid w:val="00CE5A1F"/>
    <w:rsid w:val="00CE5A73"/>
    <w:rsid w:val="00CE6792"/>
    <w:rsid w:val="00CE69A2"/>
    <w:rsid w:val="00CE6EAC"/>
    <w:rsid w:val="00CE74B7"/>
    <w:rsid w:val="00CE754E"/>
    <w:rsid w:val="00CE760C"/>
    <w:rsid w:val="00CE7BF4"/>
    <w:rsid w:val="00CF0730"/>
    <w:rsid w:val="00CF0B05"/>
    <w:rsid w:val="00CF0D0E"/>
    <w:rsid w:val="00CF101E"/>
    <w:rsid w:val="00CF1521"/>
    <w:rsid w:val="00CF1535"/>
    <w:rsid w:val="00CF1635"/>
    <w:rsid w:val="00CF1A1B"/>
    <w:rsid w:val="00CF1ACC"/>
    <w:rsid w:val="00CF1F89"/>
    <w:rsid w:val="00CF256A"/>
    <w:rsid w:val="00CF2A65"/>
    <w:rsid w:val="00CF2F98"/>
    <w:rsid w:val="00CF324A"/>
    <w:rsid w:val="00CF341A"/>
    <w:rsid w:val="00CF357A"/>
    <w:rsid w:val="00CF3F8C"/>
    <w:rsid w:val="00CF4509"/>
    <w:rsid w:val="00CF47EC"/>
    <w:rsid w:val="00CF4A01"/>
    <w:rsid w:val="00CF5164"/>
    <w:rsid w:val="00CF52C4"/>
    <w:rsid w:val="00CF584D"/>
    <w:rsid w:val="00CF5AAD"/>
    <w:rsid w:val="00CF5F55"/>
    <w:rsid w:val="00CF73E3"/>
    <w:rsid w:val="00CF7986"/>
    <w:rsid w:val="00D0076C"/>
    <w:rsid w:val="00D00DD0"/>
    <w:rsid w:val="00D00DDD"/>
    <w:rsid w:val="00D01591"/>
    <w:rsid w:val="00D02530"/>
    <w:rsid w:val="00D029BF"/>
    <w:rsid w:val="00D03550"/>
    <w:rsid w:val="00D035B2"/>
    <w:rsid w:val="00D03BE4"/>
    <w:rsid w:val="00D03D78"/>
    <w:rsid w:val="00D04183"/>
    <w:rsid w:val="00D04761"/>
    <w:rsid w:val="00D0481D"/>
    <w:rsid w:val="00D04B6C"/>
    <w:rsid w:val="00D04CCF"/>
    <w:rsid w:val="00D04F29"/>
    <w:rsid w:val="00D04FF7"/>
    <w:rsid w:val="00D055D7"/>
    <w:rsid w:val="00D057B1"/>
    <w:rsid w:val="00D05A18"/>
    <w:rsid w:val="00D05A2E"/>
    <w:rsid w:val="00D05AEB"/>
    <w:rsid w:val="00D05D6A"/>
    <w:rsid w:val="00D0699D"/>
    <w:rsid w:val="00D0740D"/>
    <w:rsid w:val="00D076A7"/>
    <w:rsid w:val="00D079D3"/>
    <w:rsid w:val="00D07A1B"/>
    <w:rsid w:val="00D07B32"/>
    <w:rsid w:val="00D07F4F"/>
    <w:rsid w:val="00D11819"/>
    <w:rsid w:val="00D11CD2"/>
    <w:rsid w:val="00D11D16"/>
    <w:rsid w:val="00D11DBE"/>
    <w:rsid w:val="00D12967"/>
    <w:rsid w:val="00D12D42"/>
    <w:rsid w:val="00D12D46"/>
    <w:rsid w:val="00D12F21"/>
    <w:rsid w:val="00D139FC"/>
    <w:rsid w:val="00D13A02"/>
    <w:rsid w:val="00D13D36"/>
    <w:rsid w:val="00D1412F"/>
    <w:rsid w:val="00D1431D"/>
    <w:rsid w:val="00D14A18"/>
    <w:rsid w:val="00D14AB5"/>
    <w:rsid w:val="00D152B7"/>
    <w:rsid w:val="00D152FC"/>
    <w:rsid w:val="00D15CF8"/>
    <w:rsid w:val="00D16128"/>
    <w:rsid w:val="00D1637C"/>
    <w:rsid w:val="00D170BD"/>
    <w:rsid w:val="00D170D2"/>
    <w:rsid w:val="00D1765F"/>
    <w:rsid w:val="00D1785E"/>
    <w:rsid w:val="00D200A4"/>
    <w:rsid w:val="00D20188"/>
    <w:rsid w:val="00D204B2"/>
    <w:rsid w:val="00D205B5"/>
    <w:rsid w:val="00D20844"/>
    <w:rsid w:val="00D20BE6"/>
    <w:rsid w:val="00D20EF5"/>
    <w:rsid w:val="00D21550"/>
    <w:rsid w:val="00D229A8"/>
    <w:rsid w:val="00D230AF"/>
    <w:rsid w:val="00D24045"/>
    <w:rsid w:val="00D24DAA"/>
    <w:rsid w:val="00D24FDF"/>
    <w:rsid w:val="00D2505B"/>
    <w:rsid w:val="00D253F6"/>
    <w:rsid w:val="00D256DD"/>
    <w:rsid w:val="00D25903"/>
    <w:rsid w:val="00D259DE"/>
    <w:rsid w:val="00D25E73"/>
    <w:rsid w:val="00D25F72"/>
    <w:rsid w:val="00D262FC"/>
    <w:rsid w:val="00D265DD"/>
    <w:rsid w:val="00D26985"/>
    <w:rsid w:val="00D26B08"/>
    <w:rsid w:val="00D26CDD"/>
    <w:rsid w:val="00D3037D"/>
    <w:rsid w:val="00D30654"/>
    <w:rsid w:val="00D30781"/>
    <w:rsid w:val="00D30C94"/>
    <w:rsid w:val="00D30CA5"/>
    <w:rsid w:val="00D30FC2"/>
    <w:rsid w:val="00D31CE5"/>
    <w:rsid w:val="00D31D2B"/>
    <w:rsid w:val="00D3207A"/>
    <w:rsid w:val="00D32277"/>
    <w:rsid w:val="00D32464"/>
    <w:rsid w:val="00D337AE"/>
    <w:rsid w:val="00D34224"/>
    <w:rsid w:val="00D344A1"/>
    <w:rsid w:val="00D34AAE"/>
    <w:rsid w:val="00D34C57"/>
    <w:rsid w:val="00D35006"/>
    <w:rsid w:val="00D353C7"/>
    <w:rsid w:val="00D35486"/>
    <w:rsid w:val="00D36209"/>
    <w:rsid w:val="00D36279"/>
    <w:rsid w:val="00D362E5"/>
    <w:rsid w:val="00D36818"/>
    <w:rsid w:val="00D369FB"/>
    <w:rsid w:val="00D36CDC"/>
    <w:rsid w:val="00D3729E"/>
    <w:rsid w:val="00D40235"/>
    <w:rsid w:val="00D40290"/>
    <w:rsid w:val="00D41572"/>
    <w:rsid w:val="00D41B3B"/>
    <w:rsid w:val="00D41C9F"/>
    <w:rsid w:val="00D422AD"/>
    <w:rsid w:val="00D43795"/>
    <w:rsid w:val="00D43E93"/>
    <w:rsid w:val="00D446B9"/>
    <w:rsid w:val="00D4478D"/>
    <w:rsid w:val="00D44AFE"/>
    <w:rsid w:val="00D45F78"/>
    <w:rsid w:val="00D4626F"/>
    <w:rsid w:val="00D46FAE"/>
    <w:rsid w:val="00D472E0"/>
    <w:rsid w:val="00D474B5"/>
    <w:rsid w:val="00D475E7"/>
    <w:rsid w:val="00D50235"/>
    <w:rsid w:val="00D5066C"/>
    <w:rsid w:val="00D5069E"/>
    <w:rsid w:val="00D512A4"/>
    <w:rsid w:val="00D516F1"/>
    <w:rsid w:val="00D51906"/>
    <w:rsid w:val="00D5236D"/>
    <w:rsid w:val="00D5259A"/>
    <w:rsid w:val="00D52802"/>
    <w:rsid w:val="00D52DCC"/>
    <w:rsid w:val="00D534C3"/>
    <w:rsid w:val="00D53587"/>
    <w:rsid w:val="00D53B29"/>
    <w:rsid w:val="00D53D60"/>
    <w:rsid w:val="00D54294"/>
    <w:rsid w:val="00D544A9"/>
    <w:rsid w:val="00D549E0"/>
    <w:rsid w:val="00D54B9C"/>
    <w:rsid w:val="00D55321"/>
    <w:rsid w:val="00D55EE2"/>
    <w:rsid w:val="00D56136"/>
    <w:rsid w:val="00D56736"/>
    <w:rsid w:val="00D5679C"/>
    <w:rsid w:val="00D568C4"/>
    <w:rsid w:val="00D56A40"/>
    <w:rsid w:val="00D571FB"/>
    <w:rsid w:val="00D5735B"/>
    <w:rsid w:val="00D578F4"/>
    <w:rsid w:val="00D57C25"/>
    <w:rsid w:val="00D57FC1"/>
    <w:rsid w:val="00D607CE"/>
    <w:rsid w:val="00D61323"/>
    <w:rsid w:val="00D61DF1"/>
    <w:rsid w:val="00D61FF0"/>
    <w:rsid w:val="00D62BC6"/>
    <w:rsid w:val="00D62F61"/>
    <w:rsid w:val="00D63007"/>
    <w:rsid w:val="00D633D4"/>
    <w:rsid w:val="00D6394A"/>
    <w:rsid w:val="00D63A20"/>
    <w:rsid w:val="00D63A5F"/>
    <w:rsid w:val="00D6405B"/>
    <w:rsid w:val="00D647B6"/>
    <w:rsid w:val="00D64941"/>
    <w:rsid w:val="00D64C25"/>
    <w:rsid w:val="00D64CEF"/>
    <w:rsid w:val="00D64FD5"/>
    <w:rsid w:val="00D65431"/>
    <w:rsid w:val="00D657C4"/>
    <w:rsid w:val="00D6588A"/>
    <w:rsid w:val="00D659B7"/>
    <w:rsid w:val="00D65B3D"/>
    <w:rsid w:val="00D661FD"/>
    <w:rsid w:val="00D66D70"/>
    <w:rsid w:val="00D67708"/>
    <w:rsid w:val="00D677AA"/>
    <w:rsid w:val="00D7108D"/>
    <w:rsid w:val="00D711D6"/>
    <w:rsid w:val="00D712B9"/>
    <w:rsid w:val="00D71301"/>
    <w:rsid w:val="00D716FD"/>
    <w:rsid w:val="00D718DE"/>
    <w:rsid w:val="00D71C3F"/>
    <w:rsid w:val="00D7391F"/>
    <w:rsid w:val="00D741D6"/>
    <w:rsid w:val="00D74694"/>
    <w:rsid w:val="00D746C3"/>
    <w:rsid w:val="00D74BBD"/>
    <w:rsid w:val="00D75415"/>
    <w:rsid w:val="00D75541"/>
    <w:rsid w:val="00D7570F"/>
    <w:rsid w:val="00D75910"/>
    <w:rsid w:val="00D76972"/>
    <w:rsid w:val="00D8053A"/>
    <w:rsid w:val="00D806FF"/>
    <w:rsid w:val="00D80CB3"/>
    <w:rsid w:val="00D81296"/>
    <w:rsid w:val="00D81A43"/>
    <w:rsid w:val="00D82184"/>
    <w:rsid w:val="00D8298B"/>
    <w:rsid w:val="00D82DEE"/>
    <w:rsid w:val="00D8365A"/>
    <w:rsid w:val="00D839A1"/>
    <w:rsid w:val="00D83A93"/>
    <w:rsid w:val="00D83F3F"/>
    <w:rsid w:val="00D8476C"/>
    <w:rsid w:val="00D851F0"/>
    <w:rsid w:val="00D85564"/>
    <w:rsid w:val="00D85A4E"/>
    <w:rsid w:val="00D87257"/>
    <w:rsid w:val="00D87282"/>
    <w:rsid w:val="00D8753F"/>
    <w:rsid w:val="00D87D72"/>
    <w:rsid w:val="00D9051B"/>
    <w:rsid w:val="00D909B1"/>
    <w:rsid w:val="00D90DB9"/>
    <w:rsid w:val="00D918BE"/>
    <w:rsid w:val="00D92DCE"/>
    <w:rsid w:val="00D92F51"/>
    <w:rsid w:val="00D937A3"/>
    <w:rsid w:val="00D93DB5"/>
    <w:rsid w:val="00D93ECA"/>
    <w:rsid w:val="00D93F8A"/>
    <w:rsid w:val="00D942F4"/>
    <w:rsid w:val="00D9451F"/>
    <w:rsid w:val="00D94688"/>
    <w:rsid w:val="00D94D4F"/>
    <w:rsid w:val="00D955C3"/>
    <w:rsid w:val="00D95C57"/>
    <w:rsid w:val="00D96295"/>
    <w:rsid w:val="00D96436"/>
    <w:rsid w:val="00D96B61"/>
    <w:rsid w:val="00D96C1E"/>
    <w:rsid w:val="00D9741B"/>
    <w:rsid w:val="00D97D61"/>
    <w:rsid w:val="00D97FB3"/>
    <w:rsid w:val="00DA05E2"/>
    <w:rsid w:val="00DA06FB"/>
    <w:rsid w:val="00DA085D"/>
    <w:rsid w:val="00DA08D0"/>
    <w:rsid w:val="00DA0CF8"/>
    <w:rsid w:val="00DA0E37"/>
    <w:rsid w:val="00DA2709"/>
    <w:rsid w:val="00DA3016"/>
    <w:rsid w:val="00DA3093"/>
    <w:rsid w:val="00DA36BD"/>
    <w:rsid w:val="00DA39C6"/>
    <w:rsid w:val="00DA3D4F"/>
    <w:rsid w:val="00DA3F9C"/>
    <w:rsid w:val="00DA41F5"/>
    <w:rsid w:val="00DA4B10"/>
    <w:rsid w:val="00DA4C43"/>
    <w:rsid w:val="00DA4F32"/>
    <w:rsid w:val="00DA503C"/>
    <w:rsid w:val="00DA5178"/>
    <w:rsid w:val="00DA5655"/>
    <w:rsid w:val="00DA5A4C"/>
    <w:rsid w:val="00DA66B4"/>
    <w:rsid w:val="00DA6810"/>
    <w:rsid w:val="00DA6916"/>
    <w:rsid w:val="00DA7124"/>
    <w:rsid w:val="00DA797D"/>
    <w:rsid w:val="00DA79B8"/>
    <w:rsid w:val="00DB00CD"/>
    <w:rsid w:val="00DB08DD"/>
    <w:rsid w:val="00DB0AC8"/>
    <w:rsid w:val="00DB1732"/>
    <w:rsid w:val="00DB1735"/>
    <w:rsid w:val="00DB22E8"/>
    <w:rsid w:val="00DB2355"/>
    <w:rsid w:val="00DB245E"/>
    <w:rsid w:val="00DB2909"/>
    <w:rsid w:val="00DB41B9"/>
    <w:rsid w:val="00DB4479"/>
    <w:rsid w:val="00DB4D00"/>
    <w:rsid w:val="00DB4D31"/>
    <w:rsid w:val="00DB4FF0"/>
    <w:rsid w:val="00DB5026"/>
    <w:rsid w:val="00DB5BB9"/>
    <w:rsid w:val="00DB6740"/>
    <w:rsid w:val="00DB731A"/>
    <w:rsid w:val="00DC0581"/>
    <w:rsid w:val="00DC0615"/>
    <w:rsid w:val="00DC083B"/>
    <w:rsid w:val="00DC0BD0"/>
    <w:rsid w:val="00DC1062"/>
    <w:rsid w:val="00DC1250"/>
    <w:rsid w:val="00DC1ABB"/>
    <w:rsid w:val="00DC282B"/>
    <w:rsid w:val="00DC2A45"/>
    <w:rsid w:val="00DC32CB"/>
    <w:rsid w:val="00DC35A6"/>
    <w:rsid w:val="00DC3B44"/>
    <w:rsid w:val="00DC4594"/>
    <w:rsid w:val="00DC463C"/>
    <w:rsid w:val="00DC4E37"/>
    <w:rsid w:val="00DC5502"/>
    <w:rsid w:val="00DC5741"/>
    <w:rsid w:val="00DC5AAA"/>
    <w:rsid w:val="00DC651C"/>
    <w:rsid w:val="00DC652C"/>
    <w:rsid w:val="00DC6644"/>
    <w:rsid w:val="00DC7A26"/>
    <w:rsid w:val="00DC7F18"/>
    <w:rsid w:val="00DD0070"/>
    <w:rsid w:val="00DD00C0"/>
    <w:rsid w:val="00DD0264"/>
    <w:rsid w:val="00DD1B58"/>
    <w:rsid w:val="00DD1BA7"/>
    <w:rsid w:val="00DD2449"/>
    <w:rsid w:val="00DD265C"/>
    <w:rsid w:val="00DD2ECF"/>
    <w:rsid w:val="00DD303D"/>
    <w:rsid w:val="00DD394B"/>
    <w:rsid w:val="00DD39F9"/>
    <w:rsid w:val="00DD3BAD"/>
    <w:rsid w:val="00DD49A7"/>
    <w:rsid w:val="00DD5948"/>
    <w:rsid w:val="00DD5C50"/>
    <w:rsid w:val="00DD66EA"/>
    <w:rsid w:val="00DD7086"/>
    <w:rsid w:val="00DD70F0"/>
    <w:rsid w:val="00DD7F12"/>
    <w:rsid w:val="00DE02CE"/>
    <w:rsid w:val="00DE0331"/>
    <w:rsid w:val="00DE0CF0"/>
    <w:rsid w:val="00DE1100"/>
    <w:rsid w:val="00DE2C3F"/>
    <w:rsid w:val="00DE2F99"/>
    <w:rsid w:val="00DE3265"/>
    <w:rsid w:val="00DE37F8"/>
    <w:rsid w:val="00DE3AFC"/>
    <w:rsid w:val="00DE3D78"/>
    <w:rsid w:val="00DE3E90"/>
    <w:rsid w:val="00DE41CB"/>
    <w:rsid w:val="00DE477F"/>
    <w:rsid w:val="00DE4DA4"/>
    <w:rsid w:val="00DE4FD3"/>
    <w:rsid w:val="00DE55DB"/>
    <w:rsid w:val="00DE5BBC"/>
    <w:rsid w:val="00DE6096"/>
    <w:rsid w:val="00DE6469"/>
    <w:rsid w:val="00DE6736"/>
    <w:rsid w:val="00DE690D"/>
    <w:rsid w:val="00DE69C1"/>
    <w:rsid w:val="00DE7EB7"/>
    <w:rsid w:val="00DF00B2"/>
    <w:rsid w:val="00DF0C78"/>
    <w:rsid w:val="00DF10E8"/>
    <w:rsid w:val="00DF161A"/>
    <w:rsid w:val="00DF1760"/>
    <w:rsid w:val="00DF24B0"/>
    <w:rsid w:val="00DF27A2"/>
    <w:rsid w:val="00DF368A"/>
    <w:rsid w:val="00DF3C98"/>
    <w:rsid w:val="00DF435D"/>
    <w:rsid w:val="00DF4684"/>
    <w:rsid w:val="00DF609B"/>
    <w:rsid w:val="00DF632F"/>
    <w:rsid w:val="00DF66F9"/>
    <w:rsid w:val="00DF6ACA"/>
    <w:rsid w:val="00DF788B"/>
    <w:rsid w:val="00DF7F0D"/>
    <w:rsid w:val="00E0030E"/>
    <w:rsid w:val="00E01126"/>
    <w:rsid w:val="00E0170C"/>
    <w:rsid w:val="00E01BC0"/>
    <w:rsid w:val="00E02126"/>
    <w:rsid w:val="00E02CCF"/>
    <w:rsid w:val="00E02DBD"/>
    <w:rsid w:val="00E0381E"/>
    <w:rsid w:val="00E0407D"/>
    <w:rsid w:val="00E0438B"/>
    <w:rsid w:val="00E048D3"/>
    <w:rsid w:val="00E0515F"/>
    <w:rsid w:val="00E052C0"/>
    <w:rsid w:val="00E05776"/>
    <w:rsid w:val="00E06323"/>
    <w:rsid w:val="00E0648B"/>
    <w:rsid w:val="00E06522"/>
    <w:rsid w:val="00E067B6"/>
    <w:rsid w:val="00E06B01"/>
    <w:rsid w:val="00E06E80"/>
    <w:rsid w:val="00E074E8"/>
    <w:rsid w:val="00E078BC"/>
    <w:rsid w:val="00E07C64"/>
    <w:rsid w:val="00E07D64"/>
    <w:rsid w:val="00E10519"/>
    <w:rsid w:val="00E1069B"/>
    <w:rsid w:val="00E10F08"/>
    <w:rsid w:val="00E11B67"/>
    <w:rsid w:val="00E11C8A"/>
    <w:rsid w:val="00E121A5"/>
    <w:rsid w:val="00E12234"/>
    <w:rsid w:val="00E12426"/>
    <w:rsid w:val="00E1316E"/>
    <w:rsid w:val="00E13A34"/>
    <w:rsid w:val="00E13BF9"/>
    <w:rsid w:val="00E15B52"/>
    <w:rsid w:val="00E15DA0"/>
    <w:rsid w:val="00E15ECD"/>
    <w:rsid w:val="00E16415"/>
    <w:rsid w:val="00E16E35"/>
    <w:rsid w:val="00E175F7"/>
    <w:rsid w:val="00E17E0D"/>
    <w:rsid w:val="00E17FED"/>
    <w:rsid w:val="00E2052D"/>
    <w:rsid w:val="00E207B8"/>
    <w:rsid w:val="00E20DB3"/>
    <w:rsid w:val="00E21215"/>
    <w:rsid w:val="00E21A5A"/>
    <w:rsid w:val="00E21EE9"/>
    <w:rsid w:val="00E22870"/>
    <w:rsid w:val="00E23EDB"/>
    <w:rsid w:val="00E2443C"/>
    <w:rsid w:val="00E25208"/>
    <w:rsid w:val="00E252E3"/>
    <w:rsid w:val="00E25360"/>
    <w:rsid w:val="00E255CC"/>
    <w:rsid w:val="00E25F05"/>
    <w:rsid w:val="00E26B08"/>
    <w:rsid w:val="00E26CED"/>
    <w:rsid w:val="00E26E55"/>
    <w:rsid w:val="00E2704B"/>
    <w:rsid w:val="00E2712D"/>
    <w:rsid w:val="00E27238"/>
    <w:rsid w:val="00E275D2"/>
    <w:rsid w:val="00E30127"/>
    <w:rsid w:val="00E31445"/>
    <w:rsid w:val="00E32286"/>
    <w:rsid w:val="00E32988"/>
    <w:rsid w:val="00E32A57"/>
    <w:rsid w:val="00E32B71"/>
    <w:rsid w:val="00E33222"/>
    <w:rsid w:val="00E33E81"/>
    <w:rsid w:val="00E33EEC"/>
    <w:rsid w:val="00E34054"/>
    <w:rsid w:val="00E34A13"/>
    <w:rsid w:val="00E3529C"/>
    <w:rsid w:val="00E354A8"/>
    <w:rsid w:val="00E35BEB"/>
    <w:rsid w:val="00E35E43"/>
    <w:rsid w:val="00E3611E"/>
    <w:rsid w:val="00E366F9"/>
    <w:rsid w:val="00E3678C"/>
    <w:rsid w:val="00E37A11"/>
    <w:rsid w:val="00E37B2B"/>
    <w:rsid w:val="00E40156"/>
    <w:rsid w:val="00E404FD"/>
    <w:rsid w:val="00E40E72"/>
    <w:rsid w:val="00E40FCE"/>
    <w:rsid w:val="00E418D8"/>
    <w:rsid w:val="00E42602"/>
    <w:rsid w:val="00E42A13"/>
    <w:rsid w:val="00E431BD"/>
    <w:rsid w:val="00E433C6"/>
    <w:rsid w:val="00E43DF0"/>
    <w:rsid w:val="00E44162"/>
    <w:rsid w:val="00E4514C"/>
    <w:rsid w:val="00E4563B"/>
    <w:rsid w:val="00E456AC"/>
    <w:rsid w:val="00E456D8"/>
    <w:rsid w:val="00E459A6"/>
    <w:rsid w:val="00E45A3B"/>
    <w:rsid w:val="00E45CB1"/>
    <w:rsid w:val="00E46F75"/>
    <w:rsid w:val="00E47248"/>
    <w:rsid w:val="00E47518"/>
    <w:rsid w:val="00E47E79"/>
    <w:rsid w:val="00E506FF"/>
    <w:rsid w:val="00E517A2"/>
    <w:rsid w:val="00E520F0"/>
    <w:rsid w:val="00E52786"/>
    <w:rsid w:val="00E5334E"/>
    <w:rsid w:val="00E538D2"/>
    <w:rsid w:val="00E555A4"/>
    <w:rsid w:val="00E55E35"/>
    <w:rsid w:val="00E55E4D"/>
    <w:rsid w:val="00E55F15"/>
    <w:rsid w:val="00E56F8D"/>
    <w:rsid w:val="00E57036"/>
    <w:rsid w:val="00E57041"/>
    <w:rsid w:val="00E573DA"/>
    <w:rsid w:val="00E57AAF"/>
    <w:rsid w:val="00E60035"/>
    <w:rsid w:val="00E6011E"/>
    <w:rsid w:val="00E60150"/>
    <w:rsid w:val="00E601D6"/>
    <w:rsid w:val="00E60630"/>
    <w:rsid w:val="00E61157"/>
    <w:rsid w:val="00E614CD"/>
    <w:rsid w:val="00E61948"/>
    <w:rsid w:val="00E61D77"/>
    <w:rsid w:val="00E61D94"/>
    <w:rsid w:val="00E6264F"/>
    <w:rsid w:val="00E6291F"/>
    <w:rsid w:val="00E635EB"/>
    <w:rsid w:val="00E63AD1"/>
    <w:rsid w:val="00E6414B"/>
    <w:rsid w:val="00E6474D"/>
    <w:rsid w:val="00E65642"/>
    <w:rsid w:val="00E6572B"/>
    <w:rsid w:val="00E659B2"/>
    <w:rsid w:val="00E65BC8"/>
    <w:rsid w:val="00E65DBB"/>
    <w:rsid w:val="00E66E9A"/>
    <w:rsid w:val="00E66F2B"/>
    <w:rsid w:val="00E675A9"/>
    <w:rsid w:val="00E7042E"/>
    <w:rsid w:val="00E706C8"/>
    <w:rsid w:val="00E70B10"/>
    <w:rsid w:val="00E70E31"/>
    <w:rsid w:val="00E7120F"/>
    <w:rsid w:val="00E714D6"/>
    <w:rsid w:val="00E71F27"/>
    <w:rsid w:val="00E72245"/>
    <w:rsid w:val="00E72379"/>
    <w:rsid w:val="00E727C1"/>
    <w:rsid w:val="00E729F8"/>
    <w:rsid w:val="00E72B47"/>
    <w:rsid w:val="00E72D2D"/>
    <w:rsid w:val="00E72D4C"/>
    <w:rsid w:val="00E732D5"/>
    <w:rsid w:val="00E7395A"/>
    <w:rsid w:val="00E73FD7"/>
    <w:rsid w:val="00E73FE5"/>
    <w:rsid w:val="00E74138"/>
    <w:rsid w:val="00E745E3"/>
    <w:rsid w:val="00E747E8"/>
    <w:rsid w:val="00E74C20"/>
    <w:rsid w:val="00E75390"/>
    <w:rsid w:val="00E757B4"/>
    <w:rsid w:val="00E75943"/>
    <w:rsid w:val="00E75B21"/>
    <w:rsid w:val="00E75C48"/>
    <w:rsid w:val="00E7654F"/>
    <w:rsid w:val="00E76E5F"/>
    <w:rsid w:val="00E77315"/>
    <w:rsid w:val="00E773D6"/>
    <w:rsid w:val="00E77E92"/>
    <w:rsid w:val="00E77FE9"/>
    <w:rsid w:val="00E80AB6"/>
    <w:rsid w:val="00E80E80"/>
    <w:rsid w:val="00E81463"/>
    <w:rsid w:val="00E81A30"/>
    <w:rsid w:val="00E81FB8"/>
    <w:rsid w:val="00E82701"/>
    <w:rsid w:val="00E8296E"/>
    <w:rsid w:val="00E83153"/>
    <w:rsid w:val="00E8352B"/>
    <w:rsid w:val="00E83570"/>
    <w:rsid w:val="00E83937"/>
    <w:rsid w:val="00E83BB3"/>
    <w:rsid w:val="00E83DD2"/>
    <w:rsid w:val="00E8403C"/>
    <w:rsid w:val="00E840A7"/>
    <w:rsid w:val="00E8446E"/>
    <w:rsid w:val="00E845C4"/>
    <w:rsid w:val="00E84EEF"/>
    <w:rsid w:val="00E85862"/>
    <w:rsid w:val="00E85C9E"/>
    <w:rsid w:val="00E8611B"/>
    <w:rsid w:val="00E8664A"/>
    <w:rsid w:val="00E8689E"/>
    <w:rsid w:val="00E86D79"/>
    <w:rsid w:val="00E90076"/>
    <w:rsid w:val="00E90AAC"/>
    <w:rsid w:val="00E90D09"/>
    <w:rsid w:val="00E9128C"/>
    <w:rsid w:val="00E9138F"/>
    <w:rsid w:val="00E92026"/>
    <w:rsid w:val="00E92423"/>
    <w:rsid w:val="00E924E9"/>
    <w:rsid w:val="00E9283E"/>
    <w:rsid w:val="00E92B18"/>
    <w:rsid w:val="00E92E2D"/>
    <w:rsid w:val="00E946C1"/>
    <w:rsid w:val="00E94CA3"/>
    <w:rsid w:val="00E95084"/>
    <w:rsid w:val="00E95485"/>
    <w:rsid w:val="00E95D2A"/>
    <w:rsid w:val="00E95E77"/>
    <w:rsid w:val="00E96488"/>
    <w:rsid w:val="00E96F0B"/>
    <w:rsid w:val="00EA0751"/>
    <w:rsid w:val="00EA095C"/>
    <w:rsid w:val="00EA0AE7"/>
    <w:rsid w:val="00EA0C05"/>
    <w:rsid w:val="00EA130A"/>
    <w:rsid w:val="00EA140A"/>
    <w:rsid w:val="00EA15E5"/>
    <w:rsid w:val="00EA1899"/>
    <w:rsid w:val="00EA192F"/>
    <w:rsid w:val="00EA20C2"/>
    <w:rsid w:val="00EA2FC2"/>
    <w:rsid w:val="00EA31C3"/>
    <w:rsid w:val="00EA32B7"/>
    <w:rsid w:val="00EA3363"/>
    <w:rsid w:val="00EA3385"/>
    <w:rsid w:val="00EA341E"/>
    <w:rsid w:val="00EA36F4"/>
    <w:rsid w:val="00EA3D7F"/>
    <w:rsid w:val="00EA49D5"/>
    <w:rsid w:val="00EA4AF3"/>
    <w:rsid w:val="00EA4B29"/>
    <w:rsid w:val="00EA4BBC"/>
    <w:rsid w:val="00EA564E"/>
    <w:rsid w:val="00EA5B81"/>
    <w:rsid w:val="00EA6B72"/>
    <w:rsid w:val="00EA715D"/>
    <w:rsid w:val="00EA7213"/>
    <w:rsid w:val="00EA7923"/>
    <w:rsid w:val="00EA7C51"/>
    <w:rsid w:val="00EA7CE3"/>
    <w:rsid w:val="00EB00F6"/>
    <w:rsid w:val="00EB0574"/>
    <w:rsid w:val="00EB08F0"/>
    <w:rsid w:val="00EB0A68"/>
    <w:rsid w:val="00EB0BE6"/>
    <w:rsid w:val="00EB128E"/>
    <w:rsid w:val="00EB12F6"/>
    <w:rsid w:val="00EB144C"/>
    <w:rsid w:val="00EB1C35"/>
    <w:rsid w:val="00EB232A"/>
    <w:rsid w:val="00EB2416"/>
    <w:rsid w:val="00EB2621"/>
    <w:rsid w:val="00EB3152"/>
    <w:rsid w:val="00EB31B5"/>
    <w:rsid w:val="00EB343B"/>
    <w:rsid w:val="00EB3C39"/>
    <w:rsid w:val="00EB43A4"/>
    <w:rsid w:val="00EB49F1"/>
    <w:rsid w:val="00EB517D"/>
    <w:rsid w:val="00EB52E8"/>
    <w:rsid w:val="00EB54F2"/>
    <w:rsid w:val="00EB594A"/>
    <w:rsid w:val="00EB59AF"/>
    <w:rsid w:val="00EB5E13"/>
    <w:rsid w:val="00EB5F2B"/>
    <w:rsid w:val="00EB7A9B"/>
    <w:rsid w:val="00EB7BB6"/>
    <w:rsid w:val="00EC0448"/>
    <w:rsid w:val="00EC0537"/>
    <w:rsid w:val="00EC056F"/>
    <w:rsid w:val="00EC191A"/>
    <w:rsid w:val="00EC1D25"/>
    <w:rsid w:val="00EC3169"/>
    <w:rsid w:val="00EC32CE"/>
    <w:rsid w:val="00EC3911"/>
    <w:rsid w:val="00EC4419"/>
    <w:rsid w:val="00EC4899"/>
    <w:rsid w:val="00EC5195"/>
    <w:rsid w:val="00EC5D18"/>
    <w:rsid w:val="00EC688B"/>
    <w:rsid w:val="00EC6BCB"/>
    <w:rsid w:val="00EC794E"/>
    <w:rsid w:val="00EC7F20"/>
    <w:rsid w:val="00ED0018"/>
    <w:rsid w:val="00ED0173"/>
    <w:rsid w:val="00ED0D07"/>
    <w:rsid w:val="00ED0F85"/>
    <w:rsid w:val="00ED13A4"/>
    <w:rsid w:val="00ED1890"/>
    <w:rsid w:val="00ED18CA"/>
    <w:rsid w:val="00ED1EC7"/>
    <w:rsid w:val="00ED26C8"/>
    <w:rsid w:val="00ED3290"/>
    <w:rsid w:val="00ED4A57"/>
    <w:rsid w:val="00ED54D2"/>
    <w:rsid w:val="00ED5EF8"/>
    <w:rsid w:val="00ED5F3D"/>
    <w:rsid w:val="00ED62DD"/>
    <w:rsid w:val="00ED6569"/>
    <w:rsid w:val="00ED6890"/>
    <w:rsid w:val="00ED68A2"/>
    <w:rsid w:val="00ED6BED"/>
    <w:rsid w:val="00ED6E37"/>
    <w:rsid w:val="00ED7169"/>
    <w:rsid w:val="00ED763E"/>
    <w:rsid w:val="00ED7954"/>
    <w:rsid w:val="00ED7B78"/>
    <w:rsid w:val="00ED7BB7"/>
    <w:rsid w:val="00EE024C"/>
    <w:rsid w:val="00EE1DB8"/>
    <w:rsid w:val="00EE39B9"/>
    <w:rsid w:val="00EE3EBB"/>
    <w:rsid w:val="00EE3EE1"/>
    <w:rsid w:val="00EE3FD6"/>
    <w:rsid w:val="00EE4453"/>
    <w:rsid w:val="00EE449B"/>
    <w:rsid w:val="00EE4AE5"/>
    <w:rsid w:val="00EE4F54"/>
    <w:rsid w:val="00EE52E6"/>
    <w:rsid w:val="00EE5800"/>
    <w:rsid w:val="00EE5BBD"/>
    <w:rsid w:val="00EE6329"/>
    <w:rsid w:val="00EE67EF"/>
    <w:rsid w:val="00EE7392"/>
    <w:rsid w:val="00EE74D9"/>
    <w:rsid w:val="00EE74E7"/>
    <w:rsid w:val="00EE78E8"/>
    <w:rsid w:val="00EE7D1B"/>
    <w:rsid w:val="00EE7ED1"/>
    <w:rsid w:val="00EF0040"/>
    <w:rsid w:val="00EF02EA"/>
    <w:rsid w:val="00EF052C"/>
    <w:rsid w:val="00EF0EFF"/>
    <w:rsid w:val="00EF0FD6"/>
    <w:rsid w:val="00EF101D"/>
    <w:rsid w:val="00EF12D0"/>
    <w:rsid w:val="00EF23A6"/>
    <w:rsid w:val="00EF2E2F"/>
    <w:rsid w:val="00EF3A41"/>
    <w:rsid w:val="00EF461A"/>
    <w:rsid w:val="00EF523F"/>
    <w:rsid w:val="00EF5A03"/>
    <w:rsid w:val="00EF5F18"/>
    <w:rsid w:val="00EF5F27"/>
    <w:rsid w:val="00EF6199"/>
    <w:rsid w:val="00EF61DF"/>
    <w:rsid w:val="00EF6710"/>
    <w:rsid w:val="00EF69F7"/>
    <w:rsid w:val="00EF6F3E"/>
    <w:rsid w:val="00EF776B"/>
    <w:rsid w:val="00EF7AEC"/>
    <w:rsid w:val="00F00277"/>
    <w:rsid w:val="00F00565"/>
    <w:rsid w:val="00F007BE"/>
    <w:rsid w:val="00F01153"/>
    <w:rsid w:val="00F016EC"/>
    <w:rsid w:val="00F01C94"/>
    <w:rsid w:val="00F020A6"/>
    <w:rsid w:val="00F023EA"/>
    <w:rsid w:val="00F02A45"/>
    <w:rsid w:val="00F02A6B"/>
    <w:rsid w:val="00F02A78"/>
    <w:rsid w:val="00F03243"/>
    <w:rsid w:val="00F03414"/>
    <w:rsid w:val="00F0367C"/>
    <w:rsid w:val="00F03B00"/>
    <w:rsid w:val="00F0420B"/>
    <w:rsid w:val="00F052BC"/>
    <w:rsid w:val="00F05473"/>
    <w:rsid w:val="00F0586E"/>
    <w:rsid w:val="00F0592E"/>
    <w:rsid w:val="00F05B1C"/>
    <w:rsid w:val="00F0689D"/>
    <w:rsid w:val="00F069E1"/>
    <w:rsid w:val="00F0739F"/>
    <w:rsid w:val="00F076E4"/>
    <w:rsid w:val="00F100F8"/>
    <w:rsid w:val="00F10C8A"/>
    <w:rsid w:val="00F10DC0"/>
    <w:rsid w:val="00F111B3"/>
    <w:rsid w:val="00F114E0"/>
    <w:rsid w:val="00F116CB"/>
    <w:rsid w:val="00F11C27"/>
    <w:rsid w:val="00F11E36"/>
    <w:rsid w:val="00F11E73"/>
    <w:rsid w:val="00F1212C"/>
    <w:rsid w:val="00F12699"/>
    <w:rsid w:val="00F13926"/>
    <w:rsid w:val="00F14A2E"/>
    <w:rsid w:val="00F14A7A"/>
    <w:rsid w:val="00F151FB"/>
    <w:rsid w:val="00F1533D"/>
    <w:rsid w:val="00F158FC"/>
    <w:rsid w:val="00F15A9C"/>
    <w:rsid w:val="00F15B2B"/>
    <w:rsid w:val="00F16895"/>
    <w:rsid w:val="00F16E39"/>
    <w:rsid w:val="00F16EE7"/>
    <w:rsid w:val="00F1714C"/>
    <w:rsid w:val="00F17708"/>
    <w:rsid w:val="00F17934"/>
    <w:rsid w:val="00F17C63"/>
    <w:rsid w:val="00F17D58"/>
    <w:rsid w:val="00F17E2C"/>
    <w:rsid w:val="00F17F74"/>
    <w:rsid w:val="00F207D5"/>
    <w:rsid w:val="00F20E3E"/>
    <w:rsid w:val="00F22CFD"/>
    <w:rsid w:val="00F230F1"/>
    <w:rsid w:val="00F233DA"/>
    <w:rsid w:val="00F2344E"/>
    <w:rsid w:val="00F2470A"/>
    <w:rsid w:val="00F24FBF"/>
    <w:rsid w:val="00F25342"/>
    <w:rsid w:val="00F263B6"/>
    <w:rsid w:val="00F2666B"/>
    <w:rsid w:val="00F266CF"/>
    <w:rsid w:val="00F26863"/>
    <w:rsid w:val="00F26E8C"/>
    <w:rsid w:val="00F26F77"/>
    <w:rsid w:val="00F2764F"/>
    <w:rsid w:val="00F27EB2"/>
    <w:rsid w:val="00F30309"/>
    <w:rsid w:val="00F30515"/>
    <w:rsid w:val="00F3067E"/>
    <w:rsid w:val="00F30A60"/>
    <w:rsid w:val="00F30D27"/>
    <w:rsid w:val="00F30D4C"/>
    <w:rsid w:val="00F31BD4"/>
    <w:rsid w:val="00F31D4F"/>
    <w:rsid w:val="00F32106"/>
    <w:rsid w:val="00F32265"/>
    <w:rsid w:val="00F324DD"/>
    <w:rsid w:val="00F330B8"/>
    <w:rsid w:val="00F333F0"/>
    <w:rsid w:val="00F334C0"/>
    <w:rsid w:val="00F347D0"/>
    <w:rsid w:val="00F348F2"/>
    <w:rsid w:val="00F34EFC"/>
    <w:rsid w:val="00F35495"/>
    <w:rsid w:val="00F35860"/>
    <w:rsid w:val="00F358D4"/>
    <w:rsid w:val="00F3622F"/>
    <w:rsid w:val="00F36B61"/>
    <w:rsid w:val="00F36B7F"/>
    <w:rsid w:val="00F37729"/>
    <w:rsid w:val="00F37FFA"/>
    <w:rsid w:val="00F40022"/>
    <w:rsid w:val="00F415C9"/>
    <w:rsid w:val="00F41A14"/>
    <w:rsid w:val="00F42445"/>
    <w:rsid w:val="00F42906"/>
    <w:rsid w:val="00F4299A"/>
    <w:rsid w:val="00F42F4D"/>
    <w:rsid w:val="00F43031"/>
    <w:rsid w:val="00F43680"/>
    <w:rsid w:val="00F43BA1"/>
    <w:rsid w:val="00F44B72"/>
    <w:rsid w:val="00F44BBC"/>
    <w:rsid w:val="00F44CA7"/>
    <w:rsid w:val="00F45437"/>
    <w:rsid w:val="00F45C5C"/>
    <w:rsid w:val="00F45EFD"/>
    <w:rsid w:val="00F47143"/>
    <w:rsid w:val="00F47794"/>
    <w:rsid w:val="00F5013E"/>
    <w:rsid w:val="00F50237"/>
    <w:rsid w:val="00F5042D"/>
    <w:rsid w:val="00F506A4"/>
    <w:rsid w:val="00F50A2B"/>
    <w:rsid w:val="00F50EEE"/>
    <w:rsid w:val="00F5110E"/>
    <w:rsid w:val="00F515D3"/>
    <w:rsid w:val="00F5161C"/>
    <w:rsid w:val="00F51DDC"/>
    <w:rsid w:val="00F52985"/>
    <w:rsid w:val="00F52E2A"/>
    <w:rsid w:val="00F5363C"/>
    <w:rsid w:val="00F5378C"/>
    <w:rsid w:val="00F53B14"/>
    <w:rsid w:val="00F53DC6"/>
    <w:rsid w:val="00F54C9A"/>
    <w:rsid w:val="00F54D88"/>
    <w:rsid w:val="00F550A4"/>
    <w:rsid w:val="00F550BA"/>
    <w:rsid w:val="00F557AE"/>
    <w:rsid w:val="00F55AD6"/>
    <w:rsid w:val="00F55B33"/>
    <w:rsid w:val="00F56883"/>
    <w:rsid w:val="00F56B8A"/>
    <w:rsid w:val="00F56CF5"/>
    <w:rsid w:val="00F5706C"/>
    <w:rsid w:val="00F571EE"/>
    <w:rsid w:val="00F578EF"/>
    <w:rsid w:val="00F6010D"/>
    <w:rsid w:val="00F605F3"/>
    <w:rsid w:val="00F60F62"/>
    <w:rsid w:val="00F61A2C"/>
    <w:rsid w:val="00F61E7A"/>
    <w:rsid w:val="00F62217"/>
    <w:rsid w:val="00F62B73"/>
    <w:rsid w:val="00F63289"/>
    <w:rsid w:val="00F63557"/>
    <w:rsid w:val="00F6360D"/>
    <w:rsid w:val="00F63705"/>
    <w:rsid w:val="00F6411E"/>
    <w:rsid w:val="00F6487B"/>
    <w:rsid w:val="00F64E25"/>
    <w:rsid w:val="00F64F87"/>
    <w:rsid w:val="00F65834"/>
    <w:rsid w:val="00F65D9C"/>
    <w:rsid w:val="00F65DF3"/>
    <w:rsid w:val="00F66B75"/>
    <w:rsid w:val="00F66F66"/>
    <w:rsid w:val="00F67A84"/>
    <w:rsid w:val="00F7087F"/>
    <w:rsid w:val="00F70A48"/>
    <w:rsid w:val="00F70D40"/>
    <w:rsid w:val="00F71122"/>
    <w:rsid w:val="00F71400"/>
    <w:rsid w:val="00F719C0"/>
    <w:rsid w:val="00F7285A"/>
    <w:rsid w:val="00F72EF3"/>
    <w:rsid w:val="00F73100"/>
    <w:rsid w:val="00F73D38"/>
    <w:rsid w:val="00F73EC7"/>
    <w:rsid w:val="00F74680"/>
    <w:rsid w:val="00F74D25"/>
    <w:rsid w:val="00F7511D"/>
    <w:rsid w:val="00F75C14"/>
    <w:rsid w:val="00F76234"/>
    <w:rsid w:val="00F762F1"/>
    <w:rsid w:val="00F76348"/>
    <w:rsid w:val="00F763A8"/>
    <w:rsid w:val="00F76685"/>
    <w:rsid w:val="00F77399"/>
    <w:rsid w:val="00F773D8"/>
    <w:rsid w:val="00F77AE0"/>
    <w:rsid w:val="00F77ED6"/>
    <w:rsid w:val="00F809F1"/>
    <w:rsid w:val="00F81789"/>
    <w:rsid w:val="00F820F5"/>
    <w:rsid w:val="00F82C49"/>
    <w:rsid w:val="00F82EDD"/>
    <w:rsid w:val="00F8305E"/>
    <w:rsid w:val="00F83661"/>
    <w:rsid w:val="00F83C32"/>
    <w:rsid w:val="00F83FA5"/>
    <w:rsid w:val="00F8410C"/>
    <w:rsid w:val="00F8502F"/>
    <w:rsid w:val="00F8525C"/>
    <w:rsid w:val="00F859C0"/>
    <w:rsid w:val="00F8678E"/>
    <w:rsid w:val="00F86FCE"/>
    <w:rsid w:val="00F8760A"/>
    <w:rsid w:val="00F90126"/>
    <w:rsid w:val="00F9026A"/>
    <w:rsid w:val="00F9028F"/>
    <w:rsid w:val="00F9048D"/>
    <w:rsid w:val="00F904A8"/>
    <w:rsid w:val="00F9056E"/>
    <w:rsid w:val="00F90927"/>
    <w:rsid w:val="00F90FD3"/>
    <w:rsid w:val="00F914C0"/>
    <w:rsid w:val="00F92013"/>
    <w:rsid w:val="00F923F8"/>
    <w:rsid w:val="00F929BD"/>
    <w:rsid w:val="00F92A22"/>
    <w:rsid w:val="00F92AB7"/>
    <w:rsid w:val="00F94436"/>
    <w:rsid w:val="00F94CBC"/>
    <w:rsid w:val="00F95435"/>
    <w:rsid w:val="00F96E38"/>
    <w:rsid w:val="00F973C3"/>
    <w:rsid w:val="00F97802"/>
    <w:rsid w:val="00FA04BB"/>
    <w:rsid w:val="00FA12E8"/>
    <w:rsid w:val="00FA148A"/>
    <w:rsid w:val="00FA18E0"/>
    <w:rsid w:val="00FA1D72"/>
    <w:rsid w:val="00FA1F75"/>
    <w:rsid w:val="00FA20B6"/>
    <w:rsid w:val="00FA3AF2"/>
    <w:rsid w:val="00FA453E"/>
    <w:rsid w:val="00FA56B9"/>
    <w:rsid w:val="00FA6382"/>
    <w:rsid w:val="00FA6442"/>
    <w:rsid w:val="00FA657D"/>
    <w:rsid w:val="00FA6A76"/>
    <w:rsid w:val="00FA6FD1"/>
    <w:rsid w:val="00FA70DD"/>
    <w:rsid w:val="00FA7646"/>
    <w:rsid w:val="00FA7777"/>
    <w:rsid w:val="00FA7DCE"/>
    <w:rsid w:val="00FB03CD"/>
    <w:rsid w:val="00FB061B"/>
    <w:rsid w:val="00FB103A"/>
    <w:rsid w:val="00FB26C9"/>
    <w:rsid w:val="00FB36D4"/>
    <w:rsid w:val="00FB3AB5"/>
    <w:rsid w:val="00FB3CF3"/>
    <w:rsid w:val="00FB4949"/>
    <w:rsid w:val="00FB496C"/>
    <w:rsid w:val="00FB4D4A"/>
    <w:rsid w:val="00FB4E7C"/>
    <w:rsid w:val="00FB5149"/>
    <w:rsid w:val="00FB55B3"/>
    <w:rsid w:val="00FB5A49"/>
    <w:rsid w:val="00FB5D38"/>
    <w:rsid w:val="00FB6100"/>
    <w:rsid w:val="00FB6273"/>
    <w:rsid w:val="00FB6836"/>
    <w:rsid w:val="00FB7AE8"/>
    <w:rsid w:val="00FB7D35"/>
    <w:rsid w:val="00FB7F4D"/>
    <w:rsid w:val="00FC0FCC"/>
    <w:rsid w:val="00FC1742"/>
    <w:rsid w:val="00FC1872"/>
    <w:rsid w:val="00FC1E76"/>
    <w:rsid w:val="00FC2382"/>
    <w:rsid w:val="00FC2865"/>
    <w:rsid w:val="00FC286B"/>
    <w:rsid w:val="00FC316A"/>
    <w:rsid w:val="00FC482E"/>
    <w:rsid w:val="00FC4A3E"/>
    <w:rsid w:val="00FC4B6E"/>
    <w:rsid w:val="00FC6392"/>
    <w:rsid w:val="00FC775E"/>
    <w:rsid w:val="00FD1B3F"/>
    <w:rsid w:val="00FD2875"/>
    <w:rsid w:val="00FD2FCF"/>
    <w:rsid w:val="00FD3985"/>
    <w:rsid w:val="00FD3D26"/>
    <w:rsid w:val="00FD456D"/>
    <w:rsid w:val="00FD508E"/>
    <w:rsid w:val="00FD538E"/>
    <w:rsid w:val="00FD59EF"/>
    <w:rsid w:val="00FD61E9"/>
    <w:rsid w:val="00FD6660"/>
    <w:rsid w:val="00FD6DD5"/>
    <w:rsid w:val="00FD711F"/>
    <w:rsid w:val="00FD71FE"/>
    <w:rsid w:val="00FD72C9"/>
    <w:rsid w:val="00FD77C3"/>
    <w:rsid w:val="00FD784F"/>
    <w:rsid w:val="00FD7887"/>
    <w:rsid w:val="00FD7B74"/>
    <w:rsid w:val="00FE057C"/>
    <w:rsid w:val="00FE0959"/>
    <w:rsid w:val="00FE1313"/>
    <w:rsid w:val="00FE15E8"/>
    <w:rsid w:val="00FE201A"/>
    <w:rsid w:val="00FE44AE"/>
    <w:rsid w:val="00FE4631"/>
    <w:rsid w:val="00FE4CC1"/>
    <w:rsid w:val="00FE52EA"/>
    <w:rsid w:val="00FE599F"/>
    <w:rsid w:val="00FE5A71"/>
    <w:rsid w:val="00FE5BCF"/>
    <w:rsid w:val="00FE607B"/>
    <w:rsid w:val="00FE678B"/>
    <w:rsid w:val="00FE6BDD"/>
    <w:rsid w:val="00FE6C0D"/>
    <w:rsid w:val="00FE6FF9"/>
    <w:rsid w:val="00FE7589"/>
    <w:rsid w:val="00FE76E7"/>
    <w:rsid w:val="00FF0BE7"/>
    <w:rsid w:val="00FF1537"/>
    <w:rsid w:val="00FF1647"/>
    <w:rsid w:val="00FF1663"/>
    <w:rsid w:val="00FF1B35"/>
    <w:rsid w:val="00FF20B8"/>
    <w:rsid w:val="00FF20DE"/>
    <w:rsid w:val="00FF3653"/>
    <w:rsid w:val="00FF3822"/>
    <w:rsid w:val="00FF4629"/>
    <w:rsid w:val="00FF464A"/>
    <w:rsid w:val="00FF4C31"/>
    <w:rsid w:val="00FF4C84"/>
    <w:rsid w:val="00FF4EA9"/>
    <w:rsid w:val="00FF4ECC"/>
    <w:rsid w:val="00FF579A"/>
    <w:rsid w:val="00FF5A82"/>
    <w:rsid w:val="00FF645A"/>
    <w:rsid w:val="00FF6AE2"/>
    <w:rsid w:val="00FF713E"/>
    <w:rsid w:val="00FF7A79"/>
    <w:rsid w:val="01261F7F"/>
    <w:rsid w:val="0314015E"/>
    <w:rsid w:val="03FCE142"/>
    <w:rsid w:val="0472C1E8"/>
    <w:rsid w:val="04F258D5"/>
    <w:rsid w:val="053BEBAA"/>
    <w:rsid w:val="0599FC74"/>
    <w:rsid w:val="05C2281D"/>
    <w:rsid w:val="05FE4D43"/>
    <w:rsid w:val="07F1B54D"/>
    <w:rsid w:val="07F20D46"/>
    <w:rsid w:val="07FB7744"/>
    <w:rsid w:val="09413C95"/>
    <w:rsid w:val="09E8DF19"/>
    <w:rsid w:val="0BAF530B"/>
    <w:rsid w:val="0BEDFB16"/>
    <w:rsid w:val="0CBDC6DD"/>
    <w:rsid w:val="0D2DCD08"/>
    <w:rsid w:val="0D828D58"/>
    <w:rsid w:val="0DFC21BE"/>
    <w:rsid w:val="0E1B2D8B"/>
    <w:rsid w:val="0F068E0D"/>
    <w:rsid w:val="0F373BED"/>
    <w:rsid w:val="0F5494AB"/>
    <w:rsid w:val="0FAFF4B9"/>
    <w:rsid w:val="0FC8F049"/>
    <w:rsid w:val="0FD796EA"/>
    <w:rsid w:val="10C7267D"/>
    <w:rsid w:val="10E40EBD"/>
    <w:rsid w:val="10F14E06"/>
    <w:rsid w:val="127B9861"/>
    <w:rsid w:val="13946B49"/>
    <w:rsid w:val="13AD9FFA"/>
    <w:rsid w:val="1511CEA6"/>
    <w:rsid w:val="15A7CE31"/>
    <w:rsid w:val="15C8BF29"/>
    <w:rsid w:val="16879CCA"/>
    <w:rsid w:val="16CDE37C"/>
    <w:rsid w:val="182F95FA"/>
    <w:rsid w:val="18A7F058"/>
    <w:rsid w:val="1912FE38"/>
    <w:rsid w:val="19417982"/>
    <w:rsid w:val="19F40F42"/>
    <w:rsid w:val="1B6FE988"/>
    <w:rsid w:val="1C5D4000"/>
    <w:rsid w:val="1C7775FE"/>
    <w:rsid w:val="1CCBC859"/>
    <w:rsid w:val="1CCE12B6"/>
    <w:rsid w:val="1D4B3E24"/>
    <w:rsid w:val="1DFD077C"/>
    <w:rsid w:val="1E61A927"/>
    <w:rsid w:val="1EBECC4E"/>
    <w:rsid w:val="1EC51CC0"/>
    <w:rsid w:val="1F1C8C8C"/>
    <w:rsid w:val="1F3A507B"/>
    <w:rsid w:val="1FEAC831"/>
    <w:rsid w:val="2087D9BF"/>
    <w:rsid w:val="20C3CF66"/>
    <w:rsid w:val="20EB03E4"/>
    <w:rsid w:val="218FBF8C"/>
    <w:rsid w:val="21CD7C4B"/>
    <w:rsid w:val="22327ED8"/>
    <w:rsid w:val="228CC9DC"/>
    <w:rsid w:val="24411619"/>
    <w:rsid w:val="246BE6E9"/>
    <w:rsid w:val="247821AE"/>
    <w:rsid w:val="248CCF67"/>
    <w:rsid w:val="25304C8D"/>
    <w:rsid w:val="257FA1EC"/>
    <w:rsid w:val="2619B809"/>
    <w:rsid w:val="2653EB7A"/>
    <w:rsid w:val="265A51E5"/>
    <w:rsid w:val="26D7AB07"/>
    <w:rsid w:val="2714F74E"/>
    <w:rsid w:val="277FD283"/>
    <w:rsid w:val="28481069"/>
    <w:rsid w:val="284A0069"/>
    <w:rsid w:val="28A0399A"/>
    <w:rsid w:val="2ADDA06F"/>
    <w:rsid w:val="2B79BA78"/>
    <w:rsid w:val="2B8FAF9C"/>
    <w:rsid w:val="2D5AF68B"/>
    <w:rsid w:val="2D6886ED"/>
    <w:rsid w:val="2DCB6618"/>
    <w:rsid w:val="2DD64C92"/>
    <w:rsid w:val="2E2F887B"/>
    <w:rsid w:val="30D8ACAC"/>
    <w:rsid w:val="320EDA90"/>
    <w:rsid w:val="330647B3"/>
    <w:rsid w:val="3320A943"/>
    <w:rsid w:val="33DF4468"/>
    <w:rsid w:val="341CEA51"/>
    <w:rsid w:val="35590007"/>
    <w:rsid w:val="3646BF27"/>
    <w:rsid w:val="36A056F8"/>
    <w:rsid w:val="37496A28"/>
    <w:rsid w:val="375579D4"/>
    <w:rsid w:val="380D2C97"/>
    <w:rsid w:val="385C6E04"/>
    <w:rsid w:val="38ABA2A7"/>
    <w:rsid w:val="3A1AD0D4"/>
    <w:rsid w:val="3A8B20F9"/>
    <w:rsid w:val="3AF69B24"/>
    <w:rsid w:val="3B4589AA"/>
    <w:rsid w:val="3B6A7ECE"/>
    <w:rsid w:val="3CB85D5A"/>
    <w:rsid w:val="3D85D0B0"/>
    <w:rsid w:val="3E043C8B"/>
    <w:rsid w:val="3E180718"/>
    <w:rsid w:val="3E371568"/>
    <w:rsid w:val="3F073BBB"/>
    <w:rsid w:val="3F4756DC"/>
    <w:rsid w:val="3FA1133E"/>
    <w:rsid w:val="41479F56"/>
    <w:rsid w:val="4162D74B"/>
    <w:rsid w:val="41E3AD4A"/>
    <w:rsid w:val="43BCEF19"/>
    <w:rsid w:val="446EC6E2"/>
    <w:rsid w:val="44B8799A"/>
    <w:rsid w:val="44CA5F0F"/>
    <w:rsid w:val="451BC331"/>
    <w:rsid w:val="45EFDC95"/>
    <w:rsid w:val="46F97510"/>
    <w:rsid w:val="47126149"/>
    <w:rsid w:val="47314219"/>
    <w:rsid w:val="47589237"/>
    <w:rsid w:val="47736ADD"/>
    <w:rsid w:val="479CFBB4"/>
    <w:rsid w:val="491608C1"/>
    <w:rsid w:val="49A44F91"/>
    <w:rsid w:val="4AD368CF"/>
    <w:rsid w:val="4AD44FC8"/>
    <w:rsid w:val="4C84D0AD"/>
    <w:rsid w:val="4CB7945B"/>
    <w:rsid w:val="4CDDEB5A"/>
    <w:rsid w:val="4D37E302"/>
    <w:rsid w:val="4D40C38A"/>
    <w:rsid w:val="4E0D82F7"/>
    <w:rsid w:val="5040DCF5"/>
    <w:rsid w:val="51227351"/>
    <w:rsid w:val="514EE404"/>
    <w:rsid w:val="516ABE65"/>
    <w:rsid w:val="51A9FDAA"/>
    <w:rsid w:val="52590F99"/>
    <w:rsid w:val="5286A9D5"/>
    <w:rsid w:val="52B2B22D"/>
    <w:rsid w:val="53612F61"/>
    <w:rsid w:val="53E23C05"/>
    <w:rsid w:val="53F64595"/>
    <w:rsid w:val="540CFD32"/>
    <w:rsid w:val="54877EDE"/>
    <w:rsid w:val="54FF9E2A"/>
    <w:rsid w:val="550AEFA2"/>
    <w:rsid w:val="552632BF"/>
    <w:rsid w:val="55A7EE79"/>
    <w:rsid w:val="55F92600"/>
    <w:rsid w:val="55FF5E10"/>
    <w:rsid w:val="5610F980"/>
    <w:rsid w:val="56D299FA"/>
    <w:rsid w:val="56E88B77"/>
    <w:rsid w:val="57095B87"/>
    <w:rsid w:val="588AE22B"/>
    <w:rsid w:val="590CCFC9"/>
    <w:rsid w:val="59401A64"/>
    <w:rsid w:val="59747739"/>
    <w:rsid w:val="59B05B3C"/>
    <w:rsid w:val="59C4FB22"/>
    <w:rsid w:val="5A11314F"/>
    <w:rsid w:val="5A237A80"/>
    <w:rsid w:val="5AA0B057"/>
    <w:rsid w:val="5B413018"/>
    <w:rsid w:val="5B8A76A9"/>
    <w:rsid w:val="5B93A1F5"/>
    <w:rsid w:val="5BC7EE80"/>
    <w:rsid w:val="5C087861"/>
    <w:rsid w:val="5C47735E"/>
    <w:rsid w:val="5C807245"/>
    <w:rsid w:val="5E37518D"/>
    <w:rsid w:val="5E96AEFC"/>
    <w:rsid w:val="5ECF7ADE"/>
    <w:rsid w:val="5F4BA2D6"/>
    <w:rsid w:val="5F67AA26"/>
    <w:rsid w:val="5F72BA7C"/>
    <w:rsid w:val="5F7861B5"/>
    <w:rsid w:val="5FCE0E93"/>
    <w:rsid w:val="605E4354"/>
    <w:rsid w:val="61862974"/>
    <w:rsid w:val="626F3485"/>
    <w:rsid w:val="6290E87C"/>
    <w:rsid w:val="6327134F"/>
    <w:rsid w:val="6363D3C9"/>
    <w:rsid w:val="64BAAA31"/>
    <w:rsid w:val="64C2925D"/>
    <w:rsid w:val="64F7A970"/>
    <w:rsid w:val="654FF74A"/>
    <w:rsid w:val="6578CC4E"/>
    <w:rsid w:val="65A8CFDA"/>
    <w:rsid w:val="65B85AD9"/>
    <w:rsid w:val="6617F941"/>
    <w:rsid w:val="66ACB324"/>
    <w:rsid w:val="6728AC2D"/>
    <w:rsid w:val="6743EE83"/>
    <w:rsid w:val="67A509FF"/>
    <w:rsid w:val="67DB57F5"/>
    <w:rsid w:val="67F89BA0"/>
    <w:rsid w:val="688A0FD2"/>
    <w:rsid w:val="6913E574"/>
    <w:rsid w:val="69ED8EE8"/>
    <w:rsid w:val="69FDE1C2"/>
    <w:rsid w:val="6A3F890D"/>
    <w:rsid w:val="6ADE8A6B"/>
    <w:rsid w:val="6B095D5E"/>
    <w:rsid w:val="6B8F6E71"/>
    <w:rsid w:val="6BDD08A7"/>
    <w:rsid w:val="6D162992"/>
    <w:rsid w:val="6D5E09FF"/>
    <w:rsid w:val="6E769A23"/>
    <w:rsid w:val="6E77CC65"/>
    <w:rsid w:val="6FF40443"/>
    <w:rsid w:val="706EBE50"/>
    <w:rsid w:val="7085301C"/>
    <w:rsid w:val="71DED0A4"/>
    <w:rsid w:val="72243582"/>
    <w:rsid w:val="7315A673"/>
    <w:rsid w:val="73DFA841"/>
    <w:rsid w:val="75671F46"/>
    <w:rsid w:val="7583530B"/>
    <w:rsid w:val="760ED3A4"/>
    <w:rsid w:val="76577DC5"/>
    <w:rsid w:val="76D51F54"/>
    <w:rsid w:val="77098CA3"/>
    <w:rsid w:val="77D57549"/>
    <w:rsid w:val="78190B38"/>
    <w:rsid w:val="7864137C"/>
    <w:rsid w:val="79CA046A"/>
    <w:rsid w:val="7A95A4AF"/>
    <w:rsid w:val="7ACE072F"/>
    <w:rsid w:val="7CFF21C5"/>
    <w:rsid w:val="7D4B279E"/>
    <w:rsid w:val="7E2DAC43"/>
    <w:rsid w:val="7F9D05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9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152134"/>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0F2FFA"/>
    <w:pPr>
      <w:keepNext/>
      <w:ind w:firstLine="0"/>
    </w:pPr>
    <w:rPr>
      <w:i/>
    </w:rPr>
  </w:style>
  <w:style w:type="paragraph" w:customStyle="1" w:styleId="Millifyrirsgn1">
    <w:name w:val="Millifyrirsögn 1"/>
    <w:basedOn w:val="Venjulegur"/>
    <w:next w:val="Venjulegur"/>
    <w:qFormat/>
    <w:rsid w:val="000F2FFA"/>
    <w:pPr>
      <w:keepNext/>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0F2FFA"/>
    <w:pPr>
      <w:keepNext/>
      <w:ind w:firstLine="0"/>
      <w:jc w:val="center"/>
    </w:pPr>
  </w:style>
  <w:style w:type="paragraph" w:customStyle="1" w:styleId="Greinarfyrirsgn">
    <w:name w:val="Greinarfyrirsögn"/>
    <w:basedOn w:val="Venjulegur"/>
    <w:next w:val="Venjulegur"/>
    <w:qFormat/>
    <w:rsid w:val="000F2FFA"/>
    <w:pPr>
      <w:keepNext/>
      <w:ind w:firstLine="0"/>
      <w:jc w:val="center"/>
    </w:pPr>
    <w:rPr>
      <w:i/>
    </w:rPr>
  </w:style>
  <w:style w:type="paragraph" w:customStyle="1" w:styleId="Kaflafyrirsgn">
    <w:name w:val="Kaflafyrirsögn"/>
    <w:basedOn w:val="Venjulegur"/>
    <w:next w:val="Venjulegur"/>
    <w:qFormat/>
    <w:rsid w:val="000F2FFA"/>
    <w:pPr>
      <w:keepNext/>
      <w:ind w:firstLine="0"/>
      <w:jc w:val="center"/>
    </w:pPr>
    <w:rPr>
      <w:b/>
    </w:rPr>
  </w:style>
  <w:style w:type="paragraph" w:customStyle="1" w:styleId="Kaflanmer">
    <w:name w:val="Kaflanúmer"/>
    <w:basedOn w:val="Venjulegur"/>
    <w:next w:val="Venjulegur"/>
    <w:qFormat/>
    <w:rsid w:val="000F2FFA"/>
    <w:pPr>
      <w:keepNext/>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qFormat/>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Blrutexti">
    <w:name w:val="Balloon Text"/>
    <w:basedOn w:val="Venjulegur"/>
    <w:link w:val="BlrutextiStaf"/>
    <w:uiPriority w:val="99"/>
    <w:semiHidden/>
    <w:unhideWhenUsed/>
    <w:rsid w:val="007370D9"/>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7370D9"/>
    <w:rPr>
      <w:rFonts w:ascii="Segoe UI" w:hAnsi="Segoe UI" w:cs="Segoe UI"/>
      <w:sz w:val="18"/>
      <w:szCs w:val="18"/>
      <w:lang w:val="is-IS"/>
    </w:rPr>
  </w:style>
  <w:style w:type="character" w:styleId="Tilvsunathugasemd">
    <w:name w:val="annotation reference"/>
    <w:basedOn w:val="Sjlfgefinleturgermlsgreinar"/>
    <w:uiPriority w:val="99"/>
    <w:semiHidden/>
    <w:unhideWhenUsed/>
    <w:rsid w:val="007370D9"/>
    <w:rPr>
      <w:sz w:val="16"/>
      <w:szCs w:val="16"/>
    </w:rPr>
  </w:style>
  <w:style w:type="paragraph" w:styleId="Textiathugasemdar">
    <w:name w:val="annotation text"/>
    <w:basedOn w:val="Venjulegur"/>
    <w:link w:val="TextiathugasemdarStaf"/>
    <w:uiPriority w:val="99"/>
    <w:unhideWhenUsed/>
    <w:rsid w:val="007370D9"/>
    <w:rPr>
      <w:sz w:val="20"/>
      <w:szCs w:val="20"/>
    </w:rPr>
  </w:style>
  <w:style w:type="character" w:customStyle="1" w:styleId="TextiathugasemdarStaf">
    <w:name w:val="Texti athugasemdar Staf"/>
    <w:basedOn w:val="Sjlfgefinleturgermlsgreinar"/>
    <w:link w:val="Textiathugasemdar"/>
    <w:uiPriority w:val="99"/>
    <w:rsid w:val="007370D9"/>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7370D9"/>
    <w:rPr>
      <w:b/>
      <w:bCs/>
    </w:rPr>
  </w:style>
  <w:style w:type="character" w:customStyle="1" w:styleId="EfniathugasemdarStaf">
    <w:name w:val="Efni athugasemdar Staf"/>
    <w:basedOn w:val="TextiathugasemdarStaf"/>
    <w:link w:val="Efniathugasemdar"/>
    <w:uiPriority w:val="99"/>
    <w:semiHidden/>
    <w:rsid w:val="007370D9"/>
    <w:rPr>
      <w:rFonts w:ascii="Times New Roman" w:hAnsi="Times New Roman"/>
      <w:b/>
      <w:bCs/>
      <w:lang w:val="is-IS"/>
    </w:rPr>
  </w:style>
  <w:style w:type="paragraph" w:styleId="Endurskoun">
    <w:name w:val="Revision"/>
    <w:hidden/>
    <w:uiPriority w:val="99"/>
    <w:semiHidden/>
    <w:rsid w:val="003605BC"/>
    <w:rPr>
      <w:rFonts w:ascii="Times New Roman" w:hAnsi="Times New Roman"/>
      <w:sz w:val="21"/>
      <w:szCs w:val="22"/>
      <w:lang w:val="is-IS"/>
    </w:rPr>
  </w:style>
  <w:style w:type="character" w:styleId="Ekkileystrtilgreiningu">
    <w:name w:val="Unresolved Mention"/>
    <w:basedOn w:val="Sjlfgefinleturgermlsgreinar"/>
    <w:uiPriority w:val="99"/>
    <w:semiHidden/>
    <w:unhideWhenUsed/>
    <w:rsid w:val="00EA3363"/>
    <w:rPr>
      <w:color w:val="605E5C"/>
      <w:shd w:val="clear" w:color="auto" w:fill="E1DFDD"/>
    </w:rPr>
  </w:style>
  <w:style w:type="character" w:styleId="Umtal">
    <w:name w:val="Mention"/>
    <w:basedOn w:val="Sjlfgefinleturgermlsgreinar"/>
    <w:uiPriority w:val="99"/>
    <w:unhideWhenUsed/>
    <w:rsid w:val="00E426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1406025175">
      <w:bodyDiv w:val="1"/>
      <w:marLeft w:val="0"/>
      <w:marRight w:val="0"/>
      <w:marTop w:val="0"/>
      <w:marBottom w:val="0"/>
      <w:divBdr>
        <w:top w:val="none" w:sz="0" w:space="0" w:color="auto"/>
        <w:left w:val="none" w:sz="0" w:space="0" w:color="auto"/>
        <w:bottom w:val="none" w:sz="0" w:space="0" w:color="auto"/>
        <w:right w:val="none" w:sz="0" w:space="0" w:color="auto"/>
      </w:divBdr>
    </w:div>
    <w:div w:id="1430194680">
      <w:bodyDiv w:val="1"/>
      <w:marLeft w:val="0"/>
      <w:marRight w:val="0"/>
      <w:marTop w:val="0"/>
      <w:marBottom w:val="0"/>
      <w:divBdr>
        <w:top w:val="none" w:sz="0" w:space="0" w:color="auto"/>
        <w:left w:val="none" w:sz="0" w:space="0" w:color="auto"/>
        <w:bottom w:val="none" w:sz="0" w:space="0" w:color="auto"/>
        <w:right w:val="none" w:sz="0" w:space="0" w:color="auto"/>
      </w:divBdr>
    </w:div>
    <w:div w:id="172224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labanki.is/frettir-og-utgefid-efni/grein/serrit-nr-18-umsvif-lifeyrissjoda-a-fjarmalamarkadi-og-aeskilegar-umbtur-a-loggjof-um-lifeyrissjodi" TargetMode="Externa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www.althingi.is/lagasafn/pdf/156b/i32012R0236.pdf" TargetMode="Externa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library.imf.org/view/journals/002/2023/282/article-A001-en.xml" TargetMode="External"/><Relationship Id="rId14" Type="http://schemas.openxmlformats.org/officeDocument/2006/relationships/hyperlink" Target="https://www.stjornarradid.is/efst-a-baugi/frettir/stok-frett/2023/03/24/Starfshopur-um-heildarendurskodun-lifeyrissjodakerfisin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s-I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000" b="0" i="0" u="none" strike="noStrike" kern="1200" spc="0" baseline="0">
                <a:solidFill>
                  <a:sysClr val="windowText" lastClr="000000"/>
                </a:solidFill>
                <a:latin typeface="FiraGO SemiBold" panose="020B0603050000020004" pitchFamily="34" charset="0"/>
                <a:ea typeface="+mn-ea"/>
                <a:cs typeface="FiraGO SemiBold" panose="020B0603050000020004" pitchFamily="34" charset="0"/>
              </a:defRPr>
            </a:pPr>
            <a:r>
              <a:rPr lang="is-IS"/>
              <a:t>Mynd 1</a:t>
            </a:r>
          </a:p>
          <a:p>
            <a:pPr algn="l">
              <a:defRPr sz="1000">
                <a:latin typeface="FiraGO SemiBold" panose="020B0603050000020004" pitchFamily="34" charset="0"/>
                <a:cs typeface="FiraGO SemiBold" panose="020B0603050000020004" pitchFamily="34" charset="0"/>
              </a:defRPr>
            </a:pPr>
            <a:r>
              <a:rPr lang="is-IS"/>
              <a:t>Lífeyrissparnaður á föstu verðlagi</a:t>
            </a:r>
          </a:p>
        </c:rich>
      </c:tx>
      <c:layout>
        <c:manualLayout>
          <c:xMode val="edge"/>
          <c:yMode val="edge"/>
          <c:x val="7.1553656561566099E-4"/>
          <c:y val="1.0204267323539354E-3"/>
        </c:manualLayout>
      </c:layout>
      <c:overlay val="0"/>
      <c:spPr>
        <a:noFill/>
        <a:ln>
          <a:noFill/>
        </a:ln>
        <a:effectLst/>
      </c:spPr>
      <c:txPr>
        <a:bodyPr rot="0" spcFirstLastPara="1" vertOverflow="ellipsis" vert="horz" wrap="square" anchor="ctr" anchorCtr="1"/>
        <a:lstStyle/>
        <a:p>
          <a:pPr algn="l">
            <a:defRPr sz="1000" b="0" i="0" u="none" strike="noStrike" kern="1200" spc="0" baseline="0">
              <a:solidFill>
                <a:sysClr val="windowText" lastClr="000000"/>
              </a:solidFill>
              <a:latin typeface="FiraGO SemiBold" panose="020B0603050000020004" pitchFamily="34" charset="0"/>
              <a:ea typeface="+mn-ea"/>
              <a:cs typeface="FiraGO SemiBold" panose="020B0603050000020004" pitchFamily="34" charset="0"/>
            </a:defRPr>
          </a:pPr>
          <a:endParaRPr lang="LID4096"/>
        </a:p>
      </c:txPr>
    </c:title>
    <c:autoTitleDeleted val="0"/>
    <c:plotArea>
      <c:layout>
        <c:manualLayout>
          <c:layoutTarget val="inner"/>
          <c:xMode val="edge"/>
          <c:yMode val="edge"/>
          <c:x val="0.10105843358971588"/>
          <c:y val="0.20307336631921402"/>
          <c:w val="0.81454786990022909"/>
          <c:h val="0.56493454782283925"/>
        </c:manualLayout>
      </c:layout>
      <c:barChart>
        <c:barDir val="col"/>
        <c:grouping val="clustered"/>
        <c:varyColors val="0"/>
        <c:ser>
          <c:idx val="0"/>
          <c:order val="0"/>
          <c:tx>
            <c:strRef>
              <c:f>'Mynd 1'!$F$1</c:f>
              <c:strCache>
                <c:ptCount val="1"/>
                <c:pt idx="0">
                  <c:v>Lífeyrissparnaður</c:v>
                </c:pt>
              </c:strCache>
            </c:strRef>
          </c:tx>
          <c:spPr>
            <a:solidFill>
              <a:srgbClr val="003D85"/>
            </a:solidFill>
            <a:ln w="73025">
              <a:solidFill>
                <a:srgbClr val="003D85"/>
              </a:solidFill>
            </a:ln>
            <a:effectLst/>
          </c:spPr>
          <c:invertIfNegative val="0"/>
          <c:cat>
            <c:numLit>
              <c:formatCode>General</c:formatCode>
              <c:ptCount val="26"/>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pt idx="22">
                <c:v>2021</c:v>
              </c:pt>
              <c:pt idx="23">
                <c:v>2022</c:v>
              </c:pt>
              <c:pt idx="24">
                <c:v>2023</c:v>
              </c:pt>
              <c:pt idx="25">
                <c:v>2024</c:v>
              </c:pt>
            </c:numLit>
          </c:cat>
          <c:val>
            <c:numRef>
              <c:f>'Mynd 1'!$F$2:$F$27</c:f>
              <c:numCache>
                <c:formatCode>_(* #,##0_);_(* \(#,##0\);_(* "-"_);_(@_)</c:formatCode>
                <c:ptCount val="26"/>
                <c:pt idx="0">
                  <c:v>1697.9282250387998</c:v>
                </c:pt>
                <c:pt idx="1">
                  <c:v>1776.2800766947057</c:v>
                </c:pt>
                <c:pt idx="2">
                  <c:v>1871.1202727688787</c:v>
                </c:pt>
                <c:pt idx="3">
                  <c:v>1950.182061689763</c:v>
                </c:pt>
                <c:pt idx="4">
                  <c:v>2323.4386349760139</c:v>
                </c:pt>
                <c:pt idx="5">
                  <c:v>2705.6665846994538</c:v>
                </c:pt>
                <c:pt idx="6">
                  <c:v>3222.5780193548389</c:v>
                </c:pt>
                <c:pt idx="7">
                  <c:v>3704.2973423524991</c:v>
                </c:pt>
                <c:pt idx="8">
                  <c:v>4010.8875234012148</c:v>
                </c:pt>
                <c:pt idx="9">
                  <c:v>3334.1521008377285</c:v>
                </c:pt>
                <c:pt idx="10">
                  <c:v>3392.2540549975433</c:v>
                </c:pt>
                <c:pt idx="11">
                  <c:v>3529.3838299609451</c:v>
                </c:pt>
                <c:pt idx="12">
                  <c:v>3676.9698391920242</c:v>
                </c:pt>
                <c:pt idx="13">
                  <c:v>4020.8665542800104</c:v>
                </c:pt>
                <c:pt idx="14">
                  <c:v>4296.5834065510589</c:v>
                </c:pt>
                <c:pt idx="15">
                  <c:v>4624.4963943761823</c:v>
                </c:pt>
                <c:pt idx="16">
                  <c:v>5082.2960485031335</c:v>
                </c:pt>
                <c:pt idx="17">
                  <c:v>5386.5414006841502</c:v>
                </c:pt>
                <c:pt idx="18">
                  <c:v>5841.907796731588</c:v>
                </c:pt>
                <c:pt idx="19">
                  <c:v>6225.29262320418</c:v>
                </c:pt>
                <c:pt idx="20">
                  <c:v>7095.6260002117742</c:v>
                </c:pt>
                <c:pt idx="21">
                  <c:v>7825.6418867307293</c:v>
                </c:pt>
                <c:pt idx="22">
                  <c:v>8786.289463585339</c:v>
                </c:pt>
                <c:pt idx="23">
                  <c:v>7968.8388905775082</c:v>
                </c:pt>
                <c:pt idx="24">
                  <c:v>8161.0288084507047</c:v>
                </c:pt>
                <c:pt idx="25">
                  <c:v>8785.4871000000003</c:v>
                </c:pt>
              </c:numCache>
            </c:numRef>
          </c:val>
          <c:extLst>
            <c:ext xmlns:c16="http://schemas.microsoft.com/office/drawing/2014/chart" uri="{C3380CC4-5D6E-409C-BE32-E72D297353CC}">
              <c16:uniqueId val="{00000000-F71E-4620-8A22-CF2D6A52D3B2}"/>
            </c:ext>
          </c:extLst>
        </c:ser>
        <c:dLbls>
          <c:showLegendKey val="0"/>
          <c:showVal val="0"/>
          <c:showCatName val="0"/>
          <c:showSerName val="0"/>
          <c:showPercent val="0"/>
          <c:showBubbleSize val="0"/>
        </c:dLbls>
        <c:gapWidth val="500"/>
        <c:axId val="1588382592"/>
        <c:axId val="1588383576"/>
      </c:barChart>
      <c:lineChart>
        <c:grouping val="standard"/>
        <c:varyColors val="0"/>
        <c:ser>
          <c:idx val="1"/>
          <c:order val="1"/>
          <c:tx>
            <c:strRef>
              <c:f>'Mynd 1'!$D$1</c:f>
              <c:strCache>
                <c:ptCount val="1"/>
                <c:pt idx="0">
                  <c:v>Heildareignir / VLF (h.ás)</c:v>
                </c:pt>
              </c:strCache>
            </c:strRef>
          </c:tx>
          <c:spPr>
            <a:ln w="28575" cap="rnd">
              <a:solidFill>
                <a:srgbClr val="CA003B"/>
              </a:solidFill>
              <a:round/>
            </a:ln>
            <a:effectLst/>
          </c:spPr>
          <c:marker>
            <c:symbol val="none"/>
          </c:marker>
          <c:cat>
            <c:numRef>
              <c:f>'Mynd 1'!$I$2:$I$27</c:f>
              <c:numCache>
                <c:formatCode>General</c:formatCode>
                <c:ptCount val="26"/>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pt idx="22">
                  <c:v>2021</c:v>
                </c:pt>
                <c:pt idx="23">
                  <c:v>2022</c:v>
                </c:pt>
                <c:pt idx="24">
                  <c:v>2023</c:v>
                </c:pt>
                <c:pt idx="25">
                  <c:v>2024</c:v>
                </c:pt>
              </c:numCache>
            </c:numRef>
          </c:cat>
          <c:val>
            <c:numRef>
              <c:f>'Mynd 1'!$D$2:$D$27</c:f>
              <c:numCache>
                <c:formatCode>_(* #,##0_);_(* \(#,##0\);_(* "-"_);_(@_)</c:formatCode>
                <c:ptCount val="26"/>
                <c:pt idx="0">
                  <c:v>78.566462863006308</c:v>
                </c:pt>
                <c:pt idx="1">
                  <c:v>78.786997400370737</c:v>
                </c:pt>
                <c:pt idx="2">
                  <c:v>79.510768229038206</c:v>
                </c:pt>
                <c:pt idx="3">
                  <c:v>79.711274989717353</c:v>
                </c:pt>
                <c:pt idx="4">
                  <c:v>94.710274642775033</c:v>
                </c:pt>
                <c:pt idx="5">
                  <c:v>103.56597388366917</c:v>
                </c:pt>
                <c:pt idx="6">
                  <c:v>116.71046661295847</c:v>
                </c:pt>
                <c:pt idx="7">
                  <c:v>125.34373599011769</c:v>
                </c:pt>
                <c:pt idx="8">
                  <c:v>125.86298701529515</c:v>
                </c:pt>
                <c:pt idx="9">
                  <c:v>105.59641739559564</c:v>
                </c:pt>
                <c:pt idx="10">
                  <c:v>115.79851697886481</c:v>
                </c:pt>
                <c:pt idx="11">
                  <c:v>119.46682743914729</c:v>
                </c:pt>
                <c:pt idx="12">
                  <c:v>124.94074858529174</c:v>
                </c:pt>
                <c:pt idx="13">
                  <c:v>135.93267091338734</c:v>
                </c:pt>
                <c:pt idx="14">
                  <c:v>141.75038557134337</c:v>
                </c:pt>
                <c:pt idx="15">
                  <c:v>146.42023885315572</c:v>
                </c:pt>
                <c:pt idx="16">
                  <c:v>147.90646781083714</c:v>
                </c:pt>
                <c:pt idx="17">
                  <c:v>146.2400418348935</c:v>
                </c:pt>
                <c:pt idx="18">
                  <c:v>153.70860410195081</c:v>
                </c:pt>
                <c:pt idx="19">
                  <c:v>156.10481677588976</c:v>
                </c:pt>
                <c:pt idx="20">
                  <c:v>172.48576261647949</c:v>
                </c:pt>
                <c:pt idx="21">
                  <c:v>202.28567828384448</c:v>
                </c:pt>
                <c:pt idx="22">
                  <c:v>212.61502803129608</c:v>
                </c:pt>
                <c:pt idx="23">
                  <c:v>178.14366325120614</c:v>
                </c:pt>
                <c:pt idx="24">
                  <c:v>177.55570104473318</c:v>
                </c:pt>
                <c:pt idx="25">
                  <c:v>191.68508356002627</c:v>
                </c:pt>
              </c:numCache>
            </c:numRef>
          </c:val>
          <c:smooth val="0"/>
          <c:extLst>
            <c:ext xmlns:c16="http://schemas.microsoft.com/office/drawing/2014/chart" uri="{C3380CC4-5D6E-409C-BE32-E72D297353CC}">
              <c16:uniqueId val="{00000001-F71E-4620-8A22-CF2D6A52D3B2}"/>
            </c:ext>
          </c:extLst>
        </c:ser>
        <c:dLbls>
          <c:showLegendKey val="0"/>
          <c:showVal val="0"/>
          <c:showCatName val="0"/>
          <c:showSerName val="0"/>
          <c:showPercent val="0"/>
          <c:showBubbleSize val="0"/>
        </c:dLbls>
        <c:marker val="1"/>
        <c:smooth val="0"/>
        <c:axId val="22155655"/>
        <c:axId val="22154575"/>
      </c:lineChart>
      <c:catAx>
        <c:axId val="158838259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r>
                  <a:rPr lang="is-IS"/>
                  <a:t>1999 - 2024</a:t>
                </a:r>
              </a:p>
            </c:rich>
          </c:tx>
          <c:layout>
            <c:manualLayout>
              <c:xMode val="edge"/>
              <c:yMode val="edge"/>
              <c:x val="3.6765909489989572E-4"/>
              <c:y val="9.6674763949292697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LID4096"/>
            </a:p>
          </c:txPr>
        </c:title>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LID4096"/>
          </a:p>
        </c:txPr>
        <c:crossAx val="1588383576"/>
        <c:crosses val="autoZero"/>
        <c:auto val="1"/>
        <c:lblAlgn val="ctr"/>
        <c:lblOffset val="100"/>
        <c:noMultiLvlLbl val="0"/>
      </c:catAx>
      <c:valAx>
        <c:axId val="1588383576"/>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LID4096"/>
          </a:p>
        </c:txPr>
        <c:crossAx val="1588382592"/>
        <c:crosses val="autoZero"/>
        <c:crossBetween val="between"/>
      </c:valAx>
      <c:valAx>
        <c:axId val="22154575"/>
        <c:scaling>
          <c:orientation val="minMax"/>
        </c:scaling>
        <c:delete val="0"/>
        <c:axPos val="r"/>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en-US"/>
          </a:p>
        </c:txPr>
        <c:crossAx val="22155655"/>
        <c:crosses val="max"/>
        <c:crossBetween val="between"/>
      </c:valAx>
      <c:catAx>
        <c:axId val="22155655"/>
        <c:scaling>
          <c:orientation val="minMax"/>
        </c:scaling>
        <c:delete val="1"/>
        <c:axPos val="b"/>
        <c:numFmt formatCode="General" sourceLinked="1"/>
        <c:majorTickMark val="out"/>
        <c:minorTickMark val="none"/>
        <c:tickLblPos val="nextTo"/>
        <c:crossAx val="22154575"/>
        <c:crosses val="autoZero"/>
        <c:auto val="1"/>
        <c:lblAlgn val="ctr"/>
        <c:lblOffset val="100"/>
        <c:noMultiLvlLbl val="0"/>
      </c:catAx>
      <c:spPr>
        <a:noFill/>
        <a:ln>
          <a:solidFill>
            <a:srgbClr val="E8E8E8"/>
          </a:solidFill>
        </a:ln>
        <a:effectLst/>
      </c:spPr>
    </c:plotArea>
    <c:legend>
      <c:legendPos val="b"/>
      <c:layout>
        <c:manualLayout>
          <c:xMode val="edge"/>
          <c:yMode val="edge"/>
          <c:x val="7.8594919240991296E-2"/>
          <c:y val="0.87603873114449482"/>
          <c:w val="0.8391469565399915"/>
          <c:h val="5.812640851413634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LID4096"/>
        </a:p>
      </c:txPr>
    </c:legend>
    <c:plotVisOnly val="1"/>
    <c:dispBlanksAs val="gap"/>
    <c:showDLblsOverMax val="0"/>
    <c:extLst/>
  </c:chart>
  <c:spPr>
    <a:solidFill>
      <a:schemeClr val="bg1"/>
    </a:solidFill>
    <a:ln w="9525" cap="flat" cmpd="sng" algn="ctr">
      <a:noFill/>
      <a:round/>
    </a:ln>
    <a:effectLst/>
  </c:spPr>
  <c:txPr>
    <a:bodyPr/>
    <a:lstStyle/>
    <a:p>
      <a:pPr>
        <a:defRPr sz="900">
          <a:solidFill>
            <a:sysClr val="windowText" lastClr="000000"/>
          </a:solidFill>
          <a:latin typeface="FiraGO Light" panose="020B0403050000020004" pitchFamily="34" charset="0"/>
          <a:cs typeface="FiraGO Light" panose="020B0403050000020004" pitchFamily="34" charset="0"/>
        </a:defRPr>
      </a:pPr>
      <a:endParaRPr lang="LID4096"/>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s-I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000" b="0" i="0" u="none" strike="noStrike" kern="1200" spc="0" baseline="0">
                <a:solidFill>
                  <a:sysClr val="windowText" lastClr="000000"/>
                </a:solidFill>
                <a:latin typeface="FiraGO SemiBold" panose="020B0603050000020004" pitchFamily="34" charset="0"/>
                <a:ea typeface="+mn-ea"/>
                <a:cs typeface="FiraGO SemiBold" panose="020B0603050000020004" pitchFamily="34" charset="0"/>
              </a:defRPr>
            </a:pPr>
            <a:r>
              <a:rPr lang="en-US" sz="1000" b="0" i="0" u="none" strike="noStrike" kern="1200" spc="0" baseline="0">
                <a:solidFill>
                  <a:sysClr val="windowText" lastClr="000000"/>
                </a:solidFill>
                <a:latin typeface="FiraGO SemiBold" panose="020B0603050000020004" pitchFamily="34" charset="0"/>
                <a:cs typeface="FiraGO SemiBold" panose="020B0603050000020004" pitchFamily="34" charset="0"/>
              </a:rPr>
              <a:t>Mynd 2</a:t>
            </a:r>
          </a:p>
          <a:p>
            <a:pPr algn="l">
              <a:defRPr sz="1000">
                <a:latin typeface="FiraGO SemiBold" panose="020B0603050000020004" pitchFamily="34" charset="0"/>
                <a:cs typeface="FiraGO SemiBold" panose="020B0603050000020004" pitchFamily="34" charset="0"/>
              </a:defRPr>
            </a:pPr>
            <a:r>
              <a:rPr lang="en-US" sz="1000" b="0" i="0" u="none" strike="noStrike" kern="1200" spc="0" baseline="0">
                <a:solidFill>
                  <a:sysClr val="windowText" lastClr="000000"/>
                </a:solidFill>
                <a:latin typeface="FiraGO SemiBold" panose="020B0603050000020004" pitchFamily="34" charset="0"/>
                <a:cs typeface="FiraGO SemiBold" panose="020B0603050000020004" pitchFamily="34" charset="0"/>
              </a:rPr>
              <a:t>Stærð efnahagsreiknings 2024</a:t>
            </a:r>
          </a:p>
        </c:rich>
      </c:tx>
      <c:layout>
        <c:manualLayout>
          <c:xMode val="edge"/>
          <c:yMode val="edge"/>
          <c:x val="7.1553656561566099E-4"/>
          <c:y val="1.0204267323539354E-3"/>
        </c:manualLayout>
      </c:layout>
      <c:overlay val="0"/>
      <c:spPr>
        <a:noFill/>
        <a:ln>
          <a:noFill/>
        </a:ln>
        <a:effectLst/>
      </c:spPr>
      <c:txPr>
        <a:bodyPr rot="0" spcFirstLastPara="1" vertOverflow="ellipsis" vert="horz" wrap="square" anchor="ctr" anchorCtr="1"/>
        <a:lstStyle/>
        <a:p>
          <a:pPr algn="l">
            <a:defRPr sz="1000" b="0" i="0" u="none" strike="noStrike" kern="1200" spc="0" baseline="0">
              <a:solidFill>
                <a:sysClr val="windowText" lastClr="000000"/>
              </a:solidFill>
              <a:latin typeface="FiraGO SemiBold" panose="020B0603050000020004" pitchFamily="34" charset="0"/>
              <a:ea typeface="+mn-ea"/>
              <a:cs typeface="FiraGO SemiBold" panose="020B0603050000020004" pitchFamily="34" charset="0"/>
            </a:defRPr>
          </a:pPr>
          <a:endParaRPr lang="LID4096"/>
        </a:p>
      </c:txPr>
    </c:title>
    <c:autoTitleDeleted val="0"/>
    <c:plotArea>
      <c:layout>
        <c:manualLayout>
          <c:layoutTarget val="inner"/>
          <c:xMode val="edge"/>
          <c:yMode val="edge"/>
          <c:x val="8.9086490768106888E-2"/>
          <c:y val="0.17171296296296296"/>
          <c:w val="0.81454786990022909"/>
          <c:h val="0.66391717732469979"/>
        </c:manualLayout>
      </c:layout>
      <c:barChart>
        <c:barDir val="col"/>
        <c:grouping val="clustered"/>
        <c:varyColors val="0"/>
        <c:ser>
          <c:idx val="1"/>
          <c:order val="0"/>
          <c:spPr>
            <a:solidFill>
              <a:srgbClr val="003D85"/>
            </a:solidFill>
            <a:ln>
              <a:noFill/>
            </a:ln>
            <a:effectLst/>
          </c:spPr>
          <c:invertIfNegative val="0"/>
          <c:cat>
            <c:strRef>
              <c:f>'Mynd 2'!$A$3:$A$6</c:f>
              <c:strCache>
                <c:ptCount val="4"/>
                <c:pt idx="0">
                  <c:v> Lífeyrissjóðir  </c:v>
                </c:pt>
                <c:pt idx="1">
                  <c:v> Innlánsstofnanir </c:v>
                </c:pt>
                <c:pt idx="2">
                  <c:v> Lánafyrirtæki </c:v>
                </c:pt>
                <c:pt idx="3">
                  <c:v> Vátryggingafélög </c:v>
                </c:pt>
              </c:strCache>
            </c:strRef>
          </c:cat>
          <c:val>
            <c:numRef>
              <c:f>'Mynd 2'!$B$3:$B$6</c:f>
              <c:numCache>
                <c:formatCode>_(* #,##0_);_(* \(#,##0\);_(* "-"_);_(@_)</c:formatCode>
                <c:ptCount val="4"/>
                <c:pt idx="0">
                  <c:v>8240.7475450000002</c:v>
                </c:pt>
                <c:pt idx="1">
                  <c:v>5826.1824980000001</c:v>
                </c:pt>
                <c:pt idx="2">
                  <c:v>280.658771</c:v>
                </c:pt>
                <c:pt idx="3">
                  <c:v>232.218971912</c:v>
                </c:pt>
              </c:numCache>
            </c:numRef>
          </c:val>
          <c:extLst>
            <c:ext xmlns:c16="http://schemas.microsoft.com/office/drawing/2014/chart" uri="{C3380CC4-5D6E-409C-BE32-E72D297353CC}">
              <c16:uniqueId val="{00000000-355C-4392-8C94-DBF778F10D98}"/>
            </c:ext>
          </c:extLst>
        </c:ser>
        <c:dLbls>
          <c:showLegendKey val="0"/>
          <c:showVal val="0"/>
          <c:showCatName val="0"/>
          <c:showSerName val="0"/>
          <c:showPercent val="0"/>
          <c:showBubbleSize val="0"/>
        </c:dLbls>
        <c:gapWidth val="150"/>
        <c:axId val="1588382592"/>
        <c:axId val="1588383576"/>
      </c:barChart>
      <c:catAx>
        <c:axId val="1588382592"/>
        <c:scaling>
          <c:orientation val="minMax"/>
        </c:scaling>
        <c:delete val="0"/>
        <c:axPos val="b"/>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LID4096"/>
          </a:p>
        </c:txPr>
        <c:crossAx val="1588383576"/>
        <c:crosses val="autoZero"/>
        <c:auto val="1"/>
        <c:lblAlgn val="ctr"/>
        <c:lblOffset val="100"/>
        <c:noMultiLvlLbl val="0"/>
      </c:catAx>
      <c:valAx>
        <c:axId val="1588383576"/>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LID4096"/>
          </a:p>
        </c:txPr>
        <c:crossAx val="1588382592"/>
        <c:crosses val="autoZero"/>
        <c:crossBetween val="between"/>
      </c:valAx>
      <c:spPr>
        <a:noFill/>
        <a:ln>
          <a:solidFill>
            <a:srgbClr val="E8E8E8"/>
          </a:solidFill>
        </a:ln>
        <a:effectLst/>
      </c:spPr>
    </c:plotArea>
    <c:plotVisOnly val="1"/>
    <c:dispBlanksAs val="gap"/>
    <c:showDLblsOverMax val="0"/>
    <c:extLst/>
  </c:chart>
  <c:spPr>
    <a:solidFill>
      <a:schemeClr val="bg1"/>
    </a:solidFill>
    <a:ln w="9525" cap="flat" cmpd="sng" algn="ctr">
      <a:noFill/>
      <a:round/>
    </a:ln>
    <a:effectLst/>
  </c:spPr>
  <c:txPr>
    <a:bodyPr/>
    <a:lstStyle/>
    <a:p>
      <a:pPr>
        <a:defRPr sz="900">
          <a:solidFill>
            <a:sysClr val="windowText" lastClr="000000"/>
          </a:solidFill>
          <a:latin typeface="FiraGO Light" panose="020B0403050000020004" pitchFamily="34" charset="0"/>
          <a:cs typeface="FiraGO Light" panose="020B0403050000020004" pitchFamily="34" charset="0"/>
        </a:defRPr>
      </a:pPr>
      <a:endParaRPr lang="LID4096"/>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s-I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000" b="0" i="0" u="none" strike="noStrike" kern="1200" spc="0" baseline="0">
                <a:solidFill>
                  <a:sysClr val="windowText" lastClr="000000"/>
                </a:solidFill>
                <a:latin typeface="FiraGO SemiBold" panose="020B0603050000020004" pitchFamily="34" charset="0"/>
                <a:ea typeface="+mn-ea"/>
                <a:cs typeface="FiraGO SemiBold" panose="020B0603050000020004" pitchFamily="34" charset="0"/>
              </a:defRPr>
            </a:pPr>
            <a:r>
              <a:rPr lang="en-US"/>
              <a:t>Mynd 3</a:t>
            </a:r>
          </a:p>
          <a:p>
            <a:pPr algn="l">
              <a:defRPr sz="1000">
                <a:latin typeface="FiraGO SemiBold" panose="020B0603050000020004" pitchFamily="34" charset="0"/>
                <a:cs typeface="FiraGO SemiBold" panose="020B0603050000020004" pitchFamily="34" charset="0"/>
              </a:defRPr>
            </a:pPr>
            <a:r>
              <a:rPr lang="en-US"/>
              <a:t>Eignasafn lífeyrissjóða</a:t>
            </a:r>
          </a:p>
        </c:rich>
      </c:tx>
      <c:layout>
        <c:manualLayout>
          <c:xMode val="edge"/>
          <c:yMode val="edge"/>
          <c:x val="7.1547690027470216E-4"/>
          <c:y val="1.020442809211765E-3"/>
        </c:manualLayout>
      </c:layout>
      <c:overlay val="0"/>
      <c:spPr>
        <a:noFill/>
        <a:ln>
          <a:noFill/>
        </a:ln>
        <a:effectLst/>
      </c:spPr>
      <c:txPr>
        <a:bodyPr rot="0" spcFirstLastPara="1" vertOverflow="ellipsis" vert="horz" wrap="square" anchor="ctr" anchorCtr="1"/>
        <a:lstStyle/>
        <a:p>
          <a:pPr algn="l">
            <a:defRPr sz="1000" b="0" i="0" u="none" strike="noStrike" kern="1200" spc="0" baseline="0">
              <a:solidFill>
                <a:sysClr val="windowText" lastClr="000000"/>
              </a:solidFill>
              <a:latin typeface="FiraGO SemiBold" panose="020B0603050000020004" pitchFamily="34" charset="0"/>
              <a:ea typeface="+mn-ea"/>
              <a:cs typeface="FiraGO SemiBold" panose="020B0603050000020004" pitchFamily="34" charset="0"/>
            </a:defRPr>
          </a:pPr>
          <a:endParaRPr lang="LID4096"/>
        </a:p>
      </c:txPr>
    </c:title>
    <c:autoTitleDeleted val="0"/>
    <c:plotArea>
      <c:layout>
        <c:manualLayout>
          <c:layoutTarget val="inner"/>
          <c:xMode val="edge"/>
          <c:yMode val="edge"/>
          <c:x val="8.9086490768106888E-2"/>
          <c:y val="0.17171296296296296"/>
          <c:w val="0.81454786990022909"/>
          <c:h val="0.58453470329312973"/>
        </c:manualLayout>
      </c:layout>
      <c:areaChart>
        <c:grouping val="stacked"/>
        <c:varyColors val="0"/>
        <c:ser>
          <c:idx val="1"/>
          <c:order val="0"/>
          <c:tx>
            <c:strRef>
              <c:f>'Mynd 3'!$C$1</c:f>
              <c:strCache>
                <c:ptCount val="1"/>
                <c:pt idx="0">
                  <c:v>Hlutabréf og hlutdeildarskírteini</c:v>
                </c:pt>
              </c:strCache>
            </c:strRef>
          </c:tx>
          <c:spPr>
            <a:solidFill>
              <a:srgbClr val="C8DEF6"/>
            </a:solidFill>
            <a:ln>
              <a:noFill/>
            </a:ln>
            <a:effectLst/>
          </c:spPr>
          <c:cat>
            <c:numRef>
              <c:f>'Mynd 3'!$A$2:$A$29</c:f>
              <c:numCache>
                <c:formatCode>m/d/yyyy</c:formatCode>
                <c:ptCount val="28"/>
                <c:pt idx="0">
                  <c:v>45961</c:v>
                </c:pt>
                <c:pt idx="1">
                  <c:v>45657</c:v>
                </c:pt>
                <c:pt idx="2">
                  <c:v>45291</c:v>
                </c:pt>
                <c:pt idx="3">
                  <c:v>44926</c:v>
                </c:pt>
                <c:pt idx="4">
                  <c:v>44561</c:v>
                </c:pt>
                <c:pt idx="5">
                  <c:v>44196</c:v>
                </c:pt>
                <c:pt idx="6">
                  <c:v>43830</c:v>
                </c:pt>
                <c:pt idx="7">
                  <c:v>43465</c:v>
                </c:pt>
                <c:pt idx="8">
                  <c:v>43100</c:v>
                </c:pt>
                <c:pt idx="9">
                  <c:v>42735</c:v>
                </c:pt>
                <c:pt idx="10">
                  <c:v>42369</c:v>
                </c:pt>
                <c:pt idx="11">
                  <c:v>42004</c:v>
                </c:pt>
                <c:pt idx="12">
                  <c:v>41639</c:v>
                </c:pt>
                <c:pt idx="13">
                  <c:v>41274</c:v>
                </c:pt>
                <c:pt idx="14">
                  <c:v>40908</c:v>
                </c:pt>
                <c:pt idx="15">
                  <c:v>40543</c:v>
                </c:pt>
                <c:pt idx="16">
                  <c:v>40178</c:v>
                </c:pt>
                <c:pt idx="17">
                  <c:v>39813</c:v>
                </c:pt>
                <c:pt idx="18">
                  <c:v>39447</c:v>
                </c:pt>
                <c:pt idx="19">
                  <c:v>39082</c:v>
                </c:pt>
                <c:pt idx="20">
                  <c:v>38717</c:v>
                </c:pt>
                <c:pt idx="21">
                  <c:v>38352</c:v>
                </c:pt>
                <c:pt idx="22">
                  <c:v>37986</c:v>
                </c:pt>
                <c:pt idx="23">
                  <c:v>37621</c:v>
                </c:pt>
                <c:pt idx="24">
                  <c:v>37256</c:v>
                </c:pt>
                <c:pt idx="25">
                  <c:v>36891</c:v>
                </c:pt>
                <c:pt idx="26">
                  <c:v>36525</c:v>
                </c:pt>
                <c:pt idx="27">
                  <c:v>36160</c:v>
                </c:pt>
              </c:numCache>
            </c:numRef>
          </c:cat>
          <c:val>
            <c:numRef>
              <c:f>'Mynd 3'!$C$2:$C$29</c:f>
              <c:numCache>
                <c:formatCode>_-* #,##0.0_-;\-* #,##0.0_-;_-* "-"_-;_-@_-</c:formatCode>
                <c:ptCount val="28"/>
                <c:pt idx="0">
                  <c:v>56.157525397821253</c:v>
                </c:pt>
                <c:pt idx="1">
                  <c:v>56.100765588350562</c:v>
                </c:pt>
                <c:pt idx="2">
                  <c:v>54.350126002875434</c:v>
                </c:pt>
                <c:pt idx="3">
                  <c:v>53.112331378684544</c:v>
                </c:pt>
                <c:pt idx="4">
                  <c:v>55.154418703691618</c:v>
                </c:pt>
                <c:pt idx="5">
                  <c:v>50.203676294543534</c:v>
                </c:pt>
                <c:pt idx="6">
                  <c:v>45.646552433903061</c:v>
                </c:pt>
                <c:pt idx="7">
                  <c:v>40.503666434429618</c:v>
                </c:pt>
                <c:pt idx="8">
                  <c:v>40.111511529489199</c:v>
                </c:pt>
                <c:pt idx="9">
                  <c:v>40.118850762435152</c:v>
                </c:pt>
                <c:pt idx="10">
                  <c:v>43.138362079994906</c:v>
                </c:pt>
                <c:pt idx="11">
                  <c:v>40.775861668690517</c:v>
                </c:pt>
                <c:pt idx="12">
                  <c:v>37.250981497757955</c:v>
                </c:pt>
                <c:pt idx="13">
                  <c:v>34.275681486281087</c:v>
                </c:pt>
                <c:pt idx="14">
                  <c:v>30.904331616563674</c:v>
                </c:pt>
                <c:pt idx="15">
                  <c:v>30.127705271981686</c:v>
                </c:pt>
                <c:pt idx="16">
                  <c:v>33.278398473161232</c:v>
                </c:pt>
                <c:pt idx="17">
                  <c:v>34.326726566599802</c:v>
                </c:pt>
                <c:pt idx="18">
                  <c:v>48.965142632600703</c:v>
                </c:pt>
                <c:pt idx="19">
                  <c:v>52.775101591362358</c:v>
                </c:pt>
                <c:pt idx="20">
                  <c:v>47.980463098823463</c:v>
                </c:pt>
                <c:pt idx="21">
                  <c:v>43.181616126908381</c:v>
                </c:pt>
                <c:pt idx="22">
                  <c:v>39.123777309640332</c:v>
                </c:pt>
                <c:pt idx="23">
                  <c:v>33.840327577939377</c:v>
                </c:pt>
                <c:pt idx="24">
                  <c:v>36.765275405520917</c:v>
                </c:pt>
                <c:pt idx="25">
                  <c:v>38.310204898674456</c:v>
                </c:pt>
                <c:pt idx="26">
                  <c:v>35.556251164237693</c:v>
                </c:pt>
                <c:pt idx="27">
                  <c:v>24.308378258667144</c:v>
                </c:pt>
              </c:numCache>
            </c:numRef>
          </c:val>
          <c:extLst>
            <c:ext xmlns:c16="http://schemas.microsoft.com/office/drawing/2014/chart" uri="{C3380CC4-5D6E-409C-BE32-E72D297353CC}">
              <c16:uniqueId val="{00000000-D71B-4F50-A367-DC6D4E2C1157}"/>
            </c:ext>
          </c:extLst>
        </c:ser>
        <c:ser>
          <c:idx val="0"/>
          <c:order val="1"/>
          <c:tx>
            <c:strRef>
              <c:f>'Mynd 3'!$D$1</c:f>
              <c:strCache>
                <c:ptCount val="1"/>
                <c:pt idx="0">
                  <c:v>Skuldabréf</c:v>
                </c:pt>
              </c:strCache>
            </c:strRef>
          </c:tx>
          <c:spPr>
            <a:solidFill>
              <a:srgbClr val="C8DEF6">
                <a:lumMod val="75000"/>
              </a:srgbClr>
            </a:solidFill>
            <a:ln w="73025">
              <a:noFill/>
            </a:ln>
            <a:effectLst/>
          </c:spPr>
          <c:cat>
            <c:numRef>
              <c:f>'Mynd 3'!$A$2:$A$29</c:f>
              <c:numCache>
                <c:formatCode>m/d/yyyy</c:formatCode>
                <c:ptCount val="28"/>
                <c:pt idx="0">
                  <c:v>45961</c:v>
                </c:pt>
                <c:pt idx="1">
                  <c:v>45657</c:v>
                </c:pt>
                <c:pt idx="2">
                  <c:v>45291</c:v>
                </c:pt>
                <c:pt idx="3">
                  <c:v>44926</c:v>
                </c:pt>
                <c:pt idx="4">
                  <c:v>44561</c:v>
                </c:pt>
                <c:pt idx="5">
                  <c:v>44196</c:v>
                </c:pt>
                <c:pt idx="6">
                  <c:v>43830</c:v>
                </c:pt>
                <c:pt idx="7">
                  <c:v>43465</c:v>
                </c:pt>
                <c:pt idx="8">
                  <c:v>43100</c:v>
                </c:pt>
                <c:pt idx="9">
                  <c:v>42735</c:v>
                </c:pt>
                <c:pt idx="10">
                  <c:v>42369</c:v>
                </c:pt>
                <c:pt idx="11">
                  <c:v>42004</c:v>
                </c:pt>
                <c:pt idx="12">
                  <c:v>41639</c:v>
                </c:pt>
                <c:pt idx="13">
                  <c:v>41274</c:v>
                </c:pt>
                <c:pt idx="14">
                  <c:v>40908</c:v>
                </c:pt>
                <c:pt idx="15">
                  <c:v>40543</c:v>
                </c:pt>
                <c:pt idx="16">
                  <c:v>40178</c:v>
                </c:pt>
                <c:pt idx="17">
                  <c:v>39813</c:v>
                </c:pt>
                <c:pt idx="18">
                  <c:v>39447</c:v>
                </c:pt>
                <c:pt idx="19">
                  <c:v>39082</c:v>
                </c:pt>
                <c:pt idx="20">
                  <c:v>38717</c:v>
                </c:pt>
                <c:pt idx="21">
                  <c:v>38352</c:v>
                </c:pt>
                <c:pt idx="22">
                  <c:v>37986</c:v>
                </c:pt>
                <c:pt idx="23">
                  <c:v>37621</c:v>
                </c:pt>
                <c:pt idx="24">
                  <c:v>37256</c:v>
                </c:pt>
                <c:pt idx="25">
                  <c:v>36891</c:v>
                </c:pt>
                <c:pt idx="26">
                  <c:v>36525</c:v>
                </c:pt>
                <c:pt idx="27">
                  <c:v>36160</c:v>
                </c:pt>
              </c:numCache>
            </c:numRef>
          </c:cat>
          <c:val>
            <c:numRef>
              <c:f>'Mynd 3'!$D$2:$D$29</c:f>
              <c:numCache>
                <c:formatCode>_-* #,##0.0_-;\-* #,##0.0_-;_-* "-"_-;_-@_-</c:formatCode>
                <c:ptCount val="28"/>
                <c:pt idx="0">
                  <c:v>32.092829944779979</c:v>
                </c:pt>
                <c:pt idx="1">
                  <c:v>32.3759326512059</c:v>
                </c:pt>
                <c:pt idx="2">
                  <c:v>34.146374053535965</c:v>
                </c:pt>
                <c:pt idx="3">
                  <c:v>35.373047992375447</c:v>
                </c:pt>
                <c:pt idx="4">
                  <c:v>34.28801798998645</c:v>
                </c:pt>
                <c:pt idx="5">
                  <c:v>36.913800379467695</c:v>
                </c:pt>
                <c:pt idx="6">
                  <c:v>39.781806016025001</c:v>
                </c:pt>
                <c:pt idx="7">
                  <c:v>45.088019272869062</c:v>
                </c:pt>
                <c:pt idx="8">
                  <c:v>45.858232952555547</c:v>
                </c:pt>
                <c:pt idx="9">
                  <c:v>48.629922850564391</c:v>
                </c:pt>
                <c:pt idx="10">
                  <c:v>46.01259041084451</c:v>
                </c:pt>
                <c:pt idx="11">
                  <c:v>48.096730876717089</c:v>
                </c:pt>
                <c:pt idx="12">
                  <c:v>49.331360794293694</c:v>
                </c:pt>
                <c:pt idx="13">
                  <c:v>50.852837872693712</c:v>
                </c:pt>
                <c:pt idx="14">
                  <c:v>52.933220326833776</c:v>
                </c:pt>
                <c:pt idx="15">
                  <c:v>52.258587552852987</c:v>
                </c:pt>
                <c:pt idx="16">
                  <c:v>47.494389800051366</c:v>
                </c:pt>
                <c:pt idx="17">
                  <c:v>44.529943439115847</c:v>
                </c:pt>
                <c:pt idx="18">
                  <c:v>40.00112251187754</c:v>
                </c:pt>
                <c:pt idx="19">
                  <c:v>38.114311010574717</c:v>
                </c:pt>
                <c:pt idx="20">
                  <c:v>41.251504321666161</c:v>
                </c:pt>
                <c:pt idx="21">
                  <c:v>44.347222932724435</c:v>
                </c:pt>
                <c:pt idx="22">
                  <c:v>45.566781299007445</c:v>
                </c:pt>
                <c:pt idx="23">
                  <c:v>50.716148677276692</c:v>
                </c:pt>
                <c:pt idx="24">
                  <c:v>49.281842630265835</c:v>
                </c:pt>
                <c:pt idx="25">
                  <c:v>48.940914941325829</c:v>
                </c:pt>
                <c:pt idx="26">
                  <c:v>52.742223852421709</c:v>
                </c:pt>
                <c:pt idx="27">
                  <c:v>62.482961817340886</c:v>
                </c:pt>
              </c:numCache>
            </c:numRef>
          </c:val>
          <c:extLst>
            <c:ext xmlns:c16="http://schemas.microsoft.com/office/drawing/2014/chart" uri="{C3380CC4-5D6E-409C-BE32-E72D297353CC}">
              <c16:uniqueId val="{00000001-D71B-4F50-A367-DC6D4E2C1157}"/>
            </c:ext>
          </c:extLst>
        </c:ser>
        <c:ser>
          <c:idx val="2"/>
          <c:order val="2"/>
          <c:tx>
            <c:strRef>
              <c:f>'Mynd 3'!$E$1</c:f>
              <c:strCache>
                <c:ptCount val="1"/>
                <c:pt idx="0">
                  <c:v>Innlán</c:v>
                </c:pt>
              </c:strCache>
            </c:strRef>
          </c:tx>
          <c:spPr>
            <a:solidFill>
              <a:srgbClr val="C8DEF6">
                <a:lumMod val="50000"/>
              </a:srgbClr>
            </a:solidFill>
            <a:ln>
              <a:noFill/>
            </a:ln>
            <a:effectLst/>
          </c:spPr>
          <c:cat>
            <c:numRef>
              <c:f>'Mynd 3'!$A$2:$A$29</c:f>
              <c:numCache>
                <c:formatCode>m/d/yyyy</c:formatCode>
                <c:ptCount val="28"/>
                <c:pt idx="0">
                  <c:v>45961</c:v>
                </c:pt>
                <c:pt idx="1">
                  <c:v>45657</c:v>
                </c:pt>
                <c:pt idx="2">
                  <c:v>45291</c:v>
                </c:pt>
                <c:pt idx="3">
                  <c:v>44926</c:v>
                </c:pt>
                <c:pt idx="4">
                  <c:v>44561</c:v>
                </c:pt>
                <c:pt idx="5">
                  <c:v>44196</c:v>
                </c:pt>
                <c:pt idx="6">
                  <c:v>43830</c:v>
                </c:pt>
                <c:pt idx="7">
                  <c:v>43465</c:v>
                </c:pt>
                <c:pt idx="8">
                  <c:v>43100</c:v>
                </c:pt>
                <c:pt idx="9">
                  <c:v>42735</c:v>
                </c:pt>
                <c:pt idx="10">
                  <c:v>42369</c:v>
                </c:pt>
                <c:pt idx="11">
                  <c:v>42004</c:v>
                </c:pt>
                <c:pt idx="12">
                  <c:v>41639</c:v>
                </c:pt>
                <c:pt idx="13">
                  <c:v>41274</c:v>
                </c:pt>
                <c:pt idx="14">
                  <c:v>40908</c:v>
                </c:pt>
                <c:pt idx="15">
                  <c:v>40543</c:v>
                </c:pt>
                <c:pt idx="16">
                  <c:v>40178</c:v>
                </c:pt>
                <c:pt idx="17">
                  <c:v>39813</c:v>
                </c:pt>
                <c:pt idx="18">
                  <c:v>39447</c:v>
                </c:pt>
                <c:pt idx="19">
                  <c:v>39082</c:v>
                </c:pt>
                <c:pt idx="20">
                  <c:v>38717</c:v>
                </c:pt>
                <c:pt idx="21">
                  <c:v>38352</c:v>
                </c:pt>
                <c:pt idx="22">
                  <c:v>37986</c:v>
                </c:pt>
                <c:pt idx="23">
                  <c:v>37621</c:v>
                </c:pt>
                <c:pt idx="24">
                  <c:v>37256</c:v>
                </c:pt>
                <c:pt idx="25">
                  <c:v>36891</c:v>
                </c:pt>
                <c:pt idx="26">
                  <c:v>36525</c:v>
                </c:pt>
                <c:pt idx="27">
                  <c:v>36160</c:v>
                </c:pt>
              </c:numCache>
            </c:numRef>
          </c:cat>
          <c:val>
            <c:numRef>
              <c:f>'Mynd 3'!$E$2:$E$29</c:f>
              <c:numCache>
                <c:formatCode>_-* #,##0.0_-;\-* #,##0.0_-;_-* "-"_-;_-@_-</c:formatCode>
                <c:ptCount val="28"/>
                <c:pt idx="0">
                  <c:v>2.2327082575213555</c:v>
                </c:pt>
                <c:pt idx="1">
                  <c:v>2.2878080966962302</c:v>
                </c:pt>
                <c:pt idx="2">
                  <c:v>2.1571098060777869</c:v>
                </c:pt>
                <c:pt idx="3">
                  <c:v>2.6849681118473292</c:v>
                </c:pt>
                <c:pt idx="4">
                  <c:v>2.8577028706274792</c:v>
                </c:pt>
                <c:pt idx="5">
                  <c:v>3.4754041591706955</c:v>
                </c:pt>
                <c:pt idx="6">
                  <c:v>3.5319121685889363</c:v>
                </c:pt>
                <c:pt idx="7">
                  <c:v>3.6904733058934776</c:v>
                </c:pt>
                <c:pt idx="8">
                  <c:v>4.3420020056617066</c:v>
                </c:pt>
                <c:pt idx="9">
                  <c:v>3.8152161792655512</c:v>
                </c:pt>
                <c:pt idx="10">
                  <c:v>4.8816910567341898</c:v>
                </c:pt>
                <c:pt idx="11">
                  <c:v>4.6182126103060304</c:v>
                </c:pt>
                <c:pt idx="12">
                  <c:v>6.112373471446622</c:v>
                </c:pt>
                <c:pt idx="13">
                  <c:v>6.8835048116852606</c:v>
                </c:pt>
                <c:pt idx="14">
                  <c:v>7.2520661819751142</c:v>
                </c:pt>
                <c:pt idx="15">
                  <c:v>7.9766902483774853</c:v>
                </c:pt>
                <c:pt idx="16">
                  <c:v>8.7885247084978975</c:v>
                </c:pt>
                <c:pt idx="17">
                  <c:v>10.150156509810408</c:v>
                </c:pt>
                <c:pt idx="18">
                  <c:v>2.6477621946025995</c:v>
                </c:pt>
                <c:pt idx="19">
                  <c:v>1.000350263633577</c:v>
                </c:pt>
                <c:pt idx="20">
                  <c:v>2.3435861258930699</c:v>
                </c:pt>
                <c:pt idx="21">
                  <c:v>2.2239235511843187</c:v>
                </c:pt>
                <c:pt idx="22">
                  <c:v>2.2919158430138058</c:v>
                </c:pt>
                <c:pt idx="23">
                  <c:v>2.1108095635951027</c:v>
                </c:pt>
                <c:pt idx="24">
                  <c:v>1.7404264970676591</c:v>
                </c:pt>
                <c:pt idx="25">
                  <c:v>1.5460903492706772</c:v>
                </c:pt>
                <c:pt idx="26">
                  <c:v>1.9824207310164446</c:v>
                </c:pt>
                <c:pt idx="27">
                  <c:v>2.2254252510149493</c:v>
                </c:pt>
              </c:numCache>
            </c:numRef>
          </c:val>
          <c:extLst>
            <c:ext xmlns:c16="http://schemas.microsoft.com/office/drawing/2014/chart" uri="{C3380CC4-5D6E-409C-BE32-E72D297353CC}">
              <c16:uniqueId val="{00000002-D71B-4F50-A367-DC6D4E2C1157}"/>
            </c:ext>
          </c:extLst>
        </c:ser>
        <c:ser>
          <c:idx val="3"/>
          <c:order val="3"/>
          <c:tx>
            <c:strRef>
              <c:f>'Mynd 3'!$F$1</c:f>
              <c:strCache>
                <c:ptCount val="1"/>
                <c:pt idx="0">
                  <c:v>Sjóðfélagalán</c:v>
                </c:pt>
              </c:strCache>
            </c:strRef>
          </c:tx>
          <c:spPr>
            <a:solidFill>
              <a:srgbClr val="003D85">
                <a:lumMod val="75000"/>
              </a:srgbClr>
            </a:solidFill>
            <a:ln>
              <a:noFill/>
            </a:ln>
            <a:effectLst/>
          </c:spPr>
          <c:cat>
            <c:numRef>
              <c:f>'Mynd 3'!$A$2:$A$29</c:f>
              <c:numCache>
                <c:formatCode>m/d/yyyy</c:formatCode>
                <c:ptCount val="28"/>
                <c:pt idx="0">
                  <c:v>45961</c:v>
                </c:pt>
                <c:pt idx="1">
                  <c:v>45657</c:v>
                </c:pt>
                <c:pt idx="2">
                  <c:v>45291</c:v>
                </c:pt>
                <c:pt idx="3">
                  <c:v>44926</c:v>
                </c:pt>
                <c:pt idx="4">
                  <c:v>44561</c:v>
                </c:pt>
                <c:pt idx="5">
                  <c:v>44196</c:v>
                </c:pt>
                <c:pt idx="6">
                  <c:v>43830</c:v>
                </c:pt>
                <c:pt idx="7">
                  <c:v>43465</c:v>
                </c:pt>
                <c:pt idx="8">
                  <c:v>43100</c:v>
                </c:pt>
                <c:pt idx="9">
                  <c:v>42735</c:v>
                </c:pt>
                <c:pt idx="10">
                  <c:v>42369</c:v>
                </c:pt>
                <c:pt idx="11">
                  <c:v>42004</c:v>
                </c:pt>
                <c:pt idx="12">
                  <c:v>41639</c:v>
                </c:pt>
                <c:pt idx="13">
                  <c:v>41274</c:v>
                </c:pt>
                <c:pt idx="14">
                  <c:v>40908</c:v>
                </c:pt>
                <c:pt idx="15">
                  <c:v>40543</c:v>
                </c:pt>
                <c:pt idx="16">
                  <c:v>40178</c:v>
                </c:pt>
                <c:pt idx="17">
                  <c:v>39813</c:v>
                </c:pt>
                <c:pt idx="18">
                  <c:v>39447</c:v>
                </c:pt>
                <c:pt idx="19">
                  <c:v>39082</c:v>
                </c:pt>
                <c:pt idx="20">
                  <c:v>38717</c:v>
                </c:pt>
                <c:pt idx="21">
                  <c:v>38352</c:v>
                </c:pt>
                <c:pt idx="22">
                  <c:v>37986</c:v>
                </c:pt>
                <c:pt idx="23">
                  <c:v>37621</c:v>
                </c:pt>
                <c:pt idx="24">
                  <c:v>37256</c:v>
                </c:pt>
                <c:pt idx="25">
                  <c:v>36891</c:v>
                </c:pt>
                <c:pt idx="26">
                  <c:v>36525</c:v>
                </c:pt>
                <c:pt idx="27">
                  <c:v>36160</c:v>
                </c:pt>
              </c:numCache>
            </c:numRef>
          </c:cat>
          <c:val>
            <c:numRef>
              <c:f>'Mynd 3'!$F$2:$F$29</c:f>
              <c:numCache>
                <c:formatCode>_-* #,##0.0_-;\-* #,##0.0_-;_-* "-"_-;_-@_-</c:formatCode>
                <c:ptCount val="28"/>
                <c:pt idx="0">
                  <c:v>9.0073714941086926</c:v>
                </c:pt>
                <c:pt idx="1">
                  <c:v>8.1490914628171627</c:v>
                </c:pt>
                <c:pt idx="2">
                  <c:v>8.6453157898281603</c:v>
                </c:pt>
                <c:pt idx="3">
                  <c:v>8.2385734024052191</c:v>
                </c:pt>
                <c:pt idx="4">
                  <c:v>7.172935697108267</c:v>
                </c:pt>
                <c:pt idx="5">
                  <c:v>8.8070082117488813</c:v>
                </c:pt>
                <c:pt idx="6">
                  <c:v>10.347777199218426</c:v>
                </c:pt>
                <c:pt idx="7">
                  <c:v>9.9117633162720971</c:v>
                </c:pt>
                <c:pt idx="8">
                  <c:v>8.255477321977601</c:v>
                </c:pt>
                <c:pt idx="9">
                  <c:v>6.5531891359081857</c:v>
                </c:pt>
                <c:pt idx="10">
                  <c:v>5.1345443938346067</c:v>
                </c:pt>
                <c:pt idx="11">
                  <c:v>5.8282525105994267</c:v>
                </c:pt>
                <c:pt idx="12">
                  <c:v>6.5339433158435156</c:v>
                </c:pt>
                <c:pt idx="13">
                  <c:v>7.1821808351054575</c:v>
                </c:pt>
                <c:pt idx="14">
                  <c:v>8.0794531612880256</c:v>
                </c:pt>
                <c:pt idx="15">
                  <c:v>8.6426492912801667</c:v>
                </c:pt>
                <c:pt idx="16">
                  <c:v>9.4323583062976297</c:v>
                </c:pt>
                <c:pt idx="17">
                  <c:v>9.8049182199446214</c:v>
                </c:pt>
                <c:pt idx="18">
                  <c:v>7.6379355503709441</c:v>
                </c:pt>
                <c:pt idx="19">
                  <c:v>7.2631866459585126</c:v>
                </c:pt>
                <c:pt idx="20">
                  <c:v>7.5911221753792004</c:v>
                </c:pt>
                <c:pt idx="21">
                  <c:v>8.801059077076598</c:v>
                </c:pt>
                <c:pt idx="22">
                  <c:v>11.022619190731652</c:v>
                </c:pt>
                <c:pt idx="23">
                  <c:v>12.292145242190131</c:v>
                </c:pt>
                <c:pt idx="24">
                  <c:v>11.015757957282405</c:v>
                </c:pt>
                <c:pt idx="25">
                  <c:v>9.8229853854514744</c:v>
                </c:pt>
                <c:pt idx="26">
                  <c:v>8.5384472093822694</c:v>
                </c:pt>
                <c:pt idx="27">
                  <c:v>9.6333945932982736</c:v>
                </c:pt>
              </c:numCache>
            </c:numRef>
          </c:val>
          <c:extLst>
            <c:ext xmlns:c16="http://schemas.microsoft.com/office/drawing/2014/chart" uri="{C3380CC4-5D6E-409C-BE32-E72D297353CC}">
              <c16:uniqueId val="{00000003-D71B-4F50-A367-DC6D4E2C1157}"/>
            </c:ext>
          </c:extLst>
        </c:ser>
        <c:ser>
          <c:idx val="4"/>
          <c:order val="4"/>
          <c:tx>
            <c:strRef>
              <c:f>'Mynd 3'!$G$1</c:f>
              <c:strCache>
                <c:ptCount val="1"/>
                <c:pt idx="0">
                  <c:v>Aðrar eignir</c:v>
                </c:pt>
              </c:strCache>
            </c:strRef>
          </c:tx>
          <c:spPr>
            <a:solidFill>
              <a:srgbClr val="003D85">
                <a:lumMod val="50000"/>
              </a:srgbClr>
            </a:solidFill>
            <a:ln>
              <a:noFill/>
            </a:ln>
            <a:effectLst/>
          </c:spPr>
          <c:cat>
            <c:numRef>
              <c:f>'Mynd 3'!$A$2:$A$29</c:f>
              <c:numCache>
                <c:formatCode>m/d/yyyy</c:formatCode>
                <c:ptCount val="28"/>
                <c:pt idx="0">
                  <c:v>45961</c:v>
                </c:pt>
                <c:pt idx="1">
                  <c:v>45657</c:v>
                </c:pt>
                <c:pt idx="2">
                  <c:v>45291</c:v>
                </c:pt>
                <c:pt idx="3">
                  <c:v>44926</c:v>
                </c:pt>
                <c:pt idx="4">
                  <c:v>44561</c:v>
                </c:pt>
                <c:pt idx="5">
                  <c:v>44196</c:v>
                </c:pt>
                <c:pt idx="6">
                  <c:v>43830</c:v>
                </c:pt>
                <c:pt idx="7">
                  <c:v>43465</c:v>
                </c:pt>
                <c:pt idx="8">
                  <c:v>43100</c:v>
                </c:pt>
                <c:pt idx="9">
                  <c:v>42735</c:v>
                </c:pt>
                <c:pt idx="10">
                  <c:v>42369</c:v>
                </c:pt>
                <c:pt idx="11">
                  <c:v>42004</c:v>
                </c:pt>
                <c:pt idx="12">
                  <c:v>41639</c:v>
                </c:pt>
                <c:pt idx="13">
                  <c:v>41274</c:v>
                </c:pt>
                <c:pt idx="14">
                  <c:v>40908</c:v>
                </c:pt>
                <c:pt idx="15">
                  <c:v>40543</c:v>
                </c:pt>
                <c:pt idx="16">
                  <c:v>40178</c:v>
                </c:pt>
                <c:pt idx="17">
                  <c:v>39813</c:v>
                </c:pt>
                <c:pt idx="18">
                  <c:v>39447</c:v>
                </c:pt>
                <c:pt idx="19">
                  <c:v>39082</c:v>
                </c:pt>
                <c:pt idx="20">
                  <c:v>38717</c:v>
                </c:pt>
                <c:pt idx="21">
                  <c:v>38352</c:v>
                </c:pt>
                <c:pt idx="22">
                  <c:v>37986</c:v>
                </c:pt>
                <c:pt idx="23">
                  <c:v>37621</c:v>
                </c:pt>
                <c:pt idx="24">
                  <c:v>37256</c:v>
                </c:pt>
                <c:pt idx="25">
                  <c:v>36891</c:v>
                </c:pt>
                <c:pt idx="26">
                  <c:v>36525</c:v>
                </c:pt>
                <c:pt idx="27">
                  <c:v>36160</c:v>
                </c:pt>
              </c:numCache>
            </c:numRef>
          </c:cat>
          <c:val>
            <c:numRef>
              <c:f>'Mynd 3'!$G$2:$G$29</c:f>
              <c:numCache>
                <c:formatCode>_-* #,##0.0_-;\-* #,##0.0_-;_-* "-"_-;_-@_-</c:formatCode>
                <c:ptCount val="28"/>
                <c:pt idx="0">
                  <c:v>0.50956489613664591</c:v>
                </c:pt>
                <c:pt idx="1">
                  <c:v>1.0864022001659872</c:v>
                </c:pt>
                <c:pt idx="2">
                  <c:v>0.70107435543108287</c:v>
                </c:pt>
                <c:pt idx="3">
                  <c:v>0.59107911155000492</c:v>
                </c:pt>
                <c:pt idx="4">
                  <c:v>0.52692473175542376</c:v>
                </c:pt>
                <c:pt idx="5">
                  <c:v>0.60011095567035055</c:v>
                </c:pt>
                <c:pt idx="6">
                  <c:v>0.69195218336484543</c:v>
                </c:pt>
                <c:pt idx="7">
                  <c:v>0.8060776697411034</c:v>
                </c:pt>
                <c:pt idx="8">
                  <c:v>1.4327761928588212</c:v>
                </c:pt>
                <c:pt idx="9">
                  <c:v>0.88282107713044522</c:v>
                </c:pt>
                <c:pt idx="10">
                  <c:v>0.83281205951281734</c:v>
                </c:pt>
                <c:pt idx="11">
                  <c:v>0.68094233212413624</c:v>
                </c:pt>
                <c:pt idx="12">
                  <c:v>0.77134092163130008</c:v>
                </c:pt>
                <c:pt idx="13">
                  <c:v>0.80579499479127847</c:v>
                </c:pt>
                <c:pt idx="14">
                  <c:v>0.83092871608242869</c:v>
                </c:pt>
                <c:pt idx="15">
                  <c:v>0.9943676355076817</c:v>
                </c:pt>
                <c:pt idx="16">
                  <c:v>1.0063287119919109</c:v>
                </c:pt>
                <c:pt idx="17">
                  <c:v>1.1882552645293469</c:v>
                </c:pt>
                <c:pt idx="18">
                  <c:v>0.74803711278586749</c:v>
                </c:pt>
                <c:pt idx="19">
                  <c:v>0.84705048456571941</c:v>
                </c:pt>
                <c:pt idx="20">
                  <c:v>0.83332427812322696</c:v>
                </c:pt>
                <c:pt idx="21">
                  <c:v>1.4461783129171826</c:v>
                </c:pt>
                <c:pt idx="22">
                  <c:v>1.9949063569999654</c:v>
                </c:pt>
                <c:pt idx="23">
                  <c:v>1.0405689426809341</c:v>
                </c:pt>
                <c:pt idx="24">
                  <c:v>1.1966975098631882</c:v>
                </c:pt>
                <c:pt idx="25">
                  <c:v>1.3798044252775676</c:v>
                </c:pt>
                <c:pt idx="26">
                  <c:v>1.180657042941887</c:v>
                </c:pt>
                <c:pt idx="27">
                  <c:v>1.34984007967874</c:v>
                </c:pt>
              </c:numCache>
            </c:numRef>
          </c:val>
          <c:extLst>
            <c:ext xmlns:c16="http://schemas.microsoft.com/office/drawing/2014/chart" uri="{C3380CC4-5D6E-409C-BE32-E72D297353CC}">
              <c16:uniqueId val="{00000004-D71B-4F50-A367-DC6D4E2C1157}"/>
            </c:ext>
          </c:extLst>
        </c:ser>
        <c:dLbls>
          <c:showLegendKey val="0"/>
          <c:showVal val="0"/>
          <c:showCatName val="0"/>
          <c:showSerName val="0"/>
          <c:showPercent val="0"/>
          <c:showBubbleSize val="0"/>
        </c:dLbls>
        <c:axId val="1588382592"/>
        <c:axId val="1588383576"/>
      </c:areaChart>
      <c:lineChart>
        <c:grouping val="standard"/>
        <c:varyColors val="0"/>
        <c:ser>
          <c:idx val="5"/>
          <c:order val="5"/>
          <c:tx>
            <c:strRef>
              <c:f>'Mynd 3'!$H$1</c:f>
              <c:strCache>
                <c:ptCount val="1"/>
                <c:pt idx="0">
                  <c:v>Erlendar eignir (h. ás)</c:v>
                </c:pt>
              </c:strCache>
            </c:strRef>
          </c:tx>
          <c:spPr>
            <a:ln w="28575" cap="rnd">
              <a:solidFill>
                <a:srgbClr val="CA003B"/>
              </a:solidFill>
              <a:round/>
            </a:ln>
            <a:effectLst/>
          </c:spPr>
          <c:marker>
            <c:symbol val="none"/>
          </c:marker>
          <c:cat>
            <c:numRef>
              <c:f>'Mynd 3'!$A$2:$A$29</c:f>
              <c:numCache>
                <c:formatCode>m/d/yyyy</c:formatCode>
                <c:ptCount val="28"/>
                <c:pt idx="0">
                  <c:v>45961</c:v>
                </c:pt>
                <c:pt idx="1">
                  <c:v>45657</c:v>
                </c:pt>
                <c:pt idx="2">
                  <c:v>45291</c:v>
                </c:pt>
                <c:pt idx="3">
                  <c:v>44926</c:v>
                </c:pt>
                <c:pt idx="4">
                  <c:v>44561</c:v>
                </c:pt>
                <c:pt idx="5">
                  <c:v>44196</c:v>
                </c:pt>
                <c:pt idx="6">
                  <c:v>43830</c:v>
                </c:pt>
                <c:pt idx="7">
                  <c:v>43465</c:v>
                </c:pt>
                <c:pt idx="8">
                  <c:v>43100</c:v>
                </c:pt>
                <c:pt idx="9">
                  <c:v>42735</c:v>
                </c:pt>
                <c:pt idx="10">
                  <c:v>42369</c:v>
                </c:pt>
                <c:pt idx="11">
                  <c:v>42004</c:v>
                </c:pt>
                <c:pt idx="12">
                  <c:v>41639</c:v>
                </c:pt>
                <c:pt idx="13">
                  <c:v>41274</c:v>
                </c:pt>
                <c:pt idx="14">
                  <c:v>40908</c:v>
                </c:pt>
                <c:pt idx="15">
                  <c:v>40543</c:v>
                </c:pt>
                <c:pt idx="16">
                  <c:v>40178</c:v>
                </c:pt>
                <c:pt idx="17">
                  <c:v>39813</c:v>
                </c:pt>
                <c:pt idx="18">
                  <c:v>39447</c:v>
                </c:pt>
                <c:pt idx="19">
                  <c:v>39082</c:v>
                </c:pt>
                <c:pt idx="20">
                  <c:v>38717</c:v>
                </c:pt>
                <c:pt idx="21">
                  <c:v>38352</c:v>
                </c:pt>
                <c:pt idx="22">
                  <c:v>37986</c:v>
                </c:pt>
                <c:pt idx="23">
                  <c:v>37621</c:v>
                </c:pt>
                <c:pt idx="24">
                  <c:v>37256</c:v>
                </c:pt>
                <c:pt idx="25">
                  <c:v>36891</c:v>
                </c:pt>
                <c:pt idx="26">
                  <c:v>36525</c:v>
                </c:pt>
                <c:pt idx="27">
                  <c:v>36160</c:v>
                </c:pt>
              </c:numCache>
            </c:numRef>
          </c:cat>
          <c:val>
            <c:numRef>
              <c:f>'Mynd 3'!$H$2:$H$29</c:f>
              <c:numCache>
                <c:formatCode>_(* #,##0_);_(* \(#,##0\);_(* "-"_);_(@_)</c:formatCode>
                <c:ptCount val="28"/>
                <c:pt idx="0">
                  <c:v>41.568249943928457</c:v>
                </c:pt>
                <c:pt idx="1">
                  <c:v>40.675569727473835</c:v>
                </c:pt>
                <c:pt idx="2">
                  <c:v>37.603285533587439</c:v>
                </c:pt>
                <c:pt idx="3">
                  <c:v>35.034465972633171</c:v>
                </c:pt>
                <c:pt idx="4">
                  <c:v>35.809026925121671</c:v>
                </c:pt>
                <c:pt idx="5">
                  <c:v>33.713684545833559</c:v>
                </c:pt>
                <c:pt idx="6">
                  <c:v>30.127587995218381</c:v>
                </c:pt>
                <c:pt idx="7">
                  <c:v>25.668578848619273</c:v>
                </c:pt>
                <c:pt idx="8">
                  <c:v>24.00304600865352</c:v>
                </c:pt>
                <c:pt idx="9">
                  <c:v>21.698588973637378</c:v>
                </c:pt>
                <c:pt idx="10">
                  <c:v>22.380191860857536</c:v>
                </c:pt>
                <c:pt idx="11">
                  <c:v>23.678104801721446</c:v>
                </c:pt>
                <c:pt idx="12">
                  <c:v>22.222501375669701</c:v>
                </c:pt>
                <c:pt idx="13">
                  <c:v>22.701830562911951</c:v>
                </c:pt>
                <c:pt idx="14">
                  <c:v>21.745791217603969</c:v>
                </c:pt>
                <c:pt idx="15">
                  <c:v>23.68059602179224</c:v>
                </c:pt>
                <c:pt idx="16">
                  <c:v>28.663448968475301</c:v>
                </c:pt>
                <c:pt idx="17">
                  <c:v>27.735479752735277</c:v>
                </c:pt>
                <c:pt idx="18">
                  <c:v>26.984845508369137</c:v>
                </c:pt>
                <c:pt idx="19">
                  <c:v>29.474486308599921</c:v>
                </c:pt>
                <c:pt idx="20">
                  <c:v>24.483531805105457</c:v>
                </c:pt>
                <c:pt idx="21">
                  <c:v>22.054733294312083</c:v>
                </c:pt>
                <c:pt idx="22">
                  <c:v>19.408308740811574</c:v>
                </c:pt>
                <c:pt idx="23">
                  <c:v>15.159392458638891</c:v>
                </c:pt>
                <c:pt idx="24">
                  <c:v>20.78220444765374</c:v>
                </c:pt>
                <c:pt idx="25">
                  <c:v>22.474236217320076</c:v>
                </c:pt>
                <c:pt idx="26">
                  <c:v>18.834245199499929</c:v>
                </c:pt>
                <c:pt idx="27">
                  <c:v>12.150273712133632</c:v>
                </c:pt>
              </c:numCache>
            </c:numRef>
          </c:val>
          <c:smooth val="0"/>
          <c:extLst>
            <c:ext xmlns:c16="http://schemas.microsoft.com/office/drawing/2014/chart" uri="{C3380CC4-5D6E-409C-BE32-E72D297353CC}">
              <c16:uniqueId val="{00000005-D71B-4F50-A367-DC6D4E2C1157}"/>
            </c:ext>
          </c:extLst>
        </c:ser>
        <c:dLbls>
          <c:showLegendKey val="0"/>
          <c:showVal val="0"/>
          <c:showCatName val="0"/>
          <c:showSerName val="0"/>
          <c:showPercent val="0"/>
          <c:showBubbleSize val="0"/>
        </c:dLbls>
        <c:marker val="1"/>
        <c:smooth val="0"/>
        <c:axId val="91067303"/>
        <c:axId val="91064423"/>
      </c:lineChart>
      <c:dateAx>
        <c:axId val="158838259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r>
                  <a:rPr lang="en-US"/>
                  <a:t>% af heildareignum, 1998-2024</a:t>
                </a:r>
              </a:p>
            </c:rich>
          </c:tx>
          <c:layout>
            <c:manualLayout>
              <c:xMode val="edge"/>
              <c:yMode val="edge"/>
              <c:x val="3.6785750779514661E-4"/>
              <c:y val="9.3372677690082936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LID4096"/>
            </a:p>
          </c:txPr>
        </c:title>
        <c:numFmt formatCode="yyyy"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LID4096"/>
          </a:p>
        </c:txPr>
        <c:crossAx val="1588383576"/>
        <c:crosses val="autoZero"/>
        <c:auto val="1"/>
        <c:lblOffset val="100"/>
        <c:baseTimeUnit val="months"/>
        <c:majorUnit val="1"/>
        <c:majorTimeUnit val="years"/>
      </c:dateAx>
      <c:valAx>
        <c:axId val="1588383576"/>
        <c:scaling>
          <c:orientation val="minMax"/>
          <c:max val="1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LID4096"/>
          </a:p>
        </c:txPr>
        <c:crossAx val="1588382592"/>
        <c:crosses val="autoZero"/>
        <c:crossBetween val="between"/>
      </c:valAx>
      <c:valAx>
        <c:axId val="91064423"/>
        <c:scaling>
          <c:orientation val="minMax"/>
        </c:scaling>
        <c:delete val="0"/>
        <c:axPos val="r"/>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en-US"/>
          </a:p>
        </c:txPr>
        <c:crossAx val="91067303"/>
        <c:crosses val="max"/>
        <c:crossBetween val="between"/>
      </c:valAx>
      <c:dateAx>
        <c:axId val="91067303"/>
        <c:scaling>
          <c:orientation val="minMax"/>
        </c:scaling>
        <c:delete val="1"/>
        <c:axPos val="b"/>
        <c:numFmt formatCode="m/d/yyyy" sourceLinked="1"/>
        <c:majorTickMark val="out"/>
        <c:minorTickMark val="none"/>
        <c:tickLblPos val="nextTo"/>
        <c:crossAx val="91064423"/>
        <c:crosses val="autoZero"/>
        <c:auto val="1"/>
        <c:lblOffset val="100"/>
        <c:baseTimeUnit val="months"/>
      </c:dateAx>
      <c:spPr>
        <a:noFill/>
        <a:ln>
          <a:solidFill>
            <a:srgbClr val="E8E8E8"/>
          </a:solid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ayout>
        <c:manualLayout>
          <c:xMode val="edge"/>
          <c:yMode val="edge"/>
          <c:x val="7.8594919240991296E-2"/>
          <c:y val="0.88003284183753783"/>
          <c:w val="0.8391469565399915"/>
          <c:h val="6.996061362330205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LID4096"/>
        </a:p>
      </c:txPr>
    </c:legend>
    <c:plotVisOnly val="1"/>
    <c:dispBlanksAs val="gap"/>
    <c:showDLblsOverMax val="0"/>
    <c:extLst/>
  </c:chart>
  <c:spPr>
    <a:solidFill>
      <a:schemeClr val="bg1"/>
    </a:solidFill>
    <a:ln w="9525" cap="flat" cmpd="sng" algn="ctr">
      <a:noFill/>
      <a:round/>
    </a:ln>
    <a:effectLst/>
  </c:spPr>
  <c:txPr>
    <a:bodyPr/>
    <a:lstStyle/>
    <a:p>
      <a:pPr>
        <a:defRPr sz="900">
          <a:solidFill>
            <a:sysClr val="windowText" lastClr="000000"/>
          </a:solidFill>
          <a:latin typeface="FiraGO Light" panose="020B0403050000020004" pitchFamily="34" charset="0"/>
          <a:cs typeface="FiraGO Light" panose="020B0403050000020004" pitchFamily="34" charset="0"/>
        </a:defRPr>
      </a:pPr>
      <a:endParaRPr lang="LID4096"/>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s-I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000" b="0" i="0" u="none" strike="noStrike" kern="1200" spc="0" baseline="0">
                <a:solidFill>
                  <a:sysClr val="windowText" lastClr="000000"/>
                </a:solidFill>
                <a:latin typeface="FiraGO SemiBold" panose="020B0603050000020004" pitchFamily="34" charset="0"/>
                <a:ea typeface="+mn-ea"/>
                <a:cs typeface="FiraGO SemiBold" panose="020B0603050000020004" pitchFamily="34" charset="0"/>
              </a:defRPr>
            </a:pPr>
            <a:r>
              <a:rPr lang="en-US"/>
              <a:t>Mynd 4</a:t>
            </a:r>
          </a:p>
          <a:p>
            <a:pPr algn="l">
              <a:defRPr sz="1000">
                <a:latin typeface="FiraGO SemiBold" panose="020B0603050000020004" pitchFamily="34" charset="0"/>
                <a:cs typeface="FiraGO SemiBold" panose="020B0603050000020004" pitchFamily="34" charset="0"/>
              </a:defRPr>
            </a:pPr>
            <a:r>
              <a:rPr lang="en-US"/>
              <a:t>Eignasamsetning lífeyrissparnaðar valinna OECD ríkja</a:t>
            </a:r>
          </a:p>
        </c:rich>
      </c:tx>
      <c:layout>
        <c:manualLayout>
          <c:xMode val="edge"/>
          <c:yMode val="edge"/>
          <c:x val="7.1553656561566099E-4"/>
          <c:y val="1.0204267323539354E-3"/>
        </c:manualLayout>
      </c:layout>
      <c:overlay val="0"/>
      <c:spPr>
        <a:noFill/>
        <a:ln>
          <a:noFill/>
        </a:ln>
        <a:effectLst/>
      </c:spPr>
      <c:txPr>
        <a:bodyPr rot="0" spcFirstLastPara="1" vertOverflow="ellipsis" vert="horz" wrap="square" anchor="ctr" anchorCtr="1"/>
        <a:lstStyle/>
        <a:p>
          <a:pPr algn="l">
            <a:defRPr sz="1000" b="0" i="0" u="none" strike="noStrike" kern="1200" spc="0" baseline="0">
              <a:solidFill>
                <a:sysClr val="windowText" lastClr="000000"/>
              </a:solidFill>
              <a:latin typeface="FiraGO SemiBold" panose="020B0603050000020004" pitchFamily="34" charset="0"/>
              <a:ea typeface="+mn-ea"/>
              <a:cs typeface="FiraGO SemiBold" panose="020B0603050000020004" pitchFamily="34" charset="0"/>
            </a:defRPr>
          </a:pPr>
          <a:endParaRPr lang="LID4096"/>
        </a:p>
      </c:txPr>
    </c:title>
    <c:autoTitleDeleted val="0"/>
    <c:plotArea>
      <c:layout>
        <c:manualLayout>
          <c:layoutTarget val="inner"/>
          <c:xMode val="edge"/>
          <c:yMode val="edge"/>
          <c:x val="0.10168561675160392"/>
          <c:y val="0.17563314679745784"/>
          <c:w val="0.84730580089861196"/>
          <c:h val="0.52181420286007962"/>
        </c:manualLayout>
      </c:layout>
      <c:barChart>
        <c:barDir val="col"/>
        <c:grouping val="stacked"/>
        <c:varyColors val="0"/>
        <c:ser>
          <c:idx val="1"/>
          <c:order val="0"/>
          <c:tx>
            <c:strRef>
              <c:f>'Mynd 4'!$AN$1</c:f>
              <c:strCache>
                <c:ptCount val="1"/>
                <c:pt idx="0">
                  <c:v>Hlutabréf og sjóðir</c:v>
                </c:pt>
              </c:strCache>
            </c:strRef>
          </c:tx>
          <c:spPr>
            <a:solidFill>
              <a:srgbClr val="C8DEF6">
                <a:lumMod val="25000"/>
              </a:srgbClr>
            </a:solidFill>
            <a:ln w="38100">
              <a:solidFill>
                <a:srgbClr val="C8DEF6">
                  <a:lumMod val="25000"/>
                </a:srgbClr>
              </a:solidFill>
            </a:ln>
            <a:effectLst/>
          </c:spPr>
          <c:invertIfNegative val="0"/>
          <c:cat>
            <c:strRef>
              <c:f>'Mynd 4'!$AM$2:$AM$30</c:f>
              <c:strCache>
                <c:ptCount val="29"/>
                <c:pt idx="0">
                  <c:v>Þýskaland</c:v>
                </c:pt>
                <c:pt idx="1">
                  <c:v>Tékkland</c:v>
                </c:pt>
                <c:pt idx="2">
                  <c:v>Frakkland</c:v>
                </c:pt>
                <c:pt idx="3">
                  <c:v>Portúgal</c:v>
                </c:pt>
                <c:pt idx="4">
                  <c:v>Írland</c:v>
                </c:pt>
                <c:pt idx="5">
                  <c:v>Danmörk</c:v>
                </c:pt>
                <c:pt idx="6">
                  <c:v>Austurríki</c:v>
                </c:pt>
                <c:pt idx="7">
                  <c:v>Ítalía</c:v>
                </c:pt>
                <c:pt idx="8">
                  <c:v>Lúxemborg</c:v>
                </c:pt>
                <c:pt idx="9">
                  <c:v>Holland</c:v>
                </c:pt>
                <c:pt idx="10">
                  <c:v>Bretland</c:v>
                </c:pt>
                <c:pt idx="11">
                  <c:v>Sviss</c:v>
                </c:pt>
                <c:pt idx="12">
                  <c:v>Spánn</c:v>
                </c:pt>
                <c:pt idx="13">
                  <c:v>Slóvenía</c:v>
                </c:pt>
                <c:pt idx="14">
                  <c:v>Kanada</c:v>
                </c:pt>
                <c:pt idx="15">
                  <c:v>Noregur</c:v>
                </c:pt>
                <c:pt idx="16">
                  <c:v>Grikkland</c:v>
                </c:pt>
                <c:pt idx="17">
                  <c:v>Belgía</c:v>
                </c:pt>
                <c:pt idx="18">
                  <c:v>Finnland</c:v>
                </c:pt>
                <c:pt idx="19">
                  <c:v>Ástralía</c:v>
                </c:pt>
                <c:pt idx="20">
                  <c:v>Lettland</c:v>
                </c:pt>
                <c:pt idx="21">
                  <c:v>Slóvakía</c:v>
                </c:pt>
                <c:pt idx="22">
                  <c:v>Bandaríkin</c:v>
                </c:pt>
                <c:pt idx="23">
                  <c:v>Litháen</c:v>
                </c:pt>
                <c:pt idx="24">
                  <c:v>Eistland</c:v>
                </c:pt>
                <c:pt idx="25">
                  <c:v>Svíþjóð</c:v>
                </c:pt>
                <c:pt idx="26">
                  <c:v>Pólland</c:v>
                </c:pt>
                <c:pt idx="28">
                  <c:v>Ísland</c:v>
                </c:pt>
              </c:strCache>
            </c:strRef>
          </c:cat>
          <c:val>
            <c:numRef>
              <c:f>'Mynd 4'!$AN$2:$AN$30</c:f>
              <c:numCache>
                <c:formatCode>General</c:formatCode>
                <c:ptCount val="29"/>
                <c:pt idx="0">
                  <c:v>7.2</c:v>
                </c:pt>
                <c:pt idx="1">
                  <c:v>13.9</c:v>
                </c:pt>
                <c:pt idx="2">
                  <c:v>15</c:v>
                </c:pt>
                <c:pt idx="3">
                  <c:v>16.399999999999999</c:v>
                </c:pt>
                <c:pt idx="4">
                  <c:v>18.3</c:v>
                </c:pt>
                <c:pt idx="5">
                  <c:v>23.6</c:v>
                </c:pt>
                <c:pt idx="6">
                  <c:v>25.3</c:v>
                </c:pt>
                <c:pt idx="7">
                  <c:v>25.5</c:v>
                </c:pt>
                <c:pt idx="8">
                  <c:v>26.7</c:v>
                </c:pt>
                <c:pt idx="9">
                  <c:v>27.3</c:v>
                </c:pt>
                <c:pt idx="10">
                  <c:v>28.8</c:v>
                </c:pt>
                <c:pt idx="11">
                  <c:v>31.7</c:v>
                </c:pt>
                <c:pt idx="12">
                  <c:v>32.5</c:v>
                </c:pt>
                <c:pt idx="13">
                  <c:v>39.4</c:v>
                </c:pt>
                <c:pt idx="14">
                  <c:v>39.4</c:v>
                </c:pt>
                <c:pt idx="15">
                  <c:v>42.4</c:v>
                </c:pt>
                <c:pt idx="16">
                  <c:v>46.4</c:v>
                </c:pt>
                <c:pt idx="17">
                  <c:v>47.5</c:v>
                </c:pt>
                <c:pt idx="18">
                  <c:v>48.8</c:v>
                </c:pt>
                <c:pt idx="19">
                  <c:v>48.9</c:v>
                </c:pt>
                <c:pt idx="20">
                  <c:v>58.7</c:v>
                </c:pt>
                <c:pt idx="21">
                  <c:v>64.599999999999994</c:v>
                </c:pt>
                <c:pt idx="22">
                  <c:v>67.900000000000006</c:v>
                </c:pt>
                <c:pt idx="23">
                  <c:v>70.5</c:v>
                </c:pt>
                <c:pt idx="24">
                  <c:v>79</c:v>
                </c:pt>
                <c:pt idx="25">
                  <c:v>80.900000000000006</c:v>
                </c:pt>
                <c:pt idx="26">
                  <c:v>87.6</c:v>
                </c:pt>
                <c:pt idx="28">
                  <c:v>41.4</c:v>
                </c:pt>
              </c:numCache>
            </c:numRef>
          </c:val>
          <c:extLst>
            <c:ext xmlns:c16="http://schemas.microsoft.com/office/drawing/2014/chart" uri="{C3380CC4-5D6E-409C-BE32-E72D297353CC}">
              <c16:uniqueId val="{00000000-68B8-4C0E-833A-A504D02FFC88}"/>
            </c:ext>
          </c:extLst>
        </c:ser>
        <c:ser>
          <c:idx val="0"/>
          <c:order val="1"/>
          <c:tx>
            <c:strRef>
              <c:f>'Mynd 4'!$AO$1</c:f>
              <c:strCache>
                <c:ptCount val="1"/>
                <c:pt idx="0">
                  <c:v>Skuldabréf og víxlar</c:v>
                </c:pt>
              </c:strCache>
            </c:strRef>
          </c:tx>
          <c:spPr>
            <a:solidFill>
              <a:srgbClr val="C8DEF6">
                <a:lumMod val="50000"/>
              </a:srgbClr>
            </a:solidFill>
            <a:ln w="38100">
              <a:solidFill>
                <a:srgbClr val="C8DEF6">
                  <a:lumMod val="50000"/>
                </a:srgbClr>
              </a:solidFill>
            </a:ln>
            <a:effectLst/>
          </c:spPr>
          <c:invertIfNegative val="0"/>
          <c:cat>
            <c:strRef>
              <c:f>'Mynd 4'!$AM$2:$AM$30</c:f>
              <c:strCache>
                <c:ptCount val="29"/>
                <c:pt idx="0">
                  <c:v>Þýskaland</c:v>
                </c:pt>
                <c:pt idx="1">
                  <c:v>Tékkland</c:v>
                </c:pt>
                <c:pt idx="2">
                  <c:v>Frakkland</c:v>
                </c:pt>
                <c:pt idx="3">
                  <c:v>Portúgal</c:v>
                </c:pt>
                <c:pt idx="4">
                  <c:v>Írland</c:v>
                </c:pt>
                <c:pt idx="5">
                  <c:v>Danmörk</c:v>
                </c:pt>
                <c:pt idx="6">
                  <c:v>Austurríki</c:v>
                </c:pt>
                <c:pt idx="7">
                  <c:v>Ítalía</c:v>
                </c:pt>
                <c:pt idx="8">
                  <c:v>Lúxemborg</c:v>
                </c:pt>
                <c:pt idx="9">
                  <c:v>Holland</c:v>
                </c:pt>
                <c:pt idx="10">
                  <c:v>Bretland</c:v>
                </c:pt>
                <c:pt idx="11">
                  <c:v>Sviss</c:v>
                </c:pt>
                <c:pt idx="12">
                  <c:v>Spánn</c:v>
                </c:pt>
                <c:pt idx="13">
                  <c:v>Slóvenía</c:v>
                </c:pt>
                <c:pt idx="14">
                  <c:v>Kanada</c:v>
                </c:pt>
                <c:pt idx="15">
                  <c:v>Noregur</c:v>
                </c:pt>
                <c:pt idx="16">
                  <c:v>Grikkland</c:v>
                </c:pt>
                <c:pt idx="17">
                  <c:v>Belgía</c:v>
                </c:pt>
                <c:pt idx="18">
                  <c:v>Finnland</c:v>
                </c:pt>
                <c:pt idx="19">
                  <c:v>Ástralía</c:v>
                </c:pt>
                <c:pt idx="20">
                  <c:v>Lettland</c:v>
                </c:pt>
                <c:pt idx="21">
                  <c:v>Slóvakía</c:v>
                </c:pt>
                <c:pt idx="22">
                  <c:v>Bandaríkin</c:v>
                </c:pt>
                <c:pt idx="23">
                  <c:v>Litháen</c:v>
                </c:pt>
                <c:pt idx="24">
                  <c:v>Eistland</c:v>
                </c:pt>
                <c:pt idx="25">
                  <c:v>Svíþjóð</c:v>
                </c:pt>
                <c:pt idx="26">
                  <c:v>Pólland</c:v>
                </c:pt>
                <c:pt idx="28">
                  <c:v>Ísland</c:v>
                </c:pt>
              </c:strCache>
            </c:strRef>
          </c:cat>
          <c:val>
            <c:numRef>
              <c:f>'Mynd 4'!$AO$2:$AO$30</c:f>
              <c:numCache>
                <c:formatCode>General</c:formatCode>
                <c:ptCount val="29"/>
                <c:pt idx="0">
                  <c:v>42.8</c:v>
                </c:pt>
                <c:pt idx="1">
                  <c:v>69.900000000000006</c:v>
                </c:pt>
                <c:pt idx="2">
                  <c:v>51.6</c:v>
                </c:pt>
                <c:pt idx="3">
                  <c:v>72.400000000000006</c:v>
                </c:pt>
                <c:pt idx="4">
                  <c:v>44.9</c:v>
                </c:pt>
                <c:pt idx="5">
                  <c:v>24.3</c:v>
                </c:pt>
                <c:pt idx="6">
                  <c:v>27.6</c:v>
                </c:pt>
                <c:pt idx="7">
                  <c:v>44.9</c:v>
                </c:pt>
                <c:pt idx="8">
                  <c:v>45.5</c:v>
                </c:pt>
                <c:pt idx="9">
                  <c:v>38.700000000000003</c:v>
                </c:pt>
                <c:pt idx="10">
                  <c:v>37.299999999999997</c:v>
                </c:pt>
                <c:pt idx="11">
                  <c:v>26.8</c:v>
                </c:pt>
                <c:pt idx="12">
                  <c:v>47.9</c:v>
                </c:pt>
                <c:pt idx="13">
                  <c:v>56.7</c:v>
                </c:pt>
                <c:pt idx="14">
                  <c:v>25.3</c:v>
                </c:pt>
                <c:pt idx="15">
                  <c:v>52</c:v>
                </c:pt>
                <c:pt idx="16">
                  <c:v>41.4</c:v>
                </c:pt>
                <c:pt idx="17">
                  <c:v>45.3</c:v>
                </c:pt>
                <c:pt idx="18">
                  <c:v>19</c:v>
                </c:pt>
                <c:pt idx="19">
                  <c:v>15.6</c:v>
                </c:pt>
                <c:pt idx="20">
                  <c:v>35.6</c:v>
                </c:pt>
                <c:pt idx="21">
                  <c:v>28.7</c:v>
                </c:pt>
                <c:pt idx="22">
                  <c:v>12.5</c:v>
                </c:pt>
                <c:pt idx="23">
                  <c:v>22.8</c:v>
                </c:pt>
                <c:pt idx="24">
                  <c:v>16.100000000000001</c:v>
                </c:pt>
                <c:pt idx="25">
                  <c:v>12</c:v>
                </c:pt>
                <c:pt idx="26">
                  <c:v>8.5</c:v>
                </c:pt>
                <c:pt idx="28">
                  <c:v>32.200000000000003</c:v>
                </c:pt>
              </c:numCache>
            </c:numRef>
          </c:val>
          <c:extLst>
            <c:ext xmlns:c16="http://schemas.microsoft.com/office/drawing/2014/chart" uri="{C3380CC4-5D6E-409C-BE32-E72D297353CC}">
              <c16:uniqueId val="{00000001-68B8-4C0E-833A-A504D02FFC88}"/>
            </c:ext>
          </c:extLst>
        </c:ser>
        <c:ser>
          <c:idx val="2"/>
          <c:order val="2"/>
          <c:tx>
            <c:strRef>
              <c:f>'Mynd 4'!$AP$1</c:f>
              <c:strCache>
                <c:ptCount val="1"/>
                <c:pt idx="0">
                  <c:v>Reiðufé og innlán</c:v>
                </c:pt>
              </c:strCache>
            </c:strRef>
          </c:tx>
          <c:spPr>
            <a:solidFill>
              <a:srgbClr val="C8DEF6">
                <a:lumMod val="90000"/>
              </a:srgbClr>
            </a:solidFill>
            <a:ln w="38100">
              <a:solidFill>
                <a:srgbClr val="C8DEF6">
                  <a:lumMod val="90000"/>
                </a:srgbClr>
              </a:solidFill>
            </a:ln>
            <a:effectLst/>
          </c:spPr>
          <c:invertIfNegative val="0"/>
          <c:cat>
            <c:strRef>
              <c:f>'Mynd 4'!$AM$2:$AM$30</c:f>
              <c:strCache>
                <c:ptCount val="29"/>
                <c:pt idx="0">
                  <c:v>Þýskaland</c:v>
                </c:pt>
                <c:pt idx="1">
                  <c:v>Tékkland</c:v>
                </c:pt>
                <c:pt idx="2">
                  <c:v>Frakkland</c:v>
                </c:pt>
                <c:pt idx="3">
                  <c:v>Portúgal</c:v>
                </c:pt>
                <c:pt idx="4">
                  <c:v>Írland</c:v>
                </c:pt>
                <c:pt idx="5">
                  <c:v>Danmörk</c:v>
                </c:pt>
                <c:pt idx="6">
                  <c:v>Austurríki</c:v>
                </c:pt>
                <c:pt idx="7">
                  <c:v>Ítalía</c:v>
                </c:pt>
                <c:pt idx="8">
                  <c:v>Lúxemborg</c:v>
                </c:pt>
                <c:pt idx="9">
                  <c:v>Holland</c:v>
                </c:pt>
                <c:pt idx="10">
                  <c:v>Bretland</c:v>
                </c:pt>
                <c:pt idx="11">
                  <c:v>Sviss</c:v>
                </c:pt>
                <c:pt idx="12">
                  <c:v>Spánn</c:v>
                </c:pt>
                <c:pt idx="13">
                  <c:v>Slóvenía</c:v>
                </c:pt>
                <c:pt idx="14">
                  <c:v>Kanada</c:v>
                </c:pt>
                <c:pt idx="15">
                  <c:v>Noregur</c:v>
                </c:pt>
                <c:pt idx="16">
                  <c:v>Grikkland</c:v>
                </c:pt>
                <c:pt idx="17">
                  <c:v>Belgía</c:v>
                </c:pt>
                <c:pt idx="18">
                  <c:v>Finnland</c:v>
                </c:pt>
                <c:pt idx="19">
                  <c:v>Ástralía</c:v>
                </c:pt>
                <c:pt idx="20">
                  <c:v>Lettland</c:v>
                </c:pt>
                <c:pt idx="21">
                  <c:v>Slóvakía</c:v>
                </c:pt>
                <c:pt idx="22">
                  <c:v>Bandaríkin</c:v>
                </c:pt>
                <c:pt idx="23">
                  <c:v>Litháen</c:v>
                </c:pt>
                <c:pt idx="24">
                  <c:v>Eistland</c:v>
                </c:pt>
                <c:pt idx="25">
                  <c:v>Svíþjóð</c:v>
                </c:pt>
                <c:pt idx="26">
                  <c:v>Pólland</c:v>
                </c:pt>
                <c:pt idx="28">
                  <c:v>Ísland</c:v>
                </c:pt>
              </c:strCache>
            </c:strRef>
          </c:cat>
          <c:val>
            <c:numRef>
              <c:f>'Mynd 4'!$AP$2:$AP$30</c:f>
              <c:numCache>
                <c:formatCode>General</c:formatCode>
                <c:ptCount val="29"/>
                <c:pt idx="0">
                  <c:v>2.6</c:v>
                </c:pt>
                <c:pt idx="1">
                  <c:v>15.2</c:v>
                </c:pt>
                <c:pt idx="2">
                  <c:v>1</c:v>
                </c:pt>
                <c:pt idx="3">
                  <c:v>1.9</c:v>
                </c:pt>
                <c:pt idx="4">
                  <c:v>5</c:v>
                </c:pt>
                <c:pt idx="5">
                  <c:v>1.4</c:v>
                </c:pt>
                <c:pt idx="6">
                  <c:v>2.2999999999999998</c:v>
                </c:pt>
                <c:pt idx="7">
                  <c:v>3.4</c:v>
                </c:pt>
                <c:pt idx="8">
                  <c:v>7.9</c:v>
                </c:pt>
                <c:pt idx="9">
                  <c:v>4.4000000000000004</c:v>
                </c:pt>
                <c:pt idx="10">
                  <c:v>2.1</c:v>
                </c:pt>
                <c:pt idx="11">
                  <c:v>3.5</c:v>
                </c:pt>
                <c:pt idx="12">
                  <c:v>5.3</c:v>
                </c:pt>
                <c:pt idx="13">
                  <c:v>2.7</c:v>
                </c:pt>
                <c:pt idx="14">
                  <c:v>3.2</c:v>
                </c:pt>
                <c:pt idx="15">
                  <c:v>2.2000000000000002</c:v>
                </c:pt>
                <c:pt idx="16">
                  <c:v>11.5</c:v>
                </c:pt>
                <c:pt idx="17">
                  <c:v>2.2999999999999998</c:v>
                </c:pt>
                <c:pt idx="18">
                  <c:v>2.2999999999999998</c:v>
                </c:pt>
                <c:pt idx="19">
                  <c:v>7.9</c:v>
                </c:pt>
                <c:pt idx="20">
                  <c:v>2.2999999999999998</c:v>
                </c:pt>
                <c:pt idx="21">
                  <c:v>5.4</c:v>
                </c:pt>
                <c:pt idx="22">
                  <c:v>1.5</c:v>
                </c:pt>
                <c:pt idx="23">
                  <c:v>1.9</c:v>
                </c:pt>
                <c:pt idx="24">
                  <c:v>3.6</c:v>
                </c:pt>
                <c:pt idx="25">
                  <c:v>1.1000000000000001</c:v>
                </c:pt>
                <c:pt idx="26">
                  <c:v>2.9</c:v>
                </c:pt>
                <c:pt idx="28">
                  <c:v>4.9000000000000004</c:v>
                </c:pt>
              </c:numCache>
            </c:numRef>
          </c:val>
          <c:extLst>
            <c:ext xmlns:c16="http://schemas.microsoft.com/office/drawing/2014/chart" uri="{C3380CC4-5D6E-409C-BE32-E72D297353CC}">
              <c16:uniqueId val="{00000002-68B8-4C0E-833A-A504D02FFC88}"/>
            </c:ext>
          </c:extLst>
        </c:ser>
        <c:ser>
          <c:idx val="3"/>
          <c:order val="3"/>
          <c:tx>
            <c:strRef>
              <c:f>'Mynd 4'!$AQ$1</c:f>
              <c:strCache>
                <c:ptCount val="1"/>
                <c:pt idx="0">
                  <c:v>Annað</c:v>
                </c:pt>
              </c:strCache>
            </c:strRef>
          </c:tx>
          <c:spPr>
            <a:solidFill>
              <a:srgbClr val="C8DEF6"/>
            </a:solidFill>
            <a:ln w="38100">
              <a:solidFill>
                <a:srgbClr val="C8DEF6"/>
              </a:solidFill>
            </a:ln>
            <a:effectLst/>
          </c:spPr>
          <c:invertIfNegative val="0"/>
          <c:cat>
            <c:strRef>
              <c:f>'Mynd 4'!$AM$2:$AM$30</c:f>
              <c:strCache>
                <c:ptCount val="29"/>
                <c:pt idx="0">
                  <c:v>Þýskaland</c:v>
                </c:pt>
                <c:pt idx="1">
                  <c:v>Tékkland</c:v>
                </c:pt>
                <c:pt idx="2">
                  <c:v>Frakkland</c:v>
                </c:pt>
                <c:pt idx="3">
                  <c:v>Portúgal</c:v>
                </c:pt>
                <c:pt idx="4">
                  <c:v>Írland</c:v>
                </c:pt>
                <c:pt idx="5">
                  <c:v>Danmörk</c:v>
                </c:pt>
                <c:pt idx="6">
                  <c:v>Austurríki</c:v>
                </c:pt>
                <c:pt idx="7">
                  <c:v>Ítalía</c:v>
                </c:pt>
                <c:pt idx="8">
                  <c:v>Lúxemborg</c:v>
                </c:pt>
                <c:pt idx="9">
                  <c:v>Holland</c:v>
                </c:pt>
                <c:pt idx="10">
                  <c:v>Bretland</c:v>
                </c:pt>
                <c:pt idx="11">
                  <c:v>Sviss</c:v>
                </c:pt>
                <c:pt idx="12">
                  <c:v>Spánn</c:v>
                </c:pt>
                <c:pt idx="13">
                  <c:v>Slóvenía</c:v>
                </c:pt>
                <c:pt idx="14">
                  <c:v>Kanada</c:v>
                </c:pt>
                <c:pt idx="15">
                  <c:v>Noregur</c:v>
                </c:pt>
                <c:pt idx="16">
                  <c:v>Grikkland</c:v>
                </c:pt>
                <c:pt idx="17">
                  <c:v>Belgía</c:v>
                </c:pt>
                <c:pt idx="18">
                  <c:v>Finnland</c:v>
                </c:pt>
                <c:pt idx="19">
                  <c:v>Ástralía</c:v>
                </c:pt>
                <c:pt idx="20">
                  <c:v>Lettland</c:v>
                </c:pt>
                <c:pt idx="21">
                  <c:v>Slóvakía</c:v>
                </c:pt>
                <c:pt idx="22">
                  <c:v>Bandaríkin</c:v>
                </c:pt>
                <c:pt idx="23">
                  <c:v>Litháen</c:v>
                </c:pt>
                <c:pt idx="24">
                  <c:v>Eistland</c:v>
                </c:pt>
                <c:pt idx="25">
                  <c:v>Svíþjóð</c:v>
                </c:pt>
                <c:pt idx="26">
                  <c:v>Pólland</c:v>
                </c:pt>
                <c:pt idx="28">
                  <c:v>Ísland</c:v>
                </c:pt>
              </c:strCache>
            </c:strRef>
          </c:cat>
          <c:val>
            <c:numRef>
              <c:f>'Mynd 4'!$AQ$2:$AQ$30</c:f>
              <c:numCache>
                <c:formatCode>General</c:formatCode>
                <c:ptCount val="29"/>
                <c:pt idx="0">
                  <c:v>47.4</c:v>
                </c:pt>
                <c:pt idx="1">
                  <c:v>1</c:v>
                </c:pt>
                <c:pt idx="2">
                  <c:v>32.4</c:v>
                </c:pt>
                <c:pt idx="3">
                  <c:v>9.3000000000000007</c:v>
                </c:pt>
                <c:pt idx="4">
                  <c:v>31.8</c:v>
                </c:pt>
                <c:pt idx="5">
                  <c:v>50.6</c:v>
                </c:pt>
                <c:pt idx="6">
                  <c:v>44.9</c:v>
                </c:pt>
                <c:pt idx="7">
                  <c:v>26.2</c:v>
                </c:pt>
                <c:pt idx="8">
                  <c:v>19.8</c:v>
                </c:pt>
                <c:pt idx="9">
                  <c:v>29.5</c:v>
                </c:pt>
                <c:pt idx="10">
                  <c:v>31.7</c:v>
                </c:pt>
                <c:pt idx="11">
                  <c:v>38.1</c:v>
                </c:pt>
                <c:pt idx="12">
                  <c:v>14.4</c:v>
                </c:pt>
                <c:pt idx="13">
                  <c:v>1.3</c:v>
                </c:pt>
                <c:pt idx="14">
                  <c:v>32.1</c:v>
                </c:pt>
                <c:pt idx="15">
                  <c:v>3.5</c:v>
                </c:pt>
                <c:pt idx="16">
                  <c:v>0.8</c:v>
                </c:pt>
                <c:pt idx="17">
                  <c:v>5</c:v>
                </c:pt>
                <c:pt idx="18">
                  <c:v>29.9</c:v>
                </c:pt>
                <c:pt idx="19">
                  <c:v>27.6</c:v>
                </c:pt>
                <c:pt idx="20">
                  <c:v>3.4</c:v>
                </c:pt>
                <c:pt idx="21">
                  <c:v>1.3</c:v>
                </c:pt>
                <c:pt idx="22">
                  <c:v>18</c:v>
                </c:pt>
                <c:pt idx="23">
                  <c:v>4.7</c:v>
                </c:pt>
                <c:pt idx="24">
                  <c:v>1.3</c:v>
                </c:pt>
                <c:pt idx="25">
                  <c:v>5.9</c:v>
                </c:pt>
                <c:pt idx="26">
                  <c:v>1</c:v>
                </c:pt>
                <c:pt idx="28">
                  <c:v>21.5</c:v>
                </c:pt>
              </c:numCache>
            </c:numRef>
          </c:val>
          <c:extLst>
            <c:ext xmlns:c16="http://schemas.microsoft.com/office/drawing/2014/chart" uri="{C3380CC4-5D6E-409C-BE32-E72D297353CC}">
              <c16:uniqueId val="{00000003-68B8-4C0E-833A-A504D02FFC88}"/>
            </c:ext>
          </c:extLst>
        </c:ser>
        <c:dLbls>
          <c:showLegendKey val="0"/>
          <c:showVal val="0"/>
          <c:showCatName val="0"/>
          <c:showSerName val="0"/>
          <c:showPercent val="0"/>
          <c:showBubbleSize val="0"/>
        </c:dLbls>
        <c:gapWidth val="500"/>
        <c:overlap val="100"/>
        <c:axId val="1588382592"/>
        <c:axId val="1588383576"/>
      </c:barChart>
      <c:catAx>
        <c:axId val="158838259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r>
                  <a:rPr lang="en-US"/>
                  <a:t>% af heildareignum</a:t>
                </a:r>
              </a:p>
            </c:rich>
          </c:tx>
          <c:layout>
            <c:manualLayout>
              <c:xMode val="edge"/>
              <c:yMode val="edge"/>
              <c:x val="3.6765909489989572E-4"/>
              <c:y val="8.8834701228790933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LID4096"/>
            </a:p>
          </c:txPr>
        </c:title>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LID4096"/>
          </a:p>
        </c:txPr>
        <c:crossAx val="1588383576"/>
        <c:crosses val="autoZero"/>
        <c:auto val="1"/>
        <c:lblAlgn val="ctr"/>
        <c:lblOffset val="100"/>
        <c:noMultiLvlLbl val="0"/>
      </c:catAx>
      <c:valAx>
        <c:axId val="1588383576"/>
        <c:scaling>
          <c:orientation val="minMax"/>
          <c:max val="1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LID4096"/>
          </a:p>
        </c:txPr>
        <c:crossAx val="1588382592"/>
        <c:crosses val="autoZero"/>
        <c:crossBetween val="between"/>
      </c:valAx>
      <c:spPr>
        <a:noFill/>
        <a:ln>
          <a:solidFill>
            <a:srgbClr val="E8E8E8"/>
          </a:solidFill>
        </a:ln>
        <a:effectLst/>
      </c:spPr>
    </c:plotArea>
    <c:legend>
      <c:legendPos val="b"/>
      <c:layout>
        <c:manualLayout>
          <c:xMode val="edge"/>
          <c:yMode val="edge"/>
          <c:x val="7.0551458880415557E-2"/>
          <c:y val="0.90060282057059604"/>
          <c:w val="0.89999993666659839"/>
          <c:h val="3.962139242687663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GO Light" panose="020B0403050000020004" pitchFamily="34" charset="0"/>
              <a:ea typeface="+mn-ea"/>
              <a:cs typeface="FiraGO Light" panose="020B0403050000020004" pitchFamily="34" charset="0"/>
            </a:defRPr>
          </a:pPr>
          <a:endParaRPr lang="LID4096"/>
        </a:p>
      </c:txPr>
    </c:legend>
    <c:plotVisOnly val="1"/>
    <c:dispBlanksAs val="gap"/>
    <c:showDLblsOverMax val="0"/>
    <c:extLst/>
  </c:chart>
  <c:spPr>
    <a:solidFill>
      <a:schemeClr val="bg1"/>
    </a:solidFill>
    <a:ln w="9525" cap="flat" cmpd="sng" algn="ctr">
      <a:noFill/>
      <a:round/>
    </a:ln>
    <a:effectLst/>
  </c:spPr>
  <c:txPr>
    <a:bodyPr/>
    <a:lstStyle/>
    <a:p>
      <a:pPr>
        <a:defRPr sz="900">
          <a:solidFill>
            <a:sysClr val="windowText" lastClr="000000"/>
          </a:solidFill>
          <a:latin typeface="FiraGO Light" panose="020B0403050000020004" pitchFamily="34" charset="0"/>
          <a:cs typeface="FiraGO Light" panose="020B0403050000020004" pitchFamily="34" charset="0"/>
        </a:defRPr>
      </a:pPr>
      <a:endParaRPr lang="LID4096"/>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0.60636</cdr:x>
      <cdr:y>0.14668</cdr:y>
    </cdr:from>
    <cdr:to>
      <cdr:x>0.92975</cdr:x>
      <cdr:y>0.20829</cdr:y>
    </cdr:to>
    <cdr:sp macro="" textlink="">
      <cdr:nvSpPr>
        <cdr:cNvPr id="4" name="TextBox 1"/>
        <cdr:cNvSpPr txBox="1"/>
      </cdr:nvSpPr>
      <cdr:spPr>
        <a:xfrm xmlns:a="http://schemas.openxmlformats.org/drawingml/2006/main">
          <a:off x="3056056" y="475212"/>
          <a:ext cx="1629884" cy="19958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is-IS" sz="900">
              <a:latin typeface="FiraGO Light" panose="020B0403050000020004" pitchFamily="34" charset="0"/>
              <a:cs typeface="FiraGO Light" panose="020B0403050000020004" pitchFamily="34" charset="0"/>
            </a:rPr>
            <a:t>%</a:t>
          </a:r>
        </a:p>
      </cdr:txBody>
    </cdr:sp>
  </cdr:relSizeAnchor>
  <cdr:relSizeAnchor xmlns:cdr="http://schemas.openxmlformats.org/drawingml/2006/chartDrawing">
    <cdr:from>
      <cdr:x>0.08426</cdr:x>
      <cdr:y>0.1482</cdr:y>
    </cdr:from>
    <cdr:to>
      <cdr:x>0.52077</cdr:x>
      <cdr:y>0.21432</cdr:y>
    </cdr:to>
    <cdr:sp macro="" textlink="">
      <cdr:nvSpPr>
        <cdr:cNvPr id="9" name="TextBox 2"/>
        <cdr:cNvSpPr txBox="1"/>
      </cdr:nvSpPr>
      <cdr:spPr>
        <a:xfrm xmlns:a="http://schemas.openxmlformats.org/drawingml/2006/main">
          <a:off x="424671" y="480135"/>
          <a:ext cx="2200008" cy="2142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s-IS" sz="900">
              <a:latin typeface="FiraGO Light" panose="020B0403050000020004" pitchFamily="34" charset="0"/>
              <a:ea typeface="+mn-ea"/>
              <a:cs typeface="FiraGO Light" panose="020B0403050000020004" pitchFamily="34" charset="0"/>
            </a:rPr>
            <a:t>Ma.kr.</a:t>
          </a:r>
          <a:endParaRPr lang="is-IS" sz="900">
            <a:latin typeface="FiraGO Light" panose="020B0403050000020004" pitchFamily="34" charset="0"/>
            <a:cs typeface="FiraGO Light" panose="020B0403050000020004" pitchFamily="34" charset="0"/>
          </a:endParaRPr>
        </a:p>
      </cdr:txBody>
    </cdr:sp>
  </cdr:relSizeAnchor>
  <cdr:relSizeAnchor xmlns:cdr="http://schemas.openxmlformats.org/drawingml/2006/chartDrawing">
    <cdr:from>
      <cdr:x>0.42347</cdr:x>
      <cdr:y>0.38151</cdr:y>
    </cdr:from>
    <cdr:to>
      <cdr:x>0.57653</cdr:x>
      <cdr:y>0.61849</cdr:y>
    </cdr:to>
    <cdr:sp macro="" textlink="">
      <cdr:nvSpPr>
        <cdr:cNvPr id="3"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5"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0.00089</cdr:x>
      <cdr:y>0.93604</cdr:y>
    </cdr:from>
    <cdr:to>
      <cdr:x>0.19114</cdr:x>
      <cdr:y>1</cdr:y>
    </cdr:to>
    <cdr:sp macro="" textlink="">
      <cdr:nvSpPr>
        <cdr:cNvPr id="6" name="Textarammi 2">
          <a:extLst xmlns:a="http://schemas.openxmlformats.org/drawingml/2006/main">
            <a:ext uri="{FF2B5EF4-FFF2-40B4-BE49-F238E27FC236}">
              <a16:creationId xmlns:a16="http://schemas.microsoft.com/office/drawing/2014/main" id="{99A97E2D-AE5D-4A51-8862-127BD99C7F09}"/>
            </a:ext>
          </a:extLst>
        </cdr:cNvPr>
        <cdr:cNvSpPr txBox="1"/>
      </cdr:nvSpPr>
      <cdr:spPr>
        <a:xfrm xmlns:a="http://schemas.openxmlformats.org/drawingml/2006/main">
          <a:off x="4486" y="3032567"/>
          <a:ext cx="958859" cy="20720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s-IS" sz="900">
              <a:latin typeface="FiraGO Light" panose="020B0403050000020004" pitchFamily="34" charset="0"/>
              <a:cs typeface="FiraGO Light" panose="020B0403050000020004" pitchFamily="34" charset="0"/>
            </a:rPr>
            <a:t>Heimild: Seðlabanki</a:t>
          </a:r>
          <a:r>
            <a:rPr lang="is-IS" sz="900" baseline="0">
              <a:latin typeface="FiraGO Light" panose="020B0403050000020004" pitchFamily="34" charset="0"/>
              <a:cs typeface="FiraGO Light" panose="020B0403050000020004" pitchFamily="34" charset="0"/>
            </a:rPr>
            <a:t> Íslands</a:t>
          </a:r>
          <a:endParaRPr sz="900">
            <a:latin typeface="FiraGO Light" panose="020B0403050000020004" pitchFamily="34" charset="0"/>
            <a:cs typeface="FiraGO Light" panose="020B0403050000020004" pitchFamily="34" charset="0"/>
          </a:endParaRPr>
        </a:p>
      </cdr:txBody>
    </cdr:sp>
  </cdr:relSizeAnchor>
  <cdr:relSizeAnchor xmlns:cdr="http://schemas.openxmlformats.org/drawingml/2006/chartDrawing">
    <cdr:from>
      <cdr:x>0.42347</cdr:x>
      <cdr:y>0.38151</cdr:y>
    </cdr:from>
    <cdr:to>
      <cdr:x>0.57653</cdr:x>
      <cdr:y>0.61849</cdr:y>
    </cdr:to>
    <cdr:sp macro="" textlink="">
      <cdr:nvSpPr>
        <cdr:cNvPr id="7"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8"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10"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11"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userShapes>
</file>

<file path=word/drawings/drawing2.xml><?xml version="1.0" encoding="utf-8"?>
<c:userShapes xmlns:c="http://schemas.openxmlformats.org/drawingml/2006/chart">
  <cdr:relSizeAnchor xmlns:cdr="http://schemas.openxmlformats.org/drawingml/2006/chartDrawing">
    <cdr:from>
      <cdr:x>0.08033</cdr:x>
      <cdr:y>0.11104</cdr:y>
    </cdr:from>
    <cdr:to>
      <cdr:x>0.51684</cdr:x>
      <cdr:y>0.17884</cdr:y>
    </cdr:to>
    <cdr:sp macro="" textlink="">
      <cdr:nvSpPr>
        <cdr:cNvPr id="9" name="TextBox 2"/>
        <cdr:cNvSpPr txBox="1"/>
      </cdr:nvSpPr>
      <cdr:spPr>
        <a:xfrm xmlns:a="http://schemas.openxmlformats.org/drawingml/2006/main">
          <a:off x="397462" y="312709"/>
          <a:ext cx="2159817" cy="1909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s-IS" sz="900">
              <a:latin typeface="FiraGO Light" panose="020B0403050000020004" pitchFamily="34" charset="0"/>
              <a:ea typeface="+mn-ea"/>
              <a:cs typeface="FiraGO Light" panose="020B0403050000020004" pitchFamily="34" charset="0"/>
            </a:rPr>
            <a:t>Ma.kr.</a:t>
          </a:r>
          <a:endParaRPr lang="is-IS" sz="900">
            <a:latin typeface="FiraGO Light" panose="020B0403050000020004" pitchFamily="34" charset="0"/>
            <a:cs typeface="FiraGO Light" panose="020B0403050000020004" pitchFamily="34" charset="0"/>
          </a:endParaRPr>
        </a:p>
      </cdr:txBody>
    </cdr:sp>
  </cdr:relSizeAnchor>
  <cdr:relSizeAnchor xmlns:cdr="http://schemas.openxmlformats.org/drawingml/2006/chartDrawing">
    <cdr:from>
      <cdr:x>0.42347</cdr:x>
      <cdr:y>0.38151</cdr:y>
    </cdr:from>
    <cdr:to>
      <cdr:x>0.57653</cdr:x>
      <cdr:y>0.61849</cdr:y>
    </cdr:to>
    <cdr:sp macro="" textlink="">
      <cdr:nvSpPr>
        <cdr:cNvPr id="3"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5"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0.00089</cdr:x>
      <cdr:y>0.92372</cdr:y>
    </cdr:from>
    <cdr:to>
      <cdr:x>0.19114</cdr:x>
      <cdr:y>1</cdr:y>
    </cdr:to>
    <cdr:sp macro="" textlink="">
      <cdr:nvSpPr>
        <cdr:cNvPr id="6" name="Textarammi 2">
          <a:extLst xmlns:a="http://schemas.openxmlformats.org/drawingml/2006/main">
            <a:ext uri="{FF2B5EF4-FFF2-40B4-BE49-F238E27FC236}">
              <a16:creationId xmlns:a16="http://schemas.microsoft.com/office/drawing/2014/main" id="{99A97E2D-AE5D-4A51-8862-127BD99C7F09}"/>
            </a:ext>
          </a:extLst>
        </cdr:cNvPr>
        <cdr:cNvSpPr txBox="1"/>
      </cdr:nvSpPr>
      <cdr:spPr>
        <a:xfrm xmlns:a="http://schemas.openxmlformats.org/drawingml/2006/main">
          <a:off x="4404" y="2601394"/>
          <a:ext cx="941341" cy="21483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s-IS" sz="900">
              <a:latin typeface="FiraGO Light" panose="020B0403050000020004" pitchFamily="34" charset="0"/>
              <a:cs typeface="FiraGO Light" panose="020B0403050000020004" pitchFamily="34" charset="0"/>
            </a:rPr>
            <a:t>Heimild: Seðlabanki</a:t>
          </a:r>
          <a:r>
            <a:rPr lang="is-IS" sz="900" baseline="0">
              <a:latin typeface="FiraGO Light" panose="020B0403050000020004" pitchFamily="34" charset="0"/>
              <a:cs typeface="FiraGO Light" panose="020B0403050000020004" pitchFamily="34" charset="0"/>
            </a:rPr>
            <a:t> Íslands</a:t>
          </a:r>
          <a:endParaRPr sz="900">
            <a:latin typeface="FiraGO Light" panose="020B0403050000020004" pitchFamily="34" charset="0"/>
            <a:cs typeface="FiraGO Light" panose="020B0403050000020004" pitchFamily="34" charset="0"/>
          </a:endParaRPr>
        </a:p>
      </cdr:txBody>
    </cdr:sp>
  </cdr:relSizeAnchor>
  <cdr:relSizeAnchor xmlns:cdr="http://schemas.openxmlformats.org/drawingml/2006/chartDrawing">
    <cdr:from>
      <cdr:x>0.42347</cdr:x>
      <cdr:y>0.38151</cdr:y>
    </cdr:from>
    <cdr:to>
      <cdr:x>0.57653</cdr:x>
      <cdr:y>0.61849</cdr:y>
    </cdr:to>
    <cdr:sp macro="" textlink="">
      <cdr:nvSpPr>
        <cdr:cNvPr id="7"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8"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10"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11"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userShapes>
</file>

<file path=word/drawings/drawing3.xml><?xml version="1.0" encoding="utf-8"?>
<c:userShapes xmlns:c="http://schemas.openxmlformats.org/drawingml/2006/chart">
  <cdr:relSizeAnchor xmlns:cdr="http://schemas.openxmlformats.org/drawingml/2006/chartDrawing">
    <cdr:from>
      <cdr:x>0.42347</cdr:x>
      <cdr:y>0.38151</cdr:y>
    </cdr:from>
    <cdr:to>
      <cdr:x>0.57653</cdr:x>
      <cdr:y>0.61849</cdr:y>
    </cdr:to>
    <cdr:sp macro="" textlink="">
      <cdr:nvSpPr>
        <cdr:cNvPr id="3"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5"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0.00089</cdr:x>
      <cdr:y>0.94332</cdr:y>
    </cdr:from>
    <cdr:to>
      <cdr:x>0.19114</cdr:x>
      <cdr:y>1</cdr:y>
    </cdr:to>
    <cdr:sp macro="" textlink="">
      <cdr:nvSpPr>
        <cdr:cNvPr id="6" name="Textarammi 2">
          <a:extLst xmlns:a="http://schemas.openxmlformats.org/drawingml/2006/main">
            <a:ext uri="{FF2B5EF4-FFF2-40B4-BE49-F238E27FC236}">
              <a16:creationId xmlns:a16="http://schemas.microsoft.com/office/drawing/2014/main" id="{99A97E2D-AE5D-4A51-8862-127BD99C7F09}"/>
            </a:ext>
          </a:extLst>
        </cdr:cNvPr>
        <cdr:cNvSpPr txBox="1"/>
      </cdr:nvSpPr>
      <cdr:spPr>
        <a:xfrm xmlns:a="http://schemas.openxmlformats.org/drawingml/2006/main">
          <a:off x="4486" y="3056151"/>
          <a:ext cx="958859" cy="18361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s-IS" sz="900">
              <a:latin typeface="FiraGO Light" panose="020B0403050000020004" pitchFamily="34" charset="0"/>
              <a:cs typeface="FiraGO Light" panose="020B0403050000020004" pitchFamily="34" charset="0"/>
            </a:rPr>
            <a:t>Heimild: Seðlabanki</a:t>
          </a:r>
          <a:r>
            <a:rPr lang="is-IS" sz="900" baseline="0">
              <a:latin typeface="FiraGO Light" panose="020B0403050000020004" pitchFamily="34" charset="0"/>
              <a:cs typeface="FiraGO Light" panose="020B0403050000020004" pitchFamily="34" charset="0"/>
            </a:rPr>
            <a:t> Íslands</a:t>
          </a:r>
          <a:endParaRPr sz="900">
            <a:latin typeface="FiraGO Light" panose="020B0403050000020004" pitchFamily="34" charset="0"/>
            <a:cs typeface="FiraGO Light" panose="020B0403050000020004" pitchFamily="34" charset="0"/>
          </a:endParaRPr>
        </a:p>
      </cdr:txBody>
    </cdr:sp>
  </cdr:relSizeAnchor>
  <cdr:relSizeAnchor xmlns:cdr="http://schemas.openxmlformats.org/drawingml/2006/chartDrawing">
    <cdr:from>
      <cdr:x>0.42347</cdr:x>
      <cdr:y>0.38151</cdr:y>
    </cdr:from>
    <cdr:to>
      <cdr:x>0.57653</cdr:x>
      <cdr:y>0.61849</cdr:y>
    </cdr:to>
    <cdr:sp macro="" textlink="">
      <cdr:nvSpPr>
        <cdr:cNvPr id="7"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8"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10"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11"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0.46762</cdr:x>
      <cdr:y>0.61429</cdr:y>
    </cdr:from>
    <cdr:to>
      <cdr:x>0.87364</cdr:x>
      <cdr:y>0.68343</cdr:y>
    </cdr:to>
    <cdr:sp macro="" textlink="">
      <cdr:nvSpPr>
        <cdr:cNvPr id="12" name="TextBox 11">
          <a:extLst xmlns:a="http://schemas.openxmlformats.org/drawingml/2006/main">
            <a:ext uri="{FF2B5EF4-FFF2-40B4-BE49-F238E27FC236}">
              <a16:creationId xmlns:a16="http://schemas.microsoft.com/office/drawing/2014/main" id="{7EA4DB2C-50C3-8319-A32C-49F7827F5149}"/>
            </a:ext>
          </a:extLst>
        </cdr:cNvPr>
        <cdr:cNvSpPr txBox="1"/>
      </cdr:nvSpPr>
      <cdr:spPr>
        <a:xfrm xmlns:a="http://schemas.openxmlformats.org/drawingml/2006/main">
          <a:off x="2356802" y="1990165"/>
          <a:ext cx="2046339" cy="22399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kern="1200">
              <a:latin typeface="FiraGO Light" panose="020B0403050000020004" pitchFamily="34" charset="0"/>
              <a:cs typeface="FiraGO Light" panose="020B0403050000020004" pitchFamily="34" charset="0"/>
            </a:rPr>
            <a:t>Hlutabréf og hlutdeildarskírteini</a:t>
          </a:r>
        </a:p>
      </cdr:txBody>
    </cdr:sp>
  </cdr:relSizeAnchor>
  <cdr:relSizeAnchor xmlns:cdr="http://schemas.openxmlformats.org/drawingml/2006/chartDrawing">
    <cdr:from>
      <cdr:x>0.48302</cdr:x>
      <cdr:y>0.29882</cdr:y>
    </cdr:from>
    <cdr:to>
      <cdr:x>0.66503</cdr:x>
      <cdr:y>0.34763</cdr:y>
    </cdr:to>
    <cdr:sp macro="" textlink="">
      <cdr:nvSpPr>
        <cdr:cNvPr id="13" name="TextBox 1">
          <a:extLst xmlns:a="http://schemas.openxmlformats.org/drawingml/2006/main">
            <a:ext uri="{FF2B5EF4-FFF2-40B4-BE49-F238E27FC236}">
              <a16:creationId xmlns:a16="http://schemas.microsoft.com/office/drawing/2014/main" id="{510186E6-1A39-14BE-85E7-0F07A5F0A12B}"/>
            </a:ext>
          </a:extLst>
        </cdr:cNvPr>
        <cdr:cNvSpPr txBox="1"/>
      </cdr:nvSpPr>
      <cdr:spPr>
        <a:xfrm xmlns:a="http://schemas.openxmlformats.org/drawingml/2006/main">
          <a:off x="2190750" y="1282700"/>
          <a:ext cx="825501" cy="20955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kern="1200">
              <a:latin typeface="FiraGO Light" panose="020B0403050000020004" pitchFamily="34" charset="0"/>
              <a:cs typeface="FiraGO Light" panose="020B0403050000020004" pitchFamily="34" charset="0"/>
            </a:rPr>
            <a:t>Skuldabréf</a:t>
          </a:r>
        </a:p>
      </cdr:txBody>
    </cdr:sp>
  </cdr:relSizeAnchor>
  <cdr:relSizeAnchor xmlns:cdr="http://schemas.openxmlformats.org/drawingml/2006/chartDrawing">
    <cdr:from>
      <cdr:x>0.37027</cdr:x>
      <cdr:y>0.22322</cdr:y>
    </cdr:from>
    <cdr:to>
      <cdr:x>0.55228</cdr:x>
      <cdr:y>0.27204</cdr:y>
    </cdr:to>
    <cdr:sp macro="" textlink="">
      <cdr:nvSpPr>
        <cdr:cNvPr id="14" name="TextBox 1">
          <a:extLst xmlns:a="http://schemas.openxmlformats.org/drawingml/2006/main">
            <a:ext uri="{FF2B5EF4-FFF2-40B4-BE49-F238E27FC236}">
              <a16:creationId xmlns:a16="http://schemas.microsoft.com/office/drawing/2014/main" id="{F29D4012-14C1-D2E4-414D-0E59AD250ACB}"/>
            </a:ext>
          </a:extLst>
        </cdr:cNvPr>
        <cdr:cNvSpPr txBox="1"/>
      </cdr:nvSpPr>
      <cdr:spPr>
        <a:xfrm xmlns:a="http://schemas.openxmlformats.org/drawingml/2006/main">
          <a:off x="1866165" y="723193"/>
          <a:ext cx="917329" cy="15816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kern="1200">
              <a:solidFill>
                <a:schemeClr val="bg1"/>
              </a:solidFill>
              <a:latin typeface="FiraGO Light" panose="020B0403050000020004" pitchFamily="34" charset="0"/>
              <a:cs typeface="FiraGO Light" panose="020B0403050000020004" pitchFamily="34" charset="0"/>
            </a:rPr>
            <a:t>Innlán</a:t>
          </a:r>
        </a:p>
      </cdr:txBody>
    </cdr:sp>
  </cdr:relSizeAnchor>
  <cdr:relSizeAnchor xmlns:cdr="http://schemas.openxmlformats.org/drawingml/2006/chartDrawing">
    <cdr:from>
      <cdr:x>0.62891</cdr:x>
      <cdr:y>0.16445</cdr:y>
    </cdr:from>
    <cdr:to>
      <cdr:x>0.84872</cdr:x>
      <cdr:y>0.23394</cdr:y>
    </cdr:to>
    <cdr:sp macro="" textlink="">
      <cdr:nvSpPr>
        <cdr:cNvPr id="15" name="TextBox 1">
          <a:extLst xmlns:a="http://schemas.openxmlformats.org/drawingml/2006/main">
            <a:ext uri="{FF2B5EF4-FFF2-40B4-BE49-F238E27FC236}">
              <a16:creationId xmlns:a16="http://schemas.microsoft.com/office/drawing/2014/main" id="{C5C7BD0A-0281-C5A4-0256-CEB20230D3A3}"/>
            </a:ext>
          </a:extLst>
        </cdr:cNvPr>
        <cdr:cNvSpPr txBox="1"/>
      </cdr:nvSpPr>
      <cdr:spPr>
        <a:xfrm xmlns:a="http://schemas.openxmlformats.org/drawingml/2006/main">
          <a:off x="3169713" y="532788"/>
          <a:ext cx="1107841" cy="22513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kern="1200">
              <a:solidFill>
                <a:schemeClr val="bg1"/>
              </a:solidFill>
              <a:latin typeface="FiraGO Light" panose="020B0403050000020004" pitchFamily="34" charset="0"/>
              <a:cs typeface="FiraGO Light" panose="020B0403050000020004" pitchFamily="34" charset="0"/>
            </a:rPr>
            <a:t>Sjóðsfélagalán</a:t>
          </a:r>
        </a:p>
      </cdr:txBody>
    </cdr:sp>
  </cdr:relSizeAnchor>
</c:userShapes>
</file>

<file path=word/drawings/drawing4.xml><?xml version="1.0" encoding="utf-8"?>
<c:userShapes xmlns:c="http://schemas.openxmlformats.org/drawingml/2006/chart">
  <cdr:relSizeAnchor xmlns:cdr="http://schemas.openxmlformats.org/drawingml/2006/chartDrawing">
    <cdr:from>
      <cdr:x>0.42347</cdr:x>
      <cdr:y>0.38151</cdr:y>
    </cdr:from>
    <cdr:to>
      <cdr:x>0.57653</cdr:x>
      <cdr:y>0.61849</cdr:y>
    </cdr:to>
    <cdr:sp macro="" textlink="">
      <cdr:nvSpPr>
        <cdr:cNvPr id="5"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6"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0.00089</cdr:x>
      <cdr:y>0.94332</cdr:y>
    </cdr:from>
    <cdr:to>
      <cdr:x>0.19114</cdr:x>
      <cdr:y>1</cdr:y>
    </cdr:to>
    <cdr:sp macro="" textlink="">
      <cdr:nvSpPr>
        <cdr:cNvPr id="7" name="Textarammi 2">
          <a:extLst xmlns:a="http://schemas.openxmlformats.org/drawingml/2006/main">
            <a:ext uri="{FF2B5EF4-FFF2-40B4-BE49-F238E27FC236}">
              <a16:creationId xmlns:a16="http://schemas.microsoft.com/office/drawing/2014/main" id="{99A97E2D-AE5D-4A51-8862-127BD99C7F09}"/>
            </a:ext>
          </a:extLst>
        </cdr:cNvPr>
        <cdr:cNvSpPr txBox="1"/>
      </cdr:nvSpPr>
      <cdr:spPr>
        <a:xfrm xmlns:a="http://schemas.openxmlformats.org/drawingml/2006/main">
          <a:off x="4486" y="3056151"/>
          <a:ext cx="958859" cy="18361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s-IS" sz="900">
              <a:latin typeface="FiraGO Light" panose="020B0403050000020004" pitchFamily="34" charset="0"/>
              <a:cs typeface="FiraGO Light" panose="020B0403050000020004" pitchFamily="34" charset="0"/>
            </a:rPr>
            <a:t>Heimild: </a:t>
          </a:r>
          <a:r>
            <a:rPr lang="is-IS" sz="900">
              <a:latin typeface="FiraGO Light" panose="020B0403050000020004" pitchFamily="34" charset="0"/>
              <a:ea typeface="+mn-ea"/>
              <a:cs typeface="FiraGO Light" panose="020B0403050000020004" pitchFamily="34" charset="0"/>
            </a:rPr>
            <a:t>OECD, Pension at a Glance 2025 </a:t>
          </a:r>
          <a:endParaRPr sz="900">
            <a:latin typeface="FiraGO Light" panose="020B0403050000020004" pitchFamily="34" charset="0"/>
            <a:ea typeface="+mn-ea"/>
            <a:cs typeface="FiraGO Light" panose="020B0403050000020004" pitchFamily="34" charset="0"/>
          </a:endParaRPr>
        </a:p>
      </cdr:txBody>
    </cdr:sp>
  </cdr:relSizeAnchor>
  <cdr:relSizeAnchor xmlns:cdr="http://schemas.openxmlformats.org/drawingml/2006/chartDrawing">
    <cdr:from>
      <cdr:x>0.42347</cdr:x>
      <cdr:y>0.38151</cdr:y>
    </cdr:from>
    <cdr:to>
      <cdr:x>0.57653</cdr:x>
      <cdr:y>0.61849</cdr:y>
    </cdr:to>
    <cdr:sp macro="" textlink="">
      <cdr:nvSpPr>
        <cdr:cNvPr id="8"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10"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11"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dr:relSizeAnchor xmlns:cdr="http://schemas.openxmlformats.org/drawingml/2006/chartDrawing">
    <cdr:from>
      <cdr:x>0.42347</cdr:x>
      <cdr:y>0.38151</cdr:y>
    </cdr:from>
    <cdr:to>
      <cdr:x>0.57653</cdr:x>
      <cdr:y>0.61849</cdr:y>
    </cdr:to>
    <cdr:sp macro="" textlink="">
      <cdr:nvSpPr>
        <cdr:cNvPr id="12" name="Textarammi 1">
          <a:extLst xmlns:a="http://schemas.openxmlformats.org/drawingml/2006/main">
            <a:ext uri="{FF2B5EF4-FFF2-40B4-BE49-F238E27FC236}">
              <a16:creationId xmlns:a16="http://schemas.microsoft.com/office/drawing/2014/main" id="{939CEBB6-E068-42FC-B9D7-95BF76F61719}"/>
            </a:ext>
          </a:extLst>
        </cdr:cNvPr>
        <cdr:cNvSpPr txBox="1"/>
      </cdr:nvSpPr>
      <cdr:spPr>
        <a:xfrm xmlns:a="http://schemas.openxmlformats.org/drawingml/2006/main">
          <a:off x="2529946" y="1472141"/>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4F181-63D6-4D2E-AB7D-75971414468F}">
  <ds:schemaRefs>
    <ds:schemaRef ds:uri="http://schemas.openxmlformats.org/officeDocument/2006/bibliography"/>
  </ds:schemaRefs>
</ds:datastoreItem>
</file>

<file path=docMetadata/LabelInfo.xml><?xml version="1.0" encoding="utf-8"?>
<clbl:labelList xmlns:clbl="http://schemas.microsoft.com/office/2020/mipLabelMetadata">
  <clbl:label id="{d0b21864-3105-44b5-88b9-2cedf9af7954}" enabled="1" method="Standard" siteId="{b9aaf114-bd80-4df3-b43d-ab54dd47f83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8965</Words>
  <Characters>51107</Characters>
  <Application>Microsoft Office Word</Application>
  <DocSecurity>4</DocSecurity>
  <Lines>425</Lines>
  <Paragraphs>119</Paragraphs>
  <ScaleCrop>false</ScaleCrop>
  <Company/>
  <LinksUpToDate>false</LinksUpToDate>
  <CharactersWithSpaces>59953</CharactersWithSpaces>
  <SharedDoc>false</SharedDoc>
  <HLinks>
    <vt:vector size="48" baseType="variant">
      <vt:variant>
        <vt:i4>131075</vt:i4>
      </vt:variant>
      <vt:variant>
        <vt:i4>9</vt:i4>
      </vt:variant>
      <vt:variant>
        <vt:i4>0</vt:i4>
      </vt:variant>
      <vt:variant>
        <vt:i4>5</vt:i4>
      </vt:variant>
      <vt:variant>
        <vt:lpwstr>https://www.stjornarradid.is/efst-a-baugi/frettir/stok-frett/2023/03/24/Starfshopur-um-heildarendurskodun-lifeyrissjodakerfisins/</vt:lpwstr>
      </vt:variant>
      <vt:variant>
        <vt:lpwstr/>
      </vt:variant>
      <vt:variant>
        <vt:i4>2949173</vt:i4>
      </vt:variant>
      <vt:variant>
        <vt:i4>6</vt:i4>
      </vt:variant>
      <vt:variant>
        <vt:i4>0</vt:i4>
      </vt:variant>
      <vt:variant>
        <vt:i4>5</vt:i4>
      </vt:variant>
      <vt:variant>
        <vt:lpwstr>https://www.elibrary.imf.org/view/journals/002/2023/282/article-A001-en.xml</vt:lpwstr>
      </vt:variant>
      <vt:variant>
        <vt:lpwstr/>
      </vt:variant>
      <vt:variant>
        <vt:i4>8323111</vt:i4>
      </vt:variant>
      <vt:variant>
        <vt:i4>3</vt:i4>
      </vt:variant>
      <vt:variant>
        <vt:i4>0</vt:i4>
      </vt:variant>
      <vt:variant>
        <vt:i4>5</vt:i4>
      </vt:variant>
      <vt:variant>
        <vt:lpwstr>https://sedlabanki.is/frettir-og-utgefid-efni/grein/serrit-nr-18-umsvif-lifeyrissjoda-a-fjarmalamarkadi-og-aeskilegar-umbtur-a-loggjof-um-lifeyrissjodi</vt:lpwstr>
      </vt:variant>
      <vt:variant>
        <vt:lpwstr/>
      </vt:variant>
      <vt:variant>
        <vt:i4>4456519</vt:i4>
      </vt:variant>
      <vt:variant>
        <vt:i4>0</vt:i4>
      </vt:variant>
      <vt:variant>
        <vt:i4>0</vt:i4>
      </vt:variant>
      <vt:variant>
        <vt:i4>5</vt:i4>
      </vt:variant>
      <vt:variant>
        <vt:lpwstr>https://www.althingi.is/lagasafn/pdf/156b/i32012R0236.pdf</vt:lpwstr>
      </vt:variant>
      <vt:variant>
        <vt:lpwstr/>
      </vt:variant>
      <vt:variant>
        <vt:i4>262257</vt:i4>
      </vt:variant>
      <vt:variant>
        <vt:i4>9</vt:i4>
      </vt:variant>
      <vt:variant>
        <vt:i4>0</vt:i4>
      </vt:variant>
      <vt:variant>
        <vt:i4>5</vt:i4>
      </vt:variant>
      <vt:variant>
        <vt:lpwstr>mailto:tinna.finnbogadottir@utn.is</vt:lpwstr>
      </vt:variant>
      <vt:variant>
        <vt:lpwstr/>
      </vt:variant>
      <vt:variant>
        <vt:i4>2293843</vt:i4>
      </vt:variant>
      <vt:variant>
        <vt:i4>6</vt:i4>
      </vt:variant>
      <vt:variant>
        <vt:i4>0</vt:i4>
      </vt:variant>
      <vt:variant>
        <vt:i4>5</vt:i4>
      </vt:variant>
      <vt:variant>
        <vt:lpwstr>https://publications.europa.eu/resource/cellar/d4117d51-ac28-11ef-acb1-01aa75ed71a1.0001.02/DOC_1</vt:lpwstr>
      </vt:variant>
      <vt:variant>
        <vt:lpwstr/>
      </vt:variant>
      <vt:variant>
        <vt:i4>8126517</vt:i4>
      </vt:variant>
      <vt:variant>
        <vt:i4>3</vt:i4>
      </vt:variant>
      <vt:variant>
        <vt:i4>0</vt:i4>
      </vt:variant>
      <vt:variant>
        <vt:i4>5</vt:i4>
      </vt:variant>
      <vt:variant>
        <vt:lpwstr>https://www.althingi.is/lagas/121b/1996013.html</vt:lpwstr>
      </vt:variant>
      <vt:variant>
        <vt:lpwstr/>
      </vt:variant>
      <vt:variant>
        <vt:i4>2293824</vt:i4>
      </vt:variant>
      <vt:variant>
        <vt:i4>0</vt:i4>
      </vt:variant>
      <vt:variant>
        <vt:i4>0</vt:i4>
      </vt:variant>
      <vt:variant>
        <vt:i4>5</vt:i4>
      </vt:variant>
      <vt:variant>
        <vt:lpwstr>https://eur-lex.europa.eu/legal-content/EN/TXT/?uri=CELEX%3A02013R0575-20260101</vt:lpwstr>
      </vt:variant>
      <vt:variant>
        <vt:lpwstr>prt_III.tis_II.cpt_2:~:text=Article%20325j,collective%20investment%20undertakings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2026-02-26T15:27:00Z</dcterms:created>
  <dcterms:modified xsi:type="dcterms:W3CDTF">2026-02-26T15:27:00Z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8b67f9-f4c8-4356-80b8-97d601b9597d_Enabled">
    <vt:lpwstr>true</vt:lpwstr>
  </property>
  <property fmtid="{D5CDD505-2E9C-101B-9397-08002B2CF9AE}" pid="3" name="MSIP_Label_4d8b67f9-f4c8-4356-80b8-97d601b9597d_SetDate">
    <vt:lpwstr>2026-02-26T15:18:03Z</vt:lpwstr>
  </property>
  <property fmtid="{D5CDD505-2E9C-101B-9397-08002B2CF9AE}" pid="4" name="MSIP_Label_4d8b67f9-f4c8-4356-80b8-97d601b9597d_Method">
    <vt:lpwstr>Standard</vt:lpwstr>
  </property>
  <property fmtid="{D5CDD505-2E9C-101B-9397-08002B2CF9AE}" pid="5" name="MSIP_Label_4d8b67f9-f4c8-4356-80b8-97d601b9597d_Name">
    <vt:lpwstr>Varin</vt:lpwstr>
  </property>
  <property fmtid="{D5CDD505-2E9C-101B-9397-08002B2CF9AE}" pid="6" name="MSIP_Label_4d8b67f9-f4c8-4356-80b8-97d601b9597d_SiteId">
    <vt:lpwstr>bc14a44e-e0fb-4e0b-a535-100579d41b65</vt:lpwstr>
  </property>
  <property fmtid="{D5CDD505-2E9C-101B-9397-08002B2CF9AE}" pid="7" name="MSIP_Label_4d8b67f9-f4c8-4356-80b8-97d601b9597d_ActionId">
    <vt:lpwstr>e424fc56-dc65-4ea3-a143-b07b4701da78</vt:lpwstr>
  </property>
  <property fmtid="{D5CDD505-2E9C-101B-9397-08002B2CF9AE}" pid="8" name="MSIP_Label_4d8b67f9-f4c8-4356-80b8-97d601b9597d_ContentBits">
    <vt:lpwstr>0</vt:lpwstr>
  </property>
  <property fmtid="{D5CDD505-2E9C-101B-9397-08002B2CF9AE}" pid="9" name="MSIP_Label_4d8b67f9-f4c8-4356-80b8-97d601b9597d_Tag">
    <vt:lpwstr>10, 3, 0, 1</vt:lpwstr>
  </property>
</Properties>
</file>