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9F5B53" w:rsidRPr="004B6CC6" w14:paraId="4A20EC7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75A41C7" w14:textId="77777777" w:rsidR="009F5B53" w:rsidRPr="004B6CC6" w:rsidRDefault="009F5B53" w:rsidP="00DA27FF">
            <w:pPr>
              <w:spacing w:before="120" w:after="120"/>
              <w:jc w:val="center"/>
              <w:rPr>
                <w:rFonts w:ascii="Times New Roman" w:hAnsi="Times New Roman"/>
                <w:b/>
                <w:sz w:val="32"/>
                <w:szCs w:val="32"/>
                <w:lang w:val="is-IS"/>
              </w:rPr>
            </w:pPr>
            <w:bookmarkStart w:id="0" w:name="_Hlk10550211"/>
            <w:r w:rsidRPr="004B6CC6">
              <w:rPr>
                <w:rFonts w:ascii="Times New Roman" w:hAnsi="Times New Roman"/>
                <w:i/>
                <w:noProof/>
              </w:rPr>
              <w:drawing>
                <wp:inline distT="0" distB="0" distL="0" distR="0" wp14:anchorId="2B5CB228" wp14:editId="1E2B66F3">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C9A26E3" w14:textId="77777777" w:rsidR="009F5B53" w:rsidRPr="004B6CC6" w:rsidRDefault="009F5B53" w:rsidP="0012646E">
            <w:pPr>
              <w:spacing w:before="400" w:after="120"/>
              <w:rPr>
                <w:rFonts w:ascii="Times New Roman" w:hAnsi="Times New Roman"/>
                <w:b/>
                <w:sz w:val="32"/>
                <w:szCs w:val="32"/>
                <w:lang w:val="is-IS"/>
              </w:rPr>
            </w:pPr>
            <w:r w:rsidRPr="004B6CC6">
              <w:rPr>
                <w:rFonts w:ascii="Times New Roman" w:hAnsi="Times New Roman"/>
                <w:b/>
                <w:sz w:val="32"/>
                <w:szCs w:val="32"/>
                <w:lang w:val="is-IS"/>
              </w:rPr>
              <w:t xml:space="preserve">      MAT Á ÁHRIFUM LAGASETNINGAR*</w:t>
            </w:r>
          </w:p>
          <w:p w14:paraId="40D2CA20" w14:textId="77777777" w:rsidR="009F5B53" w:rsidRPr="004B6CC6" w:rsidRDefault="009F5B53" w:rsidP="00F33A33">
            <w:pPr>
              <w:spacing w:before="120" w:after="60"/>
              <w:rPr>
                <w:rFonts w:ascii="Times New Roman" w:hAnsi="Times New Roman"/>
                <w:i/>
                <w:lang w:val="is-IS"/>
              </w:rPr>
            </w:pPr>
            <w:r w:rsidRPr="004B6CC6">
              <w:rPr>
                <w:rFonts w:ascii="Times New Roman" w:hAnsi="Times New Roman"/>
                <w:i/>
                <w:lang w:val="is-IS"/>
              </w:rPr>
              <w:t xml:space="preserve">                   – sbr. samþykkt ríkisstjórnar frá 10. mars 2017</w:t>
            </w:r>
          </w:p>
          <w:p w14:paraId="71A10A9C" w14:textId="77777777" w:rsidR="009F5B53" w:rsidRPr="004B6CC6" w:rsidRDefault="009F5B53" w:rsidP="00F33A33">
            <w:pPr>
              <w:spacing w:before="60" w:after="60"/>
              <w:rPr>
                <w:rFonts w:ascii="Times New Roman" w:hAnsi="Times New Roman"/>
                <w:i/>
                <w:lang w:val="is-IS"/>
              </w:rPr>
            </w:pPr>
            <w:r w:rsidRPr="004B6CC6">
              <w:rPr>
                <w:rFonts w:ascii="Times New Roman" w:hAnsi="Times New Roman"/>
                <w:b/>
                <w:sz w:val="32"/>
                <w:szCs w:val="32"/>
                <w:lang w:val="is-IS"/>
              </w:rPr>
              <w:t>*</w:t>
            </w:r>
            <w:r w:rsidRPr="004B6CC6">
              <w:rPr>
                <w:rFonts w:ascii="Times New Roman" w:hAnsi="Times New Roman"/>
                <w:sz w:val="20"/>
                <w:szCs w:val="20"/>
                <w:lang w:val="is-IS"/>
              </w:rPr>
              <w:t>umfjöllun um einstök efnisatriði misjafnlega ítarleg, eftir umfangi máls og eðli</w:t>
            </w:r>
          </w:p>
        </w:tc>
      </w:tr>
      <w:tr w:rsidR="009F5B53" w:rsidRPr="004B6CC6" w14:paraId="178F9D8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C1CA3B7"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Málsheiti og nr.</w:t>
            </w:r>
          </w:p>
        </w:tc>
        <w:sdt>
          <w:sdtPr>
            <w:rPr>
              <w:rFonts w:ascii="Times New Roman" w:hAnsi="Times New Roman"/>
            </w:rPr>
            <w:id w:val="764192880"/>
            <w:placeholder>
              <w:docPart w:val="F7CA3A14974F475AAE6CE2610A3E48DF"/>
            </w:placeholder>
          </w:sdtPr>
          <w:sdtEndPr/>
          <w:sdtContent>
            <w:tc>
              <w:tcPr>
                <w:tcW w:w="7479" w:type="dxa"/>
                <w:tcBorders>
                  <w:top w:val="single" w:sz="4" w:space="0" w:color="auto"/>
                  <w:bottom w:val="single" w:sz="4" w:space="0" w:color="auto"/>
                </w:tcBorders>
              </w:tcPr>
              <w:p w14:paraId="21C18171" w14:textId="7C2EAECC" w:rsidR="009F5B53" w:rsidRPr="004B6CC6" w:rsidRDefault="00027A31" w:rsidP="00D26ACD">
                <w:pPr>
                  <w:spacing w:before="60"/>
                  <w:jc w:val="both"/>
                  <w:rPr>
                    <w:rFonts w:ascii="Times New Roman" w:hAnsi="Times New Roman"/>
                    <w:lang w:val="is-IS"/>
                  </w:rPr>
                </w:pPr>
                <w:r w:rsidRPr="004B6CC6">
                  <w:rPr>
                    <w:rFonts w:ascii="Times New Roman" w:hAnsi="Times New Roman"/>
                    <w:lang w:val="is-IS"/>
                  </w:rPr>
                  <w:t>Frumvarp til laga um breytingu á lögum um fjármálafyrirtæki, nr. 161/2002 (</w:t>
                </w:r>
                <w:r w:rsidR="006478DB" w:rsidRPr="006478DB">
                  <w:rPr>
                    <w:rFonts w:ascii="Times New Roman" w:hAnsi="Times New Roman"/>
                    <w:lang w:val="is-IS"/>
                  </w:rPr>
                  <w:t>innleiðing evrópskra gerða um fjármálafyrirtæki og undanþága frá ákvæðum um endurbótaáætlanir</w:t>
                </w:r>
                <w:r w:rsidRPr="004B6CC6">
                  <w:rPr>
                    <w:rFonts w:ascii="Times New Roman" w:hAnsi="Times New Roman"/>
                    <w:lang w:val="is-IS"/>
                  </w:rPr>
                  <w:t xml:space="preserve">) / </w:t>
                </w:r>
                <w:r w:rsidR="00930779">
                  <w:rPr>
                    <w:rFonts w:ascii="Times New Roman" w:hAnsi="Times New Roman"/>
                    <w:lang w:val="is-IS"/>
                  </w:rPr>
                  <w:t>FJR20110080</w:t>
                </w:r>
              </w:p>
            </w:tc>
          </w:sdtContent>
        </w:sdt>
      </w:tr>
      <w:tr w:rsidR="009F5B53" w:rsidRPr="004B6CC6" w14:paraId="7F1E826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B99FBFB"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 xml:space="preserve">Ráðuneyti </w:t>
            </w:r>
          </w:p>
        </w:tc>
        <w:sdt>
          <w:sdtPr>
            <w:rPr>
              <w:rFonts w:ascii="Times New Roman" w:hAnsi="Times New Roman"/>
            </w:rPr>
            <w:id w:val="1126588465"/>
            <w:placeholder>
              <w:docPart w:val="89E5D477794045CF85504962D99A32AC"/>
            </w:placeholder>
          </w:sdtPr>
          <w:sdtEndPr/>
          <w:sdtContent>
            <w:tc>
              <w:tcPr>
                <w:tcW w:w="7479" w:type="dxa"/>
                <w:tcBorders>
                  <w:bottom w:val="nil"/>
                </w:tcBorders>
              </w:tcPr>
              <w:p w14:paraId="5D64CD22" w14:textId="02702EA5" w:rsidR="009F5B53" w:rsidRPr="004B6CC6" w:rsidRDefault="00027A31" w:rsidP="00D26ACD">
                <w:pPr>
                  <w:spacing w:before="60"/>
                  <w:jc w:val="both"/>
                  <w:rPr>
                    <w:rFonts w:ascii="Times New Roman" w:hAnsi="Times New Roman"/>
                    <w:lang w:val="is-IS"/>
                  </w:rPr>
                </w:pPr>
                <w:r w:rsidRPr="004B6CC6">
                  <w:rPr>
                    <w:rFonts w:ascii="Times New Roman" w:hAnsi="Times New Roman"/>
                    <w:lang w:val="is-IS"/>
                  </w:rPr>
                  <w:t>Fjármála- og efnahagsráðuneyti</w:t>
                </w:r>
              </w:p>
            </w:tc>
          </w:sdtContent>
        </w:sdt>
      </w:tr>
      <w:tr w:rsidR="009F5B53" w:rsidRPr="004B6CC6" w14:paraId="42AF551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07E2062"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Stig mats</w:t>
            </w:r>
          </w:p>
        </w:tc>
        <w:tc>
          <w:tcPr>
            <w:tcW w:w="7479" w:type="dxa"/>
            <w:tcBorders>
              <w:bottom w:val="nil"/>
            </w:tcBorders>
          </w:tcPr>
          <w:p w14:paraId="11AD1D75" w14:textId="0075687F" w:rsidR="009F5B53" w:rsidRPr="004B6CC6" w:rsidRDefault="0021124D" w:rsidP="00D26ACD">
            <w:pPr>
              <w:spacing w:before="60"/>
              <w:jc w:val="both"/>
              <w:rPr>
                <w:rFonts w:ascii="Times New Roman" w:hAnsi="Times New Roman"/>
                <w:lang w:val="is-IS"/>
              </w:rPr>
            </w:pPr>
            <w:sdt>
              <w:sdtPr>
                <w:rPr>
                  <w:rFonts w:ascii="Times New Roman" w:hAnsi="Times New Roman"/>
                  <w:lang w:val="de-AT"/>
                </w:rPr>
                <w:id w:val="-2079593582"/>
                <w14:checkbox>
                  <w14:checked w14:val="0"/>
                  <w14:checkedState w14:val="2612" w14:font="MS Gothic"/>
                  <w14:uncheckedState w14:val="2610" w14:font="MS Gothic"/>
                </w14:checkbox>
              </w:sdtPr>
              <w:sdtEndPr/>
              <w:sdtContent>
                <w:r w:rsidR="0015063D" w:rsidRPr="0015063D">
                  <w:rPr>
                    <w:rFonts w:ascii="MS Gothic" w:eastAsia="MS Gothic" w:hAnsi="MS Gothic" w:hint="eastAsia"/>
                    <w:lang w:val="de-AT"/>
                  </w:rPr>
                  <w:t>☐</w:t>
                </w:r>
              </w:sdtContent>
            </w:sdt>
            <w:r w:rsidR="009F5B53" w:rsidRPr="004B6CC6">
              <w:rPr>
                <w:rFonts w:ascii="Times New Roman" w:hAnsi="Times New Roman"/>
                <w:lang w:val="is-IS"/>
              </w:rPr>
              <w:t xml:space="preserve"> Frummat, sbr. 1. gr.</w:t>
            </w:r>
          </w:p>
          <w:p w14:paraId="394FBA6A" w14:textId="73053CA8" w:rsidR="009F5B53" w:rsidRPr="004B6CC6" w:rsidRDefault="0021124D" w:rsidP="00D26ACD">
            <w:pPr>
              <w:spacing w:before="60"/>
              <w:jc w:val="both"/>
              <w:rPr>
                <w:rFonts w:ascii="Times New Roman" w:hAnsi="Times New Roman"/>
                <w:lang w:val="is-IS"/>
              </w:rPr>
            </w:pPr>
            <w:sdt>
              <w:sdtPr>
                <w:rPr>
                  <w:rFonts w:ascii="Times New Roman" w:hAnsi="Times New Roman"/>
                  <w:lang w:val="de-AT"/>
                </w:rPr>
                <w:id w:val="466950021"/>
                <w14:checkbox>
                  <w14:checked w14:val="1"/>
                  <w14:checkedState w14:val="2612" w14:font="MS Gothic"/>
                  <w14:uncheckedState w14:val="2610" w14:font="MS Gothic"/>
                </w14:checkbox>
              </w:sdtPr>
              <w:sdtEndPr/>
              <w:sdtContent>
                <w:r w:rsidR="0015063D" w:rsidRPr="0015063D">
                  <w:rPr>
                    <w:rFonts w:ascii="MS Gothic" w:eastAsia="MS Gothic" w:hAnsi="MS Gothic" w:hint="eastAsia"/>
                    <w:lang w:val="de-AT"/>
                  </w:rPr>
                  <w:t>☒</w:t>
                </w:r>
              </w:sdtContent>
            </w:sdt>
            <w:r w:rsidR="009F5B53" w:rsidRPr="004B6CC6">
              <w:rPr>
                <w:rFonts w:ascii="Times New Roman" w:hAnsi="Times New Roman"/>
                <w:lang w:val="is-IS"/>
              </w:rPr>
              <w:t xml:space="preserve"> Endanlegt mat, sbr. 10. gr. </w:t>
            </w:r>
          </w:p>
        </w:tc>
      </w:tr>
      <w:tr w:rsidR="009F5B53" w:rsidRPr="004B6CC6" w14:paraId="00FE7D9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B60325D" w14:textId="77777777" w:rsidR="009F5B53" w:rsidRPr="004B6CC6" w:rsidRDefault="009F5B53" w:rsidP="00D26ACD">
            <w:pPr>
              <w:spacing w:before="60" w:after="60"/>
              <w:jc w:val="both"/>
              <w:rPr>
                <w:rFonts w:ascii="Times New Roman" w:hAnsi="Times New Roman"/>
                <w:b/>
                <w:lang w:val="is-IS"/>
              </w:rPr>
            </w:pPr>
            <w:r w:rsidRPr="004B6CC6">
              <w:rPr>
                <w:rFonts w:ascii="Times New Roman" w:hAnsi="Times New Roman"/>
                <w:b/>
                <w:lang w:val="is-IS"/>
              </w:rPr>
              <w:t>Dags.</w:t>
            </w:r>
          </w:p>
        </w:tc>
        <w:sdt>
          <w:sdtPr>
            <w:rPr>
              <w:rFonts w:ascii="Times New Roman" w:hAnsi="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478FFEA" w14:textId="3B95ACB9" w:rsidR="009F5B53" w:rsidRPr="004B6CC6" w:rsidRDefault="009F5B53" w:rsidP="00D26ACD">
                <w:pPr>
                  <w:spacing w:before="60"/>
                  <w:jc w:val="both"/>
                  <w:rPr>
                    <w:rFonts w:ascii="Times New Roman" w:hAnsi="Times New Roman"/>
                    <w:lang w:val="is-IS"/>
                  </w:rPr>
                </w:pPr>
                <w:r w:rsidRPr="004B6CC6">
                  <w:rPr>
                    <w:rFonts w:ascii="Times New Roman" w:hAnsi="Times New Roman"/>
                    <w:lang w:val="is-IS"/>
                  </w:rPr>
                  <w:t xml:space="preserve"> </w:t>
                </w:r>
                <w:r w:rsidR="006478DB">
                  <w:rPr>
                    <w:rFonts w:ascii="Times New Roman" w:hAnsi="Times New Roman"/>
                    <w:lang w:val="is-IS"/>
                  </w:rPr>
                  <w:t>2</w:t>
                </w:r>
                <w:r w:rsidR="004B6CC6" w:rsidRPr="004B6CC6">
                  <w:rPr>
                    <w:rFonts w:ascii="Times New Roman" w:hAnsi="Times New Roman"/>
                    <w:lang w:val="is-IS"/>
                  </w:rPr>
                  <w:t xml:space="preserve">. </w:t>
                </w:r>
                <w:r w:rsidR="00930779">
                  <w:rPr>
                    <w:rFonts w:ascii="Times New Roman" w:hAnsi="Times New Roman"/>
                    <w:lang w:val="is-IS"/>
                  </w:rPr>
                  <w:t>mars</w:t>
                </w:r>
                <w:r w:rsidR="00027A31" w:rsidRPr="004B6CC6">
                  <w:rPr>
                    <w:rFonts w:ascii="Times New Roman" w:hAnsi="Times New Roman"/>
                    <w:lang w:val="is-IS"/>
                  </w:rPr>
                  <w:t xml:space="preserve"> 20</w:t>
                </w:r>
                <w:r w:rsidR="004B6CC6" w:rsidRPr="004B6CC6">
                  <w:rPr>
                    <w:rFonts w:ascii="Times New Roman" w:hAnsi="Times New Roman"/>
                    <w:lang w:val="is-IS"/>
                  </w:rPr>
                  <w:t>2</w:t>
                </w:r>
                <w:r w:rsidR="00930779">
                  <w:rPr>
                    <w:rFonts w:ascii="Times New Roman" w:hAnsi="Times New Roman"/>
                    <w:lang w:val="is-IS"/>
                  </w:rPr>
                  <w:t>1</w:t>
                </w:r>
              </w:p>
            </w:tc>
          </w:sdtContent>
        </w:sdt>
      </w:tr>
    </w:tbl>
    <w:p w14:paraId="3E24CB91" w14:textId="77777777" w:rsidR="009F5B53" w:rsidRPr="004B6CC6" w:rsidRDefault="009F5B53"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9F5B53" w:rsidRPr="004B6CC6" w14:paraId="0422984E" w14:textId="77777777" w:rsidTr="007414CB">
        <w:tc>
          <w:tcPr>
            <w:tcW w:w="9288" w:type="dxa"/>
            <w:shd w:val="clear" w:color="auto" w:fill="9CC2E5" w:themeFill="accent5" w:themeFillTint="99"/>
          </w:tcPr>
          <w:p w14:paraId="24A25EFB"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t>Greining og mat á fjárhagslegum áhrifaþáttum fyrir ríkið</w:t>
            </w:r>
          </w:p>
        </w:tc>
      </w:tr>
      <w:tr w:rsidR="009F5B53" w:rsidRPr="004B6CC6" w14:paraId="4D73E60B"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 w14:paraId="3E39A900" w14:textId="77777777" w:rsidR="009F5B53"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16BCF309"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Hvaða fjárhagsgreining, rekstraráætlanir, reiknilíkön eða önnur áætlanagerð hefur farið fram við undirbúning fjárhagsmatsins?</w:t>
                </w:r>
              </w:p>
              <w:p w14:paraId="7D415A40" w14:textId="04C39DC5" w:rsidR="006E1DDF" w:rsidRPr="004B6CC6" w:rsidRDefault="006E1DDF" w:rsidP="00D26ACD">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Óskað var eftir mati Fjármálaeftirlitsins á áhrifum á kostnað stofnunarinnar.</w:t>
                </w:r>
              </w:p>
              <w:p w14:paraId="16A38B08"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Helstu forsendur sem áætlanir byggja á og næmni niðurstaðna fyrir frávikum</w:t>
                </w:r>
              </w:p>
              <w:p w14:paraId="60DD41E1" w14:textId="52A775FE" w:rsidR="005B09FD" w:rsidRPr="004B6CC6" w:rsidRDefault="00440F1F"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 xml:space="preserve">Mat Fjármálaeftirlitsins byggist á áætlun um þau verkefni sem fylgi </w:t>
                </w:r>
                <w:r w:rsidR="00720820">
                  <w:rPr>
                    <w:rFonts w:ascii="Times New Roman" w:hAnsi="Times New Roman" w:cs="Times New Roman"/>
                    <w:lang w:val="is-IS"/>
                  </w:rPr>
                  <w:t>samþykkt frumvarpsins</w:t>
                </w:r>
                <w:r w:rsidRPr="004B6CC6">
                  <w:rPr>
                    <w:rFonts w:ascii="Times New Roman" w:hAnsi="Times New Roman" w:cs="Times New Roman"/>
                    <w:lang w:val="is-IS"/>
                  </w:rPr>
                  <w:t>. Ekki er talin ástæða til að vænta verulegra frávika frá því mati.</w:t>
                </w:r>
              </w:p>
              <w:p w14:paraId="0205A64C"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Eru fjárhagsáhrif tímabundin eða varanleg?</w:t>
                </w:r>
              </w:p>
              <w:p w14:paraId="5670F921" w14:textId="2DDC9324" w:rsidR="00FF440C" w:rsidRPr="004B6CC6" w:rsidRDefault="00FB2375"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r w:rsidR="00CD2423" w:rsidRPr="004B6CC6">
                  <w:rPr>
                    <w:rFonts w:ascii="Times New Roman" w:hAnsi="Times New Roman" w:cs="Times New Roman"/>
                    <w:lang w:val="is-IS"/>
                  </w:rPr>
                  <w:t>.</w:t>
                </w:r>
              </w:p>
              <w:p w14:paraId="444BD223"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Skorður sem eru settar fyrir útgjöldum og hvatar sem geta haft áhrif á útgjaldaþróun</w:t>
                </w:r>
              </w:p>
              <w:p w14:paraId="6829F649" w14:textId="3C46CCCC" w:rsidR="005C4F34" w:rsidRPr="004B6CC6" w:rsidRDefault="00440F1F"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eastAsia="Times New Roman" w:hAnsi="Times New Roman" w:cs="Times New Roman"/>
                    <w:color w:val="242424"/>
                    <w:lang w:val="is-IS" w:eastAsia="is-IS"/>
                  </w:rPr>
                  <w:t xml:space="preserve">Um kostnað við rekstur Fjármálaeftirlitsins fer samkvæmt </w:t>
                </w:r>
                <w:hyperlink r:id="rId8" w:history="1">
                  <w:r w:rsidRPr="004B6CC6">
                    <w:rPr>
                      <w:rStyle w:val="Hyperlink"/>
                      <w:rFonts w:ascii="Times New Roman" w:eastAsia="Times New Roman" w:hAnsi="Times New Roman" w:cs="Times New Roman"/>
                      <w:lang w:val="is-IS" w:eastAsia="is-IS"/>
                    </w:rPr>
                    <w:t>lögum um greiðslu kostnaðar við opinbert eftirlit með fjármálastarfsemi, nr. 99/1999</w:t>
                  </w:r>
                </w:hyperlink>
                <w:r w:rsidRPr="004B6CC6">
                  <w:rPr>
                    <w:rFonts w:ascii="Times New Roman" w:eastAsia="Times New Roman" w:hAnsi="Times New Roman" w:cs="Times New Roman"/>
                    <w:color w:val="242424"/>
                    <w:lang w:val="is-IS" w:eastAsia="is-IS"/>
                  </w:rPr>
                  <w:t>.</w:t>
                </w:r>
              </w:p>
              <w:p w14:paraId="24DBD56E" w14:textId="77777777" w:rsidR="004C1F80" w:rsidRPr="004B6CC6" w:rsidRDefault="009F5B53" w:rsidP="00D26ACD">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 xml:space="preserve">Aðskilin umfjöllun um </w:t>
                </w:r>
                <w:proofErr w:type="spellStart"/>
                <w:r w:rsidRPr="004B6CC6">
                  <w:rPr>
                    <w:rFonts w:ascii="Times New Roman" w:hAnsi="Times New Roman" w:cs="Times New Roman"/>
                    <w:i/>
                    <w:lang w:val="is-IS"/>
                  </w:rPr>
                  <w:t>brúttóáhrif</w:t>
                </w:r>
                <w:proofErr w:type="spellEnd"/>
                <w:r w:rsidRPr="004B6CC6">
                  <w:rPr>
                    <w:rFonts w:ascii="Times New Roman" w:hAnsi="Times New Roman" w:cs="Times New Roman"/>
                    <w:i/>
                    <w:lang w:val="is-IS"/>
                  </w:rPr>
                  <w:t xml:space="preserve"> á tekjuhlið og gjaldahlið en einnig tilgreind nettóáhrif á afkomu</w:t>
                </w:r>
              </w:p>
              <w:p w14:paraId="546A8A5A" w14:textId="7A658AF5" w:rsidR="00FB2375" w:rsidRPr="004B6CC6" w:rsidRDefault="004C1F80"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E</w:t>
                </w:r>
                <w:r w:rsidR="00FB2375" w:rsidRPr="004B6CC6">
                  <w:rPr>
                    <w:rFonts w:ascii="Times New Roman" w:hAnsi="Times New Roman" w:cs="Times New Roman"/>
                    <w:lang w:val="is-IS"/>
                  </w:rPr>
                  <w:t>kki er gert ráð fyrir áhrifum á tekjur, útgjöld eða afkomu ríkissjóðs.</w:t>
                </w:r>
              </w:p>
              <w:p w14:paraId="695EC5C4" w14:textId="77777777" w:rsidR="004C1F80"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Tekjubreytingar</w:t>
                </w:r>
              </w:p>
              <w:p w14:paraId="7CCC71D2" w14:textId="3214F744" w:rsidR="009F5B53" w:rsidRPr="004B6CC6" w:rsidRDefault="00B625C2"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tekjur ríkissjóðs.</w:t>
                </w:r>
              </w:p>
              <w:p w14:paraId="7B5FB179" w14:textId="77777777" w:rsidR="004C1F80"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Útgjaldabreytingar </w:t>
                </w:r>
              </w:p>
              <w:p w14:paraId="5C2EE349" w14:textId="4A372CA4" w:rsidR="00766958" w:rsidRPr="004B6CC6" w:rsidRDefault="00766958"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Fjármálaeftirlitið telur </w:t>
                </w:r>
                <w:r w:rsidR="00CE5AAD">
                  <w:rPr>
                    <w:rFonts w:ascii="Times New Roman" w:hAnsi="Times New Roman" w:cs="Times New Roman"/>
                    <w:lang w:val="is-IS"/>
                  </w:rPr>
                  <w:t>samþykkt frumvarpsins</w:t>
                </w:r>
                <w:r w:rsidRPr="004B6CC6">
                  <w:rPr>
                    <w:rFonts w:ascii="Times New Roman" w:hAnsi="Times New Roman" w:cs="Times New Roman"/>
                    <w:lang w:val="is-IS"/>
                  </w:rPr>
                  <w:t xml:space="preserve"> ekki kalla á </w:t>
                </w:r>
                <w:r w:rsidR="00EF01F7">
                  <w:rPr>
                    <w:rFonts w:ascii="Times New Roman" w:hAnsi="Times New Roman" w:cs="Times New Roman"/>
                    <w:lang w:val="is-IS"/>
                  </w:rPr>
                  <w:t>aukin verkefni eða kostnað</w:t>
                </w:r>
                <w:r w:rsidRPr="004B6CC6">
                  <w:rPr>
                    <w:rFonts w:ascii="Times New Roman" w:hAnsi="Times New Roman" w:cs="Times New Roman"/>
                    <w:lang w:val="is-IS"/>
                  </w:rPr>
                  <w:t xml:space="preserve">. </w:t>
                </w:r>
              </w:p>
              <w:p w14:paraId="1F2156D1" w14:textId="77777777" w:rsidR="004C1F80"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Eignabreytingar</w:t>
                </w:r>
              </w:p>
              <w:p w14:paraId="34AA7068" w14:textId="51BEC891" w:rsidR="009F5B53" w:rsidRPr="004B6CC6" w:rsidRDefault="00B625C2"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eignir ríkissjóðs.</w:t>
                </w:r>
              </w:p>
              <w:p w14:paraId="09A725B2" w14:textId="77777777" w:rsidR="009F5B53" w:rsidRPr="004B6CC6" w:rsidRDefault="009F5B53" w:rsidP="00D26ACD">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Aðrir áhrifaþættir varðandi ríkisfjármál</w:t>
                </w:r>
              </w:p>
              <w:p w14:paraId="5BD8CABE"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og sjónarmið um fyrirkomulag á útgjaldastýringu og umbúnað í fjárlögum</w:t>
                </w:r>
              </w:p>
              <w:p w14:paraId="0A88A198" w14:textId="6781063A"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0FBF995"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um framsetningu fjárlaga og reikningshaldslegan grundvöll samkvæmt lögum um opinber fjármál</w:t>
                </w:r>
              </w:p>
              <w:p w14:paraId="6BC360C7" w14:textId="5872A39F"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54BEE7C1"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Uppbygging skattkerfis og tekjuöflunar ríkissjóðs</w:t>
                </w:r>
              </w:p>
              <w:p w14:paraId="4FED9A2A" w14:textId="198314BA"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lastRenderedPageBreak/>
                  <w:t>Á ekki við.</w:t>
                </w:r>
              </w:p>
              <w:p w14:paraId="241E7E23"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Forsendur og umbúnaður þjónustugjalda – lagakröfur</w:t>
                </w:r>
              </w:p>
              <w:p w14:paraId="77CF98F5" w14:textId="450D23AD"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6C3DB8EC"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Rekstrarform ríkisstarfsemi</w:t>
                </w:r>
              </w:p>
              <w:p w14:paraId="5F08F31F" w14:textId="6BAD23A7"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1ACE63F7"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Opinber innkaup og útboð</w:t>
                </w:r>
              </w:p>
              <w:p w14:paraId="317C4C36" w14:textId="5888FFE9"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704CECD"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Eignaumsýsla ríkisins</w:t>
                </w:r>
              </w:p>
              <w:p w14:paraId="7762BDA4" w14:textId="1E2EDDEF"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7F4FCDCE"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Réttindi og skyldur ríkisstarfsmanna</w:t>
                </w:r>
              </w:p>
              <w:p w14:paraId="089086C3" w14:textId="41694A2F" w:rsidR="00C605A1" w:rsidRPr="004B6CC6" w:rsidRDefault="00C605A1"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9B4BD40" w14:textId="77777777" w:rsidR="004C1F80" w:rsidRPr="004B6CC6" w:rsidRDefault="009F5B53" w:rsidP="00D26ACD">
                <w:pPr>
                  <w:pStyle w:val="ListParagraph"/>
                  <w:numPr>
                    <w:ilvl w:val="0"/>
                    <w:numId w:val="8"/>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i/>
                    <w:lang w:val="is-IS"/>
                  </w:rPr>
                  <w:t>Ríkisstyrkir og ívilnanir, þ.m.t. samræmi við reglur ESA, sbr. 61. gr. EES-samningsins. Ath. tilkynningarskyldu með tveggja mánaða fyrirvara.</w:t>
                </w:r>
              </w:p>
              <w:p w14:paraId="31420984" w14:textId="0E03FAAF" w:rsidR="009F5B53" w:rsidRPr="004B6CC6" w:rsidRDefault="00C605A1" w:rsidP="00D26ACD">
                <w:pPr>
                  <w:pStyle w:val="ListParagraph"/>
                  <w:spacing w:before="60" w:after="60" w:line="240" w:lineRule="auto"/>
                  <w:ind w:left="1080"/>
                  <w:contextualSpacing w:val="0"/>
                  <w:jc w:val="both"/>
                  <w:rPr>
                    <w:rFonts w:ascii="Times New Roman" w:hAnsi="Times New Roman" w:cs="Times New Roman"/>
                    <w:b/>
                    <w:lang w:val="is-IS"/>
                  </w:rPr>
                </w:pPr>
                <w:r w:rsidRPr="004B6CC6">
                  <w:rPr>
                    <w:rFonts w:ascii="Times New Roman" w:hAnsi="Times New Roman" w:cs="Times New Roman"/>
                    <w:lang w:val="is-IS"/>
                  </w:rPr>
                  <w:t>Á ekki við.</w:t>
                </w:r>
              </w:p>
            </w:sdtContent>
          </w:sdt>
        </w:tc>
      </w:tr>
      <w:tr w:rsidR="009F5B53" w:rsidRPr="004B6CC6" w14:paraId="10ED7E5B" w14:textId="77777777" w:rsidTr="007414CB">
        <w:tc>
          <w:tcPr>
            <w:tcW w:w="9288" w:type="dxa"/>
            <w:shd w:val="clear" w:color="auto" w:fill="9CC2E5" w:themeFill="accent5" w:themeFillTint="99"/>
          </w:tcPr>
          <w:p w14:paraId="724D0CB5"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lastRenderedPageBreak/>
              <w:t xml:space="preserve">Samræmi við útgjaldaramma og fimm ára fjármálaætlun – fjármögnun </w:t>
            </w:r>
          </w:p>
        </w:tc>
      </w:tr>
      <w:tr w:rsidR="009F5B53" w:rsidRPr="004B6CC6" w14:paraId="12D886A8" w14:textId="77777777" w:rsidTr="00FD2097">
        <w:trPr>
          <w:trHeight w:val="826"/>
        </w:trPr>
        <w:tc>
          <w:tcPr>
            <w:tcW w:w="9288" w:type="dxa"/>
          </w:tcPr>
          <w:sdt>
            <w:sdtPr>
              <w:rPr>
                <w:rFonts w:ascii="Times New Roman" w:hAnsi="Times New Roman" w:cs="Times New Roman"/>
                <w:b/>
                <w:lang w:val="is-IS"/>
              </w:rPr>
              <w:id w:val="-197159978"/>
            </w:sdtPr>
            <w:sdtEndPr>
              <w:rPr>
                <w:rFonts w:asciiTheme="minorHAnsi" w:hAnsiTheme="minorHAnsi" w:cstheme="minorBidi"/>
              </w:rPr>
            </w:sdtEndPr>
            <w:sdtContent>
              <w:p w14:paraId="0215339E" w14:textId="77777777" w:rsidR="009F5B53" w:rsidRPr="004B6CC6"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Hefur verið gert ráð fyrir þeim fjárhagsáhrifum á málaflokk sem leiða kunna af samþykkt frumvarpsins:</w:t>
                </w:r>
              </w:p>
              <w:p w14:paraId="612B984F" w14:textId="77777777" w:rsidR="004C1F80" w:rsidRPr="004B6CC6"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gildandi fjárlögum</w:t>
                </w:r>
              </w:p>
              <w:p w14:paraId="65CAFBCA" w14:textId="19620A23" w:rsidR="007829EE" w:rsidRPr="004B6CC6"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6134E88" w14:textId="77777777" w:rsidR="004C1F80" w:rsidRPr="004B6CC6"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fjárlagafrumvarpi komandi árs</w:t>
                </w:r>
              </w:p>
              <w:p w14:paraId="09CC36CD" w14:textId="33A96EFA" w:rsidR="007829EE" w:rsidRPr="004B6CC6"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9A40D7C" w14:textId="77777777" w:rsidR="004C1F80" w:rsidRPr="004B6CC6" w:rsidRDefault="009F5B53" w:rsidP="00D26ACD">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fimm ára fjármálaáætlun ríkisstjórnarinnar</w:t>
                </w:r>
              </w:p>
              <w:p w14:paraId="26A5A5A4" w14:textId="7B410D31" w:rsidR="007829EE" w:rsidRPr="004B6CC6" w:rsidRDefault="007829EE" w:rsidP="00D26ACD">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3706A62C" w14:textId="77777777" w:rsidR="004C1F80" w:rsidRPr="004B6CC6"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BB960A0" w14:textId="04832A9E" w:rsidR="007829EE" w:rsidRPr="004B6CC6" w:rsidRDefault="007829EE"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Á ekki við.</w:t>
                </w:r>
              </w:p>
              <w:p w14:paraId="4CCA04FB" w14:textId="77777777" w:rsidR="004C1F80" w:rsidRPr="004B6CC6" w:rsidRDefault="009F5B53" w:rsidP="00D26ACD">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Tengist einhver ný eða aukin tekjuöflun verkefninu?</w:t>
                </w:r>
              </w:p>
              <w:p w14:paraId="4C8E86DC" w14:textId="2E7800F8" w:rsidR="009F5B53" w:rsidRPr="004B6CC6" w:rsidRDefault="007829EE"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Nei.</w:t>
                </w:r>
              </w:p>
            </w:sdtContent>
          </w:sdt>
        </w:tc>
      </w:tr>
      <w:tr w:rsidR="009F5B53" w:rsidRPr="004B6CC6" w14:paraId="3AEEE1EC" w14:textId="77777777" w:rsidTr="007414CB">
        <w:tc>
          <w:tcPr>
            <w:tcW w:w="9288" w:type="dxa"/>
            <w:shd w:val="clear" w:color="auto" w:fill="9CC2E5" w:themeFill="accent5" w:themeFillTint="99"/>
          </w:tcPr>
          <w:p w14:paraId="17B2A19E"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t>Efnahagsáhrif – áhrif á atvinnulíf, vinnumarkað og samkeppni</w:t>
            </w:r>
          </w:p>
        </w:tc>
      </w:tr>
      <w:tr w:rsidR="009F5B53" w:rsidRPr="004B6CC6" w14:paraId="248F8CE1"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6421731C" w14:textId="77777777" w:rsidR="004C1F80" w:rsidRPr="004B6CC6"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Hagræn áhrif á heildareftirspurn og einstaka markaði – hagstjórnarsjónarmið </w:t>
                </w:r>
              </w:p>
              <w:p w14:paraId="14A4DC04" w14:textId="0F6465EC" w:rsidR="006354FD" w:rsidRDefault="0060704C" w:rsidP="006354F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Ekki er gert ráð fyrir verulegum áhrifum á heildareftirspurn eða einstaka markaði.</w:t>
                </w:r>
              </w:p>
              <w:p w14:paraId="345ADE60" w14:textId="77777777" w:rsidR="004C1F80" w:rsidRPr="004B6CC6"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01688FA5" w14:textId="77777777" w:rsidR="00991288" w:rsidRPr="00991288" w:rsidRDefault="00991288" w:rsidP="00991288">
                <w:pPr>
                  <w:ind w:left="709" w:firstLine="284"/>
                  <w:rPr>
                    <w:rFonts w:ascii="Times New Roman" w:hAnsi="Times New Roman" w:cs="Times New Roman"/>
                    <w:i/>
                    <w:iCs/>
                  </w:rPr>
                </w:pPr>
                <w:r w:rsidRPr="00991288">
                  <w:rPr>
                    <w:rFonts w:ascii="Times New Roman" w:hAnsi="Times New Roman" w:cs="Times New Roman"/>
                    <w:i/>
                    <w:iCs/>
                  </w:rPr>
                  <w:t xml:space="preserve">a. </w:t>
                </w:r>
                <w:proofErr w:type="spellStart"/>
                <w:r w:rsidRPr="00991288">
                  <w:rPr>
                    <w:rFonts w:ascii="Times New Roman" w:hAnsi="Times New Roman" w:cs="Times New Roman"/>
                    <w:i/>
                    <w:iCs/>
                  </w:rPr>
                  <w:t>Áhrif</w:t>
                </w:r>
                <w:proofErr w:type="spellEnd"/>
                <w:r w:rsidRPr="00991288">
                  <w:rPr>
                    <w:rFonts w:ascii="Times New Roman" w:hAnsi="Times New Roman" w:cs="Times New Roman"/>
                    <w:i/>
                    <w:iCs/>
                  </w:rPr>
                  <w:t xml:space="preserve"> á </w:t>
                </w:r>
                <w:proofErr w:type="spellStart"/>
                <w:r w:rsidRPr="00991288">
                  <w:rPr>
                    <w:rFonts w:ascii="Times New Roman" w:hAnsi="Times New Roman" w:cs="Times New Roman"/>
                    <w:i/>
                    <w:iCs/>
                  </w:rPr>
                  <w:t>fjármálafyrirtæki</w:t>
                </w:r>
                <w:proofErr w:type="spellEnd"/>
                <w:r w:rsidRPr="00991288">
                  <w:rPr>
                    <w:rFonts w:ascii="Times New Roman" w:hAnsi="Times New Roman" w:cs="Times New Roman"/>
                    <w:i/>
                    <w:iCs/>
                  </w:rPr>
                  <w:t>.</w:t>
                </w:r>
              </w:p>
              <w:p w14:paraId="235B52EF" w14:textId="77777777" w:rsidR="00991288" w:rsidRPr="00991288" w:rsidRDefault="00991288" w:rsidP="00991288">
                <w:pPr>
                  <w:ind w:left="709" w:firstLine="284"/>
                  <w:rPr>
                    <w:rFonts w:ascii="Times New Roman" w:hAnsi="Times New Roman" w:cs="Times New Roman"/>
                  </w:rPr>
                </w:pPr>
                <w:proofErr w:type="spellStart"/>
                <w:r w:rsidRPr="00991288">
                  <w:rPr>
                    <w:rFonts w:ascii="Times New Roman" w:hAnsi="Times New Roman" w:cs="Times New Roman"/>
                  </w:rPr>
                  <w:t>Megináhrif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frumvarpsins</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eru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þrenns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konar</w:t>
                </w:r>
                <w:proofErr w:type="spellEnd"/>
                <w:r w:rsidRPr="00991288">
                  <w:rPr>
                    <w:rFonts w:ascii="Times New Roman" w:hAnsi="Times New Roman" w:cs="Times New Roman"/>
                  </w:rPr>
                  <w:t>:</w:t>
                </w:r>
              </w:p>
              <w:p w14:paraId="018951D4" w14:textId="77777777" w:rsidR="00991288" w:rsidRPr="00991288" w:rsidRDefault="00991288" w:rsidP="00991288">
                <w:pPr>
                  <w:ind w:left="709" w:firstLine="284"/>
                  <w:rPr>
                    <w:rFonts w:ascii="Times New Roman" w:hAnsi="Times New Roman" w:cs="Times New Roman"/>
                  </w:rPr>
                </w:pPr>
                <w:r w:rsidRPr="00991288">
                  <w:rPr>
                    <w:rFonts w:ascii="Times New Roman" w:hAnsi="Times New Roman" w:cs="Times New Roman"/>
                  </w:rPr>
                  <w:t xml:space="preserve">1. </w:t>
                </w:r>
                <w:proofErr w:type="spellStart"/>
                <w:r w:rsidRPr="00991288">
                  <w:rPr>
                    <w:rFonts w:ascii="Times New Roman" w:hAnsi="Times New Roman" w:cs="Times New Roman"/>
                    <w:i/>
                    <w:iCs/>
                  </w:rPr>
                  <w:t>Hert</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afmörkun</w:t>
                </w:r>
                <w:proofErr w:type="spellEnd"/>
                <w:r w:rsidRPr="00991288">
                  <w:rPr>
                    <w:rFonts w:ascii="Times New Roman" w:hAnsi="Times New Roman" w:cs="Times New Roman"/>
                    <w:i/>
                    <w:iCs/>
                  </w:rPr>
                  <w:t xml:space="preserve"> á </w:t>
                </w:r>
                <w:proofErr w:type="spellStart"/>
                <w:r w:rsidRPr="00991288">
                  <w:rPr>
                    <w:rFonts w:ascii="Times New Roman" w:hAnsi="Times New Roman" w:cs="Times New Roman"/>
                    <w:i/>
                    <w:iCs/>
                  </w:rPr>
                  <w:t>stórum</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áhættuskuldbindingum</w:t>
                </w:r>
                <w:proofErr w:type="spellEnd"/>
                <w:r w:rsidRPr="00991288">
                  <w:rPr>
                    <w:rFonts w:ascii="Times New Roman" w:hAnsi="Times New Roman" w:cs="Times New Roman"/>
                    <w:i/>
                    <w:iCs/>
                  </w:rPr>
                  <w:t>:</w:t>
                </w:r>
                <w:r w:rsidRPr="00991288">
                  <w:rPr>
                    <w:rFonts w:ascii="Times New Roman" w:hAnsi="Times New Roman" w:cs="Times New Roman"/>
                  </w:rPr>
                  <w:t xml:space="preserve"> </w:t>
                </w:r>
                <w:proofErr w:type="spellStart"/>
                <w:r w:rsidRPr="00991288">
                  <w:rPr>
                    <w:rFonts w:ascii="Times New Roman" w:hAnsi="Times New Roman" w:cs="Times New Roman"/>
                  </w:rPr>
                  <w:t>Áhættuskuldbindingar</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vegna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einstakra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viðskiptamanna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eða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hópa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tengdra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viðskiptamanna</w:t>
                </w:r>
                <w:proofErr w:type="spellEnd"/>
                <w:r w:rsidRPr="00991288">
                  <w:rPr>
                    <w:rFonts w:ascii="Times New Roman" w:hAnsi="Times New Roman" w:cs="Times New Roman"/>
                  </w:rPr>
                  <w:t xml:space="preserve"> mega </w:t>
                </w:r>
                <w:proofErr w:type="spellStart"/>
                <w:r w:rsidRPr="00991288">
                  <w:rPr>
                    <w:rFonts w:ascii="Times New Roman" w:hAnsi="Times New Roman" w:cs="Times New Roman"/>
                  </w:rPr>
                  <w:t>almennt</w:t>
                </w:r>
                <w:proofErr w:type="spellEnd"/>
                <w:r w:rsidRPr="00991288">
                  <w:rPr>
                    <w:rFonts w:ascii="Times New Roman" w:hAnsi="Times New Roman" w:cs="Times New Roman"/>
                  </w:rPr>
                  <w:t xml:space="preserve"> ekki </w:t>
                </w:r>
                <w:proofErr w:type="spellStart"/>
                <w:r w:rsidRPr="00991288">
                  <w:rPr>
                    <w:rFonts w:ascii="Times New Roman" w:hAnsi="Times New Roman" w:cs="Times New Roman"/>
                  </w:rPr>
                  <w:t>fara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yfir</w:t>
                </w:r>
                <w:proofErr w:type="spellEnd"/>
                <w:r w:rsidRPr="00991288">
                  <w:rPr>
                    <w:rFonts w:ascii="Times New Roman" w:hAnsi="Times New Roman" w:cs="Times New Roman"/>
                  </w:rPr>
                  <w:t xml:space="preserve"> 25%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hæfu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fjármagni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fyrirtækjanna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skv</w:t>
                </w:r>
                <w:proofErr w:type="spellEnd"/>
                <w:r w:rsidRPr="00991288">
                  <w:rPr>
                    <w:rFonts w:ascii="Times New Roman" w:hAnsi="Times New Roman" w:cs="Times New Roman"/>
                  </w:rPr>
                  <w:t xml:space="preserve">. 1. mgr. 30. gr. </w:t>
                </w:r>
                <w:proofErr w:type="spellStart"/>
                <w:r w:rsidRPr="00991288">
                  <w:rPr>
                    <w:rFonts w:ascii="Times New Roman" w:hAnsi="Times New Roman" w:cs="Times New Roman"/>
                  </w:rPr>
                  <w:t>laga</w:t>
                </w:r>
                <w:proofErr w:type="spellEnd"/>
                <w:r w:rsidRPr="00991288">
                  <w:rPr>
                    <w:rFonts w:ascii="Times New Roman" w:hAnsi="Times New Roman" w:cs="Times New Roman"/>
                  </w:rPr>
                  <w:t xml:space="preserve"> um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Reglunni</w:t>
                </w:r>
                <w:proofErr w:type="spellEnd"/>
                <w:r w:rsidRPr="00991288">
                  <w:rPr>
                    <w:rFonts w:ascii="Times New Roman" w:hAnsi="Times New Roman" w:cs="Times New Roman"/>
                  </w:rPr>
                  <w:t xml:space="preserve"> er </w:t>
                </w:r>
                <w:proofErr w:type="spellStart"/>
                <w:r w:rsidRPr="00991288">
                  <w:rPr>
                    <w:rFonts w:ascii="Times New Roman" w:hAnsi="Times New Roman" w:cs="Times New Roman"/>
                  </w:rPr>
                  <w:t>ætlað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takmarka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áhættu</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gengi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einstakra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viðskiptamanna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hæfs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fjármagns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telst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og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2, </w:t>
                </w:r>
                <w:proofErr w:type="spellStart"/>
                <w:r w:rsidRPr="00991288">
                  <w:rPr>
                    <w:rFonts w:ascii="Times New Roman" w:hAnsi="Times New Roman" w:cs="Times New Roman"/>
                  </w:rPr>
                  <w:t>þó</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hámarki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þriðjungi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eiginfjárþætti</w:t>
                </w:r>
                <w:proofErr w:type="spellEnd"/>
                <w:r w:rsidRPr="00991288">
                  <w:rPr>
                    <w:rFonts w:ascii="Times New Roman" w:hAnsi="Times New Roman" w:cs="Times New Roman"/>
                  </w:rPr>
                  <w:t xml:space="preserve"> 1.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samræmis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CRR II </w:t>
                </w:r>
                <w:proofErr w:type="spellStart"/>
                <w:r w:rsidRPr="00991288">
                  <w:rPr>
                    <w:rFonts w:ascii="Times New Roman" w:hAnsi="Times New Roman" w:cs="Times New Roman"/>
                  </w:rPr>
                  <w:t>gerir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frumvarpið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ráð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því</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stórar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áhættuskuldbindingar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reiknist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hlutfall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w:t>
                </w:r>
                <w:proofErr w:type="spellStart"/>
                <w:r w:rsidRPr="00991288">
                  <w:rPr>
                    <w:rFonts w:ascii="Times New Roman" w:hAnsi="Times New Roman" w:cs="Times New Roman"/>
                  </w:rPr>
                  <w:t>eingöngu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fremur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hæfu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fjármagni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2 </w:t>
                </w:r>
                <w:proofErr w:type="spellStart"/>
                <w:r w:rsidRPr="00991288">
                  <w:rPr>
                    <w:rFonts w:ascii="Times New Roman" w:hAnsi="Times New Roman" w:cs="Times New Roman"/>
                  </w:rPr>
                  <w:t>getur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verið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allt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fjórðungi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hæfu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fjármagni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fjármálafyrirtækis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felur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breytingin</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sér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nefnarinn í </w:t>
                </w:r>
                <w:proofErr w:type="spellStart"/>
                <w:r w:rsidRPr="00991288">
                  <w:rPr>
                    <w:rFonts w:ascii="Times New Roman" w:hAnsi="Times New Roman" w:cs="Times New Roman"/>
                  </w:rPr>
                  <w:t>útreikningum</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stórum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lastRenderedPageBreak/>
                  <w:t>áhættuskuldbindingum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getur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verið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allt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fjórðungi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lægri</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fleiri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áhættuskuldbindingar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ella</w:t>
                </w:r>
                <w:proofErr w:type="spellEnd"/>
                <w:r w:rsidRPr="00991288">
                  <w:rPr>
                    <w:rFonts w:ascii="Times New Roman" w:hAnsi="Times New Roman" w:cs="Times New Roman"/>
                  </w:rPr>
                  <w:t xml:space="preserve"> geta </w:t>
                </w:r>
                <w:proofErr w:type="spellStart"/>
                <w:r w:rsidRPr="00991288">
                  <w:rPr>
                    <w:rFonts w:ascii="Times New Roman" w:hAnsi="Times New Roman" w:cs="Times New Roman"/>
                  </w:rPr>
                  <w:t>því</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fallið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undir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takmarkanir</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stórum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áhættuskuldbindingum</w:t>
                </w:r>
                <w:proofErr w:type="spellEnd"/>
                <w:r w:rsidRPr="00991288">
                  <w:rPr>
                    <w:rFonts w:ascii="Times New Roman" w:hAnsi="Times New Roman" w:cs="Times New Roman"/>
                  </w:rPr>
                  <w:t>.</w:t>
                </w:r>
              </w:p>
              <w:p w14:paraId="0C14D712" w14:textId="77777777" w:rsidR="00991288" w:rsidRPr="00991288" w:rsidRDefault="00991288" w:rsidP="00991288">
                <w:pPr>
                  <w:ind w:left="709" w:firstLine="284"/>
                  <w:rPr>
                    <w:rFonts w:ascii="Times New Roman" w:hAnsi="Times New Roman" w:cs="Times New Roman"/>
                  </w:rPr>
                </w:pPr>
                <w:r w:rsidRPr="00991288">
                  <w:rPr>
                    <w:rFonts w:ascii="Times New Roman" w:hAnsi="Times New Roman" w:cs="Times New Roman"/>
                  </w:rPr>
                  <w:t xml:space="preserve">2. </w:t>
                </w:r>
                <w:proofErr w:type="spellStart"/>
                <w:r w:rsidRPr="00991288">
                  <w:rPr>
                    <w:rFonts w:ascii="Times New Roman" w:hAnsi="Times New Roman" w:cs="Times New Roman"/>
                    <w:i/>
                    <w:iCs/>
                  </w:rPr>
                  <w:t>Vægari</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upplýsingaskylda</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minni</w:t>
                </w:r>
                <w:proofErr w:type="spellEnd"/>
                <w:r w:rsidRPr="00991288">
                  <w:rPr>
                    <w:rFonts w:ascii="Times New Roman" w:hAnsi="Times New Roman" w:cs="Times New Roman"/>
                    <w:i/>
                    <w:iCs/>
                  </w:rPr>
                  <w:t xml:space="preserve"> fjármálafyrirtækja: </w:t>
                </w:r>
                <w:r w:rsidRPr="00991288">
                  <w:rPr>
                    <w:rFonts w:ascii="Times New Roman" w:hAnsi="Times New Roman" w:cs="Times New Roman"/>
                  </w:rPr>
                  <w:t xml:space="preserve">Í CRR II er </w:t>
                </w:r>
                <w:proofErr w:type="spellStart"/>
                <w:r w:rsidRPr="00991288">
                  <w:rPr>
                    <w:rFonts w:ascii="Times New Roman" w:hAnsi="Times New Roman" w:cs="Times New Roman"/>
                  </w:rPr>
                  <w:t>leitast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sníða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skyldur</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birta</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skila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upplýsingum</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gögnum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stærð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þeirra</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kerfislegu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mikilvægi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gæta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meðalhófs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gagnvart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smærri</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einfaldari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fjármálafyrirtækjum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Þannig</w:t>
                </w:r>
                <w:proofErr w:type="spellEnd"/>
                <w:r w:rsidRPr="00991288">
                  <w:rPr>
                    <w:rFonts w:ascii="Times New Roman" w:hAnsi="Times New Roman" w:cs="Times New Roman"/>
                  </w:rPr>
                  <w:t xml:space="preserve"> er </w:t>
                </w:r>
                <w:proofErr w:type="spellStart"/>
                <w:r w:rsidRPr="00991288">
                  <w:rPr>
                    <w:rFonts w:ascii="Times New Roman" w:hAnsi="Times New Roman" w:cs="Times New Roman"/>
                  </w:rPr>
                  <w:t>gert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ráð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lítil</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einföld</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þurfi</w:t>
                </w:r>
                <w:proofErr w:type="spellEnd"/>
                <w:r w:rsidRPr="00991288">
                  <w:rPr>
                    <w:rFonts w:ascii="Times New Roman" w:hAnsi="Times New Roman" w:cs="Times New Roman"/>
                  </w:rPr>
                  <w:t xml:space="preserve"> ekki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birta</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skila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jafn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ítarlegum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upplýsingum</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gögnum</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stærri</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kerfislega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mikilvægari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fyrirtæki</w:t>
                </w:r>
                <w:proofErr w:type="spellEnd"/>
                <w:r w:rsidRPr="00991288">
                  <w:rPr>
                    <w:rFonts w:ascii="Times New Roman" w:hAnsi="Times New Roman" w:cs="Times New Roman"/>
                  </w:rPr>
                  <w:t xml:space="preserve"> og ekki </w:t>
                </w:r>
                <w:proofErr w:type="spellStart"/>
                <w:r w:rsidRPr="00991288">
                  <w:rPr>
                    <w:rFonts w:ascii="Times New Roman" w:hAnsi="Times New Roman" w:cs="Times New Roman"/>
                  </w:rPr>
                  <w:t>jafn</w:t>
                </w:r>
                <w:proofErr w:type="spellEnd"/>
                <w:r w:rsidRPr="00991288">
                  <w:rPr>
                    <w:rFonts w:ascii="Times New Roman" w:hAnsi="Times New Roman" w:cs="Times New Roman"/>
                  </w:rPr>
                  <w:t xml:space="preserve"> oft.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samræmis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fyrirætlan</w:t>
                </w:r>
                <w:proofErr w:type="spellEnd"/>
                <w:r w:rsidRPr="00991288">
                  <w:rPr>
                    <w:rFonts w:ascii="Times New Roman" w:hAnsi="Times New Roman" w:cs="Times New Roman"/>
                  </w:rPr>
                  <w:t xml:space="preserve"> er í </w:t>
                </w:r>
                <w:proofErr w:type="spellStart"/>
                <w:r w:rsidRPr="00991288">
                  <w:rPr>
                    <w:rFonts w:ascii="Times New Roman" w:hAnsi="Times New Roman" w:cs="Times New Roman"/>
                  </w:rPr>
                  <w:t>frumvarpinu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lagt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Fjármálaeftirlitið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geti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létt</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skyldum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lítilla</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einfaldra</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birta</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skila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upplýsingum</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gögnum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Lítil</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einföld</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eru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skilgreind</w:t>
                </w:r>
                <w:proofErr w:type="spellEnd"/>
                <w:r w:rsidRPr="00991288">
                  <w:rPr>
                    <w:rFonts w:ascii="Times New Roman" w:hAnsi="Times New Roman" w:cs="Times New Roman"/>
                  </w:rPr>
                  <w:t xml:space="preserve"> í CRR II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gert</w:t>
                </w:r>
                <w:proofErr w:type="spellEnd"/>
                <w:r w:rsidRPr="00991288">
                  <w:rPr>
                    <w:rFonts w:ascii="Times New Roman" w:hAnsi="Times New Roman" w:cs="Times New Roman"/>
                  </w:rPr>
                  <w:t xml:space="preserve"> er </w:t>
                </w:r>
                <w:proofErr w:type="spellStart"/>
                <w:r w:rsidRPr="00991288">
                  <w:rPr>
                    <w:rFonts w:ascii="Times New Roman" w:hAnsi="Times New Roman" w:cs="Times New Roman"/>
                  </w:rPr>
                  <w:t>ráð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veita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gildi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með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breytingu</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reglugerð</w:t>
                </w:r>
                <w:proofErr w:type="spellEnd"/>
                <w:r w:rsidRPr="00991288">
                  <w:rPr>
                    <w:rFonts w:ascii="Times New Roman" w:hAnsi="Times New Roman" w:cs="Times New Roman"/>
                  </w:rPr>
                  <w:t xml:space="preserve"> um </w:t>
                </w:r>
                <w:proofErr w:type="spellStart"/>
                <w:r w:rsidRPr="00991288">
                  <w:rPr>
                    <w:rFonts w:ascii="Times New Roman" w:hAnsi="Times New Roman" w:cs="Times New Roman"/>
                  </w:rPr>
                  <w:t>varfærniskröfur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vegna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starfsemi</w:t>
                </w:r>
                <w:proofErr w:type="spellEnd"/>
                <w:r w:rsidRPr="00991288">
                  <w:rPr>
                    <w:rFonts w:ascii="Times New Roman" w:hAnsi="Times New Roman" w:cs="Times New Roman"/>
                  </w:rPr>
                  <w:t xml:space="preserve"> fjármálafyrirtækja.</w:t>
                </w:r>
              </w:p>
              <w:p w14:paraId="168B8D58" w14:textId="77777777" w:rsidR="00991288" w:rsidRPr="00991288" w:rsidRDefault="00991288" w:rsidP="00991288">
                <w:pPr>
                  <w:ind w:left="709" w:firstLine="284"/>
                  <w:rPr>
                    <w:rFonts w:ascii="Times New Roman" w:hAnsi="Times New Roman" w:cs="Times New Roman"/>
                  </w:rPr>
                </w:pPr>
                <w:r w:rsidRPr="00991288">
                  <w:rPr>
                    <w:rFonts w:ascii="Times New Roman" w:hAnsi="Times New Roman" w:cs="Times New Roman"/>
                  </w:rPr>
                  <w:t xml:space="preserve">3. </w:t>
                </w:r>
                <w:proofErr w:type="spellStart"/>
                <w:r w:rsidRPr="00991288">
                  <w:rPr>
                    <w:rFonts w:ascii="Times New Roman" w:hAnsi="Times New Roman" w:cs="Times New Roman"/>
                    <w:i/>
                    <w:iCs/>
                  </w:rPr>
                  <w:t>Frádráttur</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frá</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almennu</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eigin</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fé</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i/>
                    <w:iCs/>
                  </w:rPr>
                  <w:t>þáttar</w:t>
                </w:r>
                <w:proofErr w:type="spellEnd"/>
                <w:r w:rsidRPr="00991288">
                  <w:rPr>
                    <w:rFonts w:ascii="Times New Roman" w:hAnsi="Times New Roman" w:cs="Times New Roman"/>
                    <w:i/>
                    <w:iCs/>
                  </w:rPr>
                  <w:t xml:space="preserve"> 1: </w:t>
                </w:r>
                <w:proofErr w:type="spellStart"/>
                <w:r w:rsidRPr="00991288">
                  <w:rPr>
                    <w:rFonts w:ascii="Times New Roman" w:hAnsi="Times New Roman" w:cs="Times New Roman"/>
                  </w:rPr>
                  <w:t>Almennt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svipar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hefðbundnum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skilningi</w:t>
                </w:r>
                <w:proofErr w:type="spellEnd"/>
                <w:r w:rsidRPr="00991288">
                  <w:rPr>
                    <w:rFonts w:ascii="Times New Roman" w:hAnsi="Times New Roman" w:cs="Times New Roman"/>
                  </w:rPr>
                  <w:t xml:space="preserve">, er </w:t>
                </w:r>
                <w:proofErr w:type="spellStart"/>
                <w:r w:rsidRPr="00991288">
                  <w:rPr>
                    <w:rFonts w:ascii="Times New Roman" w:hAnsi="Times New Roman" w:cs="Times New Roman"/>
                  </w:rPr>
                  <w:t>kjarninn</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eiginfjárgrunni</w:t>
                </w:r>
                <w:proofErr w:type="spellEnd"/>
                <w:r w:rsidRPr="00991288">
                  <w:rPr>
                    <w:rFonts w:ascii="Times New Roman" w:hAnsi="Times New Roman" w:cs="Times New Roman"/>
                  </w:rPr>
                  <w:t xml:space="preserve"> fjármálafyrirtækja og </w:t>
                </w:r>
                <w:proofErr w:type="spellStart"/>
                <w:r w:rsidRPr="00991288">
                  <w:rPr>
                    <w:rFonts w:ascii="Times New Roman" w:hAnsi="Times New Roman" w:cs="Times New Roman"/>
                  </w:rPr>
                  <w:t>tiltekið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hlutfall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eiginfjárgrunns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þeirra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verður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samanstanda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Í 84. gr. a </w:t>
                </w:r>
                <w:proofErr w:type="spellStart"/>
                <w:r w:rsidRPr="00991288">
                  <w:rPr>
                    <w:rFonts w:ascii="Times New Roman" w:hAnsi="Times New Roman" w:cs="Times New Roman"/>
                  </w:rPr>
                  <w:t>laga</w:t>
                </w:r>
                <w:proofErr w:type="spellEnd"/>
                <w:r w:rsidRPr="00991288">
                  <w:rPr>
                    <w:rFonts w:ascii="Times New Roman" w:hAnsi="Times New Roman" w:cs="Times New Roman"/>
                  </w:rPr>
                  <w:t xml:space="preserve"> um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er </w:t>
                </w:r>
                <w:proofErr w:type="spellStart"/>
                <w:r w:rsidRPr="00991288">
                  <w:rPr>
                    <w:rFonts w:ascii="Times New Roman" w:hAnsi="Times New Roman" w:cs="Times New Roman"/>
                  </w:rPr>
                  <w:t>tilgreint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hvað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megi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telja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og í 85. gr. </w:t>
                </w:r>
                <w:proofErr w:type="spellStart"/>
                <w:r w:rsidRPr="00991288">
                  <w:rPr>
                    <w:rFonts w:ascii="Times New Roman" w:hAnsi="Times New Roman" w:cs="Times New Roman"/>
                  </w:rPr>
                  <w:t>laganna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hvað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beri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draga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frá</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útreikning</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þess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samræmis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NPE og CRR er </w:t>
                </w:r>
                <w:proofErr w:type="spellStart"/>
                <w:r w:rsidRPr="00991288">
                  <w:rPr>
                    <w:rFonts w:ascii="Times New Roman" w:hAnsi="Times New Roman" w:cs="Times New Roman"/>
                  </w:rPr>
                  <w:t>gert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ráð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fyrir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þremur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breytingum</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frádráttarliðum</w:t>
                </w:r>
                <w:proofErr w:type="spellEnd"/>
                <w:r w:rsidRPr="00991288">
                  <w:rPr>
                    <w:rFonts w:ascii="Times New Roman" w:hAnsi="Times New Roman" w:cs="Times New Roman"/>
                  </w:rPr>
                  <w:t xml:space="preserve"> 85. gr. </w:t>
                </w:r>
                <w:proofErr w:type="spellStart"/>
                <w:r w:rsidRPr="00991288">
                  <w:rPr>
                    <w:rFonts w:ascii="Times New Roman" w:hAnsi="Times New Roman" w:cs="Times New Roman"/>
                  </w:rPr>
                  <w:t>laganna</w:t>
                </w:r>
                <w:proofErr w:type="spellEnd"/>
                <w:r w:rsidRPr="00991288">
                  <w:rPr>
                    <w:rFonts w:ascii="Times New Roman" w:hAnsi="Times New Roman" w:cs="Times New Roman"/>
                  </w:rPr>
                  <w:t>:</w:t>
                </w:r>
              </w:p>
              <w:p w14:paraId="02BA2E5B" w14:textId="77777777" w:rsidR="00991288" w:rsidRPr="00991288" w:rsidRDefault="00991288" w:rsidP="00991288">
                <w:pPr>
                  <w:ind w:left="709" w:firstLine="284"/>
                  <w:rPr>
                    <w:rFonts w:ascii="Times New Roman" w:hAnsi="Times New Roman" w:cs="Times New Roman"/>
                  </w:rPr>
                </w:pPr>
                <w:r w:rsidRPr="00991288">
                  <w:rPr>
                    <w:rFonts w:ascii="Times New Roman" w:hAnsi="Times New Roman" w:cs="Times New Roman"/>
                  </w:rPr>
                  <w:t xml:space="preserve">a. </w:t>
                </w:r>
                <w:proofErr w:type="spellStart"/>
                <w:r w:rsidRPr="00991288">
                  <w:rPr>
                    <w:rFonts w:ascii="Times New Roman" w:hAnsi="Times New Roman" w:cs="Times New Roman"/>
                    <w:i/>
                    <w:iCs/>
                  </w:rPr>
                  <w:t>Hugbúnaðareignir</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rPr>
                  <w:t>Skv</w:t>
                </w:r>
                <w:proofErr w:type="spellEnd"/>
                <w:r w:rsidRPr="00991288">
                  <w:rPr>
                    <w:rFonts w:ascii="Times New Roman" w:hAnsi="Times New Roman" w:cs="Times New Roman"/>
                  </w:rPr>
                  <w:t>. c-</w:t>
                </w:r>
                <w:proofErr w:type="spellStart"/>
                <w:r w:rsidRPr="00991288">
                  <w:rPr>
                    <w:rFonts w:ascii="Times New Roman" w:hAnsi="Times New Roman" w:cs="Times New Roman"/>
                  </w:rPr>
                  <w:t>lið</w:t>
                </w:r>
                <w:proofErr w:type="spellEnd"/>
                <w:r w:rsidRPr="00991288">
                  <w:rPr>
                    <w:rFonts w:ascii="Times New Roman" w:hAnsi="Times New Roman" w:cs="Times New Roman"/>
                  </w:rPr>
                  <w:t xml:space="preserve"> 1. mgr. 85. gr. </w:t>
                </w:r>
                <w:proofErr w:type="spellStart"/>
                <w:r w:rsidRPr="00991288">
                  <w:rPr>
                    <w:rFonts w:ascii="Times New Roman" w:hAnsi="Times New Roman" w:cs="Times New Roman"/>
                  </w:rPr>
                  <w:t>laga</w:t>
                </w:r>
                <w:proofErr w:type="spellEnd"/>
                <w:r w:rsidRPr="00991288">
                  <w:rPr>
                    <w:rFonts w:ascii="Times New Roman" w:hAnsi="Times New Roman" w:cs="Times New Roman"/>
                  </w:rPr>
                  <w:t xml:space="preserve"> um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ber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draga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viðskiptavild</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aðrar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óefnislegar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eignir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frá</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samræmis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CRR II er </w:t>
                </w:r>
                <w:proofErr w:type="spellStart"/>
                <w:r w:rsidRPr="00991288">
                  <w:rPr>
                    <w:rFonts w:ascii="Times New Roman" w:hAnsi="Times New Roman" w:cs="Times New Roman"/>
                  </w:rPr>
                  <w:t>með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frumvarpinu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lagt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hugbúnaðareignir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falla</w:t>
                </w:r>
                <w:proofErr w:type="spellEnd"/>
                <w:r w:rsidRPr="00991288">
                  <w:rPr>
                    <w:rFonts w:ascii="Times New Roman" w:hAnsi="Times New Roman" w:cs="Times New Roman"/>
                  </w:rPr>
                  <w:t xml:space="preserve"> ekki í </w:t>
                </w:r>
                <w:proofErr w:type="spellStart"/>
                <w:r w:rsidRPr="00991288">
                  <w:rPr>
                    <w:rFonts w:ascii="Times New Roman" w:hAnsi="Times New Roman" w:cs="Times New Roman"/>
                  </w:rPr>
                  <w:t>virði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vegna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skila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eða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slitameðferðar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fjármálafyrirtækis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verði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undanþegnar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frádrættinum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felur</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sér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getur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talist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meira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ella</w:t>
                </w:r>
                <w:proofErr w:type="spellEnd"/>
                <w:r w:rsidRPr="00991288">
                  <w:rPr>
                    <w:rFonts w:ascii="Times New Roman" w:hAnsi="Times New Roman" w:cs="Times New Roman"/>
                  </w:rPr>
                  <w:t>.</w:t>
                </w:r>
              </w:p>
              <w:p w14:paraId="3B91142D" w14:textId="77777777" w:rsidR="00991288" w:rsidRPr="00991288" w:rsidRDefault="00991288" w:rsidP="00991288">
                <w:pPr>
                  <w:ind w:left="709" w:firstLine="284"/>
                  <w:rPr>
                    <w:rFonts w:ascii="Times New Roman" w:hAnsi="Times New Roman" w:cs="Times New Roman"/>
                  </w:rPr>
                </w:pPr>
                <w:r w:rsidRPr="00991288">
                  <w:rPr>
                    <w:rFonts w:ascii="Times New Roman" w:hAnsi="Times New Roman" w:cs="Times New Roman"/>
                  </w:rPr>
                  <w:t xml:space="preserve">b. </w:t>
                </w:r>
                <w:proofErr w:type="spellStart"/>
                <w:r w:rsidRPr="00991288">
                  <w:rPr>
                    <w:rFonts w:ascii="Times New Roman" w:hAnsi="Times New Roman" w:cs="Times New Roman"/>
                    <w:i/>
                    <w:iCs/>
                  </w:rPr>
                  <w:t>Áhættuskuldbindingar</w:t>
                </w:r>
                <w:proofErr w:type="spellEnd"/>
                <w:r w:rsidRPr="00991288">
                  <w:rPr>
                    <w:rFonts w:ascii="Times New Roman" w:hAnsi="Times New Roman" w:cs="Times New Roman"/>
                    <w:i/>
                    <w:iCs/>
                  </w:rPr>
                  <w:t xml:space="preserve"> í </w:t>
                </w:r>
                <w:proofErr w:type="spellStart"/>
                <w:r w:rsidRPr="00991288">
                  <w:rPr>
                    <w:rFonts w:ascii="Times New Roman" w:hAnsi="Times New Roman" w:cs="Times New Roman"/>
                    <w:i/>
                    <w:iCs/>
                  </w:rPr>
                  <w:t>vanskilum</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samræmis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NPE er </w:t>
                </w:r>
                <w:proofErr w:type="spellStart"/>
                <w:r w:rsidRPr="00991288">
                  <w:rPr>
                    <w:rFonts w:ascii="Times New Roman" w:hAnsi="Times New Roman" w:cs="Times New Roman"/>
                  </w:rPr>
                  <w:t>lagt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draga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beri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hluta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áhættuskuldbindinga</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vanskilum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hefur</w:t>
                </w:r>
                <w:proofErr w:type="spellEnd"/>
                <w:r w:rsidRPr="00991288">
                  <w:rPr>
                    <w:rFonts w:ascii="Times New Roman" w:hAnsi="Times New Roman" w:cs="Times New Roman"/>
                  </w:rPr>
                  <w:t xml:space="preserve"> ekki </w:t>
                </w:r>
                <w:proofErr w:type="spellStart"/>
                <w:r w:rsidRPr="00991288">
                  <w:rPr>
                    <w:rFonts w:ascii="Times New Roman" w:hAnsi="Times New Roman" w:cs="Times New Roman"/>
                  </w:rPr>
                  <w:t>verið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mætt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með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varúðarniðurfærslum</w:t>
                </w:r>
                <w:proofErr w:type="spellEnd"/>
                <w:r w:rsidRPr="00991288">
                  <w:rPr>
                    <w:rFonts w:ascii="Times New Roman" w:hAnsi="Times New Roman" w:cs="Times New Roman"/>
                  </w:rPr>
                  <w:t xml:space="preserve"> og </w:t>
                </w:r>
                <w:proofErr w:type="spellStart"/>
                <w:r w:rsidRPr="00991288">
                  <w:rPr>
                    <w:rFonts w:ascii="Times New Roman" w:hAnsi="Times New Roman" w:cs="Times New Roman"/>
                  </w:rPr>
                  <w:t>eru</w:t>
                </w:r>
                <w:proofErr w:type="spellEnd"/>
                <w:r w:rsidRPr="00991288">
                  <w:rPr>
                    <w:rFonts w:ascii="Times New Roman" w:hAnsi="Times New Roman" w:cs="Times New Roman"/>
                  </w:rPr>
                  <w:t xml:space="preserve"> ekki </w:t>
                </w:r>
                <w:proofErr w:type="spellStart"/>
                <w:r w:rsidRPr="00991288">
                  <w:rPr>
                    <w:rFonts w:ascii="Times New Roman" w:hAnsi="Times New Roman" w:cs="Times New Roman"/>
                  </w:rPr>
                  <w:t>með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fullnægjandi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tryggingar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frá</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w:t>
                </w:r>
                <w:proofErr w:type="spellStart"/>
                <w:r w:rsidRPr="00991288">
                  <w:rPr>
                    <w:rFonts w:ascii="Times New Roman" w:hAnsi="Times New Roman" w:cs="Times New Roman"/>
                  </w:rPr>
                  <w:t>Það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felur</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sér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getur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talist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minna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ella</w:t>
                </w:r>
                <w:proofErr w:type="spellEnd"/>
                <w:r w:rsidRPr="00991288">
                  <w:rPr>
                    <w:rFonts w:ascii="Times New Roman" w:hAnsi="Times New Roman" w:cs="Times New Roman"/>
                  </w:rPr>
                  <w:t>.</w:t>
                </w:r>
              </w:p>
              <w:p w14:paraId="47BFE841" w14:textId="77777777" w:rsidR="00991288" w:rsidRPr="00991288" w:rsidRDefault="00991288" w:rsidP="00991288">
                <w:pPr>
                  <w:ind w:left="709" w:firstLine="284"/>
                  <w:rPr>
                    <w:rFonts w:ascii="Times New Roman" w:hAnsi="Times New Roman" w:cs="Times New Roman"/>
                  </w:rPr>
                </w:pPr>
                <w:r w:rsidRPr="00991288">
                  <w:rPr>
                    <w:rFonts w:ascii="Times New Roman" w:hAnsi="Times New Roman" w:cs="Times New Roman"/>
                  </w:rPr>
                  <w:t xml:space="preserve">c. </w:t>
                </w:r>
                <w:proofErr w:type="spellStart"/>
                <w:r w:rsidRPr="00991288">
                  <w:rPr>
                    <w:rFonts w:ascii="Times New Roman" w:hAnsi="Times New Roman" w:cs="Times New Roman"/>
                    <w:i/>
                    <w:iCs/>
                  </w:rPr>
                  <w:t>Ábyrgðir</w:t>
                </w:r>
                <w:proofErr w:type="spellEnd"/>
                <w:r w:rsidRPr="00991288">
                  <w:rPr>
                    <w:rFonts w:ascii="Times New Roman" w:hAnsi="Times New Roman" w:cs="Times New Roman"/>
                    <w:i/>
                    <w:iCs/>
                  </w:rPr>
                  <w:t xml:space="preserve"> á </w:t>
                </w:r>
                <w:proofErr w:type="spellStart"/>
                <w:r w:rsidRPr="00991288">
                  <w:rPr>
                    <w:rFonts w:ascii="Times New Roman" w:hAnsi="Times New Roman" w:cs="Times New Roman"/>
                    <w:i/>
                    <w:iCs/>
                  </w:rPr>
                  <w:t>fjárfestingum</w:t>
                </w:r>
                <w:proofErr w:type="spellEnd"/>
                <w:r w:rsidRPr="00991288">
                  <w:rPr>
                    <w:rFonts w:ascii="Times New Roman" w:hAnsi="Times New Roman" w:cs="Times New Roman"/>
                    <w:i/>
                    <w:iCs/>
                  </w:rPr>
                  <w:t xml:space="preserve"> í </w:t>
                </w:r>
                <w:proofErr w:type="spellStart"/>
                <w:r w:rsidRPr="00991288">
                  <w:rPr>
                    <w:rFonts w:ascii="Times New Roman" w:hAnsi="Times New Roman" w:cs="Times New Roman"/>
                    <w:i/>
                    <w:iCs/>
                  </w:rPr>
                  <w:t>sjóðum</w:t>
                </w:r>
                <w:proofErr w:type="spellEnd"/>
                <w:r w:rsidRPr="00991288">
                  <w:rPr>
                    <w:rFonts w:ascii="Times New Roman" w:hAnsi="Times New Roman" w:cs="Times New Roman"/>
                    <w:i/>
                    <w:iCs/>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samræmis</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við</w:t>
                </w:r>
                <w:proofErr w:type="spellEnd"/>
                <w:r w:rsidRPr="00991288">
                  <w:rPr>
                    <w:rFonts w:ascii="Times New Roman" w:hAnsi="Times New Roman" w:cs="Times New Roman"/>
                  </w:rPr>
                  <w:t xml:space="preserve"> CRR II er </w:t>
                </w:r>
                <w:proofErr w:type="spellStart"/>
                <w:r w:rsidRPr="00991288">
                  <w:rPr>
                    <w:rFonts w:ascii="Times New Roman" w:hAnsi="Times New Roman" w:cs="Times New Roman"/>
                  </w:rPr>
                  <w:t>lagt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til</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hafi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ábyrgst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virði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fjárfestingar</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sjóði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beri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því</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draga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ábyrgðina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frá</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almennu</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þáttar</w:t>
                </w:r>
                <w:proofErr w:type="spellEnd"/>
                <w:r w:rsidRPr="00991288">
                  <w:rPr>
                    <w:rFonts w:ascii="Times New Roman" w:hAnsi="Times New Roman" w:cs="Times New Roman"/>
                  </w:rPr>
                  <w:t xml:space="preserve"> 1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því</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marki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sem</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líkur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eru</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hana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reyni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Það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felur</w:t>
                </w:r>
                <w:proofErr w:type="spellEnd"/>
                <w:r w:rsidRPr="00991288">
                  <w:rPr>
                    <w:rFonts w:ascii="Times New Roman" w:hAnsi="Times New Roman" w:cs="Times New Roman"/>
                  </w:rPr>
                  <w:t xml:space="preserve"> í </w:t>
                </w:r>
                <w:proofErr w:type="spellStart"/>
                <w:r w:rsidRPr="00991288">
                  <w:rPr>
                    <w:rFonts w:ascii="Times New Roman" w:hAnsi="Times New Roman" w:cs="Times New Roman"/>
                  </w:rPr>
                  <w:t>sér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almennt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eigið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fé</w:t>
                </w:r>
                <w:proofErr w:type="spellEnd"/>
                <w:r w:rsidRPr="00991288">
                  <w:rPr>
                    <w:rFonts w:ascii="Times New Roman" w:hAnsi="Times New Roman" w:cs="Times New Roman"/>
                  </w:rPr>
                  <w:t xml:space="preserve"> fjármálafyrirtækja </w:t>
                </w:r>
                <w:proofErr w:type="spellStart"/>
                <w:r w:rsidRPr="00991288">
                  <w:rPr>
                    <w:rFonts w:ascii="Times New Roman" w:hAnsi="Times New Roman" w:cs="Times New Roman"/>
                  </w:rPr>
                  <w:t>getur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talist</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minna</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en</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ella</w:t>
                </w:r>
                <w:proofErr w:type="spellEnd"/>
                <w:r w:rsidRPr="00991288">
                  <w:rPr>
                    <w:rFonts w:ascii="Times New Roman" w:hAnsi="Times New Roman" w:cs="Times New Roman"/>
                  </w:rPr>
                  <w:t>.</w:t>
                </w:r>
              </w:p>
              <w:p w14:paraId="413C2664" w14:textId="77777777" w:rsidR="00991288" w:rsidRDefault="00991288" w:rsidP="00991288">
                <w:pPr>
                  <w:ind w:left="709" w:firstLine="284"/>
                  <w:rPr>
                    <w:rFonts w:ascii="Times New Roman" w:hAnsi="Times New Roman" w:cs="Times New Roman"/>
                  </w:rPr>
                </w:pPr>
                <w:proofErr w:type="spellStart"/>
                <w:r w:rsidRPr="00991288">
                  <w:rPr>
                    <w:rFonts w:ascii="Times New Roman" w:hAnsi="Times New Roman" w:cs="Times New Roman"/>
                  </w:rPr>
                  <w:t>Fjármálaeftirlitið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metur</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samanlögð</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fjárhagsleg</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áhrif</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breytinganna</w:t>
                </w:r>
                <w:proofErr w:type="spellEnd"/>
                <w:r w:rsidRPr="00991288">
                  <w:rPr>
                    <w:rFonts w:ascii="Times New Roman" w:hAnsi="Times New Roman" w:cs="Times New Roman"/>
                  </w:rPr>
                  <w:t xml:space="preserve"> á </w:t>
                </w:r>
                <w:proofErr w:type="spellStart"/>
                <w:r w:rsidRPr="00991288">
                  <w:rPr>
                    <w:rFonts w:ascii="Times New Roman" w:hAnsi="Times New Roman" w:cs="Times New Roman"/>
                  </w:rPr>
                  <w:t>fjármálafyrirtæki</w:t>
                </w:r>
                <w:proofErr w:type="spellEnd"/>
                <w:r w:rsidRPr="00991288">
                  <w:rPr>
                    <w:rFonts w:ascii="Times New Roman" w:hAnsi="Times New Roman" w:cs="Times New Roman"/>
                  </w:rPr>
                  <w:t xml:space="preserve"> </w:t>
                </w:r>
                <w:proofErr w:type="spellStart"/>
                <w:r w:rsidRPr="00991288">
                  <w:rPr>
                    <w:rFonts w:ascii="Times New Roman" w:hAnsi="Times New Roman" w:cs="Times New Roman"/>
                  </w:rPr>
                  <w:t>óveruleg</w:t>
                </w:r>
                <w:proofErr w:type="spellEnd"/>
                <w:r w:rsidRPr="00991288">
                  <w:rPr>
                    <w:rFonts w:ascii="Times New Roman" w:hAnsi="Times New Roman" w:cs="Times New Roman"/>
                  </w:rPr>
                  <w:t>.</w:t>
                </w:r>
              </w:p>
              <w:p w14:paraId="263507FD" w14:textId="77777777" w:rsidR="00991288" w:rsidRDefault="00991288" w:rsidP="00991288">
                <w:pPr>
                  <w:ind w:left="709" w:firstLine="284"/>
                  <w:rPr>
                    <w:rFonts w:ascii="Times New Roman" w:hAnsi="Times New Roman" w:cs="Times New Roman"/>
                    <w:lang w:val="is-IS"/>
                  </w:rPr>
                </w:pPr>
                <w:r w:rsidRPr="00991288">
                  <w:rPr>
                    <w:rFonts w:ascii="Times New Roman" w:hAnsi="Times New Roman" w:cs="Times New Roman"/>
                    <w:lang w:val="is-IS"/>
                  </w:rPr>
                  <w:t>Samþykkt frumvarpsins létti skyldu af Byggðastofnun og Lánasjóði sveitarfélaga til að vinna endurbótaáætlanir. Stofnanirnar telja skylduna mjög íþyngjandi og eiga illa við um sína starfsemi.</w:t>
                </w:r>
              </w:p>
              <w:p w14:paraId="589DCCC9" w14:textId="2C9D3633" w:rsidR="006C33C1" w:rsidRDefault="0060704C" w:rsidP="00991288">
                <w:pPr>
                  <w:ind w:left="709" w:firstLine="284"/>
                  <w:rPr>
                    <w:rFonts w:ascii="Times New Roman" w:hAnsi="Times New Roman" w:cs="Times New Roman"/>
                    <w:lang w:val="is-IS"/>
                  </w:rPr>
                </w:pPr>
                <w:r>
                  <w:rPr>
                    <w:rFonts w:ascii="Times New Roman" w:hAnsi="Times New Roman" w:cs="Times New Roman"/>
                    <w:lang w:val="is-IS"/>
                  </w:rPr>
                  <w:t>R</w:t>
                </w:r>
                <w:r w:rsidR="006C33C1" w:rsidRPr="006354FD">
                  <w:rPr>
                    <w:rFonts w:ascii="Times New Roman" w:hAnsi="Times New Roman" w:cs="Times New Roman"/>
                    <w:lang w:val="is-IS"/>
                  </w:rPr>
                  <w:t>áðgjafarnefnd um opinberar eftirlitsreglur</w:t>
                </w:r>
                <w:r>
                  <w:rPr>
                    <w:rFonts w:ascii="Times New Roman" w:hAnsi="Times New Roman" w:cs="Times New Roman"/>
                    <w:lang w:val="is-IS"/>
                  </w:rPr>
                  <w:t xml:space="preserve"> var sen</w:t>
                </w:r>
                <w:r w:rsidR="004D53F6">
                  <w:rPr>
                    <w:rFonts w:ascii="Times New Roman" w:hAnsi="Times New Roman" w:cs="Times New Roman"/>
                    <w:lang w:val="is-IS"/>
                  </w:rPr>
                  <w:t>d</w:t>
                </w:r>
                <w:r>
                  <w:rPr>
                    <w:rFonts w:ascii="Times New Roman" w:hAnsi="Times New Roman" w:cs="Times New Roman"/>
                    <w:lang w:val="is-IS"/>
                  </w:rPr>
                  <w:t xml:space="preserve"> tilkynning um birtingu frumvarpsdraga og skjals þessa í samráðsgátt stjórnvalda.</w:t>
                </w:r>
              </w:p>
              <w:p w14:paraId="0B773736" w14:textId="77777777" w:rsidR="006354FD" w:rsidRPr="006354FD" w:rsidRDefault="006354FD" w:rsidP="006354FD">
                <w:pPr>
                  <w:pStyle w:val="ListParagraph"/>
                  <w:spacing w:before="60" w:after="60" w:line="240" w:lineRule="auto"/>
                  <w:jc w:val="both"/>
                  <w:rPr>
                    <w:rFonts w:ascii="Times New Roman" w:eastAsia="Calibri" w:hAnsi="Times New Roman" w:cs="Times New Roman"/>
                    <w:lang w:val="is-IS"/>
                  </w:rPr>
                </w:pPr>
              </w:p>
              <w:p w14:paraId="6A8CE05E" w14:textId="77777777" w:rsidR="009F5B53" w:rsidRPr="004B6CC6" w:rsidRDefault="009F5B53" w:rsidP="00D26ACD">
                <w:pPr>
                  <w:pStyle w:val="ListParagraph"/>
                  <w:numPr>
                    <w:ilvl w:val="0"/>
                    <w:numId w:val="2"/>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Samkeppnisskilyrði</w:t>
                </w:r>
              </w:p>
              <w:p w14:paraId="39886438" w14:textId="4A43992A" w:rsidR="009F5B53"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 xml:space="preserve">Líkur á því að fjöldi fyrirtækja á markaði takmarkist með beinum hætti vegna </w:t>
                </w:r>
                <w:proofErr w:type="spellStart"/>
                <w:r w:rsidRPr="004B6CC6">
                  <w:rPr>
                    <w:rFonts w:ascii="Times New Roman" w:hAnsi="Times New Roman" w:cs="Times New Roman"/>
                    <w:i/>
                    <w:lang w:val="is-IS"/>
                  </w:rPr>
                  <w:t>reglusetningar</w:t>
                </w:r>
                <w:proofErr w:type="spellEnd"/>
                <w:r w:rsidRPr="004B6CC6">
                  <w:rPr>
                    <w:rFonts w:ascii="Times New Roman" w:hAnsi="Times New Roman" w:cs="Times New Roman"/>
                    <w:i/>
                    <w:lang w:val="is-IS"/>
                  </w:rPr>
                  <w:t xml:space="preserve"> (líklegt ef aðgerðin felur í sér einhvers konar einkarétt, leyfiskerfi eða kvóta)</w:t>
                </w:r>
              </w:p>
              <w:p w14:paraId="1E57CF27" w14:textId="1E918A06" w:rsidR="00E11567" w:rsidRPr="004B6CC6" w:rsidRDefault="00E11567" w:rsidP="00D26ACD">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að samþykkt </w:t>
                </w:r>
                <w:r w:rsidR="00CE5AAD">
                  <w:rPr>
                    <w:rFonts w:ascii="Times New Roman" w:hAnsi="Times New Roman" w:cs="Times New Roman"/>
                    <w:lang w:val="is-IS"/>
                  </w:rPr>
                  <w:t>frumvarpsins</w:t>
                </w:r>
                <w:r w:rsidRPr="004B6CC6">
                  <w:rPr>
                    <w:rFonts w:ascii="Times New Roman" w:hAnsi="Times New Roman" w:cs="Times New Roman"/>
                    <w:lang w:val="is-IS"/>
                  </w:rPr>
                  <w:t xml:space="preserve"> hafi áhrif á fjölda </w:t>
                </w:r>
                <w:r w:rsidR="00842078">
                  <w:rPr>
                    <w:rFonts w:ascii="Times New Roman" w:hAnsi="Times New Roman" w:cs="Times New Roman"/>
                    <w:lang w:val="is-IS"/>
                  </w:rPr>
                  <w:t>fjármálafyrirtækja</w:t>
                </w:r>
                <w:r w:rsidRPr="004B6CC6">
                  <w:rPr>
                    <w:rFonts w:ascii="Times New Roman" w:hAnsi="Times New Roman" w:cs="Times New Roman"/>
                    <w:lang w:val="is-IS"/>
                  </w:rPr>
                  <w:t xml:space="preserve"> á markaði.</w:t>
                </w:r>
              </w:p>
              <w:p w14:paraId="40798BAA" w14:textId="6A0BDD68" w:rsidR="009F5B53"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 xml:space="preserve">Líkur á því að fyrirtækjum á markaði fækki með óbeinum hætti vegna </w:t>
                </w:r>
                <w:proofErr w:type="spellStart"/>
                <w:r w:rsidRPr="004B6CC6">
                  <w:rPr>
                    <w:rFonts w:ascii="Times New Roman" w:hAnsi="Times New Roman" w:cs="Times New Roman"/>
                    <w:i/>
                    <w:lang w:val="is-IS"/>
                  </w:rPr>
                  <w:t>reglusetningar</w:t>
                </w:r>
                <w:proofErr w:type="spellEnd"/>
                <w:r w:rsidRPr="004B6CC6">
                  <w:rPr>
                    <w:rFonts w:ascii="Times New Roman" w:hAnsi="Times New Roman" w:cs="Times New Roman"/>
                    <w:i/>
                    <w:lang w:val="is-IS"/>
                  </w:rPr>
                  <w:t xml:space="preserve"> (líklegt ef aðgerðin felur í sér aukinn kostnað við inngöngu á markað eða tekur aðeins til hluta starfandi fyrirtækja)</w:t>
                </w:r>
              </w:p>
              <w:p w14:paraId="603B47F0" w14:textId="77777777" w:rsidR="0060704C" w:rsidRPr="004B6CC6" w:rsidRDefault="0060704C" w:rsidP="0060704C">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að samþykkt </w:t>
                </w:r>
                <w:r>
                  <w:rPr>
                    <w:rFonts w:ascii="Times New Roman" w:hAnsi="Times New Roman" w:cs="Times New Roman"/>
                    <w:lang w:val="is-IS"/>
                  </w:rPr>
                  <w:t>frumvarpsins</w:t>
                </w:r>
                <w:r w:rsidRPr="004B6CC6">
                  <w:rPr>
                    <w:rFonts w:ascii="Times New Roman" w:hAnsi="Times New Roman" w:cs="Times New Roman"/>
                    <w:lang w:val="is-IS"/>
                  </w:rPr>
                  <w:t xml:space="preserve"> hafi áhrif á fjölda </w:t>
                </w:r>
                <w:r>
                  <w:rPr>
                    <w:rFonts w:ascii="Times New Roman" w:hAnsi="Times New Roman" w:cs="Times New Roman"/>
                    <w:lang w:val="is-IS"/>
                  </w:rPr>
                  <w:t>fjármálafyrirtækja</w:t>
                </w:r>
                <w:r w:rsidRPr="004B6CC6">
                  <w:rPr>
                    <w:rFonts w:ascii="Times New Roman" w:hAnsi="Times New Roman" w:cs="Times New Roman"/>
                    <w:lang w:val="is-IS"/>
                  </w:rPr>
                  <w:t xml:space="preserve"> á markaði.</w:t>
                </w:r>
              </w:p>
              <w:p w14:paraId="11EFD200" w14:textId="0E9FDBC6" w:rsidR="009F5B53"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 xml:space="preserve">Takmarkanir á möguleikum fyrirtækja til þess að mæta samkeppni vegna </w:t>
                </w:r>
                <w:proofErr w:type="spellStart"/>
                <w:r w:rsidRPr="004B6CC6">
                  <w:rPr>
                    <w:rFonts w:ascii="Times New Roman" w:hAnsi="Times New Roman" w:cs="Times New Roman"/>
                    <w:i/>
                    <w:lang w:val="is-IS"/>
                  </w:rPr>
                  <w:t>reglusetningar</w:t>
                </w:r>
                <w:proofErr w:type="spellEnd"/>
                <w:r w:rsidRPr="004B6CC6">
                  <w:rPr>
                    <w:rFonts w:ascii="Times New Roman" w:hAnsi="Times New Roman" w:cs="Times New Roman"/>
                    <w:i/>
                    <w:lang w:val="is-IS"/>
                  </w:rPr>
                  <w:t xml:space="preserve"> (líklegt ef aðgerðin hefur áhrif á verð fyrirtækja eða eðli vörunnar t.d. staðlar eða ef aðgerðin takmarkar sölusvæði, svigrúm til að auglýsa eða til að ákveða hvernig vara er framleidd</w:t>
                </w:r>
              </w:p>
              <w:p w14:paraId="5D43B3DA" w14:textId="24817109" w:rsidR="0060704C" w:rsidRPr="004B6CC6" w:rsidRDefault="0060704C" w:rsidP="0060704C">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lastRenderedPageBreak/>
                  <w:t xml:space="preserve">Ekki er gert ráð fyrir að samþykkt </w:t>
                </w:r>
                <w:r>
                  <w:rPr>
                    <w:rFonts w:ascii="Times New Roman" w:hAnsi="Times New Roman" w:cs="Times New Roman"/>
                    <w:lang w:val="is-IS"/>
                  </w:rPr>
                  <w:t>frumvarpsins</w:t>
                </w:r>
                <w:r w:rsidRPr="004B6CC6">
                  <w:rPr>
                    <w:rFonts w:ascii="Times New Roman" w:hAnsi="Times New Roman" w:cs="Times New Roman"/>
                    <w:lang w:val="is-IS"/>
                  </w:rPr>
                  <w:t xml:space="preserve"> hafi áhrif á </w:t>
                </w:r>
                <w:r>
                  <w:rPr>
                    <w:rFonts w:ascii="Times New Roman" w:hAnsi="Times New Roman" w:cs="Times New Roman"/>
                    <w:lang w:val="is-IS"/>
                  </w:rPr>
                  <w:t>möguleika</w:t>
                </w:r>
                <w:r w:rsidRPr="004B6CC6">
                  <w:rPr>
                    <w:rFonts w:ascii="Times New Roman" w:hAnsi="Times New Roman" w:cs="Times New Roman"/>
                    <w:lang w:val="is-IS"/>
                  </w:rPr>
                  <w:t xml:space="preserve"> </w:t>
                </w:r>
                <w:r>
                  <w:rPr>
                    <w:rFonts w:ascii="Times New Roman" w:hAnsi="Times New Roman" w:cs="Times New Roman"/>
                    <w:lang w:val="is-IS"/>
                  </w:rPr>
                  <w:t>fjármálafyrirtækja</w:t>
                </w:r>
                <w:r w:rsidRPr="004B6CC6">
                  <w:rPr>
                    <w:rFonts w:ascii="Times New Roman" w:hAnsi="Times New Roman" w:cs="Times New Roman"/>
                    <w:lang w:val="is-IS"/>
                  </w:rPr>
                  <w:t xml:space="preserve"> </w:t>
                </w:r>
                <w:r>
                  <w:rPr>
                    <w:rFonts w:ascii="Times New Roman" w:hAnsi="Times New Roman" w:cs="Times New Roman"/>
                    <w:lang w:val="is-IS"/>
                  </w:rPr>
                  <w:t>til að mæta samkeppni.</w:t>
                </w:r>
              </w:p>
              <w:p w14:paraId="5621DE05" w14:textId="77777777" w:rsidR="00BE4425" w:rsidRPr="004B6CC6" w:rsidRDefault="009F5B53" w:rsidP="00D26ACD">
                <w:pPr>
                  <w:pStyle w:val="ListParagraph"/>
                  <w:numPr>
                    <w:ilvl w:val="0"/>
                    <w:numId w:val="10"/>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i/>
                    <w:lang w:val="is-IS"/>
                  </w:rPr>
                  <w:t xml:space="preserve">Takmarkanir á frumkvæði fyrirtækja til að stunda samkeppni með virkum hætti vegna </w:t>
                </w:r>
                <w:proofErr w:type="spellStart"/>
                <w:r w:rsidRPr="004B6CC6">
                  <w:rPr>
                    <w:rFonts w:ascii="Times New Roman" w:hAnsi="Times New Roman" w:cs="Times New Roman"/>
                    <w:i/>
                    <w:lang w:val="is-IS"/>
                  </w:rPr>
                  <w:t>reglusetningar</w:t>
                </w:r>
                <w:proofErr w:type="spellEnd"/>
                <w:r w:rsidRPr="004B6CC6">
                  <w:rPr>
                    <w:rFonts w:ascii="Times New Roman" w:hAnsi="Times New Roman" w:cs="Times New Roman"/>
                    <w:i/>
                    <w:lang w:val="is-IS"/>
                  </w:rPr>
                  <w:t xml:space="preserve"> (líklegt ef aðgerðin felur í sér að fyrirtæki verði undanþegin samkeppnislögum eða ef fyrirtæki bera skyldu eða eru hvött til að skipta með sér hvers konar viðskiptalegum upplýsingum)</w:t>
                </w:r>
              </w:p>
              <w:p w14:paraId="38580A4A" w14:textId="64A8447C" w:rsidR="009F5B53" w:rsidRPr="004B6CC6" w:rsidRDefault="0060704C" w:rsidP="0060704C">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að samþykkt </w:t>
                </w:r>
                <w:r>
                  <w:rPr>
                    <w:rFonts w:ascii="Times New Roman" w:hAnsi="Times New Roman" w:cs="Times New Roman"/>
                    <w:lang w:val="is-IS"/>
                  </w:rPr>
                  <w:t>frumvarpsins</w:t>
                </w:r>
                <w:r w:rsidRPr="004B6CC6">
                  <w:rPr>
                    <w:rFonts w:ascii="Times New Roman" w:hAnsi="Times New Roman" w:cs="Times New Roman"/>
                    <w:lang w:val="is-IS"/>
                  </w:rPr>
                  <w:t xml:space="preserve"> </w:t>
                </w:r>
                <w:r>
                  <w:rPr>
                    <w:rFonts w:ascii="Times New Roman" w:hAnsi="Times New Roman" w:cs="Times New Roman"/>
                    <w:lang w:val="is-IS"/>
                  </w:rPr>
                  <w:t>takmarki hvata fyrirtækja til að stunda samkeppni.</w:t>
                </w:r>
              </w:p>
            </w:sdtContent>
          </w:sdt>
        </w:tc>
      </w:tr>
      <w:tr w:rsidR="009F5B53" w:rsidRPr="004B6CC6" w14:paraId="057411A9" w14:textId="77777777" w:rsidTr="007414CB">
        <w:tc>
          <w:tcPr>
            <w:tcW w:w="9288" w:type="dxa"/>
            <w:shd w:val="clear" w:color="auto" w:fill="9CC2E5" w:themeFill="accent5" w:themeFillTint="99"/>
          </w:tcPr>
          <w:p w14:paraId="321C5EF8"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lastRenderedPageBreak/>
              <w:t>Önnur áhrif</w:t>
            </w:r>
          </w:p>
        </w:tc>
      </w:tr>
      <w:tr w:rsidR="009F5B53" w:rsidRPr="004B6CC6" w14:paraId="226A7723"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0D63166"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b/>
                    <w:lang w:val="is-IS"/>
                  </w:rPr>
                  <w:t>Áhrif á fjárhag sveitarfélaga, sbr. 129. gr. sveitarstjórnarlaga, nr. 138/2011</w:t>
                </w:r>
              </w:p>
              <w:p w14:paraId="4431E7F4" w14:textId="42CF2098" w:rsidR="009F5B53" w:rsidRPr="004B6CC6" w:rsidRDefault="00E93310" w:rsidP="00D26ACD">
                <w:pPr>
                  <w:pStyle w:val="ListParagraph"/>
                  <w:spacing w:before="60" w:after="60"/>
                  <w:contextualSpacing w:val="0"/>
                  <w:jc w:val="both"/>
                  <w:rPr>
                    <w:rFonts w:ascii="Times New Roman" w:hAnsi="Times New Roman" w:cs="Times New Roman"/>
                    <w:lang w:val="is-IS"/>
                  </w:rPr>
                </w:pPr>
                <w:r w:rsidRPr="004B6CC6">
                  <w:rPr>
                    <w:rFonts w:ascii="Times New Roman" w:hAnsi="Times New Roman" w:cs="Times New Roman"/>
                    <w:lang w:val="is-IS"/>
                  </w:rPr>
                  <w:t>Ekki er gert ráð fyrir áhrifum á fjárhag sveitarfélaga.</w:t>
                </w:r>
              </w:p>
              <w:p w14:paraId="499C4392"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b/>
                    <w:lang w:val="is-IS"/>
                  </w:rPr>
                  <w:t>Áhrif á frelsi til að veita þjónustu (með eða án staðfestu á Íslandi)</w:t>
                </w:r>
              </w:p>
              <w:p w14:paraId="20ED77F4" w14:textId="3B62A3E5" w:rsidR="002D38CC" w:rsidRDefault="00CE5AAD" w:rsidP="008A4CC5">
                <w:pPr>
                  <w:pStyle w:val="ListParagraph"/>
                  <w:spacing w:before="60" w:after="60" w:line="240" w:lineRule="auto"/>
                  <w:contextualSpacing w:val="0"/>
                  <w:jc w:val="both"/>
                  <w:rPr>
                    <w:rFonts w:ascii="Times New Roman" w:hAnsi="Times New Roman" w:cs="Times New Roman"/>
                    <w:lang w:val="is-IS"/>
                  </w:rPr>
                </w:pPr>
                <w:r w:rsidRPr="00CE5AAD">
                  <w:rPr>
                    <w:rFonts w:ascii="Times New Roman" w:hAnsi="Times New Roman" w:cs="Times New Roman"/>
                    <w:lang w:val="is-IS"/>
                  </w:rPr>
                  <w:t xml:space="preserve">Frumvarpið varðar fjármálaþjónustu sem fellur undir 3. kafla III. hluta samningsins um Evrópska efnahagssvæðið, sbr. einnig IX. viðauka samningsins. </w:t>
                </w:r>
                <w:r w:rsidR="002D38CC">
                  <w:rPr>
                    <w:rFonts w:ascii="Times New Roman" w:hAnsi="Times New Roman" w:cs="Times New Roman"/>
                    <w:lang w:val="is-IS"/>
                  </w:rPr>
                  <w:t xml:space="preserve">Það miðar að </w:t>
                </w:r>
                <w:proofErr w:type="spellStart"/>
                <w:r w:rsidR="002D38CC">
                  <w:rPr>
                    <w:rFonts w:ascii="Times New Roman" w:hAnsi="Times New Roman" w:cs="Times New Roman"/>
                    <w:lang w:val="is-IS"/>
                  </w:rPr>
                  <w:t>samræmingu</w:t>
                </w:r>
                <w:proofErr w:type="spellEnd"/>
                <w:r w:rsidR="002D38CC">
                  <w:rPr>
                    <w:rFonts w:ascii="Times New Roman" w:hAnsi="Times New Roman" w:cs="Times New Roman"/>
                    <w:lang w:val="is-IS"/>
                  </w:rPr>
                  <w:t xml:space="preserve"> við reglur annars staðar á Evrópska efnahagssvæðinu og getur því greitt fyrir starfsemi þvert á landamæri innan Evrópska efnahagssvæðisins.</w:t>
                </w:r>
              </w:p>
              <w:p w14:paraId="46B79D94"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b/>
                    <w:lang w:val="is-IS"/>
                  </w:rPr>
                  <w:t xml:space="preserve">Áhrif á tæknilegar reglur um vöru og </w:t>
                </w:r>
                <w:proofErr w:type="spellStart"/>
                <w:r w:rsidRPr="004B6CC6">
                  <w:rPr>
                    <w:rFonts w:ascii="Times New Roman" w:hAnsi="Times New Roman" w:cs="Times New Roman"/>
                    <w:b/>
                    <w:lang w:val="is-IS"/>
                  </w:rPr>
                  <w:t>fjarþjónustu</w:t>
                </w:r>
                <w:proofErr w:type="spellEnd"/>
                <w:r w:rsidRPr="004B6CC6">
                  <w:rPr>
                    <w:rFonts w:ascii="Times New Roman" w:hAnsi="Times New Roman" w:cs="Times New Roman"/>
                    <w:b/>
                    <w:lang w:val="is-IS"/>
                  </w:rPr>
                  <w:t xml:space="preserve">, sbr. lög nr. 57/2000  </w:t>
                </w:r>
              </w:p>
              <w:p w14:paraId="0D251E8B" w14:textId="6D3CFAE0" w:rsidR="009F5B53" w:rsidRPr="004B6CC6" w:rsidRDefault="002E0A33" w:rsidP="00D26ACD">
                <w:pPr>
                  <w:pStyle w:val="ListParagraph"/>
                  <w:spacing w:before="60" w:after="60"/>
                  <w:contextualSpacing w:val="0"/>
                  <w:jc w:val="both"/>
                  <w:rPr>
                    <w:rFonts w:ascii="Times New Roman" w:hAnsi="Times New Roman" w:cs="Times New Roman"/>
                    <w:lang w:val="is-IS"/>
                  </w:rPr>
                </w:pPr>
                <w:r w:rsidRPr="004B6CC6">
                  <w:rPr>
                    <w:rFonts w:ascii="Times New Roman" w:hAnsi="Times New Roman" w:cs="Times New Roman"/>
                    <w:lang w:val="is-IS"/>
                  </w:rPr>
                  <w:t>Á ekki við.</w:t>
                </w:r>
              </w:p>
              <w:p w14:paraId="641183ED" w14:textId="6A000091"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byggðalög</w:t>
                </w:r>
              </w:p>
              <w:p w14:paraId="1D229890" w14:textId="43D3D361"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Ekki er gert ráð fyrir</w:t>
                </w:r>
                <w:r w:rsidR="002E0A33" w:rsidRPr="004B6CC6">
                  <w:rPr>
                    <w:rFonts w:ascii="Times New Roman" w:hAnsi="Times New Roman" w:cs="Times New Roman"/>
                    <w:lang w:val="is-IS"/>
                  </w:rPr>
                  <w:t xml:space="preserve"> áhrif</w:t>
                </w:r>
                <w:r w:rsidRPr="004B6CC6">
                  <w:rPr>
                    <w:rFonts w:ascii="Times New Roman" w:hAnsi="Times New Roman" w:cs="Times New Roman"/>
                    <w:lang w:val="is-IS"/>
                  </w:rPr>
                  <w:t>um</w:t>
                </w:r>
                <w:r w:rsidR="002E0A33" w:rsidRPr="004B6CC6">
                  <w:rPr>
                    <w:rFonts w:ascii="Times New Roman" w:hAnsi="Times New Roman" w:cs="Times New Roman"/>
                    <w:lang w:val="is-IS"/>
                  </w:rPr>
                  <w:t xml:space="preserve"> á byggðalög.</w:t>
                </w:r>
              </w:p>
              <w:p w14:paraId="0EFEF53D" w14:textId="26DB1D22"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frjáls félagasamtök</w:t>
                </w:r>
              </w:p>
              <w:p w14:paraId="3EF96696" w14:textId="4FA6EB60"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w:t>
                </w:r>
                <w:r w:rsidR="00461E5A" w:rsidRPr="004B6CC6">
                  <w:rPr>
                    <w:rFonts w:ascii="Times New Roman" w:hAnsi="Times New Roman" w:cs="Times New Roman"/>
                    <w:lang w:val="is-IS"/>
                  </w:rPr>
                  <w:t xml:space="preserve"> frjáls</w:t>
                </w:r>
                <w:r w:rsidR="002E0A33" w:rsidRPr="004B6CC6">
                  <w:rPr>
                    <w:rFonts w:ascii="Times New Roman" w:hAnsi="Times New Roman" w:cs="Times New Roman"/>
                    <w:lang w:val="is-IS"/>
                  </w:rPr>
                  <w:t xml:space="preserve"> félagasamtök.</w:t>
                </w:r>
              </w:p>
              <w:p w14:paraId="6612EC57" w14:textId="77777777"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jafnrétti kynjanna</w:t>
                </w:r>
              </w:p>
              <w:p w14:paraId="7F01B4DF" w14:textId="17FFD998" w:rsidR="009F5B53" w:rsidRPr="004B6CC6" w:rsidRDefault="001C4CE4" w:rsidP="00D26ACD">
                <w:pPr>
                  <w:pStyle w:val="ListParagraph"/>
                  <w:spacing w:before="60" w:after="60"/>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 jafnrétti kynjanna.</w:t>
                </w:r>
              </w:p>
              <w:p w14:paraId="7F84C518" w14:textId="15E98ADA"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a lýðheilsu</w:t>
                </w:r>
              </w:p>
              <w:p w14:paraId="3B808218" w14:textId="51A0ADB2"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 lýðheilsu.</w:t>
                </w:r>
              </w:p>
              <w:p w14:paraId="238A341D" w14:textId="3EC8011F"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menntun, nýsköpun og rannsóknir</w:t>
                </w:r>
              </w:p>
              <w:p w14:paraId="19DFCF8D" w14:textId="1C346E1E" w:rsidR="002E0A33"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2E0A33" w:rsidRPr="004B6CC6">
                  <w:rPr>
                    <w:rFonts w:ascii="Times New Roman" w:hAnsi="Times New Roman" w:cs="Times New Roman"/>
                    <w:lang w:val="is-IS"/>
                  </w:rPr>
                  <w:t>á menntun, nýsköpun og rannsóknir.</w:t>
                </w:r>
              </w:p>
              <w:p w14:paraId="07FE02E6" w14:textId="6CEFA95F"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möguleika einstaklinga og fyrirtækja til að eiga samskipti þvert á norræn landamæri</w:t>
                </w:r>
              </w:p>
              <w:p w14:paraId="4141895D" w14:textId="39062529" w:rsidR="002E0A33" w:rsidRPr="004B6CC6" w:rsidRDefault="002D38CC" w:rsidP="00D26ACD">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lang w:val="is-IS"/>
                  </w:rPr>
                  <w:t xml:space="preserve">Frumvarpið miðar að </w:t>
                </w:r>
                <w:proofErr w:type="spellStart"/>
                <w:r>
                  <w:rPr>
                    <w:rFonts w:ascii="Times New Roman" w:hAnsi="Times New Roman" w:cs="Times New Roman"/>
                    <w:lang w:val="is-IS"/>
                  </w:rPr>
                  <w:t>samræmingu</w:t>
                </w:r>
                <w:proofErr w:type="spellEnd"/>
                <w:r>
                  <w:rPr>
                    <w:rFonts w:ascii="Times New Roman" w:hAnsi="Times New Roman" w:cs="Times New Roman"/>
                    <w:lang w:val="is-IS"/>
                  </w:rPr>
                  <w:t xml:space="preserve"> við reglur annars staðar á Evrópska efnahagssvæðinu og getur því greitt fyrir starfsemi þvert á landamæri innan Evrópska efnahagssvæðisins.</w:t>
                </w:r>
              </w:p>
              <w:p w14:paraId="36C1D42C" w14:textId="7A7EC9B3"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stjórnsýslu, s.s. hvort ráðuneyti og stofnanir eru í stakk búin til að taka við verkefni</w:t>
                </w:r>
              </w:p>
              <w:p w14:paraId="6D0CDBD3" w14:textId="312711BF" w:rsidR="002E0A33" w:rsidRPr="004B6CC6" w:rsidRDefault="002E0A33"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Gert er ráð fyrir að</w:t>
                </w:r>
                <w:r w:rsidR="00BB1596" w:rsidRPr="004B6CC6">
                  <w:rPr>
                    <w:rFonts w:ascii="Times New Roman" w:hAnsi="Times New Roman" w:cs="Times New Roman"/>
                    <w:lang w:val="is-IS"/>
                  </w:rPr>
                  <w:t xml:space="preserve"> Fjármálaeftirlitið hafi</w:t>
                </w:r>
                <w:r w:rsidRPr="004B6CC6">
                  <w:rPr>
                    <w:rFonts w:ascii="Times New Roman" w:hAnsi="Times New Roman" w:cs="Times New Roman"/>
                    <w:lang w:val="is-IS"/>
                  </w:rPr>
                  <w:t xml:space="preserve"> eftirlit með </w:t>
                </w:r>
                <w:r w:rsidR="002D38CC">
                  <w:rPr>
                    <w:rFonts w:ascii="Times New Roman" w:hAnsi="Times New Roman" w:cs="Times New Roman"/>
                    <w:lang w:val="is-IS"/>
                  </w:rPr>
                  <w:t>framkvæmd laganna</w:t>
                </w:r>
                <w:r w:rsidRPr="004B6CC6">
                  <w:rPr>
                    <w:rFonts w:ascii="Times New Roman" w:hAnsi="Times New Roman" w:cs="Times New Roman"/>
                    <w:lang w:val="is-IS"/>
                  </w:rPr>
                  <w:t xml:space="preserve">. Eftirlitið fellur vel að </w:t>
                </w:r>
                <w:r w:rsidR="002D38CC">
                  <w:rPr>
                    <w:rFonts w:ascii="Times New Roman" w:hAnsi="Times New Roman" w:cs="Times New Roman"/>
                    <w:lang w:val="is-IS"/>
                  </w:rPr>
                  <w:t>núverandi</w:t>
                </w:r>
                <w:r w:rsidRPr="004B6CC6">
                  <w:rPr>
                    <w:rFonts w:ascii="Times New Roman" w:hAnsi="Times New Roman" w:cs="Times New Roman"/>
                    <w:lang w:val="is-IS"/>
                  </w:rPr>
                  <w:t xml:space="preserve"> eftirlitsverkefnum stofnunarinnar.</w:t>
                </w:r>
              </w:p>
              <w:p w14:paraId="44F572AD" w14:textId="3258754D" w:rsidR="009F5B53"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Áhrif á stöðu tiltekinna þjóðfélagshópa, s.s. aldurshópa, tekjuhópa, mismunandi fjölskyldugerðir, launþega</w:t>
                </w:r>
                <w:r w:rsidRPr="004B6CC6">
                  <w:rPr>
                    <w:rFonts w:ascii="Times New Roman" w:hAnsi="Times New Roman" w:cs="Times New Roman"/>
                    <w:b/>
                    <w:color w:val="FF0000"/>
                    <w:lang w:val="is-IS"/>
                  </w:rPr>
                  <w:t>/</w:t>
                </w:r>
                <w:r w:rsidRPr="004B6CC6">
                  <w:rPr>
                    <w:rFonts w:ascii="Times New Roman" w:hAnsi="Times New Roman" w:cs="Times New Roman"/>
                    <w:b/>
                    <w:lang w:val="is-IS"/>
                  </w:rPr>
                  <w:t>sjálfstætt starfandi</w:t>
                </w:r>
                <w:r w:rsidRPr="004B6CC6">
                  <w:rPr>
                    <w:rFonts w:ascii="Times New Roman" w:hAnsi="Times New Roman" w:cs="Times New Roman"/>
                    <w:b/>
                    <w:color w:val="FF0000"/>
                    <w:lang w:val="is-IS"/>
                  </w:rPr>
                  <w:t>/</w:t>
                </w:r>
                <w:r w:rsidRPr="004B6CC6">
                  <w:rPr>
                    <w:rFonts w:ascii="Times New Roman" w:hAnsi="Times New Roman" w:cs="Times New Roman"/>
                    <w:b/>
                    <w:lang w:val="is-IS"/>
                  </w:rPr>
                  <w:t>utan vinnumarkaðar</w:t>
                </w:r>
              </w:p>
              <w:p w14:paraId="0698C652" w14:textId="6B576ED6" w:rsidR="00AF0674" w:rsidRPr="004B6CC6" w:rsidRDefault="001C4CE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Ekki er gert ráð fyrir áhrifum </w:t>
                </w:r>
                <w:r w:rsidR="00AF0674" w:rsidRPr="004B6CC6">
                  <w:rPr>
                    <w:rFonts w:ascii="Times New Roman" w:hAnsi="Times New Roman" w:cs="Times New Roman"/>
                    <w:lang w:val="is-IS"/>
                  </w:rPr>
                  <w:t>á stöðu tiltekinna þjóðfélagshópa.</w:t>
                </w:r>
              </w:p>
              <w:p w14:paraId="1E9FB72E" w14:textId="77777777" w:rsidR="00AF0674" w:rsidRPr="004B6CC6" w:rsidRDefault="009F5B53" w:rsidP="00D26ACD">
                <w:pPr>
                  <w:pStyle w:val="ListParagraph"/>
                  <w:numPr>
                    <w:ilvl w:val="0"/>
                    <w:numId w:val="6"/>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Áhrif á umhverfi og sjálfbæra þróun </w:t>
                </w:r>
              </w:p>
              <w:p w14:paraId="173D36C2" w14:textId="1443F8AA" w:rsidR="009F5B53" w:rsidRPr="004B6CC6" w:rsidRDefault="001C4CE4" w:rsidP="00D26ACD">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 xml:space="preserve">Ekki er gert ráð fyrir áhrifum </w:t>
                </w:r>
                <w:r w:rsidR="00AF0674" w:rsidRPr="004B6CC6">
                  <w:rPr>
                    <w:rFonts w:ascii="Times New Roman" w:hAnsi="Times New Roman" w:cs="Times New Roman"/>
                    <w:lang w:val="is-IS"/>
                  </w:rPr>
                  <w:t>á umhverfi og sjálfbæra þróun.</w:t>
                </w:r>
              </w:p>
            </w:sdtContent>
          </w:sdt>
        </w:tc>
      </w:tr>
      <w:tr w:rsidR="009F5B53" w:rsidRPr="004B6CC6" w14:paraId="049E0F77" w14:textId="77777777" w:rsidTr="007414CB">
        <w:tc>
          <w:tcPr>
            <w:tcW w:w="9288" w:type="dxa"/>
            <w:shd w:val="clear" w:color="auto" w:fill="9CC2E5" w:themeFill="accent5" w:themeFillTint="99"/>
          </w:tcPr>
          <w:p w14:paraId="69693834" w14:textId="1C663011"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4B6CC6">
              <w:rPr>
                <w:rFonts w:ascii="Times New Roman" w:hAnsi="Times New Roman" w:cs="Times New Roman"/>
                <w:b/>
                <w:lang w:val="is-IS"/>
              </w:rPr>
              <w:t>Niðurstaða mats – með vísun í fylgiskjöl ef við á</w:t>
            </w:r>
          </w:p>
        </w:tc>
      </w:tr>
      <w:tr w:rsidR="009F5B53" w:rsidRPr="004B6CC6" w14:paraId="6BF1329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3EC40346" w14:textId="5236AA40" w:rsidR="009F5B53" w:rsidRPr="004B6CC6"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Samandregin niðurstaða fjárhagsáhrifa fyrir ríkissjóð – heildarútkoma varðandi tekjur, gjöld, afkomu og efnahag  </w:t>
                </w:r>
              </w:p>
              <w:p w14:paraId="162E4BAB" w14:textId="3E7C189A" w:rsidR="00752064" w:rsidRPr="004B6CC6" w:rsidRDefault="0075206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Ekki er gert ráð fyrir áhrifum á fjárhag ríkissjóðs.</w:t>
                </w:r>
              </w:p>
              <w:p w14:paraId="00BE735E" w14:textId="39C89E11" w:rsidR="009F5B53" w:rsidRPr="004B6CC6"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lastRenderedPageBreak/>
                  <w:t xml:space="preserve">Önnur áhrif en bein fjárhagsáhrif, álitamál eða fyrirvarar sem ástæða þykir til að vekja athygli á </w:t>
                </w:r>
              </w:p>
              <w:p w14:paraId="6064CF03" w14:textId="4C5620B9" w:rsidR="00752064" w:rsidRPr="004B6CC6" w:rsidRDefault="00752064" w:rsidP="00D26ACD">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Nei.</w:t>
                </w:r>
              </w:p>
              <w:p w14:paraId="77C41641" w14:textId="77777777" w:rsidR="004D41C3" w:rsidRPr="004B6CC6" w:rsidRDefault="009F5B53" w:rsidP="00D26ACD">
                <w:pPr>
                  <w:pStyle w:val="ListParagraph"/>
                  <w:numPr>
                    <w:ilvl w:val="0"/>
                    <w:numId w:val="5"/>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Samfélagslegur ávinningur veginn á móti kostnaði og fyrirhöfn (ekki gerð krafa um tölulegt mat)</w:t>
                </w:r>
              </w:p>
              <w:p w14:paraId="255C95F2" w14:textId="609927C3" w:rsidR="009F5B53" w:rsidRPr="0015063D" w:rsidRDefault="0015063D" w:rsidP="0015063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Frumvarpið felur í sér </w:t>
                </w:r>
                <w:proofErr w:type="spellStart"/>
                <w:r>
                  <w:rPr>
                    <w:rFonts w:ascii="Times New Roman" w:hAnsi="Times New Roman" w:cs="Times New Roman"/>
                    <w:lang w:val="is-IS"/>
                  </w:rPr>
                  <w:t>samræmingu</w:t>
                </w:r>
                <w:proofErr w:type="spellEnd"/>
                <w:r>
                  <w:rPr>
                    <w:rFonts w:ascii="Times New Roman" w:hAnsi="Times New Roman" w:cs="Times New Roman"/>
                    <w:lang w:val="is-IS"/>
                  </w:rPr>
                  <w:t xml:space="preserve"> við reglur annars staðar á Evrópska efnahagssvæðinu. Samþykkt þess er meðal annars talin greiða fyrir því að </w:t>
                </w:r>
                <w:r w:rsidRPr="0015063D">
                  <w:rPr>
                    <w:rFonts w:ascii="Times New Roman" w:hAnsi="Times New Roman" w:cs="Times New Roman"/>
                    <w:lang w:val="is-IS"/>
                  </w:rPr>
                  <w:t xml:space="preserve">upplýsingaskipti milli Fjármálaeftirlitsins og Evrópsku bankaeftirlitsstofnunarinnar og annarra yfirvalda á Evrópska efnahagssvæðinu geti áfram gengið </w:t>
                </w:r>
                <w:proofErr w:type="spellStart"/>
                <w:r w:rsidRPr="0015063D">
                  <w:rPr>
                    <w:rFonts w:ascii="Times New Roman" w:hAnsi="Times New Roman" w:cs="Times New Roman"/>
                    <w:lang w:val="is-IS"/>
                  </w:rPr>
                  <w:t>snurðulaust</w:t>
                </w:r>
                <w:proofErr w:type="spellEnd"/>
                <w:r w:rsidRPr="0015063D">
                  <w:rPr>
                    <w:rFonts w:ascii="Times New Roman" w:hAnsi="Times New Roman" w:cs="Times New Roman"/>
                    <w:lang w:val="is-IS"/>
                  </w:rPr>
                  <w:t xml:space="preserve"> fyrir sig.</w:t>
                </w:r>
                <w:r w:rsidR="002C305B">
                  <w:rPr>
                    <w:rFonts w:ascii="Times New Roman" w:hAnsi="Times New Roman" w:cs="Times New Roman"/>
                    <w:lang w:val="is-IS"/>
                  </w:rPr>
                  <w:t xml:space="preserve"> Þá léttir samþykkt frumvarpsins skyldum af Byggðastofnun og Lánasjóði sveitarfélaga ohf. sem eru taldar eiga </w:t>
                </w:r>
                <w:r w:rsidR="003B7A55">
                  <w:rPr>
                    <w:rFonts w:ascii="Times New Roman" w:hAnsi="Times New Roman" w:cs="Times New Roman"/>
                    <w:lang w:val="is-IS"/>
                  </w:rPr>
                  <w:t>illa</w:t>
                </w:r>
                <w:r w:rsidR="002C305B">
                  <w:rPr>
                    <w:rFonts w:ascii="Times New Roman" w:hAnsi="Times New Roman" w:cs="Times New Roman"/>
                    <w:lang w:val="is-IS"/>
                  </w:rPr>
                  <w:t xml:space="preserve"> við um þær og stofnanirnar telja mjög íþyngjandi.</w:t>
                </w:r>
              </w:p>
            </w:sdtContent>
          </w:sdt>
        </w:tc>
      </w:tr>
      <w:tr w:rsidR="009F5B53" w:rsidRPr="004B6CC6" w14:paraId="01BC8950" w14:textId="77777777" w:rsidTr="00EB6651">
        <w:tc>
          <w:tcPr>
            <w:tcW w:w="9288" w:type="dxa"/>
            <w:shd w:val="clear" w:color="auto" w:fill="9CC2E5" w:themeFill="accent5" w:themeFillTint="99"/>
          </w:tcPr>
          <w:p w14:paraId="1F2FA43D" w14:textId="77777777" w:rsidR="009F5B53" w:rsidRPr="004B6CC6" w:rsidRDefault="009F5B53" w:rsidP="00D26ACD">
            <w:pPr>
              <w:pStyle w:val="ListParagraph"/>
              <w:numPr>
                <w:ilvl w:val="0"/>
                <w:numId w:val="1"/>
              </w:numPr>
              <w:spacing w:before="60" w:after="60" w:line="240" w:lineRule="auto"/>
              <w:ind w:left="426" w:hanging="284"/>
              <w:jc w:val="both"/>
              <w:rPr>
                <w:rFonts w:ascii="Times New Roman" w:hAnsi="Times New Roman" w:cs="Times New Roman"/>
                <w:b/>
                <w:lang w:val="is-IS"/>
              </w:rPr>
            </w:pPr>
            <w:r w:rsidRPr="004B6CC6">
              <w:rPr>
                <w:rFonts w:ascii="Times New Roman" w:hAnsi="Times New Roman" w:cs="Times New Roman"/>
                <w:b/>
                <w:lang w:val="is-IS"/>
              </w:rPr>
              <w:lastRenderedPageBreak/>
              <w:t>Til útfyllingar vegna endanlegs mats – breytingar frá frummati</w:t>
            </w:r>
          </w:p>
        </w:tc>
      </w:tr>
      <w:tr w:rsidR="009F5B53" w:rsidRPr="004B6CC6" w14:paraId="2C966231" w14:textId="77777777" w:rsidTr="00EB6651">
        <w:tc>
          <w:tcPr>
            <w:tcW w:w="9288" w:type="dxa"/>
          </w:tcPr>
          <w:sdt>
            <w:sdtPr>
              <w:rPr>
                <w:rFonts w:ascii="Times New Roman" w:hAnsi="Times New Roman" w:cs="Times New Roman"/>
                <w:b/>
                <w:lang w:val="is-IS"/>
              </w:rPr>
              <w:id w:val="-1269299813"/>
            </w:sdtPr>
            <w:sdtEndPr/>
            <w:sdtContent>
              <w:p w14:paraId="38EC6AAD" w14:textId="63310840" w:rsidR="009F5B53"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Voru áform um lagasetninguna ásamt frummati á áhrifum kynnt fyrir FJR? </w:t>
                </w:r>
              </w:p>
              <w:p w14:paraId="6B166A52" w14:textId="08A18630" w:rsidR="00CF78CB" w:rsidRPr="00CF78CB" w:rsidRDefault="00CF78CB" w:rsidP="00CF78CB">
                <w:pPr>
                  <w:pStyle w:val="ListParagraph"/>
                  <w:spacing w:before="60" w:after="60" w:line="240" w:lineRule="auto"/>
                  <w:contextualSpacing w:val="0"/>
                  <w:jc w:val="both"/>
                  <w:rPr>
                    <w:rFonts w:ascii="Times New Roman" w:hAnsi="Times New Roman" w:cs="Times New Roman"/>
                    <w:bCs/>
                    <w:lang w:val="is-IS"/>
                  </w:rPr>
                </w:pPr>
                <w:r w:rsidRPr="00CF78CB">
                  <w:rPr>
                    <w:rFonts w:ascii="Times New Roman" w:hAnsi="Times New Roman" w:cs="Times New Roman"/>
                    <w:bCs/>
                    <w:lang w:val="is-IS"/>
                  </w:rPr>
                  <w:t>Fjármála- og efnahagsráðuneytið tók saman áform um lagasetninguna og frummat á áhrifum.</w:t>
                </w:r>
              </w:p>
              <w:p w14:paraId="66A00591" w14:textId="77777777" w:rsidR="00CF78CB"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Eru helstu efnisatriði frumvarpsins óbreytt/lítið breytt frá þeim tíma?</w:t>
                </w:r>
              </w:p>
              <w:p w14:paraId="4D109375" w14:textId="632E3133" w:rsidR="0015063D" w:rsidRDefault="0015063D" w:rsidP="00CF78CB">
                <w:pPr>
                  <w:pStyle w:val="ListParagraph"/>
                  <w:spacing w:before="60" w:after="60" w:line="240" w:lineRule="auto"/>
                  <w:contextualSpacing w:val="0"/>
                  <w:jc w:val="both"/>
                  <w:rPr>
                    <w:rFonts w:ascii="Times New Roman" w:hAnsi="Times New Roman" w:cs="Times New Roman"/>
                    <w:bCs/>
                    <w:lang w:val="is-IS"/>
                  </w:rPr>
                </w:pPr>
                <w:r>
                  <w:rPr>
                    <w:rFonts w:ascii="Times New Roman" w:hAnsi="Times New Roman" w:cs="Times New Roman"/>
                    <w:bCs/>
                    <w:lang w:val="is-IS"/>
                  </w:rPr>
                  <w:t xml:space="preserve">Í </w:t>
                </w:r>
                <w:r w:rsidR="003B727A">
                  <w:rPr>
                    <w:rFonts w:ascii="Times New Roman" w:hAnsi="Times New Roman" w:cs="Times New Roman"/>
                    <w:bCs/>
                    <w:lang w:val="is-IS"/>
                  </w:rPr>
                  <w:t>áformaskjali</w:t>
                </w:r>
                <w:r>
                  <w:rPr>
                    <w:rFonts w:ascii="Times New Roman" w:hAnsi="Times New Roman" w:cs="Times New Roman"/>
                    <w:bCs/>
                    <w:lang w:val="is-IS"/>
                  </w:rPr>
                  <w:t xml:space="preserve"> sem v</w:t>
                </w:r>
                <w:r w:rsidR="003B727A">
                  <w:rPr>
                    <w:rFonts w:ascii="Times New Roman" w:hAnsi="Times New Roman" w:cs="Times New Roman"/>
                    <w:bCs/>
                    <w:lang w:val="is-IS"/>
                  </w:rPr>
                  <w:t>ar</w:t>
                </w:r>
                <w:r>
                  <w:rPr>
                    <w:rFonts w:ascii="Times New Roman" w:hAnsi="Times New Roman" w:cs="Times New Roman"/>
                    <w:bCs/>
                    <w:lang w:val="is-IS"/>
                  </w:rPr>
                  <w:t xml:space="preserve"> birt í samráðsgátt stjórnvalda 2. desember 2020 (mál nr. 260/2020)</w:t>
                </w:r>
                <w:r w:rsidR="003B727A">
                  <w:rPr>
                    <w:rFonts w:ascii="Times New Roman" w:hAnsi="Times New Roman" w:cs="Times New Roman"/>
                    <w:bCs/>
                    <w:lang w:val="is-IS"/>
                  </w:rPr>
                  <w:t xml:space="preserve"> voru kynnt áform um innleiðingu CRD og CRR í heild með síðari breytingum. Unnið er að frumvarpi til að ljúka þeirri vinnu, en með fyrirliggjandi frumvarpsdrögum eru aðeins lagðar til afmarkaðar breytingar til að </w:t>
                </w:r>
                <w:r w:rsidR="003B727A" w:rsidRPr="003B727A">
                  <w:rPr>
                    <w:rFonts w:ascii="Times New Roman" w:hAnsi="Times New Roman" w:cs="Times New Roman"/>
                    <w:bCs/>
                    <w:lang w:val="is-IS"/>
                  </w:rPr>
                  <w:t>gera ráðherra og Seðlabanka Íslands kleift að innleiða</w:t>
                </w:r>
                <w:r w:rsidR="003B727A">
                  <w:rPr>
                    <w:rFonts w:ascii="Times New Roman" w:hAnsi="Times New Roman" w:cs="Times New Roman"/>
                    <w:bCs/>
                    <w:lang w:val="is-IS"/>
                  </w:rPr>
                  <w:t xml:space="preserve"> fáeinar gerðir varðandi CRR sem þykir brýnt að innleiða</w:t>
                </w:r>
                <w:r w:rsidR="008D17F0">
                  <w:rPr>
                    <w:rFonts w:ascii="Times New Roman" w:hAnsi="Times New Roman" w:cs="Times New Roman"/>
                    <w:bCs/>
                    <w:lang w:val="is-IS"/>
                  </w:rPr>
                  <w:t xml:space="preserve"> og undanþiggja Byggðastofnun og Lánasjóð sveitarfélaga ohf. ákvæðum um endurbótaáætlanir</w:t>
                </w:r>
                <w:r w:rsidR="003B727A">
                  <w:rPr>
                    <w:rFonts w:ascii="Times New Roman" w:hAnsi="Times New Roman" w:cs="Times New Roman"/>
                    <w:bCs/>
                    <w:lang w:val="is-IS"/>
                  </w:rPr>
                  <w:t>.</w:t>
                </w:r>
              </w:p>
              <w:p w14:paraId="06308C99" w14:textId="77777777" w:rsidR="00CF78CB" w:rsidRDefault="009F5B53" w:rsidP="00D26ACD">
                <w:pPr>
                  <w:pStyle w:val="ListParagraph"/>
                  <w:numPr>
                    <w:ilvl w:val="0"/>
                    <w:numId w:val="11"/>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 w14:paraId="0857D516" w14:textId="1B76B937" w:rsidR="009F5B53" w:rsidRPr="004B6CC6" w:rsidRDefault="00791205" w:rsidP="00CF78CB">
                <w:pPr>
                  <w:pStyle w:val="ListParagraph"/>
                  <w:spacing w:before="60" w:after="60" w:line="240" w:lineRule="auto"/>
                  <w:contextualSpacing w:val="0"/>
                  <w:jc w:val="both"/>
                  <w:rPr>
                    <w:rFonts w:ascii="Times New Roman" w:hAnsi="Times New Roman" w:cs="Times New Roman"/>
                    <w:b/>
                    <w:lang w:val="is-IS"/>
                  </w:rPr>
                </w:pPr>
                <w:r>
                  <w:rPr>
                    <w:rFonts w:ascii="Times New Roman" w:hAnsi="Times New Roman" w:cs="Times New Roman"/>
                    <w:bCs/>
                    <w:lang w:val="is-IS"/>
                  </w:rPr>
                  <w:t xml:space="preserve">Sjá lið F.2. </w:t>
                </w:r>
                <w:r w:rsidR="00CF78CB">
                  <w:rPr>
                    <w:rFonts w:ascii="Times New Roman" w:hAnsi="Times New Roman" w:cs="Times New Roman"/>
                    <w:bCs/>
                    <w:lang w:val="is-IS"/>
                  </w:rPr>
                  <w:t>Ekki er gert ráð fyrir beinum fjárhagsáhrifum.</w:t>
                </w:r>
              </w:p>
            </w:sdtContent>
          </w:sdt>
        </w:tc>
      </w:tr>
    </w:tbl>
    <w:p w14:paraId="2041CA4B" w14:textId="77777777" w:rsidR="009F5B53" w:rsidRPr="004B6CC6" w:rsidRDefault="009F5B53">
      <w:pPr>
        <w:rPr>
          <w:rFonts w:ascii="Times New Roman" w:hAnsi="Times New Roman"/>
        </w:rPr>
      </w:pPr>
    </w:p>
    <w:p w14:paraId="16FA6695" w14:textId="77777777" w:rsidR="009F5B53" w:rsidRPr="004B6CC6" w:rsidRDefault="009F5B53" w:rsidP="00E568F6">
      <w:pPr>
        <w:rPr>
          <w:rFonts w:ascii="Times New Roman" w:hAnsi="Times New Roman"/>
        </w:rPr>
      </w:pPr>
    </w:p>
    <w:p w14:paraId="1F3E129C" w14:textId="77777777" w:rsidR="009F5B53" w:rsidRPr="004B6CC6" w:rsidRDefault="009F5B53" w:rsidP="00E568F6">
      <w:pPr>
        <w:rPr>
          <w:rFonts w:ascii="Times New Roman" w:hAnsi="Times New Roman"/>
        </w:rPr>
      </w:pPr>
    </w:p>
    <w:bookmarkEnd w:id="0"/>
    <w:p w14:paraId="5546CF7F" w14:textId="25BB23D4" w:rsidR="00D2256D" w:rsidRPr="004B6CC6" w:rsidRDefault="00D2256D"/>
    <w:sectPr w:rsidR="00D2256D" w:rsidRPr="004B6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C193" w14:textId="77777777" w:rsidR="00C66D7B" w:rsidRDefault="00C66D7B" w:rsidP="00C66D7B">
      <w:pPr>
        <w:spacing w:after="0" w:line="240" w:lineRule="auto"/>
      </w:pPr>
      <w:r>
        <w:separator/>
      </w:r>
    </w:p>
  </w:endnote>
  <w:endnote w:type="continuationSeparator" w:id="0">
    <w:p w14:paraId="04127A4D" w14:textId="77777777" w:rsidR="00C66D7B" w:rsidRDefault="00C66D7B" w:rsidP="00C6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DBED1" w14:textId="77777777" w:rsidR="00C66D7B" w:rsidRDefault="00C66D7B" w:rsidP="00C66D7B">
      <w:pPr>
        <w:spacing w:after="0" w:line="240" w:lineRule="auto"/>
      </w:pPr>
      <w:r>
        <w:separator/>
      </w:r>
    </w:p>
  </w:footnote>
  <w:footnote w:type="continuationSeparator" w:id="0">
    <w:p w14:paraId="3987C865" w14:textId="77777777" w:rsidR="00C66D7B" w:rsidRDefault="00C66D7B" w:rsidP="00C6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742059E2"/>
    <w:lvl w:ilvl="0" w:tplc="C18E04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51CC3C2D"/>
    <w:multiLevelType w:val="hybridMultilevel"/>
    <w:tmpl w:val="A73652C8"/>
    <w:lvl w:ilvl="0" w:tplc="50264E0C">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CE5886"/>
    <w:multiLevelType w:val="hybridMultilevel"/>
    <w:tmpl w:val="34DEB93E"/>
    <w:lvl w:ilvl="0" w:tplc="FE083794">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10"/>
  </w:num>
  <w:num w:numId="6">
    <w:abstractNumId w:val="0"/>
  </w:num>
  <w:num w:numId="7">
    <w:abstractNumId w:val="5"/>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3"/>
    <w:rsid w:val="00004E6B"/>
    <w:rsid w:val="00027A31"/>
    <w:rsid w:val="00073C22"/>
    <w:rsid w:val="00081877"/>
    <w:rsid w:val="0008643C"/>
    <w:rsid w:val="00090218"/>
    <w:rsid w:val="00091930"/>
    <w:rsid w:val="000926E1"/>
    <w:rsid w:val="00093472"/>
    <w:rsid w:val="000A35EB"/>
    <w:rsid w:val="000C6704"/>
    <w:rsid w:val="00100340"/>
    <w:rsid w:val="0010613D"/>
    <w:rsid w:val="00115422"/>
    <w:rsid w:val="0011620B"/>
    <w:rsid w:val="0011784B"/>
    <w:rsid w:val="00120051"/>
    <w:rsid w:val="00120578"/>
    <w:rsid w:val="001227E4"/>
    <w:rsid w:val="00123EE2"/>
    <w:rsid w:val="00124BDD"/>
    <w:rsid w:val="00134515"/>
    <w:rsid w:val="0015063D"/>
    <w:rsid w:val="001564D6"/>
    <w:rsid w:val="00176120"/>
    <w:rsid w:val="00177A08"/>
    <w:rsid w:val="0018276B"/>
    <w:rsid w:val="001971C2"/>
    <w:rsid w:val="001A1B55"/>
    <w:rsid w:val="001C4CE4"/>
    <w:rsid w:val="001D62CD"/>
    <w:rsid w:val="001E077A"/>
    <w:rsid w:val="002069B5"/>
    <w:rsid w:val="0021008B"/>
    <w:rsid w:val="0021124D"/>
    <w:rsid w:val="00245CC5"/>
    <w:rsid w:val="0025621E"/>
    <w:rsid w:val="00262A53"/>
    <w:rsid w:val="002651BF"/>
    <w:rsid w:val="002771E6"/>
    <w:rsid w:val="00285991"/>
    <w:rsid w:val="00294793"/>
    <w:rsid w:val="00296E0B"/>
    <w:rsid w:val="002B0DF4"/>
    <w:rsid w:val="002B1792"/>
    <w:rsid w:val="002B4996"/>
    <w:rsid w:val="002C1AB3"/>
    <w:rsid w:val="002C305B"/>
    <w:rsid w:val="002C3E7F"/>
    <w:rsid w:val="002D38CC"/>
    <w:rsid w:val="002E0A33"/>
    <w:rsid w:val="00332B81"/>
    <w:rsid w:val="00354E8E"/>
    <w:rsid w:val="00367B23"/>
    <w:rsid w:val="0037522E"/>
    <w:rsid w:val="003769AB"/>
    <w:rsid w:val="003A6135"/>
    <w:rsid w:val="003B18F7"/>
    <w:rsid w:val="003B727A"/>
    <w:rsid w:val="003B7A55"/>
    <w:rsid w:val="003C36BD"/>
    <w:rsid w:val="003C789E"/>
    <w:rsid w:val="003D0D28"/>
    <w:rsid w:val="003F730E"/>
    <w:rsid w:val="00415B11"/>
    <w:rsid w:val="004251F5"/>
    <w:rsid w:val="00440F1F"/>
    <w:rsid w:val="00461E5A"/>
    <w:rsid w:val="00477B44"/>
    <w:rsid w:val="00497CFB"/>
    <w:rsid w:val="004A53B7"/>
    <w:rsid w:val="004B5B21"/>
    <w:rsid w:val="004B6CC6"/>
    <w:rsid w:val="004C1F80"/>
    <w:rsid w:val="004C26EF"/>
    <w:rsid w:val="004C5C49"/>
    <w:rsid w:val="004D41C3"/>
    <w:rsid w:val="004D53F6"/>
    <w:rsid w:val="004E2146"/>
    <w:rsid w:val="004E3EB7"/>
    <w:rsid w:val="0051319D"/>
    <w:rsid w:val="00514DB3"/>
    <w:rsid w:val="005317E6"/>
    <w:rsid w:val="00543D55"/>
    <w:rsid w:val="00545EB4"/>
    <w:rsid w:val="005732D7"/>
    <w:rsid w:val="00575B8C"/>
    <w:rsid w:val="005A7875"/>
    <w:rsid w:val="005B09FD"/>
    <w:rsid w:val="005C41AB"/>
    <w:rsid w:val="005C48D8"/>
    <w:rsid w:val="005C4F34"/>
    <w:rsid w:val="005D4E38"/>
    <w:rsid w:val="0060115F"/>
    <w:rsid w:val="00603683"/>
    <w:rsid w:val="0060704C"/>
    <w:rsid w:val="00620CA9"/>
    <w:rsid w:val="00620DB6"/>
    <w:rsid w:val="00635162"/>
    <w:rsid w:val="006354FD"/>
    <w:rsid w:val="006478DB"/>
    <w:rsid w:val="006618D3"/>
    <w:rsid w:val="00671B60"/>
    <w:rsid w:val="006731C6"/>
    <w:rsid w:val="006771B4"/>
    <w:rsid w:val="006A5226"/>
    <w:rsid w:val="006C33C1"/>
    <w:rsid w:val="006C708D"/>
    <w:rsid w:val="006E1DDF"/>
    <w:rsid w:val="006F148B"/>
    <w:rsid w:val="007104B1"/>
    <w:rsid w:val="00717A35"/>
    <w:rsid w:val="00720820"/>
    <w:rsid w:val="00747018"/>
    <w:rsid w:val="00752064"/>
    <w:rsid w:val="00766958"/>
    <w:rsid w:val="007806E7"/>
    <w:rsid w:val="007819C3"/>
    <w:rsid w:val="007829EE"/>
    <w:rsid w:val="00786DA4"/>
    <w:rsid w:val="00791205"/>
    <w:rsid w:val="0079246B"/>
    <w:rsid w:val="007978FC"/>
    <w:rsid w:val="00831FCF"/>
    <w:rsid w:val="00834818"/>
    <w:rsid w:val="008365EC"/>
    <w:rsid w:val="00842078"/>
    <w:rsid w:val="00844D02"/>
    <w:rsid w:val="008626C5"/>
    <w:rsid w:val="008633C7"/>
    <w:rsid w:val="00870D42"/>
    <w:rsid w:val="0087457D"/>
    <w:rsid w:val="0088469C"/>
    <w:rsid w:val="00894160"/>
    <w:rsid w:val="008A4CC5"/>
    <w:rsid w:val="008C693E"/>
    <w:rsid w:val="008C6C15"/>
    <w:rsid w:val="008D17F0"/>
    <w:rsid w:val="00913A8C"/>
    <w:rsid w:val="00916617"/>
    <w:rsid w:val="00923151"/>
    <w:rsid w:val="00923E9A"/>
    <w:rsid w:val="009267E1"/>
    <w:rsid w:val="00927055"/>
    <w:rsid w:val="009304DF"/>
    <w:rsid w:val="00930779"/>
    <w:rsid w:val="0093202C"/>
    <w:rsid w:val="00953B35"/>
    <w:rsid w:val="00957645"/>
    <w:rsid w:val="0097416D"/>
    <w:rsid w:val="00991288"/>
    <w:rsid w:val="009931DD"/>
    <w:rsid w:val="009950B2"/>
    <w:rsid w:val="009C10FA"/>
    <w:rsid w:val="009E3982"/>
    <w:rsid w:val="009F5B53"/>
    <w:rsid w:val="00A113C5"/>
    <w:rsid w:val="00A14382"/>
    <w:rsid w:val="00A1490A"/>
    <w:rsid w:val="00A2219E"/>
    <w:rsid w:val="00A348BF"/>
    <w:rsid w:val="00A37971"/>
    <w:rsid w:val="00A40E27"/>
    <w:rsid w:val="00A46FEB"/>
    <w:rsid w:val="00A570EE"/>
    <w:rsid w:val="00A66C14"/>
    <w:rsid w:val="00AB36E6"/>
    <w:rsid w:val="00AB720F"/>
    <w:rsid w:val="00AD3DF0"/>
    <w:rsid w:val="00AE00AA"/>
    <w:rsid w:val="00AF0674"/>
    <w:rsid w:val="00B02078"/>
    <w:rsid w:val="00B11195"/>
    <w:rsid w:val="00B122B3"/>
    <w:rsid w:val="00B252BC"/>
    <w:rsid w:val="00B2613C"/>
    <w:rsid w:val="00B460BA"/>
    <w:rsid w:val="00B625C2"/>
    <w:rsid w:val="00B71386"/>
    <w:rsid w:val="00B85E1A"/>
    <w:rsid w:val="00B8632F"/>
    <w:rsid w:val="00B938C5"/>
    <w:rsid w:val="00BB1596"/>
    <w:rsid w:val="00BB3670"/>
    <w:rsid w:val="00BE2E31"/>
    <w:rsid w:val="00BE4425"/>
    <w:rsid w:val="00C03FDA"/>
    <w:rsid w:val="00C050C5"/>
    <w:rsid w:val="00C050E1"/>
    <w:rsid w:val="00C11A02"/>
    <w:rsid w:val="00C15546"/>
    <w:rsid w:val="00C1685B"/>
    <w:rsid w:val="00C377BC"/>
    <w:rsid w:val="00C41411"/>
    <w:rsid w:val="00C478A3"/>
    <w:rsid w:val="00C523BB"/>
    <w:rsid w:val="00C605A1"/>
    <w:rsid w:val="00C66D7B"/>
    <w:rsid w:val="00C7707A"/>
    <w:rsid w:val="00C84223"/>
    <w:rsid w:val="00C91EE3"/>
    <w:rsid w:val="00CD2423"/>
    <w:rsid w:val="00CD3E4C"/>
    <w:rsid w:val="00CD428B"/>
    <w:rsid w:val="00CD7988"/>
    <w:rsid w:val="00CE3AB8"/>
    <w:rsid w:val="00CE531A"/>
    <w:rsid w:val="00CE5AAD"/>
    <w:rsid w:val="00CF78CB"/>
    <w:rsid w:val="00D02531"/>
    <w:rsid w:val="00D142F4"/>
    <w:rsid w:val="00D15908"/>
    <w:rsid w:val="00D2256D"/>
    <w:rsid w:val="00D26ACD"/>
    <w:rsid w:val="00D337EE"/>
    <w:rsid w:val="00D3634A"/>
    <w:rsid w:val="00D501E3"/>
    <w:rsid w:val="00D5035E"/>
    <w:rsid w:val="00D667C6"/>
    <w:rsid w:val="00D71A0C"/>
    <w:rsid w:val="00DA3290"/>
    <w:rsid w:val="00DA38FA"/>
    <w:rsid w:val="00DB1198"/>
    <w:rsid w:val="00DB44D5"/>
    <w:rsid w:val="00DB5756"/>
    <w:rsid w:val="00DE2FFC"/>
    <w:rsid w:val="00DF1FE8"/>
    <w:rsid w:val="00E11567"/>
    <w:rsid w:val="00E16B89"/>
    <w:rsid w:val="00E2420D"/>
    <w:rsid w:val="00E336EC"/>
    <w:rsid w:val="00E4150D"/>
    <w:rsid w:val="00E42D84"/>
    <w:rsid w:val="00E60AAA"/>
    <w:rsid w:val="00E66CAA"/>
    <w:rsid w:val="00E72A20"/>
    <w:rsid w:val="00E860BA"/>
    <w:rsid w:val="00E93310"/>
    <w:rsid w:val="00E93D4D"/>
    <w:rsid w:val="00EA0BB8"/>
    <w:rsid w:val="00EF01F7"/>
    <w:rsid w:val="00EF1E0D"/>
    <w:rsid w:val="00EF5101"/>
    <w:rsid w:val="00F007B6"/>
    <w:rsid w:val="00F00C35"/>
    <w:rsid w:val="00F1167D"/>
    <w:rsid w:val="00F20D14"/>
    <w:rsid w:val="00F25C8E"/>
    <w:rsid w:val="00F463F9"/>
    <w:rsid w:val="00F46B65"/>
    <w:rsid w:val="00F679DD"/>
    <w:rsid w:val="00F70D1A"/>
    <w:rsid w:val="00F71F72"/>
    <w:rsid w:val="00F7440F"/>
    <w:rsid w:val="00F77E63"/>
    <w:rsid w:val="00FB2375"/>
    <w:rsid w:val="00FB3208"/>
    <w:rsid w:val="00FD448F"/>
    <w:rsid w:val="00FD5C33"/>
    <w:rsid w:val="00FE0F97"/>
    <w:rsid w:val="00FE4E9D"/>
    <w:rsid w:val="00FF440C"/>
    <w:rsid w:val="00FF7412"/>
    <w:rsid w:val="00FF7F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20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B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B53"/>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9F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53"/>
    <w:rPr>
      <w:rFonts w:ascii="Segoe UI" w:hAnsi="Segoe UI" w:cs="Segoe UI"/>
      <w:sz w:val="18"/>
      <w:szCs w:val="18"/>
    </w:rPr>
  </w:style>
  <w:style w:type="character" w:styleId="Hyperlink">
    <w:name w:val="Hyperlink"/>
    <w:basedOn w:val="DefaultParagraphFont"/>
    <w:uiPriority w:val="99"/>
    <w:unhideWhenUsed/>
    <w:rsid w:val="0021008B"/>
    <w:rPr>
      <w:color w:val="0563C1" w:themeColor="hyperlink"/>
      <w:u w:val="single"/>
    </w:rPr>
  </w:style>
  <w:style w:type="character" w:styleId="FollowedHyperlink">
    <w:name w:val="FollowedHyperlink"/>
    <w:basedOn w:val="DefaultParagraphFont"/>
    <w:uiPriority w:val="99"/>
    <w:semiHidden/>
    <w:unhideWhenUsed/>
    <w:rsid w:val="0021008B"/>
    <w:rPr>
      <w:color w:val="954F72" w:themeColor="followedHyperlink"/>
      <w:u w:val="single"/>
    </w:rPr>
  </w:style>
  <w:style w:type="paragraph" w:styleId="Caption">
    <w:name w:val="caption"/>
    <w:basedOn w:val="Normal"/>
    <w:next w:val="Normal"/>
    <w:uiPriority w:val="35"/>
    <w:unhideWhenUsed/>
    <w:qFormat/>
    <w:rsid w:val="00F1167D"/>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B7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20F"/>
    <w:rPr>
      <w:sz w:val="20"/>
      <w:szCs w:val="20"/>
    </w:rPr>
  </w:style>
  <w:style w:type="character" w:styleId="FootnoteReference">
    <w:name w:val="footnote reference"/>
    <w:basedOn w:val="DefaultParagraphFont"/>
    <w:uiPriority w:val="99"/>
    <w:semiHidden/>
    <w:unhideWhenUsed/>
    <w:rsid w:val="00AB720F"/>
    <w:rPr>
      <w:vertAlign w:val="superscript"/>
    </w:rPr>
  </w:style>
  <w:style w:type="character" w:styleId="UnresolvedMention">
    <w:name w:val="Unresolved Mention"/>
    <w:basedOn w:val="DefaultParagraphFont"/>
    <w:uiPriority w:val="99"/>
    <w:semiHidden/>
    <w:unhideWhenUsed/>
    <w:rsid w:val="00123EE2"/>
    <w:rPr>
      <w:color w:val="605E5C"/>
      <w:shd w:val="clear" w:color="auto" w:fill="E1DFDD"/>
    </w:rPr>
  </w:style>
  <w:style w:type="paragraph" w:styleId="Header">
    <w:name w:val="header"/>
    <w:basedOn w:val="Normal"/>
    <w:link w:val="HeaderChar"/>
    <w:uiPriority w:val="99"/>
    <w:unhideWhenUsed/>
    <w:rsid w:val="00C77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7A"/>
  </w:style>
  <w:style w:type="paragraph" w:styleId="Footer">
    <w:name w:val="footer"/>
    <w:basedOn w:val="Normal"/>
    <w:link w:val="FooterChar"/>
    <w:uiPriority w:val="99"/>
    <w:unhideWhenUsed/>
    <w:rsid w:val="00C77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1999099.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CA3A14974F475AAE6CE2610A3E48DF"/>
        <w:category>
          <w:name w:val="General"/>
          <w:gallery w:val="placeholder"/>
        </w:category>
        <w:types>
          <w:type w:val="bbPlcHdr"/>
        </w:types>
        <w:behaviors>
          <w:behavior w:val="content"/>
        </w:behaviors>
        <w:guid w:val="{2343BBE8-C0AF-4287-91C4-59E5279A6449}"/>
      </w:docPartPr>
      <w:docPartBody>
        <w:p w:rsidR="001609BA" w:rsidRDefault="00204B57" w:rsidP="00204B57">
          <w:pPr>
            <w:pStyle w:val="F7CA3A14974F475AAE6CE2610A3E48DF"/>
          </w:pPr>
          <w:r>
            <w:rPr>
              <w:rFonts w:ascii="Times New Roman" w:hAnsi="Times New Roman" w:cs="Times New Roman"/>
            </w:rPr>
            <w:t>Textasvæði</w:t>
          </w:r>
        </w:p>
      </w:docPartBody>
    </w:docPart>
    <w:docPart>
      <w:docPartPr>
        <w:name w:val="89E5D477794045CF85504962D99A32AC"/>
        <w:category>
          <w:name w:val="General"/>
          <w:gallery w:val="placeholder"/>
        </w:category>
        <w:types>
          <w:type w:val="bbPlcHdr"/>
        </w:types>
        <w:behaviors>
          <w:behavior w:val="content"/>
        </w:behaviors>
        <w:guid w:val="{23F0F706-C1C8-4C0D-BB31-2F6E8D4F51A6}"/>
      </w:docPartPr>
      <w:docPartBody>
        <w:p w:rsidR="001609BA" w:rsidRDefault="00204B57" w:rsidP="00204B57">
          <w:pPr>
            <w:pStyle w:val="89E5D477794045CF85504962D99A32A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7"/>
    <w:rsid w:val="001609BA"/>
    <w:rsid w:val="00204B5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A3A14974F475AAE6CE2610A3E48DF">
    <w:name w:val="F7CA3A14974F475AAE6CE2610A3E48DF"/>
    <w:rsid w:val="00204B57"/>
  </w:style>
  <w:style w:type="paragraph" w:customStyle="1" w:styleId="89E5D477794045CF85504962D99A32AC">
    <w:name w:val="89E5D477794045CF85504962D99A32AC"/>
    <w:rsid w:val="00204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2021-03-02T17:13:00Z</dcterms:created>
  <dcterms:modified xsi:type="dcterms:W3CDTF">2021-03-02T17:13:00Z</dcterms:modified>
</cp:coreProperties>
</file>