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:rsidTr="00F51F2D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3508" w:rsidRPr="00E34B42" w:rsidRDefault="00883508" w:rsidP="00CE653B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175D8BC1" wp14:editId="7AC7300B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08" w:rsidRPr="00E34B42" w:rsidRDefault="0012646E" w:rsidP="00CE653B">
            <w:pPr>
              <w:spacing w:before="400" w:after="12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:rsidR="00883508" w:rsidRPr="00E34B42" w:rsidRDefault="00883508" w:rsidP="00CE653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:rsidTr="00F51F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35B40" w:rsidRPr="00E34B42" w:rsidRDefault="00135B40" w:rsidP="00CE653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permStart w:id="213263111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35B40" w:rsidRPr="00E34B42" w:rsidRDefault="00135B40" w:rsidP="00CE653B">
                <w:pPr>
                  <w:spacing w:before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E653B" w:rsidRPr="00CE653B">
                  <w:rPr>
                    <w:rFonts w:ascii="Times New Roman" w:hAnsi="Times New Roman" w:cs="Times New Roman"/>
                    <w:lang w:val="is-IS"/>
                  </w:rPr>
                  <w:t xml:space="preserve">Meðferð ríkisaðstoðarmála, </w:t>
                </w:r>
                <w:r w:rsidR="005F54F9" w:rsidRPr="005F54F9">
                  <w:rPr>
                    <w:rFonts w:ascii="Times New Roman" w:hAnsi="Times New Roman" w:cs="Times New Roman"/>
                    <w:lang w:val="is-IS"/>
                  </w:rPr>
                  <w:t>FJR19011100</w:t>
                </w:r>
              </w:p>
            </w:tc>
          </w:sdtContent>
        </w:sdt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CE653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permStart w:id="1389253862" w:edGrp="everyone" w:colFirst="1" w:colLast="1"/>
            <w:permEnd w:id="213263111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A2154D" w:rsidP="00CE653B">
            <w:pPr>
              <w:spacing w:before="60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1028462360"/>
                <w:placeholder>
                  <w:docPart w:val="09ADF51730784E089BA9ABDBD938A738"/>
                </w:placeholder>
              </w:sdtPr>
              <w:sdtEndPr/>
              <w:sdtContent>
                <w:r w:rsidR="00CE653B">
                  <w:rPr>
                    <w:rFonts w:ascii="Times New Roman" w:hAnsi="Times New Roman" w:cs="Times New Roman"/>
                    <w:lang w:val="is-IS"/>
                  </w:rPr>
                  <w:t xml:space="preserve"> Fjármála- og efnahagsráðuneytið</w:t>
                </w:r>
              </w:sdtContent>
            </w:sdt>
            <w:r w:rsidR="00CE653B">
              <w:rPr>
                <w:rFonts w:ascii="Times New Roman" w:hAnsi="Times New Roman" w:cs="Times New Roman"/>
                <w:lang w:val="is-I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is-IS"/>
                </w:rPr>
                <w:id w:val="1126588465"/>
                <w:placeholder>
                  <w:docPart w:val="271ACF63508E495E9C7FF83BE086F353"/>
                </w:placeholder>
              </w:sdtPr>
              <w:sdtEndPr/>
              <w:sdtContent>
                <w:r w:rsidR="00135B40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tr w:rsidR="00E34B42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:rsidR="00135B40" w:rsidRPr="00E34B42" w:rsidRDefault="00135B40" w:rsidP="00CE653B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05950463" w:edGrp="everyone" w:colFirst="1" w:colLast="1"/>
            <w:permEnd w:id="1389253862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:rsidR="00135B40" w:rsidRPr="00E34B42" w:rsidRDefault="00A2154D" w:rsidP="00CE653B">
            <w:pPr>
              <w:spacing w:before="60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53B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  <w:r w:rsidR="00CE653B">
              <w:rPr>
                <w:rFonts w:ascii="Times New Roman" w:hAnsi="Times New Roman" w:cs="Times New Roman"/>
                <w:lang w:val="is-IS"/>
              </w:rPr>
              <w:t>, að hluta</w:t>
            </w:r>
          </w:p>
          <w:p w:rsidR="00135B40" w:rsidRPr="00E34B42" w:rsidRDefault="00A2154D" w:rsidP="00CE653B">
            <w:pPr>
              <w:spacing w:before="60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:rsidTr="0021293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40" w:rsidRPr="00E34B42" w:rsidRDefault="00135B40" w:rsidP="00CE653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permStart w:id="268840626" w:edGrp="everyone" w:colFirst="1" w:colLast="1"/>
            <w:permEnd w:id="2005950463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5B40" w:rsidRPr="00E34B42" w:rsidRDefault="002E79CE" w:rsidP="00CE653B">
                <w:pPr>
                  <w:spacing w:before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17. janúar 2019</w:t>
                </w:r>
              </w:p>
            </w:tc>
          </w:sdtContent>
        </w:sdt>
      </w:tr>
      <w:permEnd w:id="268840626"/>
    </w:tbl>
    <w:p w:rsidR="007414CB" w:rsidRPr="00E34B42" w:rsidRDefault="007414CB" w:rsidP="00CE653B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-Gitter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F93B5C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E9105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93870677" w:edGrp="everyone" w:displacedByCustomXml="prev"/>
              <w:p w:rsidR="00FD2097" w:rsidRDefault="00133146" w:rsidP="00CE653B">
                <w:pPr>
                  <w:pStyle w:val="Listeafsnit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:rsidR="00CE653B" w:rsidRDefault="00CE653B" w:rsidP="00CE653B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Í júlí 2013 tók gildi innan Evrópusambandsins reglugerð ráðsins (ESB) nr. 734/2013 um breytingar á reglugerð ráðsins (EB) nr. 659/1999 um ítarlegar reglur um beitingu 93. gr. ESB-sáttmálans, sem fjallar um málsmeðferð á sviði ríkisaðstoðar. Reglugerðirnar voru sameinaðar </w:t>
                </w:r>
                <w:r w:rsidR="002A6E9C">
                  <w:rPr>
                    <w:rFonts w:ascii="Times New Roman" w:hAnsi="Times New Roman" w:cs="Times New Roman"/>
                    <w:lang w:val="is-IS"/>
                  </w:rPr>
                  <w:t>með „kerfisbindingu“</w:t>
                </w:r>
                <w:r w:rsidR="00924A00">
                  <w:rPr>
                    <w:rFonts w:ascii="Times New Roman" w:hAnsi="Times New Roman" w:cs="Times New Roman"/>
                    <w:lang w:val="is-IS"/>
                  </w:rPr>
                  <w:t xml:space="preserve"> (e. </w:t>
                </w:r>
                <w:proofErr w:type="spellStart"/>
                <w:r w:rsidR="00924A00" w:rsidRPr="00924A00">
                  <w:rPr>
                    <w:rFonts w:ascii="Times New Roman" w:hAnsi="Times New Roman" w:cs="Times New Roman"/>
                    <w:lang w:val="is-IS"/>
                  </w:rPr>
                  <w:t>codification</w:t>
                </w:r>
                <w:proofErr w:type="spellEnd"/>
                <w:r w:rsidR="00924A00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="00D75930">
                  <w:rPr>
                    <w:rStyle w:val="Fodnotehenvisning"/>
                    <w:rFonts w:ascii="Times New Roman" w:hAnsi="Times New Roman" w:cs="Times New Roman"/>
                    <w:lang w:val="is-IS"/>
                  </w:rPr>
                  <w:footnoteReference w:id="1"/>
                </w:r>
                <w:r w:rsidR="002A6E9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bookmarkStart w:id="0" w:name="_Hlk531594688"/>
                <w:r>
                  <w:rPr>
                    <w:rFonts w:ascii="Times New Roman" w:hAnsi="Times New Roman" w:cs="Times New Roman"/>
                    <w:lang w:val="is-IS"/>
                  </w:rPr>
                  <w:t xml:space="preserve">reglugerð </w:t>
                </w:r>
                <w:r w:rsidR="000A6F9C">
                  <w:rPr>
                    <w:rFonts w:ascii="Times New Roman" w:hAnsi="Times New Roman" w:cs="Times New Roman"/>
                    <w:lang w:val="is-IS"/>
                  </w:rPr>
                  <w:t xml:space="preserve">(ESB)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2015/1589</w:t>
                </w:r>
                <w:bookmarkEnd w:id="0"/>
                <w:r>
                  <w:rPr>
                    <w:rFonts w:ascii="Times New Roman" w:hAnsi="Times New Roman" w:cs="Times New Roman"/>
                    <w:lang w:val="is-IS"/>
                  </w:rPr>
                  <w:t xml:space="preserve"> frá 13. júlí 2015 um ítarlegar reglur um beitingu 108. gr. sáttmálans um starfhætti Evrópusambandsins</w:t>
                </w:r>
                <w:r>
                  <w:rPr>
                    <w:rFonts w:ascii="Times New Roman" w:hAnsi="Times New Roman" w:cs="Times New Roman"/>
                    <w:i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F553D3">
                  <w:rPr>
                    <w:rFonts w:ascii="Times New Roman" w:hAnsi="Times New Roman" w:cs="Times New Roman"/>
                    <w:u w:val="single"/>
                    <w:lang w:val="is-IS"/>
                  </w:rPr>
                  <w:t>Fyrirhuguð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upptaka gerðarinnar</w:t>
                </w:r>
                <w:r w:rsidR="002A6E9C">
                  <w:rPr>
                    <w:rFonts w:ascii="Times New Roman" w:hAnsi="Times New Roman" w:cs="Times New Roman"/>
                    <w:lang w:val="is-IS"/>
                  </w:rPr>
                  <w:t xml:space="preserve">, sem gengur undir nafninu </w:t>
                </w:r>
                <w:r w:rsidR="002A6E9C">
                  <w:rPr>
                    <w:rFonts w:ascii="Times New Roman" w:hAnsi="Times New Roman" w:cs="Times New Roman"/>
                    <w:i/>
                    <w:lang w:val="is-IS"/>
                  </w:rPr>
                  <w:t>málsmeðferðarreglugerðin,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í EES-samninginn ber með sér breytingar á bókun 3 við </w:t>
                </w:r>
                <w:r w:rsidRPr="00EB0867">
                  <w:rPr>
                    <w:rFonts w:ascii="Times New Roman" w:eastAsia="Calibri" w:hAnsi="Times New Roman" w:cs="Times New Roman"/>
                    <w:lang w:val="is-IS"/>
                  </w:rPr>
                  <w:t>samning EFTA-ríkjanna um stofnun eftirlitsstofnunar og dómstóls (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SED)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, </w:t>
                </w:r>
                <w:r w:rsidR="00F553D3">
                  <w:rPr>
                    <w:rFonts w:ascii="Times New Roman" w:hAnsi="Times New Roman" w:cs="Times New Roman"/>
                    <w:lang w:val="is-IS"/>
                  </w:rPr>
                  <w:t>aðallega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á heimildum Eftirlits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>
                  <w:rPr>
                    <w:rFonts w:ascii="Times New Roman" w:hAnsi="Times New Roman" w:cs="Times New Roman"/>
                    <w:lang w:val="is-IS"/>
                  </w:rPr>
                  <w:t>stofnunar EFTA (ESA) varðandi upplýsingaöflun og samstarf við innlenda dómstóla.</w:t>
                </w:r>
              </w:p>
              <w:p w:rsidR="00CE653B" w:rsidRDefault="00CE653B" w:rsidP="00CE653B">
                <w:pPr>
                  <w:spacing w:before="60" w:after="60"/>
                  <w:jc w:val="both"/>
                  <w:rPr>
                    <w:rFonts w:ascii="Times New Roman" w:eastAsia="Calibri" w:hAnsi="Times New Roman" w:cs="Times New Roman"/>
                    <w:lang w:val="is-IS"/>
                  </w:rPr>
                </w:pP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   Vegna umfangs þeirra ákvæða sem nauðsynlegt er að festa í lög vegna upptöku málsmeðferðar</w:t>
                </w:r>
                <w:r w:rsidR="0067599D">
                  <w:rPr>
                    <w:rFonts w:ascii="Times New Roman" w:eastAsia="Calibri" w:hAnsi="Times New Roman" w:cs="Times New Roman"/>
                    <w:lang w:val="is-IS"/>
                  </w:rPr>
                  <w:softHyphen/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reglu</w:t>
                </w:r>
                <w:r w:rsidR="00F11058">
                  <w:rPr>
                    <w:rFonts w:ascii="Times New Roman" w:eastAsia="Calibri" w:hAnsi="Times New Roman" w:cs="Times New Roman"/>
                    <w:lang w:val="is-IS"/>
                  </w:rPr>
                  <w:softHyphen/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gerðarinnar í EES-samninginn og til að 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>auka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skýrleika er ætlunin að ákvæði um meðferð ríkisaðstoðar</w:t>
                </w:r>
                <w:r w:rsidR="00F11058">
                  <w:rPr>
                    <w:rFonts w:ascii="Times New Roman" w:eastAsia="Calibri" w:hAnsi="Times New Roman" w:cs="Times New Roman"/>
                    <w:lang w:val="is-IS"/>
                  </w:rPr>
                  <w:softHyphen/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mála verði sett í heildstæðan lagabálk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>, fremur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en að ætla málaflokknum áfram stað í samkeppnislögum. Með því er farið að fordæmi annarra EES-ríkja. </w:t>
                </w:r>
              </w:p>
              <w:p w:rsidR="001C0534" w:rsidRPr="002A6E9C" w:rsidRDefault="001C0534" w:rsidP="00CE653B">
                <w:pPr>
                  <w:spacing w:before="60" w:after="60"/>
                  <w:jc w:val="both"/>
                  <w:rPr>
                    <w:rFonts w:ascii="Times New Roman" w:eastAsia="Calibri" w:hAnsi="Times New Roman" w:cs="Times New Roman"/>
                    <w:lang w:val="is-IS"/>
                  </w:rPr>
                </w:pP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   Áformin varða </w:t>
                </w:r>
                <w:r w:rsidRPr="00F1178E">
                  <w:rPr>
                    <w:rFonts w:ascii="Times New Roman" w:eastAsia="Calibri" w:hAnsi="Times New Roman" w:cs="Times New Roman"/>
                    <w:b/>
                    <w:lang w:val="is-IS"/>
                  </w:rPr>
                  <w:t>ekki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heimildir til þess að veita ríkisaðstoð. Slíkar heimildir leiða af ákvæðum EES-samningsins og eru nánar útfærðar í afleiddum gerðum í EES-rétti.</w:t>
                </w:r>
                <w:r>
                  <w:rPr>
                    <w:rStyle w:val="Fodnotehenvisning"/>
                    <w:rFonts w:ascii="Times New Roman" w:eastAsia="Calibri" w:hAnsi="Times New Roman" w:cs="Times New Roman"/>
                    <w:lang w:val="is-IS"/>
                  </w:rPr>
                  <w:footnoteReference w:id="2"/>
                </w:r>
              </w:p>
              <w:p w:rsidR="00FD2097" w:rsidRDefault="00D148DB" w:rsidP="00CE653B">
                <w:pPr>
                  <w:pStyle w:val="Listeafsnit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:rsidR="00CE653B" w:rsidRPr="00CE653B" w:rsidRDefault="00F1178E" w:rsidP="00CE653B">
                <w:pPr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eastAsia="Calibri" w:hAnsi="Times New Roman" w:cs="Times New Roman"/>
                    <w:lang w:val="is-IS"/>
                  </w:rPr>
                  <w:t>Að f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 xml:space="preserve">esta í lög 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>nýmæl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>i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 xml:space="preserve"> sem leiða af málsmeðferðarreglugerðinni </w:t>
                </w:r>
                <w:r w:rsidR="002B2EBC">
                  <w:rPr>
                    <w:rFonts w:ascii="Times New Roman" w:eastAsia="Calibri" w:hAnsi="Times New Roman" w:cs="Times New Roman"/>
                    <w:lang w:val="is-IS"/>
                  </w:rPr>
                  <w:t xml:space="preserve">(sem endurspegluð verða í breytingum á SED) 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 xml:space="preserve">og 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 xml:space="preserve">sameina við 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>ákvæð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>i um ríkisaðstoð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 xml:space="preserve"> sem í dag er að finna í samkeppnislögum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>. Að auki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 xml:space="preserve"> er ástæða til að lögfesta meginreglur á réttarsviðinu og ákvæði sem endurspegla núverandi 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>meðferð ríkisaðstoðar</w:t>
                </w:r>
                <w:r w:rsidR="002B2EBC">
                  <w:rPr>
                    <w:rFonts w:ascii="Times New Roman" w:eastAsia="Calibri" w:hAnsi="Times New Roman" w:cs="Times New Roman"/>
                    <w:lang w:val="is-IS"/>
                  </w:rPr>
                  <w:softHyphen/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>mála</w:t>
                </w:r>
                <w:r w:rsidR="002B2EBC">
                  <w:rPr>
                    <w:rFonts w:ascii="Times New Roman" w:eastAsia="Calibri" w:hAnsi="Times New Roman" w:cs="Times New Roman"/>
                    <w:lang w:val="is-IS"/>
                  </w:rPr>
                  <w:t>,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 xml:space="preserve"> 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>svo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 xml:space="preserve"> hlutverk stjórnvalda við meðferð ríkisaðstoðarmála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 xml:space="preserve"> sé skýrt og </w:t>
                </w:r>
                <w:r w:rsidR="00F11058">
                  <w:rPr>
                    <w:rFonts w:ascii="Times New Roman" w:eastAsia="Calibri" w:hAnsi="Times New Roman" w:cs="Times New Roman"/>
                    <w:lang w:val="is-IS"/>
                  </w:rPr>
                  <w:t xml:space="preserve">reglur 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>aðgengileg</w:t>
                </w:r>
                <w:r w:rsidR="00F11058">
                  <w:rPr>
                    <w:rFonts w:ascii="Times New Roman" w:eastAsia="Calibri" w:hAnsi="Times New Roman" w:cs="Times New Roman"/>
                    <w:lang w:val="is-IS"/>
                  </w:rPr>
                  <w:t>ar</w:t>
                </w:r>
                <w:r w:rsidR="002A6E9C">
                  <w:rPr>
                    <w:rFonts w:ascii="Times New Roman" w:eastAsia="Calibri" w:hAnsi="Times New Roman" w:cs="Times New Roman"/>
                    <w:lang w:val="is-IS"/>
                  </w:rPr>
                  <w:t>.</w:t>
                </w:r>
              </w:p>
              <w:p w:rsidR="00CE653B" w:rsidRDefault="007822E4" w:rsidP="00CE653B">
                <w:pPr>
                  <w:pStyle w:val="Listeafsnit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CA3381" w:rsidRPr="00CE653B" w:rsidRDefault="00CE653B" w:rsidP="00CE653B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Málsmeðferðarreglugerðin kallar á heimildir sem ekki er að finna í núgildandi lögum. Þá </w:t>
                </w:r>
                <w:r w:rsidR="00163631">
                  <w:rPr>
                    <w:rFonts w:ascii="Times New Roman" w:eastAsia="Calibri" w:hAnsi="Times New Roman" w:cs="Times New Roman"/>
                    <w:lang w:val="is-IS"/>
                  </w:rPr>
                  <w:t>skorti</w:t>
                </w:r>
                <w:r w:rsidR="00B648B0">
                  <w:rPr>
                    <w:rFonts w:ascii="Times New Roman" w:eastAsia="Calibri" w:hAnsi="Times New Roman" w:cs="Times New Roman"/>
                    <w:lang w:val="is-IS"/>
                  </w:rPr>
                  <w:t>r í gildandi lögum ákvæði sem endurspegla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meginreglur </w:t>
                </w:r>
                <w:r w:rsidR="00B648B0">
                  <w:rPr>
                    <w:rFonts w:ascii="Times New Roman" w:eastAsia="Calibri" w:hAnsi="Times New Roman" w:cs="Times New Roman"/>
                    <w:lang w:val="is-IS"/>
                  </w:rPr>
                  <w:t>á réttarsviðinu</w:t>
                </w:r>
                <w:r w:rsidR="00F1178E">
                  <w:rPr>
                    <w:rFonts w:ascii="Times New Roman" w:eastAsia="Calibri" w:hAnsi="Times New Roman" w:cs="Times New Roman"/>
                    <w:lang w:val="is-IS"/>
                  </w:rPr>
                  <w:t>. Af þeim sökum er</w:t>
                </w:r>
                <w:r w:rsidR="00B648B0">
                  <w:rPr>
                    <w:rFonts w:ascii="Times New Roman" w:eastAsia="Calibri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reglufest</w:t>
                </w:r>
                <w:r w:rsidR="00B648B0">
                  <w:rPr>
                    <w:rFonts w:ascii="Times New Roman" w:eastAsia="Calibri" w:hAnsi="Times New Roman" w:cs="Times New Roman"/>
                    <w:lang w:val="is-IS"/>
                  </w:rPr>
                  <w:t>a</w:t>
                </w:r>
                <w:r w:rsidR="00F11058">
                  <w:rPr>
                    <w:rFonts w:ascii="Times New Roman" w:eastAsia="Calibri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skýrleik</w:t>
                </w:r>
                <w:r w:rsidR="00B648B0">
                  <w:rPr>
                    <w:rFonts w:ascii="Times New Roman" w:eastAsia="Calibri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</w:t>
                </w:r>
                <w:r w:rsidR="00F11058">
                  <w:rPr>
                    <w:rFonts w:ascii="Times New Roman" w:eastAsia="Calibri" w:hAnsi="Times New Roman" w:cs="Times New Roman"/>
                    <w:lang w:val="is-IS"/>
                  </w:rPr>
                  <w:t xml:space="preserve">og gagnsæi í </w:t>
                </w:r>
                <w:r w:rsidR="00F1178E">
                  <w:rPr>
                    <w:rFonts w:ascii="Times New Roman" w:eastAsia="Calibri" w:hAnsi="Times New Roman" w:cs="Times New Roman"/>
                    <w:lang w:val="is-IS"/>
                  </w:rPr>
                  <w:t>meðferð</w:t>
                </w:r>
                <w:r w:rsidR="00F11058">
                  <w:rPr>
                    <w:rFonts w:ascii="Times New Roman" w:eastAsia="Calibri" w:hAnsi="Times New Roman" w:cs="Times New Roman"/>
                    <w:lang w:val="is-IS"/>
                  </w:rPr>
                  <w:t xml:space="preserve"> mála </w:t>
                </w:r>
                <w:r w:rsidR="00B648B0">
                  <w:rPr>
                    <w:rFonts w:ascii="Times New Roman" w:eastAsia="Calibri" w:hAnsi="Times New Roman" w:cs="Times New Roman"/>
                    <w:lang w:val="is-IS"/>
                  </w:rPr>
                  <w:t>er ekki eins og best yrði á kosið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.</w:t>
                </w:r>
                <w:r w:rsidR="00C5037E" w:rsidRPr="00CE653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893870677" w:displacedByCustomXml="prev"/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263F72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E91052" w:rsidTr="005E6791">
        <w:trPr>
          <w:trHeight w:val="747"/>
        </w:trPr>
        <w:tc>
          <w:tcPr>
            <w:tcW w:w="9288" w:type="dxa"/>
          </w:tcPr>
          <w:permStart w:id="59660384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6C6EA3" w:rsidRDefault="00645781" w:rsidP="00CE653B">
                <w:pPr>
                  <w:pStyle w:val="Listeafsnit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:rsidR="00CE653B" w:rsidRPr="00CE653B" w:rsidRDefault="00CE653B" w:rsidP="00CE653B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77E82">
                  <w:rPr>
                    <w:rFonts w:ascii="Times New Roman" w:hAnsi="Times New Roman" w:cs="Times New Roman"/>
                    <w:lang w:val="is-IS"/>
                  </w:rPr>
                  <w:t xml:space="preserve">Stefna og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markmið á málefnasviðinu og í viðeigandi málaflokki lúta að því að </w:t>
                </w:r>
                <w:r w:rsidRPr="00C555A8">
                  <w:rPr>
                    <w:rFonts w:ascii="Times New Roman" w:hAnsi="Times New Roman" w:cs="Times New Roman"/>
                    <w:lang w:val="is-IS"/>
                  </w:rPr>
                  <w:t>starfsumhverfi atvinnu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 w:rsidRPr="00C555A8">
                  <w:rPr>
                    <w:rFonts w:ascii="Times New Roman" w:hAnsi="Times New Roman" w:cs="Times New Roman"/>
                    <w:lang w:val="is-IS"/>
                  </w:rPr>
                  <w:t xml:space="preserve">veganna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skuli vera </w:t>
                </w:r>
                <w:r w:rsidRPr="00C555A8">
                  <w:rPr>
                    <w:rFonts w:ascii="Times New Roman" w:hAnsi="Times New Roman" w:cs="Times New Roman"/>
                    <w:lang w:val="is-IS"/>
                  </w:rPr>
                  <w:t>einfalt og skýrt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 Jafnframt að stuðlað sé að </w:t>
                </w:r>
                <w:r w:rsidRPr="00D77E82">
                  <w:rPr>
                    <w:rFonts w:ascii="Times New Roman" w:hAnsi="Times New Roman" w:cs="Times New Roman"/>
                    <w:lang w:val="is-IS"/>
                  </w:rPr>
                  <w:t>virkri samkeppni í viðskiptum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skil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>
                  <w:rPr>
                    <w:rFonts w:ascii="Times New Roman" w:hAnsi="Times New Roman" w:cs="Times New Roman"/>
                    <w:lang w:val="is-IS"/>
                  </w:rPr>
                  <w:t>virku regluverki og gætt að almannahagsmunum.</w:t>
                </w:r>
              </w:p>
              <w:p w:rsidR="00CE653B" w:rsidRDefault="00187E36" w:rsidP="00CE653B">
                <w:pPr>
                  <w:pStyle w:val="Listeafsnit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:rsidR="00CA3381" w:rsidRPr="00CE653B" w:rsidRDefault="00CE653B" w:rsidP="00CE653B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>Að reglur um málsmeðferð ríkisaðstoðar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t>mála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verði aðgengilegri og 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t xml:space="preserve">heimildir ESA sem til stendur að taka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upp í EES-samninginn fá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lagastoð. Jafnframt felur innleiðing á 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t>sameiginlegum EES-reglum á þessu sviði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í sér að íslensk fyrirtæki sitja við sama borð að því er eftirlit með ríkisaðstoð varðar og önnur fyrirtæki á EES. 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t>Áformuð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lagasetning fellur að markmiði reglna um ríkisaðstoð, sem er að stuðla að samkeppni og tryggja skilvirkt eftirlit. Fyrirhugað frumvarp er 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t xml:space="preserve">jafnframt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til þess fallið að gera málsmeðferð skýrari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t xml:space="preserve"> og aðgengilegri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regluverk 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t>aðgengilegra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, gagnvart fyrirtækjum og veitendum ríkisaðstoðar</w:t>
                </w:r>
                <w:r w:rsidR="00F11058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permEnd w:id="596603848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263F72" w:rsidRPr="00E34B42" w:rsidRDefault="00E832C9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Leiðir</w:t>
            </w:r>
          </w:p>
        </w:tc>
      </w:tr>
      <w:tr w:rsidR="00E34B42" w:rsidRPr="00E91052" w:rsidTr="00FD2097">
        <w:trPr>
          <w:trHeight w:val="826"/>
        </w:trPr>
        <w:tc>
          <w:tcPr>
            <w:tcW w:w="9288" w:type="dxa"/>
          </w:tcPr>
          <w:permStart w:id="1973698163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FD2097" w:rsidRDefault="004978E5" w:rsidP="00CE653B">
                <w:pPr>
                  <w:pStyle w:val="Listeafsnit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271AEB" w:rsidRPr="00271AEB" w:rsidRDefault="00271AEB" w:rsidP="00271AEB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Að því er varðar innleiðingu </w:t>
                </w:r>
                <w:r w:rsidR="00F1178E">
                  <w:rPr>
                    <w:rFonts w:ascii="Times New Roman" w:hAnsi="Times New Roman" w:cs="Times New Roman"/>
                    <w:lang w:val="is-IS"/>
                  </w:rPr>
                  <w:t xml:space="preserve">nýrra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eftirlitsheimilda fæli það í sér brot gegn skuldbindingum Íslands samkvæmt 7. gr. EES-samningsins, sbr. lög nr. 2/1993. Að því er varðar ólögfestar meginreglur </w:t>
                </w:r>
                <w:r w:rsidR="00487327">
                  <w:rPr>
                    <w:rFonts w:ascii="Times New Roman" w:hAnsi="Times New Roman" w:cs="Times New Roman"/>
                    <w:lang w:val="is-IS"/>
                  </w:rPr>
                  <w:t xml:space="preserve">sem varða meðferð mála </w:t>
                </w:r>
                <w:r w:rsidR="00F1178E">
                  <w:rPr>
                    <w:rFonts w:ascii="Times New Roman" w:hAnsi="Times New Roman" w:cs="Times New Roman"/>
                    <w:lang w:val="is-IS"/>
                  </w:rPr>
                  <w:t xml:space="preserve">gæti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það falið í sér brot gegn sömu skuldbindingum, með vísan til 3. gr. EES-samningsins sem kveður á um að Ísland skuli </w:t>
                </w:r>
                <w:r w:rsidRPr="00752D19">
                  <w:rPr>
                    <w:rFonts w:ascii="Times New Roman" w:hAnsi="Times New Roman" w:cs="Times New Roman"/>
                    <w:lang w:val="is-IS"/>
                  </w:rPr>
                  <w:t xml:space="preserve">gera allar viðeigandi almennar eða sérstakar ráðstafanir til að tryggja að staðið verði við þær skuldbindingar sem af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samningnum</w:t>
                </w:r>
                <w:r w:rsidRPr="00752D19">
                  <w:rPr>
                    <w:rFonts w:ascii="Times New Roman" w:hAnsi="Times New Roman" w:cs="Times New Roman"/>
                    <w:lang w:val="is-IS"/>
                  </w:rPr>
                  <w:t xml:space="preserve"> leiðir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48732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FD2097" w:rsidRDefault="004978E5" w:rsidP="00CE653B">
                <w:pPr>
                  <w:pStyle w:val="Listeafsnit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:rsidR="00271AEB" w:rsidRPr="00271AEB" w:rsidRDefault="00271AEB" w:rsidP="00271AEB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Að því marki sem málsmeðferðarreglugerðin felur í sér </w:t>
                </w:r>
                <w:r w:rsidR="00A559ED">
                  <w:rPr>
                    <w:rFonts w:ascii="Times New Roman" w:hAnsi="Times New Roman" w:cs="Times New Roman"/>
                    <w:lang w:val="is-IS"/>
                  </w:rPr>
                  <w:t xml:space="preserve">heimildir ESA til </w:t>
                </w:r>
                <w:r w:rsidR="00E91052">
                  <w:rPr>
                    <w:rFonts w:ascii="Times New Roman" w:hAnsi="Times New Roman" w:cs="Times New Roman"/>
                    <w:lang w:val="is-IS"/>
                  </w:rPr>
                  <w:t xml:space="preserve">að afla upplýsinga frá fyrirtækjum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verður ekki hjá lagasetningu</w:t>
                </w:r>
                <w:r w:rsidR="00A559ED">
                  <w:rPr>
                    <w:rFonts w:ascii="Times New Roman" w:hAnsi="Times New Roman" w:cs="Times New Roman"/>
                    <w:lang w:val="is-IS"/>
                  </w:rPr>
                  <w:t xml:space="preserve"> komist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A559ED">
                  <w:rPr>
                    <w:rFonts w:ascii="Times New Roman" w:eastAsia="Calibri" w:hAnsi="Times New Roman" w:cs="Times New Roman"/>
                    <w:lang w:val="is-IS"/>
                  </w:rPr>
                  <w:t>L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agagrundvöll</w:t>
                </w:r>
                <w:r w:rsidR="00A559ED">
                  <w:rPr>
                    <w:rFonts w:ascii="Times New Roman" w:eastAsia="Calibri" w:hAnsi="Times New Roman" w:cs="Times New Roman"/>
                    <w:lang w:val="is-IS"/>
                  </w:rPr>
                  <w:t>ur er forsenda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fyrir </w:t>
                </w:r>
                <w:r w:rsidR="00E91052">
                  <w:rPr>
                    <w:rFonts w:ascii="Times New Roman" w:eastAsia="Calibri" w:hAnsi="Times New Roman" w:cs="Times New Roman"/>
                    <w:lang w:val="is-IS"/>
                  </w:rPr>
                  <w:t xml:space="preserve">slíku 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eftirlit</w:t>
                </w:r>
                <w:r w:rsidR="00A559ED">
                  <w:rPr>
                    <w:rFonts w:ascii="Times New Roman" w:eastAsia="Calibri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ESA</w:t>
                </w:r>
                <w:r w:rsidR="00A559ED">
                  <w:rPr>
                    <w:rFonts w:ascii="Times New Roman" w:eastAsia="Calibri" w:hAnsi="Times New Roman" w:cs="Times New Roman"/>
                    <w:lang w:val="is-IS"/>
                  </w:rPr>
                  <w:t xml:space="preserve">. Jafnframt er </w:t>
                </w:r>
                <w:r w:rsidR="00E91052">
                  <w:rPr>
                    <w:rFonts w:ascii="Times New Roman" w:eastAsia="Calibri" w:hAnsi="Times New Roman" w:cs="Times New Roman"/>
                    <w:lang w:val="is-IS"/>
                  </w:rPr>
                  <w:t xml:space="preserve">æskilegt </w:t>
                </w:r>
                <w:r w:rsidR="00A559ED">
                  <w:rPr>
                    <w:rFonts w:ascii="Times New Roman" w:eastAsia="Calibri" w:hAnsi="Times New Roman" w:cs="Times New Roman"/>
                    <w:lang w:val="is-IS"/>
                  </w:rPr>
                  <w:t xml:space="preserve">að tryggja 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lagalega stöðu ákvæða</w:t>
                </w:r>
                <w:r w:rsidR="00A559ED">
                  <w:rPr>
                    <w:rFonts w:ascii="Times New Roman" w:eastAsia="Calibri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í samningi EFTA-ríkjanna um eftirlitsstofnun og dómstól (SED)</w:t>
                </w:r>
                <w:r w:rsidR="00A559ED">
                  <w:rPr>
                    <w:rFonts w:ascii="Times New Roman" w:eastAsia="Calibri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 xml:space="preserve"> sem lúta að samskiptum stofnunarinnar við innlend stjórnvöld</w:t>
                </w:r>
                <w:r w:rsidR="00E91052">
                  <w:rPr>
                    <w:rFonts w:ascii="Times New Roman" w:eastAsia="Calibri" w:hAnsi="Times New Roman" w:cs="Times New Roman"/>
                    <w:lang w:val="is-IS"/>
                  </w:rPr>
                  <w:t xml:space="preserve"> og dómstóla</w:t>
                </w:r>
                <w:r>
                  <w:rPr>
                    <w:rFonts w:ascii="Times New Roman" w:eastAsia="Calibri" w:hAnsi="Times New Roman" w:cs="Times New Roman"/>
                    <w:lang w:val="is-IS"/>
                  </w:rPr>
                  <w:t>.</w:t>
                </w:r>
                <w:r w:rsidR="00E91052">
                  <w:rPr>
                    <w:rFonts w:ascii="Times New Roman" w:eastAsia="Calibri" w:hAnsi="Times New Roman" w:cs="Times New Roman"/>
                    <w:lang w:val="is-IS"/>
                  </w:rPr>
                  <w:t xml:space="preserve"> </w:t>
                </w:r>
              </w:p>
              <w:p w:rsidR="00271AEB" w:rsidRDefault="0047580A" w:rsidP="00CE653B">
                <w:pPr>
                  <w:pStyle w:val="Listeafsnit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:rsidR="00CA3381" w:rsidRPr="00271AEB" w:rsidRDefault="00271AEB" w:rsidP="00271AEB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Unnt væri að koma nauðsynlegum viðbótarákvæðum í samkeppnislög nr. 44/2005, sem </w:t>
                </w:r>
                <w:r w:rsidR="00A559ED">
                  <w:rPr>
                    <w:rFonts w:ascii="Times New Roman" w:hAnsi="Times New Roman" w:cs="Times New Roman"/>
                    <w:lang w:val="is-IS"/>
                  </w:rPr>
                  <w:t xml:space="preserve">í dag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hefur að geyma 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>nokkur ákvæði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málsmeðferð ríkisaðstoðarmála. Önnur leið er að 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 xml:space="preserve">setja viðkomandi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ákvæði 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>samkeppnislaga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nýmæli sem fyrir liggur að þurfi að gefa lagastoð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í heildstæðan lagabálk um meðferð ríkisaðstoðarmála.</w:t>
                </w:r>
              </w:p>
            </w:sdtContent>
          </w:sdt>
        </w:tc>
      </w:tr>
      <w:permEnd w:id="1973698163"/>
      <w:tr w:rsidR="00E34B42" w:rsidRPr="00E91052" w:rsidTr="007414CB">
        <w:tc>
          <w:tcPr>
            <w:tcW w:w="9288" w:type="dxa"/>
            <w:shd w:val="clear" w:color="auto" w:fill="92CDDC" w:themeFill="accent5" w:themeFillTint="99"/>
          </w:tcPr>
          <w:p w:rsidR="000D6E33" w:rsidRPr="00E34B42" w:rsidRDefault="000D6E33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E34B42" w:rsidRPr="00854EC9" w:rsidTr="002115E6">
        <w:trPr>
          <w:trHeight w:val="67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1307182979" w:edGrp="everyone" w:displacedByCustomXml="prev"/>
              <w:p w:rsidR="000D6E33" w:rsidRDefault="000D6E33" w:rsidP="00CE653B">
                <w:pPr>
                  <w:pStyle w:val="Listeafsnit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:rsidR="00482BDF" w:rsidRDefault="00271AEB" w:rsidP="00482BDF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Gert er ráð fyrir að leggja </w:t>
                </w:r>
                <w:r w:rsidR="00482BDF">
                  <w:rPr>
                    <w:rFonts w:ascii="Times New Roman" w:hAnsi="Times New Roman" w:cs="Times New Roman"/>
                    <w:lang w:val="is-IS"/>
                  </w:rPr>
                  <w:t xml:space="preserve">fram frumvarp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til heildarl</w:t>
                </w:r>
                <w:r w:rsidR="00482BDF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g</w:t>
                </w:r>
                <w:r w:rsidR="00482BDF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um meðferð ríkisaðstoðarmála</w:t>
                </w:r>
                <w:r w:rsidR="00F53816">
                  <w:rPr>
                    <w:rFonts w:ascii="Times New Roman" w:hAnsi="Times New Roman" w:cs="Times New Roman"/>
                    <w:lang w:val="is-IS"/>
                  </w:rPr>
                  <w:t xml:space="preserve">. Sú leið þykir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skilvirkari og einfaldari en að bæta ákvæðum við samkeppnislög.</w:t>
                </w:r>
                <w:r w:rsidR="000A6F9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A559ED" w:rsidRPr="00BF4C69" w:rsidRDefault="00482BDF" w:rsidP="00482BDF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u w:val="single"/>
                    <w:lang w:val="is-IS"/>
                  </w:rPr>
                </w:pPr>
                <w:r w:rsidRPr="00BF4C69">
                  <w:rPr>
                    <w:rFonts w:ascii="Times New Roman" w:hAnsi="Times New Roman" w:cs="Times New Roman"/>
                    <w:u w:val="single"/>
                    <w:lang w:val="is-IS"/>
                  </w:rPr>
                  <w:t xml:space="preserve">Helstu </w:t>
                </w:r>
                <w:bookmarkStart w:id="1" w:name="_GoBack"/>
                <w:bookmarkEnd w:id="1"/>
                <w:r w:rsidRPr="00BF4C69">
                  <w:rPr>
                    <w:rFonts w:ascii="Times New Roman" w:hAnsi="Times New Roman" w:cs="Times New Roman"/>
                    <w:u w:val="single"/>
                    <w:lang w:val="is-IS"/>
                  </w:rPr>
                  <w:t>þættir fyrirhugaðs frumvarps eru</w:t>
                </w:r>
                <w:r w:rsidR="00BF4C69">
                  <w:rPr>
                    <w:rFonts w:ascii="Times New Roman" w:hAnsi="Times New Roman" w:cs="Times New Roman"/>
                    <w:u w:val="single"/>
                    <w:lang w:val="is-IS"/>
                  </w:rPr>
                  <w:t xml:space="preserve"> sem hér segir</w:t>
                </w:r>
                <w:r w:rsidR="00A559ED" w:rsidRPr="00BF4C69">
                  <w:rPr>
                    <w:rFonts w:ascii="Times New Roman" w:hAnsi="Times New Roman" w:cs="Times New Roman"/>
                    <w:u w:val="single"/>
                    <w:lang w:val="is-IS"/>
                  </w:rPr>
                  <w:t>:</w:t>
                </w:r>
              </w:p>
              <w:p w:rsidR="00482BDF" w:rsidRDefault="00A559ED" w:rsidP="00482BDF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i/>
                    <w:lang w:val="is-IS"/>
                  </w:rPr>
                  <w:t>Í</w:t>
                </w:r>
                <w:r w:rsidR="00482BDF" w:rsidRPr="00326DD2">
                  <w:rPr>
                    <w:rFonts w:ascii="Times New Roman" w:hAnsi="Times New Roman" w:cs="Times New Roman"/>
                    <w:i/>
                    <w:lang w:val="is-IS"/>
                  </w:rPr>
                  <w:t xml:space="preserve"> fyrsta lagi </w:t>
                </w:r>
                <w:r w:rsidR="00482BDF" w:rsidRPr="00326DD2">
                  <w:rPr>
                    <w:rFonts w:ascii="Times New Roman" w:hAnsi="Times New Roman" w:cs="Times New Roman"/>
                    <w:lang w:val="is-IS"/>
                  </w:rPr>
                  <w:t>að veita lagastoð fyrir nýjum heimildum ESA sem leiða af málsmeðferðarreglugerðinni svonefndu. Þar er um að ræða</w:t>
                </w:r>
                <w:r w:rsidR="00482BDF">
                  <w:rPr>
                    <w:rFonts w:ascii="Times New Roman" w:hAnsi="Times New Roman" w:cs="Times New Roman"/>
                    <w:lang w:val="is-IS"/>
                  </w:rPr>
                  <w:t xml:space="preserve"> ák</w:t>
                </w:r>
                <w:r w:rsidR="00482BDF" w:rsidRPr="00CE2252">
                  <w:rPr>
                    <w:rFonts w:ascii="Times New Roman" w:hAnsi="Times New Roman" w:cs="Times New Roman"/>
                    <w:lang w:val="is-IS"/>
                  </w:rPr>
                  <w:t>væði um upplýsingaskyldu fyrirtækja og samtaka fyrirtækja og heimildir ESA til að beita sektum og févíti þegar ekki er orðið við beiðni eða ákvörðun um upplýsingagjöf</w:t>
                </w:r>
                <w:r w:rsidR="00482BDF">
                  <w:rPr>
                    <w:rFonts w:ascii="Times New Roman" w:hAnsi="Times New Roman" w:cs="Times New Roman"/>
                    <w:lang w:val="is-IS"/>
                  </w:rPr>
                  <w:t xml:space="preserve"> fyrirtækja</w:t>
                </w:r>
                <w:r w:rsidR="00482BDF" w:rsidRPr="00CE2252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Jafnframt </w:t>
                </w:r>
                <w:r w:rsidR="002B2EBC">
                  <w:rPr>
                    <w:rFonts w:ascii="Times New Roman" w:hAnsi="Times New Roman" w:cs="Times New Roman"/>
                    <w:lang w:val="is-IS"/>
                  </w:rPr>
                  <w:t xml:space="preserve">að veita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lagastoð fyrir </w:t>
                </w:r>
                <w:r w:rsidRPr="00326DD2">
                  <w:rPr>
                    <w:rFonts w:ascii="Times New Roman" w:hAnsi="Times New Roman" w:cs="Times New Roman"/>
                    <w:lang w:val="is-IS"/>
                  </w:rPr>
                  <w:t xml:space="preserve">ákvæði </w:t>
                </w:r>
                <w:r w:rsidR="002B2EBC">
                  <w:rPr>
                    <w:rFonts w:ascii="Times New Roman" w:hAnsi="Times New Roman" w:cs="Times New Roman"/>
                    <w:lang w:val="is-IS"/>
                  </w:rPr>
                  <w:t xml:space="preserve">í málsmeðferðarreglugerðinni </w:t>
                </w:r>
                <w:r w:rsidRPr="00326DD2">
                  <w:rPr>
                    <w:rFonts w:ascii="Times New Roman" w:hAnsi="Times New Roman" w:cs="Times New Roman"/>
                    <w:lang w:val="is-IS"/>
                  </w:rPr>
                  <w:t>um samstarf ESA við innlenda dómstóla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, sem fram til þessa </w:t>
                </w:r>
                <w:r w:rsidR="002B2EBC">
                  <w:rPr>
                    <w:rFonts w:ascii="Times New Roman" w:hAnsi="Times New Roman" w:cs="Times New Roman"/>
                    <w:lang w:val="is-IS"/>
                  </w:rPr>
                  <w:t>hefur verið mælt fyrir um í leiðbeinandi reglum ESA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 xml:space="preserve"> Málsmeðferðarreglugerðin hefur verið til skoðunar </w:t>
                </w:r>
                <w:r w:rsidR="000977B3" w:rsidRPr="00CE2252">
                  <w:rPr>
                    <w:rFonts w:ascii="Times New Roman" w:hAnsi="Times New Roman" w:cs="Times New Roman"/>
                    <w:lang w:val="is-IS"/>
                  </w:rPr>
                  <w:t xml:space="preserve">hjá 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>EFTA-ríkjunum</w:t>
                </w:r>
                <w:r w:rsidR="000977B3" w:rsidRPr="00CE225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 xml:space="preserve">síðan 2013 </w:t>
                </w:r>
                <w:r w:rsidR="000977B3" w:rsidRPr="00CE2252">
                  <w:rPr>
                    <w:rFonts w:ascii="Times New Roman" w:hAnsi="Times New Roman" w:cs="Times New Roman"/>
                    <w:lang w:val="is-IS"/>
                  </w:rPr>
                  <w:t>og hefur í millitíðinni verið uppfærð af hálfu ESB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>, með kerfisbindingu</w:t>
                </w:r>
                <w:r w:rsidR="000977B3" w:rsidRPr="00CE2252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482BDF" w:rsidRDefault="00482BDF" w:rsidP="00482BDF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326DD2">
                  <w:rPr>
                    <w:rFonts w:ascii="Times New Roman" w:hAnsi="Times New Roman" w:cs="Times New Roman"/>
                    <w:i/>
                    <w:lang w:val="is-IS"/>
                  </w:rPr>
                  <w:t>Í öðru lagi</w:t>
                </w:r>
                <w:r w:rsidR="00E91052">
                  <w:rPr>
                    <w:rFonts w:ascii="Times New Roman" w:hAnsi="Times New Roman" w:cs="Times New Roman"/>
                    <w:i/>
                    <w:lang w:val="is-IS"/>
                  </w:rPr>
                  <w:t xml:space="preserve"> </w:t>
                </w:r>
                <w:r w:rsidR="00E91052">
                  <w:rPr>
                    <w:rFonts w:ascii="Times New Roman" w:hAnsi="Times New Roman" w:cs="Times New Roman"/>
                    <w:lang w:val="is-IS"/>
                  </w:rPr>
                  <w:t xml:space="preserve">að lögfesta </w:t>
                </w:r>
                <w:r w:rsidRPr="00CE2252">
                  <w:rPr>
                    <w:rFonts w:ascii="Times New Roman" w:hAnsi="Times New Roman" w:cs="Times New Roman"/>
                    <w:lang w:val="is-IS"/>
                  </w:rPr>
                  <w:t>meginreglur á réttarsviðinu, til að auka réttarvissu, skýrleika og aðgengi að réttarreglum í málaflokknum.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Meginreglurnar lúta einkum að </w:t>
                </w:r>
                <w:r w:rsidRPr="00CE2252">
                  <w:rPr>
                    <w:rFonts w:ascii="Times New Roman" w:hAnsi="Times New Roman" w:cs="Times New Roman"/>
                    <w:lang w:val="is-IS"/>
                  </w:rPr>
                  <w:t>samstarf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Pr="00CE2252">
                  <w:rPr>
                    <w:rFonts w:ascii="Times New Roman" w:hAnsi="Times New Roman" w:cs="Times New Roman"/>
                    <w:lang w:val="is-IS"/>
                  </w:rPr>
                  <w:t xml:space="preserve"> stjórnvalda við Eftirlitsstofnun EFTA (ESA), s.s. varðandi upplýsingagjöf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og endurheimt ósam</w:t>
                </w:r>
                <w:r w:rsidR="00F53816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 w:rsidR="002B2EBC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>
                  <w:rPr>
                    <w:rFonts w:ascii="Times New Roman" w:hAnsi="Times New Roman" w:cs="Times New Roman"/>
                    <w:lang w:val="is-IS"/>
                  </w:rPr>
                  <w:t>rýmanlegrar ríkisaðstoðar.</w:t>
                </w:r>
                <w:r w:rsidRPr="00CE225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482BDF" w:rsidRPr="00CE2252" w:rsidRDefault="00482BDF" w:rsidP="000977B3">
                <w:pPr>
                  <w:spacing w:before="60" w:after="12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326DD2">
                  <w:rPr>
                    <w:rFonts w:ascii="Times New Roman" w:hAnsi="Times New Roman" w:cs="Times New Roman"/>
                    <w:i/>
                    <w:lang w:val="is-IS"/>
                  </w:rPr>
                  <w:t>Í þriðja lagi</w:t>
                </w:r>
                <w:r w:rsidRPr="00CE2252">
                  <w:rPr>
                    <w:rFonts w:ascii="Times New Roman" w:hAnsi="Times New Roman" w:cs="Times New Roman"/>
                    <w:lang w:val="is-IS"/>
                  </w:rPr>
                  <w:t xml:space="preserve"> að sameina í heildstæðan lagabálk framangreind ákvæði og </w:t>
                </w:r>
                <w:r w:rsidR="002B2EBC">
                  <w:rPr>
                    <w:rFonts w:ascii="Times New Roman" w:hAnsi="Times New Roman" w:cs="Times New Roman"/>
                    <w:lang w:val="is-IS"/>
                  </w:rPr>
                  <w:t>fyrirliggjandi laga</w:t>
                </w:r>
                <w:r w:rsidRPr="00CE2252">
                  <w:rPr>
                    <w:rFonts w:ascii="Times New Roman" w:hAnsi="Times New Roman" w:cs="Times New Roman"/>
                    <w:lang w:val="is-IS"/>
                  </w:rPr>
                  <w:t>ákvæði um ríkisaðstoð, í samkeppnislögum, til að auka skýrleika og skilja betur að reglur um meðferð ríkis</w:t>
                </w:r>
                <w:r w:rsidR="002B2EBC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 w:rsidRPr="00CE2252">
                  <w:rPr>
                    <w:rFonts w:ascii="Times New Roman" w:hAnsi="Times New Roman" w:cs="Times New Roman"/>
                    <w:lang w:val="is-IS"/>
                  </w:rPr>
                  <w:t>aðstoðar</w:t>
                </w:r>
                <w:r w:rsidR="002B2EBC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 w:rsidRPr="00CE2252">
                  <w:rPr>
                    <w:rFonts w:ascii="Times New Roman" w:hAnsi="Times New Roman" w:cs="Times New Roman"/>
                    <w:lang w:val="is-IS"/>
                  </w:rPr>
                  <w:t>mála og efnis</w:t>
                </w:r>
                <w:r w:rsidR="002B2EBC">
                  <w:rPr>
                    <w:rFonts w:ascii="Times New Roman" w:hAnsi="Times New Roman" w:cs="Times New Roman"/>
                    <w:lang w:val="is-IS"/>
                  </w:rPr>
                  <w:t>- og málsmeðferðar</w:t>
                </w:r>
                <w:r w:rsidRPr="00CE2252">
                  <w:rPr>
                    <w:rFonts w:ascii="Times New Roman" w:hAnsi="Times New Roman" w:cs="Times New Roman"/>
                    <w:lang w:val="is-IS"/>
                  </w:rPr>
                  <w:t>reglur samkeppnislaga.</w:t>
                </w:r>
              </w:p>
              <w:p w:rsidR="00271AEB" w:rsidRDefault="000D6E33" w:rsidP="00CE653B">
                <w:pPr>
                  <w:pStyle w:val="Listeafsnit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271AEB" w:rsidRPr="00271AEB" w:rsidRDefault="00271AEB" w:rsidP="00271AEB">
                <w:pPr>
                  <w:spacing w:before="60" w:after="60"/>
                  <w:rPr>
                    <w:rFonts w:ascii="Times New Roman" w:hAnsi="Times New Roman" w:cs="Times New Roman"/>
                    <w:u w:val="single"/>
                    <w:lang w:val="is-IS"/>
                  </w:rPr>
                </w:pPr>
                <w:r w:rsidRPr="00271AEB">
                  <w:rPr>
                    <w:rFonts w:ascii="Times New Roman" w:hAnsi="Times New Roman" w:cs="Times New Roman"/>
                    <w:u w:val="single"/>
                    <w:lang w:val="is-IS"/>
                  </w:rPr>
                  <w:t xml:space="preserve">Ákvæði í samkeppnislögum sem varða ríkisaðstoð færast úr þeim yfir í nýjan lagabálk sem hér segir: </w:t>
                </w:r>
              </w:p>
              <w:p w:rsidR="00271AEB" w:rsidRDefault="00271AEB" w:rsidP="00271AEB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BF4C69">
                  <w:rPr>
                    <w:rFonts w:ascii="Times New Roman" w:hAnsi="Times New Roman" w:cs="Times New Roman"/>
                    <w:i/>
                    <w:lang w:val="is-IS"/>
                  </w:rPr>
                  <w:t xml:space="preserve">Í fyrsta lagi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færist 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1. </w:t>
                </w:r>
                <w:proofErr w:type="spellStart"/>
                <w:r w:rsidRPr="0042160E">
                  <w:rPr>
                    <w:rFonts w:ascii="Times New Roman" w:hAnsi="Times New Roman" w:cs="Times New Roman"/>
                    <w:lang w:val="is-IS"/>
                  </w:rPr>
                  <w:t>málsl</w:t>
                </w:r>
                <w:proofErr w:type="spellEnd"/>
                <w:r w:rsidRPr="0042160E">
                  <w:rPr>
                    <w:rFonts w:ascii="Times New Roman" w:hAnsi="Times New Roman" w:cs="Times New Roman"/>
                    <w:lang w:val="is-IS"/>
                  </w:rPr>
                  <w:t>. 30. gr. samkeppnislaga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í nýja lagabálkinn en greinin fjallar um einkavaldheimildir ESA á sviði eftirlits með ríkisaðstoð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271AEB" w:rsidRDefault="00271AEB" w:rsidP="00271AEB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BF4C69">
                  <w:rPr>
                    <w:rFonts w:ascii="Times New Roman" w:hAnsi="Times New Roman" w:cs="Times New Roman"/>
                    <w:i/>
                    <w:lang w:val="is-IS"/>
                  </w:rPr>
                  <w:lastRenderedPageBreak/>
                  <w:t>Í öðru lagi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falli brott árétting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 í 2. </w:t>
                </w:r>
                <w:proofErr w:type="spellStart"/>
                <w:r w:rsidRPr="0042160E">
                  <w:rPr>
                    <w:rFonts w:ascii="Times New Roman" w:hAnsi="Times New Roman" w:cs="Times New Roman"/>
                    <w:lang w:val="is-IS"/>
                  </w:rPr>
                  <w:t>málsl</w:t>
                </w:r>
                <w:proofErr w:type="spellEnd"/>
                <w:r w:rsidRPr="0042160E">
                  <w:rPr>
                    <w:rFonts w:ascii="Times New Roman" w:hAnsi="Times New Roman" w:cs="Times New Roman"/>
                    <w:lang w:val="is-IS"/>
                  </w:rPr>
                  <w:t>. 30. gr. samkeppnislaga um að aðgerðir sveitarfélaga geti einnig fallið undir ákvæði 1. mgr. 61. gr. EES-samningsins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þar sem </w:t>
                </w:r>
                <w:r w:rsidR="00BF4C69">
                  <w:rPr>
                    <w:rFonts w:ascii="Times New Roman" w:hAnsi="Times New Roman" w:cs="Times New Roman"/>
                    <w:lang w:val="is-IS"/>
                  </w:rPr>
                  <w:t xml:space="preserve">slík árétting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óþörf. </w:t>
                </w:r>
              </w:p>
              <w:p w:rsidR="00271AEB" w:rsidRPr="0042160E" w:rsidRDefault="00271AEB" w:rsidP="00271AEB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BF4C69">
                  <w:rPr>
                    <w:rFonts w:ascii="Times New Roman" w:hAnsi="Times New Roman" w:cs="Times New Roman"/>
                    <w:i/>
                    <w:lang w:val="is-IS"/>
                  </w:rPr>
                  <w:t>Í þriðja lagi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að 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>31. gr. samkeppnislaga falli á brott.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Hún fjallar (a) 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>um atbeina Samkeppniseftirlitsins þegar ríkisað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stoð er veitt af sveitarfélagi, en sá atbeini er í reynd á hendi fjármála- og efnahagsráðuneytisins, 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(b) um framfylgd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af hálfu Samkeppniseftirlitsins á 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ákvörðun ESA um afturköllun ríkisaðstoðar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sem veitt hefur verið af sveitarfélagi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Það ákvæði er óþarft þar sem 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>unnt</w:t>
                </w:r>
                <w:r w:rsidR="000977B3">
                  <w:rPr>
                    <w:rFonts w:ascii="Times New Roman" w:hAnsi="Times New Roman" w:cs="Times New Roman"/>
                    <w:lang w:val="is-IS"/>
                  </w:rPr>
                  <w:t xml:space="preserve"> er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 að höfða viðurkenningarmál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samkvæmt sveitastjórnarlögum 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>á hendur sveitastjórn sem lætur undir höfuð leggjast að framfylgja lögbundinni skyldu sem á henni hvílir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 Loks verða ákvæði um (c) afturköllun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aðstoðar, að mestu sambærileg við 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>3. mgr. 31. gr. samkeppnislaga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, tekin upp í hinn nýja lagabálk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271AEB" w:rsidRDefault="00271AEB" w:rsidP="00271AEB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00BF4C69">
                  <w:rPr>
                    <w:rFonts w:ascii="Times New Roman" w:hAnsi="Times New Roman" w:cs="Times New Roman"/>
                    <w:i/>
                    <w:lang w:val="is-IS"/>
                  </w:rPr>
                  <w:t>Í fjórða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 lagi að reglugerðarheimild vegna ríkisaðstoðarmála í 2. </w:t>
                </w:r>
                <w:proofErr w:type="spellStart"/>
                <w:r w:rsidRPr="0042160E">
                  <w:rPr>
                    <w:rFonts w:ascii="Times New Roman" w:hAnsi="Times New Roman" w:cs="Times New Roman"/>
                    <w:lang w:val="is-IS"/>
                  </w:rPr>
                  <w:t>málsl</w:t>
                </w:r>
                <w:proofErr w:type="spellEnd"/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. 32. gr. samkeppnislaga falli brott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6053FE">
                  <w:rPr>
                    <w:rFonts w:ascii="Times New Roman" w:hAnsi="Times New Roman" w:cs="Times New Roman"/>
                    <w:lang w:val="is-IS"/>
                  </w:rPr>
                  <w:t>sambærilegu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ákvæði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verði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 xml:space="preserve"> fundinn staður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í hinum nýja lagabálki</w:t>
                </w:r>
                <w:r w:rsidRPr="0042160E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:rsidR="000D6E33" w:rsidRPr="00AB6357" w:rsidRDefault="00A2154D" w:rsidP="00AB6357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</w:p>
              <w:permEnd w:id="1307182979" w:displacedByCustomXml="next"/>
            </w:sdtContent>
          </w:sdt>
        </w:tc>
      </w:tr>
      <w:tr w:rsidR="00E34B42" w:rsidRPr="00854EC9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Samræmi við stjórnarskrá og þjóðarétt – aðrar grundvallarspurningar</w:t>
            </w:r>
          </w:p>
        </w:tc>
      </w:tr>
      <w:tr w:rsidR="00E34B42" w:rsidRPr="00E34B42" w:rsidTr="00FD2097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/>
            <w:sdtContent>
              <w:permStart w:id="1144422023" w:edGrp="everyone" w:displacedByCustomXml="prev"/>
              <w:p w:rsidR="009941D2" w:rsidRDefault="002B70B7" w:rsidP="00CE653B">
                <w:pPr>
                  <w:pStyle w:val="Listeafsnit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12D3D" w:rsidRDefault="00912D3D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Áformin fela að hluta til í sér innleiðingu EES-gerðar til samræmis við skuldbindingar sem leiða af EES- samningnum</w:t>
                </w:r>
                <w:r w:rsidR="00BF4C69">
                  <w:rPr>
                    <w:rFonts w:ascii="Times New Roman" w:hAnsi="Times New Roman" w:cs="Times New Roman"/>
                    <w:lang w:val="is-IS"/>
                  </w:rPr>
                  <w:t>, þ.e.a.s. að tryggja lagagrundvöll fyrir heimildum sem leiða af málsmeðferðar</w:t>
                </w:r>
                <w:r w:rsidR="00BF4C69">
                  <w:rPr>
                    <w:rFonts w:ascii="Times New Roman" w:hAnsi="Times New Roman" w:cs="Times New Roman"/>
                    <w:lang w:val="is-IS"/>
                  </w:rPr>
                  <w:softHyphen/>
                  <w:t>reglu</w:t>
                </w:r>
                <w:r w:rsidR="00BF4C69">
                  <w:rPr>
                    <w:rFonts w:ascii="Times New Roman" w:hAnsi="Times New Roman" w:cs="Times New Roman"/>
                    <w:lang w:val="is-IS"/>
                  </w:rPr>
                  <w:softHyphen/>
                  <w:t>gerð</w:t>
                </w:r>
                <w:r w:rsidR="00BF4C69">
                  <w:rPr>
                    <w:rFonts w:ascii="Times New Roman" w:hAnsi="Times New Roman" w:cs="Times New Roman"/>
                    <w:lang w:val="is-IS"/>
                  </w:rPr>
                  <w:softHyphen/>
                  <w:t>inni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:rsidR="00912D3D" w:rsidRPr="00912D3D" w:rsidRDefault="00912D3D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   </w:t>
                </w:r>
                <w:r w:rsidRPr="00885AD0">
                  <w:rPr>
                    <w:rFonts w:ascii="Times New Roman" w:hAnsi="Times New Roman" w:cs="Times New Roman"/>
                    <w:lang w:val="is-IS"/>
                  </w:rPr>
                  <w:t xml:space="preserve">Utanríkismálanefnd Alþingis óskaði eftir því við forsætisráðuneytið, fljótlega eftir að </w:t>
                </w:r>
                <w:r w:rsidR="00BF4C69">
                  <w:rPr>
                    <w:rFonts w:ascii="Times New Roman" w:hAnsi="Times New Roman" w:cs="Times New Roman"/>
                    <w:lang w:val="is-IS"/>
                  </w:rPr>
                  <w:t>samráðsferli</w:t>
                </w:r>
                <w:r w:rsidR="00BF4C69">
                  <w:rPr>
                    <w:rStyle w:val="Fodnotehenvisning"/>
                    <w:rFonts w:ascii="Times New Roman" w:hAnsi="Times New Roman" w:cs="Times New Roman"/>
                    <w:lang w:val="is-IS"/>
                  </w:rPr>
                  <w:footnoteReference w:id="3"/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85AD0">
                  <w:rPr>
                    <w:rFonts w:ascii="Times New Roman" w:hAnsi="Times New Roman" w:cs="Times New Roman"/>
                    <w:lang w:val="is-IS"/>
                  </w:rPr>
                  <w:t>hófst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vegna reglugerðar (ESB) nr. 734/2013</w:t>
                </w:r>
                <w:r w:rsidRPr="00885AD0">
                  <w:rPr>
                    <w:rFonts w:ascii="Times New Roman" w:hAnsi="Times New Roman" w:cs="Times New Roman"/>
                    <w:lang w:val="is-IS"/>
                  </w:rPr>
                  <w:t xml:space="preserve">, að </w:t>
                </w:r>
                <w:r w:rsidRPr="001D594A">
                  <w:rPr>
                    <w:rFonts w:ascii="Times New Roman" w:hAnsi="Times New Roman" w:cs="Times New Roman"/>
                    <w:lang w:val="is-IS"/>
                  </w:rPr>
                  <w:t>hugsanlegir annmarkar á innleiðingu gerðar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innar</w:t>
                </w:r>
                <w:r w:rsidRPr="001D594A">
                  <w:rPr>
                    <w:rFonts w:ascii="Times New Roman" w:hAnsi="Times New Roman" w:cs="Times New Roman"/>
                    <w:lang w:val="is-IS"/>
                  </w:rPr>
                  <w:t xml:space="preserve"> í landsrétt m.t.t. stjórnarskrárinnar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(möguleg stjórnskipuleg </w:t>
                </w:r>
                <w:r w:rsidR="00BF4C69">
                  <w:rPr>
                    <w:rFonts w:ascii="Times New Roman" w:hAnsi="Times New Roman" w:cs="Times New Roman"/>
                    <w:lang w:val="is-IS"/>
                  </w:rPr>
                  <w:t>álitamál</w:t>
                </w:r>
                <w:r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Pr="001D594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Pr="00885AD0">
                  <w:rPr>
                    <w:rFonts w:ascii="Times New Roman" w:hAnsi="Times New Roman" w:cs="Times New Roman"/>
                    <w:lang w:val="is-IS"/>
                  </w:rPr>
                  <w:t xml:space="preserve">yrðu kannaðir. </w:t>
                </w:r>
                <w:r w:rsidR="00BF4C69">
                  <w:rPr>
                    <w:rFonts w:ascii="Times New Roman" w:hAnsi="Times New Roman" w:cs="Times New Roman"/>
                    <w:lang w:val="is-IS"/>
                  </w:rPr>
                  <w:t>Álitsgerð þar að lútandi var unnin af f</w:t>
                </w:r>
                <w:r w:rsidRPr="00885AD0">
                  <w:rPr>
                    <w:rFonts w:ascii="Times New Roman" w:hAnsi="Times New Roman" w:cs="Times New Roman"/>
                    <w:lang w:val="is-IS"/>
                  </w:rPr>
                  <w:t>orsætisráðuneyti, utanríkisráðuneyti og fjármála- og efnahagsráðuneyti</w:t>
                </w:r>
                <w:r w:rsidR="00BF4C69">
                  <w:rPr>
                    <w:rFonts w:ascii="Times New Roman" w:hAnsi="Times New Roman" w:cs="Times New Roman"/>
                    <w:lang w:val="is-IS"/>
                  </w:rPr>
                  <w:t xml:space="preserve"> og skilað </w:t>
                </w:r>
                <w:r w:rsidRPr="00885AD0">
                  <w:rPr>
                    <w:rFonts w:ascii="Times New Roman" w:hAnsi="Times New Roman" w:cs="Times New Roman"/>
                    <w:lang w:val="is-IS"/>
                  </w:rPr>
                  <w:t xml:space="preserve">til nefndarinnar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árið 2015</w:t>
                </w:r>
                <w:r w:rsidRPr="00885AD0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Niðurstaðan var sú að </w:t>
                </w:r>
                <w:r w:rsidRPr="001D594A">
                  <w:rPr>
                    <w:rFonts w:ascii="Times New Roman" w:hAnsi="Times New Roman" w:cs="Times New Roman"/>
                    <w:lang w:val="is-IS"/>
                  </w:rPr>
                  <w:t>innleiðing gerðarinnar í landsrétt myndi standast stjórnarskr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á.</w:t>
                </w:r>
              </w:p>
              <w:p w:rsidR="009941D2" w:rsidRDefault="002B70B7" w:rsidP="00CE653B">
                <w:pPr>
                  <w:pStyle w:val="Listeafsnit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12D3D" w:rsidRPr="00912D3D" w:rsidRDefault="00912D3D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Áformin varða ákvæði EES-samningsins um ríkisaðstoð</w:t>
                </w:r>
                <w:r w:rsidR="00EC00B6">
                  <w:rPr>
                    <w:rFonts w:ascii="Times New Roman" w:hAnsi="Times New Roman" w:cs="Times New Roman"/>
                    <w:lang w:val="is-IS"/>
                  </w:rPr>
                  <w:t>. Þ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eim er ætlað að tryggja reglum </w:t>
                </w:r>
                <w:r w:rsidR="001C0534">
                  <w:rPr>
                    <w:rFonts w:ascii="Times New Roman" w:hAnsi="Times New Roman" w:cs="Times New Roman"/>
                    <w:lang w:val="is-IS"/>
                  </w:rPr>
                  <w:t>SED, sem fjallar um málsmeðferð ríkisaðstoðarmála, nauðsynlega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lagastoð</w:t>
                </w:r>
                <w:r w:rsidRPr="0077486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Þau fela þó ekki í sér </w:t>
                </w:r>
                <w:r w:rsidR="001C0534">
                  <w:rPr>
                    <w:rFonts w:ascii="Times New Roman" w:hAnsi="Times New Roman" w:cs="Times New Roman"/>
                    <w:lang w:val="is-IS"/>
                  </w:rPr>
                  <w:t xml:space="preserve">áætlanir um veitingu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ríkisaðstoð</w:t>
                </w:r>
                <w:r w:rsidR="001C0534">
                  <w:rPr>
                    <w:rFonts w:ascii="Times New Roman" w:hAnsi="Times New Roman" w:cs="Times New Roman"/>
                    <w:lang w:val="is-IS"/>
                  </w:rPr>
                  <w:t>ar. Þá varða áformin ekki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ráðstafanir sem snerta tæknilegar reglur um vöru og </w:t>
                </w:r>
                <w:proofErr w:type="spellStart"/>
                <w:r w:rsidRPr="006A5DFF">
                  <w:rPr>
                    <w:rFonts w:ascii="Times New Roman" w:hAnsi="Times New Roman" w:cs="Times New Roman"/>
                    <w:lang w:val="is-IS"/>
                  </w:rPr>
                  <w:t>fjarþjónustu</w:t>
                </w:r>
                <w:proofErr w:type="spellEnd"/>
                <w:r w:rsidRPr="0077486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eða frelsi til að veita þjónustu.</w:t>
                </w:r>
              </w:p>
              <w:p w:rsidR="00CA3381" w:rsidRPr="00E34B42" w:rsidRDefault="00D62AAC" w:rsidP="00CE653B">
                <w:pPr>
                  <w:pStyle w:val="Listeafsnit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12D3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12D3D" w:rsidRPr="00912D3D">
                  <w:rPr>
                    <w:rFonts w:ascii="Times New Roman" w:hAnsi="Times New Roman" w:cs="Times New Roman"/>
                    <w:lang w:val="is-IS"/>
                  </w:rPr>
                  <w:t>Nei.</w:t>
                </w:r>
                <w:r w:rsidR="00BA4BB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1144422023" w:displacedByCustomXml="next"/>
            </w:sdtContent>
          </w:sdt>
        </w:tc>
      </w:tr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13710B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91052" w:rsidTr="00FD2097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895092386" w:edGrp="everyone" w:displacedByCustomXml="prev"/>
              <w:p w:rsidR="009941D2" w:rsidRDefault="002B70B7" w:rsidP="00CE653B">
                <w:pPr>
                  <w:pStyle w:val="Listeafsnit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:rsidR="00912D3D" w:rsidRPr="00912D3D" w:rsidRDefault="00912D3D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Frumvarpið</w:t>
                </w:r>
                <w:r w:rsidR="001C0534">
                  <w:rPr>
                    <w:rFonts w:ascii="Times New Roman" w:hAnsi="Times New Roman" w:cs="Times New Roman"/>
                    <w:lang w:val="is-IS"/>
                  </w:rPr>
                  <w:t xml:space="preserve"> sem fyrirhugað er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hefur möguleg áhrif á alla þá aðila sem hafa með höndum efnahagslega starfsemi, þ.e. bjóða fram vörur eða þjónustu á markað. Það hefur þó ekki áhrif á tiltekin fyrirtæki umfram  önnur.</w:t>
                </w:r>
                <w:r w:rsidR="001C0534">
                  <w:rPr>
                    <w:rFonts w:ascii="Times New Roman" w:hAnsi="Times New Roman" w:cs="Times New Roman"/>
                    <w:lang w:val="is-IS"/>
                  </w:rPr>
                  <w:t xml:space="preserve"> Þá hefur það ekki sérstök áhrif á einstakar stofnanir umfram aðrar, enda felur það ekki í sér </w:t>
                </w:r>
                <w:proofErr w:type="spellStart"/>
                <w:r w:rsidR="001C0534">
                  <w:rPr>
                    <w:rFonts w:ascii="Times New Roman" w:hAnsi="Times New Roman" w:cs="Times New Roman"/>
                    <w:lang w:val="is-IS"/>
                  </w:rPr>
                  <w:t>rýmkun</w:t>
                </w:r>
                <w:proofErr w:type="spellEnd"/>
                <w:r w:rsidR="001C0534">
                  <w:rPr>
                    <w:rFonts w:ascii="Times New Roman" w:hAnsi="Times New Roman" w:cs="Times New Roman"/>
                    <w:lang w:val="is-IS"/>
                  </w:rPr>
                  <w:t xml:space="preserve"> eða þrengingu á heimildum stjórnvalda til að veita ríkisaðstoð.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Innlendir dómstólar eru hagsmunaaðilar varðandi ákvæði um samstarf ESA og dómstóla.</w:t>
                </w:r>
              </w:p>
              <w:p w:rsidR="009941D2" w:rsidRDefault="002B70B7" w:rsidP="00CE653B">
                <w:pPr>
                  <w:pStyle w:val="Listeafsnit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12D3D" w:rsidRPr="00912D3D" w:rsidRDefault="00912D3D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Skörun er við málefni dómsmálaráðuneytisins að því er varðar ákvæði um samstarf ESA og innlendra dómstóla. Þá er gert ráð fyrir að ákvæði í samkeppnislögum, sem eru á málefnasviði </w:t>
                </w:r>
                <w:r w:rsidR="001C0534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="001C0534" w:rsidRPr="001C0534">
                  <w:rPr>
                    <w:rFonts w:ascii="Times New Roman" w:hAnsi="Times New Roman" w:cs="Times New Roman"/>
                    <w:lang w:val="is-IS"/>
                  </w:rPr>
                  <w:t>erðamála-, iðnaðar- og nýsköpunarráðherra</w:t>
                </w:r>
                <w:r>
                  <w:rPr>
                    <w:rFonts w:ascii="Times New Roman" w:hAnsi="Times New Roman" w:cs="Times New Roman"/>
                    <w:lang w:val="is-IS"/>
                  </w:rPr>
                  <w:t>, færist yfir í lög um meðferð ríkisaðstoðarmála.</w:t>
                </w:r>
              </w:p>
              <w:p w:rsidR="009941D2" w:rsidRDefault="002B70B7" w:rsidP="00CE653B">
                <w:pPr>
                  <w:pStyle w:val="Listeafsnit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:rsidR="00912D3D" w:rsidRPr="00912D3D" w:rsidRDefault="00B96D74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Kynning áformaskjalsins er fyrsta skrefið í</w:t>
                </w:r>
                <w:r w:rsidR="002E79CE">
                  <w:rPr>
                    <w:rFonts w:ascii="Times New Roman" w:hAnsi="Times New Roman" w:cs="Times New Roman"/>
                    <w:lang w:val="is-IS"/>
                  </w:rPr>
                  <w:t xml:space="preserve"> opnu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samráði innanlands</w:t>
                </w:r>
                <w:r w:rsidR="00912D3D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hyperlink r:id="rId9" w:history="1">
                  <w:r w:rsidR="00912D3D" w:rsidRPr="00912D3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 xml:space="preserve">Víðtækt samráð átti sér stað </w:t>
                  </w:r>
                  <w:r w:rsidR="002E79CE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 xml:space="preserve">á tímabilinu </w:t>
                  </w:r>
                  <w:r w:rsidR="00912D3D" w:rsidRPr="00912D3D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13.07.2012 - 05.10.2012 á vettvangi ESB</w:t>
                  </w:r>
                </w:hyperlink>
                <w:r w:rsidR="00912D3D">
                  <w:rPr>
                    <w:rFonts w:ascii="Times New Roman" w:hAnsi="Times New Roman" w:cs="Times New Roman"/>
                    <w:lang w:val="is-IS"/>
                  </w:rPr>
                  <w:t xml:space="preserve"> áður en breytingar á málsmeðferðarreglugerðinni voru samþykktar árið 2013. Hátt í 20 erindi bárust frá einkaaðilum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í því ferli</w:t>
                </w:r>
                <w:r w:rsidR="00912D3D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912D3D" w:rsidRDefault="002B70B7" w:rsidP="00CE653B">
                <w:pPr>
                  <w:pStyle w:val="Listeafsnit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:rsidR="00CA3381" w:rsidRPr="00912D3D" w:rsidRDefault="002E79CE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>D</w:t>
                </w:r>
                <w:r w:rsidR="00912D3D" w:rsidRPr="0077486B">
                  <w:rPr>
                    <w:rFonts w:ascii="Times New Roman" w:hAnsi="Times New Roman" w:cs="Times New Roman"/>
                    <w:lang w:val="is-IS"/>
                  </w:rPr>
                  <w:t xml:space="preserve">rög að frumvarpi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verða kynnt almenningi í samráðsgátt stjórnvalda</w:t>
                </w:r>
                <w:r w:rsidR="00912D3D" w:rsidRPr="0077486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A4BB1" w:rsidRPr="00912D3D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ermEnd w:id="895092386" w:displacedByCustomXml="next"/>
            </w:sdtContent>
          </w:sdt>
        </w:tc>
      </w:tr>
      <w:tr w:rsidR="00E34B42" w:rsidRPr="00E9105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3821A7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854EC9" w:rsidTr="007414CB">
        <w:trPr>
          <w:trHeight w:val="283"/>
        </w:trPr>
        <w:tc>
          <w:tcPr>
            <w:tcW w:w="9288" w:type="dxa"/>
          </w:tcPr>
          <w:permStart w:id="178967105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912D3D" w:rsidRDefault="003821A7" w:rsidP="00912D3D">
                <w:pPr>
                  <w:pStyle w:val="Listeafsnit"/>
                  <w:spacing w:before="60" w:after="60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:rsidR="00F93B5C" w:rsidRPr="00912D3D" w:rsidRDefault="00912D3D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914472">
                  <w:rPr>
                    <w:rFonts w:ascii="Times New Roman" w:hAnsi="Times New Roman" w:cs="Times New Roman"/>
                    <w:lang w:val="is-IS"/>
                  </w:rPr>
                  <w:t>Engin bein áhrif</w:t>
                </w:r>
                <w:r>
                  <w:rPr>
                    <w:rFonts w:ascii="Times New Roman" w:hAnsi="Times New Roman" w:cs="Times New Roman"/>
                    <w:lang w:val="is-IS"/>
                  </w:rPr>
                  <w:t>, engin fyrirséð óbein fjá</w:t>
                </w:r>
                <w:r w:rsidR="00C85A7A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hagsáhrif</w:t>
                </w:r>
              </w:p>
            </w:sdtContent>
          </w:sdt>
        </w:tc>
      </w:tr>
      <w:permEnd w:id="1789671059"/>
      <w:tr w:rsidR="00E34B42" w:rsidRPr="00E34B42" w:rsidTr="007414CB">
        <w:tc>
          <w:tcPr>
            <w:tcW w:w="9288" w:type="dxa"/>
            <w:shd w:val="clear" w:color="auto" w:fill="92CDDC" w:themeFill="accent5" w:themeFillTint="99"/>
          </w:tcPr>
          <w:p w:rsidR="00311838" w:rsidRPr="00E34B42" w:rsidRDefault="008A2C75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E91052" w:rsidTr="00FD2097">
        <w:trPr>
          <w:trHeight w:val="826"/>
        </w:trPr>
        <w:tc>
          <w:tcPr>
            <w:tcW w:w="9288" w:type="dxa"/>
          </w:tcPr>
          <w:permStart w:id="596523485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:rsidR="009941D2" w:rsidRDefault="00133146" w:rsidP="00CE653B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12D3D" w:rsidRPr="00912D3D" w:rsidRDefault="00912D3D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912D3D">
                  <w:rPr>
                    <w:rFonts w:ascii="Times New Roman" w:hAnsi="Times New Roman" w:cs="Times New Roman"/>
                    <w:lang w:val="is-IS"/>
                  </w:rPr>
                  <w:t>Já.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Frumvarpssmíði hófst í reynd árið 2013 en frumvarpsdrög hafa 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verið á bið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vegna tafa við upptöku málsmeðferðarreglugerðarinnar í EES-samninginn.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 Fyrirséð er að þær tafir séu á enda og að tilbúið frumvarp megi leggja fram í mars 2019.</w:t>
                </w:r>
              </w:p>
              <w:p w:rsidR="009941D2" w:rsidRDefault="00941142" w:rsidP="00CE653B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:rsidR="00912D3D" w:rsidRPr="00912D3D" w:rsidRDefault="00912D3D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Stjórnvöld og dómstólar eru vel í stakk búin til að vinna eftir þeim 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ákvæðum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sem fyrirhugað er að leggja til. Skoðað verður hvort kynna þurfi 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fyrirhugaða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löggjöf 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fyrir stofnunum og dómstólum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til þess að fylgja eftir breytingunum sem og til að stuðla að fylgni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 þeirra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við lagaskyldur sem 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nú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þegar eru til staðar á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réttarsviðinu.</w:t>
                </w:r>
              </w:p>
              <w:p w:rsidR="009941D2" w:rsidRDefault="00133146" w:rsidP="00CE653B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12D3D" w:rsidRPr="00912D3D" w:rsidRDefault="00912D3D" w:rsidP="00912D3D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Starfsmenn stjórnsýslunnar 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og dómarar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þurfa að vera meðvitaðir um skyldur </w:t>
                </w:r>
                <w:r w:rsidR="002F6694">
                  <w:rPr>
                    <w:rFonts w:ascii="Times New Roman" w:hAnsi="Times New Roman" w:cs="Times New Roman"/>
                    <w:lang w:val="is-IS"/>
                  </w:rPr>
                  <w:t>sem leiða af EES-samningnum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Þær reglur sem fyrirhuguð löggjöf hefur að geyma eru einungis að hluta til nýmæli og </w:t>
                </w:r>
                <w:r w:rsidR="004557B6">
                  <w:rPr>
                    <w:rFonts w:ascii="Times New Roman" w:hAnsi="Times New Roman" w:cs="Times New Roman"/>
                    <w:lang w:val="is-IS"/>
                  </w:rPr>
                  <w:t xml:space="preserve">þau nýmæli munu ekki hafa </w:t>
                </w:r>
                <w:r w:rsidR="007360EA">
                  <w:rPr>
                    <w:rFonts w:ascii="Times New Roman" w:hAnsi="Times New Roman" w:cs="Times New Roman"/>
                    <w:lang w:val="is-IS"/>
                  </w:rPr>
                  <w:t xml:space="preserve">umtalsverðar </w:t>
                </w:r>
                <w:r w:rsidR="00DE436C">
                  <w:rPr>
                    <w:rFonts w:ascii="Times New Roman" w:hAnsi="Times New Roman" w:cs="Times New Roman"/>
                    <w:lang w:val="is-IS"/>
                  </w:rPr>
                  <w:t>breytingar í för með sér fyrir stjórnsýslu stjórnvalda eða dómstóla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>. Þá hafa reglurnar e</w:t>
                </w:r>
                <w:r w:rsidR="004557B6">
                  <w:rPr>
                    <w:rFonts w:ascii="Times New Roman" w:hAnsi="Times New Roman" w:cs="Times New Roman"/>
                    <w:lang w:val="is-IS"/>
                  </w:rPr>
                  <w:t>ngin áhrif á háttsemi einkaaðila</w:t>
                </w:r>
                <w:r w:rsidR="00DE436C">
                  <w:rPr>
                    <w:rFonts w:ascii="Times New Roman" w:hAnsi="Times New Roman" w:cs="Times New Roman"/>
                    <w:lang w:val="is-IS"/>
                  </w:rPr>
                  <w:t>, að því frátöldu að þeir geta í undantekningartilfellum þurft að bregðast við upplýsingabeiðnum frá ESA</w:t>
                </w:r>
                <w:r w:rsidR="004557B6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DE436C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360EA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DE436C">
                  <w:rPr>
                    <w:rFonts w:ascii="Times New Roman" w:hAnsi="Times New Roman" w:cs="Times New Roman"/>
                    <w:lang w:val="is-IS"/>
                  </w:rPr>
                  <w:t xml:space="preserve">kki </w:t>
                </w:r>
                <w:r w:rsidR="007360EA">
                  <w:rPr>
                    <w:rFonts w:ascii="Times New Roman" w:hAnsi="Times New Roman" w:cs="Times New Roman"/>
                    <w:lang w:val="is-IS"/>
                  </w:rPr>
                  <w:t xml:space="preserve">er 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því </w:t>
                </w:r>
                <w:r w:rsidR="00DE436C">
                  <w:rPr>
                    <w:rFonts w:ascii="Times New Roman" w:hAnsi="Times New Roman" w:cs="Times New Roman"/>
                    <w:lang w:val="is-IS"/>
                  </w:rPr>
                  <w:t xml:space="preserve">þörf á sérstökum undirbúningi </w:t>
                </w:r>
                <w:r w:rsidR="004557B6">
                  <w:rPr>
                    <w:rFonts w:ascii="Times New Roman" w:hAnsi="Times New Roman" w:cs="Times New Roman"/>
                    <w:lang w:val="is-IS"/>
                  </w:rPr>
                  <w:t>svo laga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softHyphen/>
                </w:r>
                <w:r w:rsidR="004557B6">
                  <w:rPr>
                    <w:rFonts w:ascii="Times New Roman" w:hAnsi="Times New Roman" w:cs="Times New Roman"/>
                    <w:lang w:val="is-IS"/>
                  </w:rPr>
                  <w:t>setningin beri árangur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645781" w:rsidRDefault="00645781" w:rsidP="00CE653B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:rsidR="004557B6" w:rsidRPr="004557B6" w:rsidRDefault="004557B6" w:rsidP="004557B6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4557B6">
                  <w:rPr>
                    <w:rFonts w:ascii="Times New Roman" w:hAnsi="Times New Roman" w:cs="Times New Roman"/>
                    <w:lang w:val="is-IS"/>
                  </w:rPr>
                  <w:t xml:space="preserve">Mun ekki gerast þörf, sbr. </w:t>
                </w:r>
                <w:r w:rsidR="00610BDB">
                  <w:rPr>
                    <w:rFonts w:ascii="Times New Roman" w:hAnsi="Times New Roman" w:cs="Times New Roman"/>
                    <w:lang w:val="is-IS"/>
                  </w:rPr>
                  <w:t xml:space="preserve">liður </w:t>
                </w:r>
                <w:r w:rsidRPr="004557B6">
                  <w:rPr>
                    <w:rFonts w:ascii="Times New Roman" w:hAnsi="Times New Roman" w:cs="Times New Roman"/>
                    <w:lang w:val="is-IS"/>
                  </w:rPr>
                  <w:t>3.</w:t>
                </w:r>
              </w:p>
              <w:p w:rsidR="004557B6" w:rsidRDefault="00941142" w:rsidP="00CE653B">
                <w:pPr>
                  <w:pStyle w:val="Listeafsnit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:rsidR="009941D2" w:rsidRPr="004557B6" w:rsidRDefault="004557B6" w:rsidP="004557B6">
                <w:pPr>
                  <w:spacing w:before="60" w:after="60"/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004557B6">
                  <w:rPr>
                    <w:rFonts w:ascii="Times New Roman" w:hAnsi="Times New Roman" w:cs="Times New Roman"/>
                    <w:lang w:val="is-IS"/>
                  </w:rPr>
                  <w:t xml:space="preserve">Mun ekki gerast þörf, sbr. </w:t>
                </w:r>
                <w:r w:rsidR="00610BDB">
                  <w:rPr>
                    <w:rFonts w:ascii="Times New Roman" w:hAnsi="Times New Roman" w:cs="Times New Roman"/>
                    <w:lang w:val="is-IS"/>
                  </w:rPr>
                  <w:t xml:space="preserve">liður </w:t>
                </w:r>
                <w:r w:rsidRPr="004557B6">
                  <w:rPr>
                    <w:rFonts w:ascii="Times New Roman" w:hAnsi="Times New Roman" w:cs="Times New Roman"/>
                    <w:lang w:val="is-IS"/>
                  </w:rPr>
                  <w:t>3.</w:t>
                </w:r>
              </w:p>
            </w:sdtContent>
          </w:sdt>
        </w:tc>
      </w:tr>
      <w:permEnd w:id="596523485"/>
      <w:tr w:rsidR="00E34B42" w:rsidRPr="00E34B42" w:rsidTr="00912D3D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E34B42" w:rsidRPr="00E34B42" w:rsidRDefault="00E34B42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798073397" w:edGrp="everyone" w:colFirst="0" w:colLast="0"/>
      <w:tr w:rsidR="00E34B42" w:rsidRPr="00E34B42" w:rsidTr="00912D3D">
        <w:trPr>
          <w:trHeight w:val="300"/>
        </w:trPr>
        <w:tc>
          <w:tcPr>
            <w:tcW w:w="9288" w:type="dxa"/>
          </w:tcPr>
          <w:p w:rsidR="00E34B42" w:rsidRPr="00E34B42" w:rsidRDefault="00A2154D" w:rsidP="00CE653B">
            <w:pPr>
              <w:spacing w:before="60" w:after="60"/>
              <w:ind w:left="426"/>
              <w:jc w:val="both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61815">
                  <w:rPr>
                    <w:rFonts w:ascii="Times New Roman" w:hAnsi="Times New Roman" w:cs="Times New Roman"/>
                    <w:lang w:val="is-IS"/>
                  </w:rPr>
                  <w:t xml:space="preserve">Áformin eru </w:t>
                </w:r>
                <w:r w:rsidR="00BE3E5A">
                  <w:rPr>
                    <w:rFonts w:ascii="Times New Roman" w:hAnsi="Times New Roman" w:cs="Times New Roman"/>
                    <w:lang w:val="is-IS"/>
                  </w:rPr>
                  <w:t>send</w:t>
                </w:r>
                <w:r w:rsidR="00F61815">
                  <w:rPr>
                    <w:rFonts w:ascii="Times New Roman" w:hAnsi="Times New Roman" w:cs="Times New Roman"/>
                    <w:lang w:val="is-IS"/>
                  </w:rPr>
                  <w:t xml:space="preserve"> út með fyrirvara um að reglugerð (ESB) 2015/1589 hefur ekki verið tekin upp í EES-samninginn og </w:t>
                </w:r>
                <w:r w:rsidR="00B96D74">
                  <w:rPr>
                    <w:rFonts w:ascii="Times New Roman" w:hAnsi="Times New Roman" w:cs="Times New Roman"/>
                    <w:lang w:val="is-IS"/>
                  </w:rPr>
                  <w:t xml:space="preserve">samsvarandi </w:t>
                </w:r>
                <w:r w:rsidR="00F61815">
                  <w:rPr>
                    <w:rFonts w:ascii="Times New Roman" w:hAnsi="Times New Roman" w:cs="Times New Roman"/>
                    <w:lang w:val="is-IS"/>
                  </w:rPr>
                  <w:t>breytingar á bókun 3 við SED ekki verið samþykktar.</w:t>
                </w:r>
              </w:sdtContent>
            </w:sdt>
          </w:p>
        </w:tc>
      </w:tr>
      <w:permEnd w:id="1798073397"/>
      <w:tr w:rsidR="00E34B42" w:rsidRPr="00E34B42" w:rsidTr="007414CB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:rsidR="00000C39" w:rsidRPr="00E34B42" w:rsidRDefault="00E34B42" w:rsidP="00CE653B">
            <w:pPr>
              <w:pStyle w:val="Listeafsnit"/>
              <w:numPr>
                <w:ilvl w:val="0"/>
                <w:numId w:val="1"/>
              </w:numPr>
              <w:spacing w:before="60" w:after="60"/>
              <w:ind w:left="426" w:hanging="284"/>
              <w:jc w:val="both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:rsidTr="007414CB">
        <w:trPr>
          <w:trHeight w:val="300"/>
        </w:trPr>
        <w:tc>
          <w:tcPr>
            <w:tcW w:w="9288" w:type="dxa"/>
          </w:tcPr>
          <w:permStart w:id="889077731" w:edGrp="everyone" w:colFirst="0" w:colLast="0" w:displacedByCustomXml="next"/>
          <w:sdt>
            <w:sdtPr>
              <w:rPr>
                <w:rFonts w:ascii="Times New Roman" w:hAnsi="Times New Roman" w:cs="Times New Roman"/>
                <w:lang w:val="is-IS"/>
              </w:rPr>
              <w:id w:val="1543943641"/>
            </w:sdtPr>
            <w:sdtEndPr>
              <w:rPr>
                <w:rFonts w:asciiTheme="minorHAnsi" w:hAnsiTheme="minorHAnsi" w:cstheme="minorBidi"/>
              </w:rPr>
            </w:sdtEndPr>
            <w:sdtContent>
              <w:p w:rsidR="00E34B42" w:rsidRPr="005A0C86" w:rsidRDefault="00E34B42" w:rsidP="00CE653B">
                <w:pPr>
                  <w:pStyle w:val="Listeafsnit"/>
                  <w:numPr>
                    <w:ilvl w:val="0"/>
                    <w:numId w:val="19"/>
                  </w:numPr>
                  <w:spacing w:before="60" w:after="60"/>
                  <w:ind w:left="709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A0C86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lagasetningar – </w:t>
                </w:r>
                <w:r w:rsidRPr="005A0C86">
                  <w:rPr>
                    <w:rFonts w:ascii="Times New Roman" w:hAnsi="Times New Roman" w:cs="Times New Roman"/>
                    <w:lang w:val="is-IS"/>
                  </w:rPr>
                  <w:t>Frummat, sbr. eyðublað</w:t>
                </w:r>
              </w:p>
              <w:p w:rsidR="004557B6" w:rsidRPr="005A0C86" w:rsidRDefault="00E34B42" w:rsidP="00CE653B">
                <w:pPr>
                  <w:pStyle w:val="Listeafsnit"/>
                  <w:numPr>
                    <w:ilvl w:val="0"/>
                    <w:numId w:val="19"/>
                  </w:numPr>
                  <w:spacing w:before="60" w:after="60"/>
                  <w:ind w:left="709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A0C86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  <w:p w:rsidR="005A0C86" w:rsidRPr="005A0C86" w:rsidRDefault="005A0C86" w:rsidP="004557B6">
                <w:pPr>
                  <w:pStyle w:val="Listeafsnit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A0C86">
                  <w:rPr>
                    <w:rFonts w:ascii="Times New Roman" w:hAnsi="Times New Roman" w:cs="Times New Roman"/>
                    <w:lang w:val="is-IS"/>
                  </w:rPr>
                  <w:t xml:space="preserve">Drög að þýðingu: </w:t>
                </w:r>
                <w:r w:rsidR="004557B6" w:rsidRPr="005A0C86">
                  <w:rPr>
                    <w:rFonts w:ascii="Times New Roman" w:hAnsi="Times New Roman" w:cs="Times New Roman"/>
                    <w:lang w:val="is-IS"/>
                  </w:rPr>
                  <w:t>Reglugerð</w:t>
                </w:r>
                <w:r w:rsidRPr="005A0C86">
                  <w:rPr>
                    <w:rFonts w:ascii="Times New Roman" w:hAnsi="Times New Roman" w:cs="Times New Roman"/>
                    <w:lang w:val="is-IS"/>
                  </w:rPr>
                  <w:t xml:space="preserve"> (ESB)</w:t>
                </w:r>
                <w:r w:rsidR="004557B6" w:rsidRPr="005A0C86">
                  <w:rPr>
                    <w:rFonts w:ascii="Times New Roman" w:hAnsi="Times New Roman" w:cs="Times New Roman"/>
                    <w:lang w:val="is-IS"/>
                  </w:rPr>
                  <w:t xml:space="preserve"> 2015/1589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frá 13. júlí 2015</w:t>
                </w:r>
                <w:r w:rsidR="002168DE">
                  <w:rPr>
                    <w:rFonts w:ascii="Times New Roman" w:hAnsi="Times New Roman" w:cs="Times New Roman"/>
                    <w:lang w:val="is-IS"/>
                  </w:rPr>
                  <w:t xml:space="preserve"> (málsmeðferðarreglugerðin - kerfisbinding</w:t>
                </w:r>
                <w:r w:rsidR="004557B6" w:rsidRPr="005A0C8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5A0C86" w:rsidRPr="005A0C86" w:rsidRDefault="005A0C86" w:rsidP="004557B6">
                <w:pPr>
                  <w:pStyle w:val="Listeafsnit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A0C86">
                  <w:rPr>
                    <w:rFonts w:ascii="Times New Roman" w:hAnsi="Times New Roman" w:cs="Times New Roman"/>
                    <w:lang w:val="is-IS"/>
                  </w:rPr>
                  <w:t>Drög að þýðingu: Reglugerð ráðsins (ESB) nr. 734/2013 frá 22. júlí 2013</w:t>
                </w:r>
                <w:r w:rsidR="002168DE">
                  <w:rPr>
                    <w:rFonts w:ascii="Times New Roman" w:hAnsi="Times New Roman" w:cs="Times New Roman"/>
                    <w:lang w:val="is-IS"/>
                  </w:rPr>
                  <w:t xml:space="preserve"> (málsmeðferðar</w:t>
                </w:r>
                <w:r w:rsidR="002168DE">
                  <w:rPr>
                    <w:rFonts w:ascii="Times New Roman" w:hAnsi="Times New Roman" w:cs="Times New Roman"/>
                    <w:lang w:val="is-IS"/>
                  </w:rPr>
                  <w:softHyphen/>
                  <w:t>reglu</w:t>
                </w:r>
                <w:r w:rsidR="002168DE">
                  <w:rPr>
                    <w:rFonts w:ascii="Times New Roman" w:hAnsi="Times New Roman" w:cs="Times New Roman"/>
                    <w:lang w:val="is-IS"/>
                  </w:rPr>
                  <w:softHyphen/>
                  <w:t>gerðin)</w:t>
                </w:r>
                <w:r w:rsidRPr="005A0C8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5A0C86" w:rsidRPr="005A0C86" w:rsidRDefault="005A0C86" w:rsidP="004557B6">
                <w:pPr>
                  <w:pStyle w:val="Listeafsnit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A0C86">
                  <w:rPr>
                    <w:rFonts w:ascii="Times New Roman" w:hAnsi="Times New Roman" w:cs="Times New Roman"/>
                    <w:lang w:val="is-IS"/>
                  </w:rPr>
                  <w:t>Efnisútdráttur vegna reglugerðar (ESB) nr. 734/2013.</w:t>
                </w:r>
              </w:p>
              <w:p w:rsidR="004557B6" w:rsidRPr="005A0C86" w:rsidRDefault="00F61815" w:rsidP="004557B6">
                <w:pPr>
                  <w:pStyle w:val="Listeafsnit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A0C86">
                  <w:rPr>
                    <w:rFonts w:ascii="Times New Roman" w:hAnsi="Times New Roman" w:cs="Times New Roman"/>
                    <w:lang w:val="is-IS"/>
                  </w:rPr>
                  <w:t>Bókun 3 við SED með fyrirhuguðum breytingum á ensku. Núgildandi b</w:t>
                </w:r>
                <w:r w:rsidR="004557B6" w:rsidRPr="005A0C86">
                  <w:rPr>
                    <w:rFonts w:ascii="Times New Roman" w:hAnsi="Times New Roman" w:cs="Times New Roman"/>
                    <w:lang w:val="is-IS"/>
                  </w:rPr>
                  <w:t>ókun 3 við SED</w:t>
                </w:r>
                <w:r w:rsidRPr="005A0C86">
                  <w:rPr>
                    <w:rFonts w:ascii="Times New Roman" w:hAnsi="Times New Roman" w:cs="Times New Roman"/>
                    <w:lang w:val="is-IS"/>
                  </w:rPr>
                  <w:t xml:space="preserve"> á íslensku</w:t>
                </w:r>
                <w:r w:rsidR="004557B6" w:rsidRPr="005A0C8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hyperlink r:id="rId10" w:history="1">
                  <w:r w:rsidR="004557B6" w:rsidRPr="005A0C86">
                    <w:rPr>
                      <w:rStyle w:val="Hyperlink"/>
                      <w:rFonts w:ascii="Times New Roman" w:hAnsi="Times New Roman" w:cs="Times New Roman"/>
                      <w:lang w:val="is-IS"/>
                    </w:rPr>
                    <w:t>er aðgengileg á vef Stjórnarráðsins</w:t>
                  </w:r>
                </w:hyperlink>
                <w:r w:rsidR="004557B6" w:rsidRPr="005A0C8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:rsidR="00F61815" w:rsidRPr="005A0C86" w:rsidRDefault="00F61815" w:rsidP="004557B6">
                <w:pPr>
                  <w:pStyle w:val="Listeafsnit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A0C86">
                  <w:rPr>
                    <w:rFonts w:ascii="Times New Roman" w:hAnsi="Times New Roman" w:cs="Times New Roman"/>
                    <w:lang w:val="is-IS"/>
                  </w:rPr>
                  <w:t>Yfirlit yfir meginefni fyrirhugaðs frumvarps.</w:t>
                </w:r>
              </w:p>
              <w:p w:rsidR="00000C39" w:rsidRPr="004557B6" w:rsidRDefault="00F61815" w:rsidP="004557B6">
                <w:pPr>
                  <w:pStyle w:val="Listeafsnit"/>
                  <w:numPr>
                    <w:ilvl w:val="0"/>
                    <w:numId w:val="22"/>
                  </w:numPr>
                  <w:spacing w:before="60" w:after="6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5A0C86">
                  <w:rPr>
                    <w:rFonts w:ascii="Times New Roman" w:hAnsi="Times New Roman" w:cs="Times New Roman"/>
                    <w:lang w:val="is-IS"/>
                  </w:rPr>
                  <w:t>Álitsgerð um stjórnskipuleg álitamál.</w:t>
                </w:r>
              </w:p>
            </w:sdtContent>
          </w:sdt>
        </w:tc>
      </w:tr>
      <w:permEnd w:id="889077731"/>
    </w:tbl>
    <w:p w:rsidR="00263F72" w:rsidRPr="00E34B42" w:rsidRDefault="00263F72" w:rsidP="00CE653B">
      <w:pPr>
        <w:jc w:val="both"/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4D" w:rsidRDefault="00A2154D" w:rsidP="007478E0">
      <w:pPr>
        <w:spacing w:after="0" w:line="240" w:lineRule="auto"/>
      </w:pPr>
      <w:r>
        <w:separator/>
      </w:r>
    </w:p>
  </w:endnote>
  <w:endnote w:type="continuationSeparator" w:id="0">
    <w:p w:rsidR="00A2154D" w:rsidRDefault="00A2154D" w:rsidP="007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534" w:rsidRDefault="001C0534" w:rsidP="002A478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52" w:rsidRPr="00E91052">
          <w:rPr>
            <w:noProof/>
            <w:lang w:val="is-IS"/>
          </w:rPr>
          <w:t>3</w:t>
        </w:r>
        <w:r>
          <w:rPr>
            <w:noProof/>
          </w:rPr>
          <w:fldChar w:fldCharType="end"/>
        </w:r>
      </w:p>
    </w:sdtContent>
  </w:sdt>
  <w:p w:rsidR="001C0534" w:rsidRPr="00063E97" w:rsidRDefault="001C0534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 af sniðmáti áformaskjals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4D" w:rsidRDefault="00A2154D" w:rsidP="007478E0">
      <w:pPr>
        <w:spacing w:after="0" w:line="240" w:lineRule="auto"/>
      </w:pPr>
      <w:r>
        <w:separator/>
      </w:r>
    </w:p>
  </w:footnote>
  <w:footnote w:type="continuationSeparator" w:id="0">
    <w:p w:rsidR="00A2154D" w:rsidRDefault="00A2154D" w:rsidP="007478E0">
      <w:pPr>
        <w:spacing w:after="0" w:line="240" w:lineRule="auto"/>
      </w:pPr>
      <w:r>
        <w:continuationSeparator/>
      </w:r>
    </w:p>
  </w:footnote>
  <w:footnote w:id="1">
    <w:p w:rsidR="001C0534" w:rsidRPr="00D75930" w:rsidRDefault="001C0534">
      <w:pPr>
        <w:pStyle w:val="Fodnotetekst"/>
        <w:rPr>
          <w:rFonts w:ascii="Times New Roman" w:hAnsi="Times New Roman" w:cs="Times New Roman"/>
          <w:sz w:val="18"/>
          <w:szCs w:val="18"/>
          <w:lang w:val="is-IS"/>
        </w:rPr>
      </w:pPr>
      <w:r w:rsidRPr="00D75930">
        <w:rPr>
          <w:rStyle w:val="Fodnotehenvisning"/>
          <w:rFonts w:ascii="Times New Roman" w:hAnsi="Times New Roman" w:cs="Times New Roman"/>
          <w:sz w:val="18"/>
          <w:szCs w:val="18"/>
          <w:lang w:val="is-IS"/>
        </w:rPr>
        <w:footnoteRef/>
      </w:r>
      <w:r w:rsidRPr="00D75930">
        <w:rPr>
          <w:rFonts w:ascii="Times New Roman" w:hAnsi="Times New Roman" w:cs="Times New Roman"/>
          <w:sz w:val="18"/>
          <w:szCs w:val="18"/>
          <w:lang w:val="is-IS"/>
        </w:rPr>
        <w:t xml:space="preserve"> Með kerfisbindingu er gerð og síðari breytingar á henni sameinaðar í nýja gerð.</w:t>
      </w:r>
    </w:p>
  </w:footnote>
  <w:footnote w:id="2">
    <w:p w:rsidR="001C0534" w:rsidRPr="001C0534" w:rsidRDefault="001C0534">
      <w:pPr>
        <w:pStyle w:val="Fodnotetekst"/>
        <w:rPr>
          <w:lang w:val="is-IS"/>
        </w:rPr>
      </w:pPr>
      <w:r>
        <w:rPr>
          <w:rStyle w:val="Fodnotehenvisning"/>
        </w:rPr>
        <w:footnoteRef/>
      </w:r>
      <w:r w:rsidRPr="001C0534">
        <w:rPr>
          <w:lang w:val="is-IS"/>
        </w:rPr>
        <w:t xml:space="preserve"> </w:t>
      </w:r>
      <w:r w:rsidRPr="001C0534">
        <w:rPr>
          <w:rFonts w:ascii="Times New Roman" w:hAnsi="Times New Roman" w:cs="Times New Roman"/>
          <w:sz w:val="18"/>
          <w:szCs w:val="18"/>
          <w:lang w:val="is-IS"/>
        </w:rPr>
        <w:t xml:space="preserve">Sjá nánar á vef </w:t>
      </w:r>
      <w:r>
        <w:rPr>
          <w:rFonts w:ascii="Times New Roman" w:hAnsi="Times New Roman" w:cs="Times New Roman"/>
          <w:sz w:val="18"/>
          <w:szCs w:val="18"/>
          <w:lang w:val="is-IS"/>
        </w:rPr>
        <w:t>Stjórnarráðsins</w:t>
      </w:r>
      <w:r w:rsidRPr="001C0534">
        <w:rPr>
          <w:rFonts w:ascii="Times New Roman" w:hAnsi="Times New Roman" w:cs="Times New Roman"/>
          <w:sz w:val="18"/>
          <w:szCs w:val="18"/>
          <w:lang w:val="is-IS"/>
        </w:rPr>
        <w:t xml:space="preserve">: </w:t>
      </w:r>
      <w:hyperlink r:id="rId1" w:history="1">
        <w:r w:rsidRPr="001C0534">
          <w:rPr>
            <w:rStyle w:val="Hyperlink"/>
            <w:rFonts w:ascii="Times New Roman" w:hAnsi="Times New Roman" w:cs="Times New Roman"/>
            <w:sz w:val="18"/>
            <w:szCs w:val="18"/>
            <w:lang w:val="is-IS"/>
          </w:rPr>
          <w:t>https://www.stjornarradid.is/verkefni/atvinnuvegir/rikisadstod/</w:t>
        </w:r>
      </w:hyperlink>
      <w:r w:rsidRPr="001C0534">
        <w:rPr>
          <w:rFonts w:ascii="Times New Roman" w:hAnsi="Times New Roman" w:cs="Times New Roman"/>
          <w:sz w:val="18"/>
          <w:szCs w:val="18"/>
          <w:lang w:val="is-IS"/>
        </w:rPr>
        <w:t xml:space="preserve"> </w:t>
      </w:r>
    </w:p>
  </w:footnote>
  <w:footnote w:id="3">
    <w:p w:rsidR="001C0534" w:rsidRPr="00BF4C69" w:rsidRDefault="001C0534">
      <w:pPr>
        <w:pStyle w:val="Fodnotetekst"/>
        <w:rPr>
          <w:lang w:val="is-IS"/>
        </w:rPr>
      </w:pPr>
      <w:r>
        <w:rPr>
          <w:rStyle w:val="Fodnotehenvisning"/>
        </w:rPr>
        <w:footnoteRef/>
      </w:r>
      <w:r w:rsidRPr="00BF4C69">
        <w:rPr>
          <w:rFonts w:ascii="Times New Roman" w:hAnsi="Times New Roman" w:cs="Times New Roman"/>
          <w:sz w:val="18"/>
          <w:szCs w:val="18"/>
          <w:lang w:val="is-IS"/>
        </w:rPr>
        <w:t xml:space="preserve"> </w:t>
      </w:r>
      <w:r w:rsidRPr="00BF4C69">
        <w:rPr>
          <w:rFonts w:ascii="Times New Roman" w:hAnsi="Times New Roman" w:cs="Times New Roman"/>
          <w:sz w:val="18"/>
          <w:szCs w:val="18"/>
          <w:lang w:val="is-IS"/>
        </w:rPr>
        <w:t>Samanber nú „5. gr. ferli“</w:t>
      </w:r>
      <w:r>
        <w:rPr>
          <w:rFonts w:ascii="Times New Roman" w:hAnsi="Times New Roman" w:cs="Times New Roman"/>
          <w:sz w:val="18"/>
          <w:szCs w:val="18"/>
          <w:lang w:val="is-IS"/>
        </w:rPr>
        <w:t xml:space="preserve"> (m</w:t>
      </w:r>
      <w:r w:rsidRPr="00BF4C69">
        <w:rPr>
          <w:rFonts w:ascii="Times New Roman" w:hAnsi="Times New Roman" w:cs="Times New Roman"/>
          <w:sz w:val="18"/>
          <w:szCs w:val="18"/>
          <w:lang w:val="is-IS"/>
        </w:rPr>
        <w:t>eðferð ESB-gerða sem háðar eru samþykki Alþingis</w:t>
      </w:r>
      <w:r>
        <w:rPr>
          <w:rFonts w:ascii="Times New Roman" w:hAnsi="Times New Roman" w:cs="Times New Roman"/>
          <w:sz w:val="18"/>
          <w:szCs w:val="18"/>
          <w:lang w:val="is-IS"/>
        </w:rPr>
        <w:t>)</w:t>
      </w:r>
      <w:r w:rsidRPr="00BF4C69">
        <w:rPr>
          <w:rFonts w:ascii="Times New Roman" w:hAnsi="Times New Roman" w:cs="Times New Roman"/>
          <w:sz w:val="18"/>
          <w:szCs w:val="18"/>
          <w:lang w:val="is-IS"/>
        </w:rPr>
        <w:t xml:space="preserve"> samkvæmt reglum Alþingis um þinglega meðferð EES-mála, sem endurskoðaðar voru í ágúst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E63A1"/>
    <w:multiLevelType w:val="hybridMultilevel"/>
    <w:tmpl w:val="ACEECEE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1B6977"/>
    <w:multiLevelType w:val="hybridMultilevel"/>
    <w:tmpl w:val="8EC6CC06"/>
    <w:lvl w:ilvl="0" w:tplc="91E6C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1"/>
  </w:num>
  <w:num w:numId="5">
    <w:abstractNumId w:val="17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19"/>
  </w:num>
  <w:num w:numId="12">
    <w:abstractNumId w:val="20"/>
  </w:num>
  <w:num w:numId="13">
    <w:abstractNumId w:val="2"/>
  </w:num>
  <w:num w:numId="14">
    <w:abstractNumId w:val="3"/>
  </w:num>
  <w:num w:numId="15">
    <w:abstractNumId w:val="22"/>
  </w:num>
  <w:num w:numId="16">
    <w:abstractNumId w:val="0"/>
  </w:num>
  <w:num w:numId="17">
    <w:abstractNumId w:val="6"/>
  </w:num>
  <w:num w:numId="18">
    <w:abstractNumId w:val="16"/>
  </w:num>
  <w:num w:numId="19">
    <w:abstractNumId w:val="12"/>
  </w:num>
  <w:num w:numId="20">
    <w:abstractNumId w:val="4"/>
  </w:num>
  <w:num w:numId="21">
    <w:abstractNumId w:val="8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22C7"/>
    <w:rsid w:val="00043E61"/>
    <w:rsid w:val="00050DAE"/>
    <w:rsid w:val="00051DC6"/>
    <w:rsid w:val="00057189"/>
    <w:rsid w:val="00063E97"/>
    <w:rsid w:val="00081ED8"/>
    <w:rsid w:val="000829E4"/>
    <w:rsid w:val="0008494B"/>
    <w:rsid w:val="00095786"/>
    <w:rsid w:val="00096B1D"/>
    <w:rsid w:val="000977B3"/>
    <w:rsid w:val="000A6F9C"/>
    <w:rsid w:val="000A7176"/>
    <w:rsid w:val="000C58BD"/>
    <w:rsid w:val="000D6E33"/>
    <w:rsid w:val="000E1312"/>
    <w:rsid w:val="000E34DF"/>
    <w:rsid w:val="00100138"/>
    <w:rsid w:val="00104822"/>
    <w:rsid w:val="0012646E"/>
    <w:rsid w:val="00126525"/>
    <w:rsid w:val="00133146"/>
    <w:rsid w:val="00135B40"/>
    <w:rsid w:val="0013710B"/>
    <w:rsid w:val="00143B7A"/>
    <w:rsid w:val="00144512"/>
    <w:rsid w:val="00163631"/>
    <w:rsid w:val="00176943"/>
    <w:rsid w:val="00187E36"/>
    <w:rsid w:val="001928E6"/>
    <w:rsid w:val="001972B9"/>
    <w:rsid w:val="001C0534"/>
    <w:rsid w:val="001D117E"/>
    <w:rsid w:val="001D3ED8"/>
    <w:rsid w:val="001D5BCE"/>
    <w:rsid w:val="001E2499"/>
    <w:rsid w:val="001E7950"/>
    <w:rsid w:val="001F1687"/>
    <w:rsid w:val="001F2301"/>
    <w:rsid w:val="001F7268"/>
    <w:rsid w:val="002115E6"/>
    <w:rsid w:val="0021293B"/>
    <w:rsid w:val="002168DE"/>
    <w:rsid w:val="00242342"/>
    <w:rsid w:val="00244F3D"/>
    <w:rsid w:val="00251D26"/>
    <w:rsid w:val="00263F72"/>
    <w:rsid w:val="0026420F"/>
    <w:rsid w:val="002666DE"/>
    <w:rsid w:val="002704D7"/>
    <w:rsid w:val="00271AEB"/>
    <w:rsid w:val="00281D86"/>
    <w:rsid w:val="002A4788"/>
    <w:rsid w:val="002A54E0"/>
    <w:rsid w:val="002A6E9C"/>
    <w:rsid w:val="002B2EBC"/>
    <w:rsid w:val="002B70B7"/>
    <w:rsid w:val="002C0417"/>
    <w:rsid w:val="002C573F"/>
    <w:rsid w:val="002C76B6"/>
    <w:rsid w:val="002D4FA8"/>
    <w:rsid w:val="002E79CE"/>
    <w:rsid w:val="002F6694"/>
    <w:rsid w:val="003025EB"/>
    <w:rsid w:val="00311838"/>
    <w:rsid w:val="00314679"/>
    <w:rsid w:val="00335A2A"/>
    <w:rsid w:val="00350CD3"/>
    <w:rsid w:val="0035270D"/>
    <w:rsid w:val="00364D97"/>
    <w:rsid w:val="003821A7"/>
    <w:rsid w:val="003A1821"/>
    <w:rsid w:val="003B784E"/>
    <w:rsid w:val="003D01BF"/>
    <w:rsid w:val="003D1515"/>
    <w:rsid w:val="003E270A"/>
    <w:rsid w:val="003E611E"/>
    <w:rsid w:val="00403139"/>
    <w:rsid w:val="0043227F"/>
    <w:rsid w:val="00441AD0"/>
    <w:rsid w:val="00450029"/>
    <w:rsid w:val="00451723"/>
    <w:rsid w:val="004557B6"/>
    <w:rsid w:val="00465D52"/>
    <w:rsid w:val="0047580A"/>
    <w:rsid w:val="00480BB0"/>
    <w:rsid w:val="00482BDF"/>
    <w:rsid w:val="00487327"/>
    <w:rsid w:val="004978E5"/>
    <w:rsid w:val="004A515F"/>
    <w:rsid w:val="004B4FDB"/>
    <w:rsid w:val="004E0322"/>
    <w:rsid w:val="004E4F53"/>
    <w:rsid w:val="004F0024"/>
    <w:rsid w:val="004F142F"/>
    <w:rsid w:val="004F1C38"/>
    <w:rsid w:val="004F5331"/>
    <w:rsid w:val="00532D45"/>
    <w:rsid w:val="00535EC4"/>
    <w:rsid w:val="00542586"/>
    <w:rsid w:val="005641B1"/>
    <w:rsid w:val="00564856"/>
    <w:rsid w:val="00592E19"/>
    <w:rsid w:val="005A0C86"/>
    <w:rsid w:val="005B46C8"/>
    <w:rsid w:val="005C123A"/>
    <w:rsid w:val="005C1678"/>
    <w:rsid w:val="005C5DEB"/>
    <w:rsid w:val="005E51EA"/>
    <w:rsid w:val="005E6791"/>
    <w:rsid w:val="005F54F9"/>
    <w:rsid w:val="006053FE"/>
    <w:rsid w:val="00610BDB"/>
    <w:rsid w:val="00614066"/>
    <w:rsid w:val="00614FAD"/>
    <w:rsid w:val="00631C8F"/>
    <w:rsid w:val="00645781"/>
    <w:rsid w:val="00670F44"/>
    <w:rsid w:val="0067599D"/>
    <w:rsid w:val="00676A80"/>
    <w:rsid w:val="00683957"/>
    <w:rsid w:val="00694183"/>
    <w:rsid w:val="006960C1"/>
    <w:rsid w:val="00697B19"/>
    <w:rsid w:val="006C5CA8"/>
    <w:rsid w:val="006C6EA3"/>
    <w:rsid w:val="006D5876"/>
    <w:rsid w:val="006D76C1"/>
    <w:rsid w:val="006F0215"/>
    <w:rsid w:val="006F2947"/>
    <w:rsid w:val="006F4B26"/>
    <w:rsid w:val="00700AB1"/>
    <w:rsid w:val="0070199A"/>
    <w:rsid w:val="00704B91"/>
    <w:rsid w:val="0070586C"/>
    <w:rsid w:val="00730F7B"/>
    <w:rsid w:val="00731AD2"/>
    <w:rsid w:val="007360EA"/>
    <w:rsid w:val="007365C0"/>
    <w:rsid w:val="007414CB"/>
    <w:rsid w:val="007478E0"/>
    <w:rsid w:val="007822E4"/>
    <w:rsid w:val="0078460B"/>
    <w:rsid w:val="00795B16"/>
    <w:rsid w:val="00796FBB"/>
    <w:rsid w:val="007A02FD"/>
    <w:rsid w:val="007B71B2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4EC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2D3D"/>
    <w:rsid w:val="00914F93"/>
    <w:rsid w:val="0091519C"/>
    <w:rsid w:val="00923554"/>
    <w:rsid w:val="00924A00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2154D"/>
    <w:rsid w:val="00A30C51"/>
    <w:rsid w:val="00A45BCE"/>
    <w:rsid w:val="00A51298"/>
    <w:rsid w:val="00A559ED"/>
    <w:rsid w:val="00A6722A"/>
    <w:rsid w:val="00A77160"/>
    <w:rsid w:val="00A92F9D"/>
    <w:rsid w:val="00AA2EFD"/>
    <w:rsid w:val="00AB6357"/>
    <w:rsid w:val="00AB6474"/>
    <w:rsid w:val="00AB7771"/>
    <w:rsid w:val="00AB7B39"/>
    <w:rsid w:val="00AB7DCB"/>
    <w:rsid w:val="00AC1AE9"/>
    <w:rsid w:val="00AC36C6"/>
    <w:rsid w:val="00AC47A3"/>
    <w:rsid w:val="00AE50E5"/>
    <w:rsid w:val="00B01FF3"/>
    <w:rsid w:val="00B339AF"/>
    <w:rsid w:val="00B3771A"/>
    <w:rsid w:val="00B44C60"/>
    <w:rsid w:val="00B50990"/>
    <w:rsid w:val="00B648B0"/>
    <w:rsid w:val="00B65214"/>
    <w:rsid w:val="00B863E2"/>
    <w:rsid w:val="00B96D74"/>
    <w:rsid w:val="00BA1F90"/>
    <w:rsid w:val="00BA4BB1"/>
    <w:rsid w:val="00BA5089"/>
    <w:rsid w:val="00BB2B30"/>
    <w:rsid w:val="00BE1D1C"/>
    <w:rsid w:val="00BE3E5A"/>
    <w:rsid w:val="00BF3B4A"/>
    <w:rsid w:val="00BF4C69"/>
    <w:rsid w:val="00BF5ACD"/>
    <w:rsid w:val="00C10C94"/>
    <w:rsid w:val="00C171B2"/>
    <w:rsid w:val="00C209C4"/>
    <w:rsid w:val="00C22E8B"/>
    <w:rsid w:val="00C24145"/>
    <w:rsid w:val="00C403FA"/>
    <w:rsid w:val="00C412C9"/>
    <w:rsid w:val="00C454D6"/>
    <w:rsid w:val="00C5037E"/>
    <w:rsid w:val="00C61306"/>
    <w:rsid w:val="00C67F5E"/>
    <w:rsid w:val="00C7397C"/>
    <w:rsid w:val="00C85A7A"/>
    <w:rsid w:val="00CA3381"/>
    <w:rsid w:val="00CC774F"/>
    <w:rsid w:val="00CD60E4"/>
    <w:rsid w:val="00CE190D"/>
    <w:rsid w:val="00CE653B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62AAC"/>
    <w:rsid w:val="00D62CC3"/>
    <w:rsid w:val="00D63ED7"/>
    <w:rsid w:val="00D75930"/>
    <w:rsid w:val="00D87B33"/>
    <w:rsid w:val="00D913A8"/>
    <w:rsid w:val="00DA4633"/>
    <w:rsid w:val="00DB645F"/>
    <w:rsid w:val="00DC4A56"/>
    <w:rsid w:val="00DD7EA1"/>
    <w:rsid w:val="00DE436C"/>
    <w:rsid w:val="00DF2AA7"/>
    <w:rsid w:val="00E02D04"/>
    <w:rsid w:val="00E17DA4"/>
    <w:rsid w:val="00E231B6"/>
    <w:rsid w:val="00E31C26"/>
    <w:rsid w:val="00E34B42"/>
    <w:rsid w:val="00E57920"/>
    <w:rsid w:val="00E664C8"/>
    <w:rsid w:val="00E67F09"/>
    <w:rsid w:val="00E71099"/>
    <w:rsid w:val="00E832C9"/>
    <w:rsid w:val="00E8379D"/>
    <w:rsid w:val="00E91052"/>
    <w:rsid w:val="00EA460C"/>
    <w:rsid w:val="00EC00B6"/>
    <w:rsid w:val="00F11058"/>
    <w:rsid w:val="00F1178E"/>
    <w:rsid w:val="00F51F2D"/>
    <w:rsid w:val="00F53816"/>
    <w:rsid w:val="00F553D3"/>
    <w:rsid w:val="00F60EE8"/>
    <w:rsid w:val="00F61815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08C05"/>
  <w15:docId w15:val="{58131114-737D-4F57-87DE-5D3C35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63F7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365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65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65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Korrektur">
    <w:name w:val="Revision"/>
    <w:hidden/>
    <w:uiPriority w:val="99"/>
    <w:semiHidden/>
    <w:rsid w:val="00C412C9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78E0"/>
  </w:style>
  <w:style w:type="paragraph" w:styleId="Sidefod">
    <w:name w:val="footer"/>
    <w:basedOn w:val="Normal"/>
    <w:link w:val="SidefodTegn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78E0"/>
  </w:style>
  <w:style w:type="character" w:styleId="Pladsholdertekst">
    <w:name w:val="Placeholder Text"/>
    <w:basedOn w:val="Standardskrifttypeiafsnit"/>
    <w:uiPriority w:val="99"/>
    <w:semiHidden/>
    <w:rsid w:val="002A4788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912D3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12D3D"/>
    <w:rPr>
      <w:color w:val="808080"/>
      <w:shd w:val="clear" w:color="auto" w:fill="E6E6E6"/>
    </w:rPr>
  </w:style>
  <w:style w:type="paragraph" w:customStyle="1" w:styleId="Typedudocument">
    <w:name w:val="Type du document"/>
    <w:basedOn w:val="Normal"/>
    <w:next w:val="Datedadoption"/>
    <w:uiPriority w:val="99"/>
    <w:rsid w:val="005A0C86"/>
    <w:pPr>
      <w:widowControl w:val="0"/>
      <w:suppressAutoHyphens/>
      <w:autoSpaceDE w:val="0"/>
      <w:autoSpaceDN w:val="0"/>
      <w:adjustRightInd w:val="0"/>
      <w:spacing w:before="360" w:after="0" w:line="288" w:lineRule="auto"/>
      <w:jc w:val="center"/>
      <w:textAlignment w:val="center"/>
    </w:pPr>
    <w:rPr>
      <w:rFonts w:ascii="TimesNewRomanPS-BoldMT" w:eastAsia="Times New Roman" w:hAnsi="TimesNewRomanPS-BoldMT" w:cs="TimesNewRomanPS-BoldMT"/>
      <w:b/>
      <w:bCs/>
      <w:color w:val="000000"/>
      <w:sz w:val="24"/>
      <w:szCs w:val="24"/>
      <w:lang w:val="is-IS"/>
    </w:rPr>
  </w:style>
  <w:style w:type="paragraph" w:customStyle="1" w:styleId="Datedadoption">
    <w:name w:val="Date d'adoption"/>
    <w:basedOn w:val="Normal"/>
    <w:next w:val="Normal"/>
    <w:uiPriority w:val="99"/>
    <w:rsid w:val="005A0C86"/>
    <w:pPr>
      <w:widowControl w:val="0"/>
      <w:suppressAutoHyphens/>
      <w:autoSpaceDE w:val="0"/>
      <w:autoSpaceDN w:val="0"/>
      <w:adjustRightInd w:val="0"/>
      <w:spacing w:before="360" w:after="0" w:line="288" w:lineRule="auto"/>
      <w:jc w:val="center"/>
      <w:textAlignment w:val="center"/>
    </w:pPr>
    <w:rPr>
      <w:rFonts w:ascii="TimesNewRomanPS-BoldMT" w:eastAsia="Times New Roman" w:hAnsi="TimesNewRomanPS-BoldMT" w:cs="TimesNewRomanPS-BoldMT"/>
      <w:b/>
      <w:bCs/>
      <w:color w:val="000000"/>
      <w:sz w:val="24"/>
      <w:szCs w:val="24"/>
      <w:lang w:val="is-I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7593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7593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75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jornarradid.is/lisalib/getfile.aspx?itemid=329561b6-04de-11e8-9423-005056bc4d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competition/consultations/2012_state_aid_reform_procedures/index_en.htm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jornarradid.is/verkefni/atvinnuvegir/rikisadstod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09ADF51730784E089BA9ABDBD938A738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3EDFD3A3-B75B-4DD1-B990-247A0E2F7E51}"/>
      </w:docPartPr>
      <w:docPartBody>
        <w:p w:rsidR="0020402D" w:rsidRDefault="0020402D" w:rsidP="0020402D">
          <w:pPr>
            <w:pStyle w:val="09ADF51730784E089BA9ABDBD938A738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20402D"/>
    <w:rsid w:val="00227D39"/>
    <w:rsid w:val="00261A33"/>
    <w:rsid w:val="00286EC5"/>
    <w:rsid w:val="002A3015"/>
    <w:rsid w:val="002C7EC4"/>
    <w:rsid w:val="002F7912"/>
    <w:rsid w:val="003044D5"/>
    <w:rsid w:val="003742E6"/>
    <w:rsid w:val="00403D8B"/>
    <w:rsid w:val="00466D79"/>
    <w:rsid w:val="005177D2"/>
    <w:rsid w:val="00545817"/>
    <w:rsid w:val="0057537A"/>
    <w:rsid w:val="0057734A"/>
    <w:rsid w:val="0062144B"/>
    <w:rsid w:val="00640000"/>
    <w:rsid w:val="00651AC2"/>
    <w:rsid w:val="006763C8"/>
    <w:rsid w:val="006B17C6"/>
    <w:rsid w:val="006F1B63"/>
    <w:rsid w:val="0070759F"/>
    <w:rsid w:val="00757EF8"/>
    <w:rsid w:val="00805AC3"/>
    <w:rsid w:val="008844FF"/>
    <w:rsid w:val="008E61E5"/>
    <w:rsid w:val="00940263"/>
    <w:rsid w:val="009F53A8"/>
    <w:rsid w:val="00AF12E0"/>
    <w:rsid w:val="00BF028E"/>
    <w:rsid w:val="00DE4646"/>
    <w:rsid w:val="00DE681D"/>
    <w:rsid w:val="00E424E4"/>
    <w:rsid w:val="00E641C6"/>
    <w:rsid w:val="00E65895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61E5"/>
    <w:rPr>
      <w:color w:val="808080"/>
    </w:rPr>
  </w:style>
  <w:style w:type="paragraph" w:customStyle="1" w:styleId="989DFBCCEE2B4716939E98EB7D8209B3">
    <w:name w:val="989DFBCCEE2B4716939E98EB7D8209B3"/>
    <w:rsid w:val="001A3FD6"/>
    <w:pPr>
      <w:spacing w:after="200" w:line="276" w:lineRule="auto"/>
    </w:pPr>
  </w:style>
  <w:style w:type="paragraph" w:customStyle="1" w:styleId="66A4A956BB4C40648F9625A8656865F2">
    <w:name w:val="66A4A956BB4C40648F9625A8656865F2"/>
    <w:rsid w:val="001A3FD6"/>
    <w:pPr>
      <w:spacing w:after="200" w:line="276" w:lineRule="auto"/>
    </w:pPr>
  </w:style>
  <w:style w:type="paragraph" w:customStyle="1" w:styleId="470DAB67690247F5B3D348455B95B3E8">
    <w:name w:val="470DAB67690247F5B3D348455B95B3E8"/>
    <w:rsid w:val="001A3FD6"/>
    <w:pPr>
      <w:spacing w:after="200" w:line="276" w:lineRule="auto"/>
    </w:pPr>
  </w:style>
  <w:style w:type="paragraph" w:customStyle="1" w:styleId="9A56F9AB7CCD4549A6CA16A3FEEC0689">
    <w:name w:val="9A56F9AB7CCD4549A6CA16A3FEEC0689"/>
    <w:rsid w:val="001A3FD6"/>
    <w:pPr>
      <w:spacing w:after="200" w:line="276" w:lineRule="auto"/>
    </w:pPr>
  </w:style>
  <w:style w:type="paragraph" w:customStyle="1" w:styleId="0D1169009DB4468F85DA85F98F7A77D3">
    <w:name w:val="0D1169009DB4468F85DA85F98F7A77D3"/>
    <w:rsid w:val="001A3FD6"/>
    <w:pPr>
      <w:spacing w:after="200" w:line="276" w:lineRule="auto"/>
    </w:pPr>
  </w:style>
  <w:style w:type="paragraph" w:customStyle="1" w:styleId="59ECA213D62B46BBB4429486F301D669">
    <w:name w:val="59ECA213D62B46BBB4429486F301D669"/>
    <w:rsid w:val="001A3FD6"/>
    <w:pPr>
      <w:spacing w:after="200" w:line="276" w:lineRule="auto"/>
    </w:pPr>
  </w:style>
  <w:style w:type="paragraph" w:customStyle="1" w:styleId="6EE68C1085104ABD8751DBDC0C76416D">
    <w:name w:val="6EE68C1085104ABD8751DBDC0C76416D"/>
    <w:rsid w:val="001A3FD6"/>
    <w:pPr>
      <w:spacing w:after="200" w:line="276" w:lineRule="auto"/>
    </w:pPr>
  </w:style>
  <w:style w:type="paragraph" w:customStyle="1" w:styleId="B7AFA68927474ACF81B65D638991D4DC">
    <w:name w:val="B7AFA68927474ACF81B65D638991D4DC"/>
    <w:rsid w:val="001A3FD6"/>
    <w:pPr>
      <w:spacing w:after="200" w:line="276" w:lineRule="auto"/>
    </w:pPr>
  </w:style>
  <w:style w:type="paragraph" w:customStyle="1" w:styleId="BBB7EB1301364A3C9BF8A2462CEA0BAE">
    <w:name w:val="BBB7EB1301364A3C9BF8A2462CEA0BAE"/>
    <w:rsid w:val="001A3FD6"/>
    <w:pPr>
      <w:spacing w:after="200" w:line="276" w:lineRule="auto"/>
    </w:pPr>
  </w:style>
  <w:style w:type="paragraph" w:customStyle="1" w:styleId="A4C5DD6DF19F487BBBDAE722CD48A440">
    <w:name w:val="A4C5DD6DF19F487BBBDAE722CD48A440"/>
    <w:rsid w:val="001A3FD6"/>
    <w:pPr>
      <w:spacing w:after="200" w:line="276" w:lineRule="auto"/>
    </w:pPr>
  </w:style>
  <w:style w:type="paragraph" w:customStyle="1" w:styleId="0E443C075E8941B485E0A56463036D3C">
    <w:name w:val="0E443C075E8941B485E0A56463036D3C"/>
    <w:rsid w:val="001A3FD6"/>
    <w:pPr>
      <w:spacing w:after="200" w:line="276" w:lineRule="auto"/>
    </w:pPr>
  </w:style>
  <w:style w:type="paragraph" w:customStyle="1" w:styleId="D0DB553743D64D5DB76E6747338CCC06">
    <w:name w:val="D0DB553743D64D5DB76E6747338CCC06"/>
    <w:rsid w:val="001A3FD6"/>
    <w:pPr>
      <w:spacing w:after="200" w:line="276" w:lineRule="auto"/>
    </w:pPr>
  </w:style>
  <w:style w:type="paragraph" w:customStyle="1" w:styleId="1DEBDE67DE1F4C878E51B1670CA5EED6">
    <w:name w:val="1DEBDE67DE1F4C878E51B1670CA5EED6"/>
    <w:rsid w:val="001A3FD6"/>
    <w:pPr>
      <w:spacing w:after="200" w:line="276" w:lineRule="auto"/>
    </w:pPr>
  </w:style>
  <w:style w:type="paragraph" w:customStyle="1" w:styleId="574D9CA5B7164A7791E604CF5CEB8CFD">
    <w:name w:val="574D9CA5B7164A7791E604CF5CEB8CFD"/>
    <w:rsid w:val="001A3FD6"/>
    <w:pPr>
      <w:spacing w:after="200" w:line="276" w:lineRule="auto"/>
    </w:pPr>
  </w:style>
  <w:style w:type="paragraph" w:customStyle="1" w:styleId="601CB8803B234A8AA993C7E62954479B">
    <w:name w:val="601CB8803B234A8AA993C7E62954479B"/>
    <w:rsid w:val="001A3FD6"/>
    <w:pPr>
      <w:spacing w:after="200" w:line="276" w:lineRule="auto"/>
    </w:pPr>
  </w:style>
  <w:style w:type="paragraph" w:customStyle="1" w:styleId="6B819FD28D9E4E19A0D9C3959C6FC203">
    <w:name w:val="6B819FD28D9E4E19A0D9C3959C6FC203"/>
    <w:rsid w:val="001A3FD6"/>
    <w:pPr>
      <w:spacing w:after="200" w:line="276" w:lineRule="auto"/>
    </w:pPr>
  </w:style>
  <w:style w:type="paragraph" w:customStyle="1" w:styleId="67221AB7AB9140179EDB2061D2A7A007">
    <w:name w:val="67221AB7AB9140179EDB2061D2A7A007"/>
    <w:rsid w:val="001A3FD6"/>
    <w:pPr>
      <w:spacing w:after="200" w:line="276" w:lineRule="auto"/>
    </w:pPr>
  </w:style>
  <w:style w:type="paragraph" w:customStyle="1" w:styleId="4B6FD35D2F564C01B379E57DA786D22E">
    <w:name w:val="4B6FD35D2F564C01B379E57DA786D22E"/>
    <w:rsid w:val="001A3FD6"/>
    <w:pPr>
      <w:spacing w:after="200" w:line="276" w:lineRule="auto"/>
    </w:pPr>
  </w:style>
  <w:style w:type="paragraph" w:customStyle="1" w:styleId="C2C70E3F402B49649E2393F537C72E6E">
    <w:name w:val="C2C70E3F402B49649E2393F537C72E6E"/>
    <w:rsid w:val="001A3FD6"/>
    <w:pPr>
      <w:spacing w:after="200" w:line="276" w:lineRule="auto"/>
    </w:pPr>
  </w:style>
  <w:style w:type="paragraph" w:customStyle="1" w:styleId="B20A84B9B7C24CC0BAE47547C0B40996">
    <w:name w:val="B20A84B9B7C24CC0BAE47547C0B40996"/>
    <w:rsid w:val="001A3FD6"/>
    <w:pPr>
      <w:spacing w:after="200" w:line="276" w:lineRule="auto"/>
    </w:pPr>
  </w:style>
  <w:style w:type="paragraph" w:customStyle="1" w:styleId="05C28FAC32EB470B992B7B935E4A9D23">
    <w:name w:val="05C28FAC32EB470B992B7B935E4A9D23"/>
    <w:rsid w:val="001A3FD6"/>
    <w:pPr>
      <w:spacing w:after="200" w:line="276" w:lineRule="auto"/>
    </w:pPr>
  </w:style>
  <w:style w:type="paragraph" w:customStyle="1" w:styleId="C1BE147E7FFC4C45A2EB15DF03968D9C">
    <w:name w:val="C1BE147E7FFC4C45A2EB15DF03968D9C"/>
    <w:rsid w:val="001A3FD6"/>
    <w:pPr>
      <w:spacing w:after="200" w:line="276" w:lineRule="auto"/>
    </w:pPr>
  </w:style>
  <w:style w:type="paragraph" w:customStyle="1" w:styleId="97A24274F1634423BCC1A5B0792CDFF5">
    <w:name w:val="97A24274F1634423BCC1A5B0792CDFF5"/>
    <w:rsid w:val="001A3FD6"/>
    <w:pPr>
      <w:spacing w:after="200" w:line="276" w:lineRule="auto"/>
    </w:pPr>
  </w:style>
  <w:style w:type="paragraph" w:customStyle="1" w:styleId="33436DDA24FD4B20ABD32370F1581835">
    <w:name w:val="33436DDA24FD4B20ABD32370F1581835"/>
    <w:rsid w:val="001A3FD6"/>
    <w:pPr>
      <w:spacing w:after="200" w:line="276" w:lineRule="auto"/>
    </w:pPr>
  </w:style>
  <w:style w:type="paragraph" w:customStyle="1" w:styleId="6AF722426C4E4F9AAEF0FB9558613729">
    <w:name w:val="6AF722426C4E4F9AAEF0FB9558613729"/>
    <w:rsid w:val="001A3FD6"/>
    <w:pPr>
      <w:spacing w:after="200" w:line="276" w:lineRule="auto"/>
    </w:pPr>
  </w:style>
  <w:style w:type="paragraph" w:customStyle="1" w:styleId="167E5F88A53245B0B328A1FD0F13A260">
    <w:name w:val="167E5F88A53245B0B328A1FD0F13A260"/>
    <w:rsid w:val="001A3FD6"/>
    <w:pPr>
      <w:spacing w:after="200" w:line="276" w:lineRule="auto"/>
    </w:pPr>
  </w:style>
  <w:style w:type="paragraph" w:customStyle="1" w:styleId="8E6C47CB312C40B8AD5B821BACF0BFF2">
    <w:name w:val="8E6C47CB312C40B8AD5B821BACF0BFF2"/>
    <w:rsid w:val="001A3FD6"/>
    <w:pPr>
      <w:spacing w:after="200" w:line="276" w:lineRule="auto"/>
    </w:pPr>
  </w:style>
  <w:style w:type="paragraph" w:customStyle="1" w:styleId="6B369487AA3E40CCAB355722C20B40ED">
    <w:name w:val="6B369487AA3E40CCAB355722C20B40ED"/>
    <w:rsid w:val="001A3FD6"/>
    <w:pPr>
      <w:spacing w:after="200" w:line="276" w:lineRule="auto"/>
    </w:pPr>
  </w:style>
  <w:style w:type="paragraph" w:customStyle="1" w:styleId="B320023EB8E04A2CAF00FC4D01719BB5">
    <w:name w:val="B320023EB8E04A2CAF00FC4D01719BB5"/>
    <w:rsid w:val="001A3FD6"/>
    <w:pPr>
      <w:spacing w:after="200" w:line="276" w:lineRule="auto"/>
    </w:pPr>
  </w:style>
  <w:style w:type="paragraph" w:customStyle="1" w:styleId="A090055059A048F4B0019F9475D56CED">
    <w:name w:val="A090055059A048F4B0019F9475D56CED"/>
    <w:rsid w:val="001A3FD6"/>
    <w:pPr>
      <w:spacing w:after="200" w:line="276" w:lineRule="auto"/>
    </w:pPr>
  </w:style>
  <w:style w:type="paragraph" w:customStyle="1" w:styleId="5492F73135D8487580411A1B245C3440">
    <w:name w:val="5492F73135D8487580411A1B245C3440"/>
    <w:rsid w:val="001A3FD6"/>
    <w:pPr>
      <w:spacing w:after="200" w:line="276" w:lineRule="auto"/>
    </w:pPr>
  </w:style>
  <w:style w:type="paragraph" w:customStyle="1" w:styleId="129D8465A80245E2A39F0057280F0FC7">
    <w:name w:val="129D8465A80245E2A39F0057280F0FC7"/>
    <w:rsid w:val="008E61E5"/>
    <w:pPr>
      <w:spacing w:after="200" w:line="276" w:lineRule="auto"/>
    </w:pPr>
  </w:style>
  <w:style w:type="paragraph" w:customStyle="1" w:styleId="E0B15FC6B45B4A02922B804B5C21DF17">
    <w:name w:val="E0B15FC6B45B4A02922B804B5C21DF17"/>
    <w:rsid w:val="008E61E5"/>
    <w:pPr>
      <w:spacing w:after="200" w:line="276" w:lineRule="auto"/>
    </w:pPr>
  </w:style>
  <w:style w:type="paragraph" w:customStyle="1" w:styleId="9FCD4A280C63482C9A380DBE0CBB73AC">
    <w:name w:val="9FCD4A280C63482C9A380DBE0CBB73AC"/>
    <w:rsid w:val="008E61E5"/>
    <w:pPr>
      <w:spacing w:after="200" w:line="276" w:lineRule="auto"/>
    </w:pPr>
  </w:style>
  <w:style w:type="paragraph" w:customStyle="1" w:styleId="9C2114C14ED64BAE8D72A38B1392B54B">
    <w:name w:val="9C2114C14ED64BAE8D72A38B1392B54B"/>
    <w:rsid w:val="008E61E5"/>
    <w:pPr>
      <w:spacing w:after="200" w:line="276" w:lineRule="auto"/>
    </w:pPr>
  </w:style>
  <w:style w:type="paragraph" w:customStyle="1" w:styleId="1630B3F7C22A4547ABAEB8269D6B1178">
    <w:name w:val="1630B3F7C22A4547ABAEB8269D6B1178"/>
    <w:rsid w:val="008E61E5"/>
    <w:pPr>
      <w:spacing w:after="200" w:line="276" w:lineRule="auto"/>
    </w:pPr>
  </w:style>
  <w:style w:type="paragraph" w:customStyle="1" w:styleId="B745532DFE5942B49CA63BC39D764579">
    <w:name w:val="B745532DFE5942B49CA63BC39D764579"/>
    <w:rsid w:val="008E61E5"/>
    <w:pPr>
      <w:spacing w:after="200" w:line="276" w:lineRule="auto"/>
    </w:pPr>
  </w:style>
  <w:style w:type="paragraph" w:customStyle="1" w:styleId="A85ADF505EB642A59E3017177605AD45">
    <w:name w:val="A85ADF505EB642A59E3017177605AD45"/>
    <w:rsid w:val="008E61E5"/>
    <w:pPr>
      <w:spacing w:after="200" w:line="276" w:lineRule="auto"/>
    </w:pPr>
  </w:style>
  <w:style w:type="paragraph" w:customStyle="1" w:styleId="C26154342B0B439B9675B4FDCCF1821F">
    <w:name w:val="C26154342B0B439B9675B4FDCCF1821F"/>
    <w:rsid w:val="008E61E5"/>
    <w:pPr>
      <w:spacing w:after="200" w:line="276" w:lineRule="auto"/>
    </w:pPr>
  </w:style>
  <w:style w:type="paragraph" w:customStyle="1" w:styleId="9DAC0847AC9947B9AFD05A1A38FD6F80">
    <w:name w:val="9DAC0847AC9947B9AFD05A1A38FD6F80"/>
    <w:rsid w:val="008E61E5"/>
    <w:pPr>
      <w:spacing w:after="200" w:line="276" w:lineRule="auto"/>
    </w:pPr>
  </w:style>
  <w:style w:type="paragraph" w:customStyle="1" w:styleId="C045C8DE4C694471B10B79AE6C399D58">
    <w:name w:val="C045C8DE4C694471B10B79AE6C399D58"/>
    <w:rsid w:val="008E61E5"/>
    <w:pPr>
      <w:spacing w:after="200" w:line="276" w:lineRule="auto"/>
    </w:pPr>
  </w:style>
  <w:style w:type="paragraph" w:customStyle="1" w:styleId="91A19D5AE04D419C91405CE6370FB1EC">
    <w:name w:val="91A19D5AE04D419C91405CE6370FB1EC"/>
    <w:rsid w:val="008E61E5"/>
    <w:pPr>
      <w:spacing w:after="200" w:line="276" w:lineRule="auto"/>
    </w:pPr>
  </w:style>
  <w:style w:type="paragraph" w:customStyle="1" w:styleId="C8E78B61F68A4F989F8752AEE4F9E8CE">
    <w:name w:val="C8E78B61F68A4F989F8752AEE4F9E8CE"/>
    <w:rsid w:val="008E61E5"/>
    <w:pPr>
      <w:spacing w:after="200" w:line="276" w:lineRule="auto"/>
    </w:pPr>
  </w:style>
  <w:style w:type="paragraph" w:customStyle="1" w:styleId="8852F8F722E246D289C3751C2EFBC60F">
    <w:name w:val="8852F8F722E246D289C3751C2EFBC60F"/>
    <w:rsid w:val="008E61E5"/>
    <w:pPr>
      <w:spacing w:after="200" w:line="276" w:lineRule="auto"/>
    </w:pPr>
  </w:style>
  <w:style w:type="paragraph" w:customStyle="1" w:styleId="EE7D7E5D75A14C909077E64E344D95D2">
    <w:name w:val="EE7D7E5D75A14C909077E64E344D95D2"/>
    <w:rsid w:val="002F7912"/>
    <w:rPr>
      <w:lang w:val="en-GB" w:eastAsia="en-GB"/>
    </w:rPr>
  </w:style>
  <w:style w:type="paragraph" w:customStyle="1" w:styleId="7E823C572CA741CE958FFF46F8442ABF">
    <w:name w:val="7E823C572CA741CE958FFF46F8442ABF"/>
    <w:rsid w:val="002F7912"/>
    <w:rPr>
      <w:lang w:val="en-GB" w:eastAsia="en-GB"/>
    </w:rPr>
  </w:style>
  <w:style w:type="paragraph" w:customStyle="1" w:styleId="3B7BAEEAE442429082962F00088DC9DB">
    <w:name w:val="3B7BAEEAE442429082962F00088DC9DB"/>
    <w:rsid w:val="001C5BB7"/>
    <w:pPr>
      <w:spacing w:after="200" w:line="276" w:lineRule="auto"/>
    </w:p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  <w:style w:type="paragraph" w:customStyle="1" w:styleId="9E1F610DE5E24DC597E597A2CFA82F91">
    <w:name w:val="9E1F610DE5E24DC597E597A2CFA82F91"/>
    <w:rsid w:val="001C5BB7"/>
    <w:pPr>
      <w:spacing w:after="200" w:line="276" w:lineRule="auto"/>
    </w:pPr>
  </w:style>
  <w:style w:type="paragraph" w:customStyle="1" w:styleId="09ADF51730784E089BA9ABDBD938A738">
    <w:name w:val="09ADF51730784E089BA9ABDBD938A738"/>
    <w:rsid w:val="00204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C62E-4B17-4056-BBD6-FD1DF727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1948</Words>
  <Characters>11106</Characters>
  <Application>Microsoft Office Word</Application>
  <DocSecurity>0</DocSecurity>
  <Lines>92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HBR</Company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Þórhallsson</dc:creator>
  <cp:lastModifiedBy>Haraldur Steinþórsson</cp:lastModifiedBy>
  <cp:revision>27</cp:revision>
  <cp:lastPrinted>2018-12-03T10:20:00Z</cp:lastPrinted>
  <dcterms:created xsi:type="dcterms:W3CDTF">2018-07-05T12:54:00Z</dcterms:created>
  <dcterms:modified xsi:type="dcterms:W3CDTF">2019-01-18T16:51:00Z</dcterms:modified>
</cp:coreProperties>
</file>