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9707A" w14:textId="77777777" w:rsidR="001264B7" w:rsidRPr="00103D38" w:rsidRDefault="001264B7" w:rsidP="001264B7">
      <w:pPr>
        <w:pStyle w:val="Nmeringsskjalsmls"/>
        <w:rPr>
          <w:sz w:val="24"/>
          <w:szCs w:val="24"/>
        </w:rPr>
      </w:pPr>
      <w:bookmarkStart w:id="0" w:name="_Toc303616026"/>
      <w:bookmarkStart w:id="1" w:name="_Toc303616027"/>
      <w:r>
        <w:rPr>
          <w:sz w:val="24"/>
          <w:szCs w:val="24"/>
        </w:rPr>
        <w:t>149</w:t>
      </w:r>
      <w:r w:rsidRPr="00103D38">
        <w:rPr>
          <w:sz w:val="24"/>
          <w:szCs w:val="24"/>
        </w:rPr>
        <w:t>. löggjafarþing 201</w:t>
      </w:r>
      <w:bookmarkEnd w:id="0"/>
      <w:r>
        <w:rPr>
          <w:sz w:val="24"/>
          <w:szCs w:val="24"/>
        </w:rPr>
        <w:t>8–2019</w:t>
      </w:r>
      <w:r w:rsidRPr="00103D38">
        <w:rPr>
          <w:sz w:val="24"/>
          <w:szCs w:val="24"/>
        </w:rPr>
        <w:t xml:space="preserve">. </w:t>
      </w:r>
    </w:p>
    <w:p w14:paraId="69FC9F22" w14:textId="77777777" w:rsidR="001264B7" w:rsidRPr="00103D38" w:rsidRDefault="001264B7" w:rsidP="001264B7">
      <w:pPr>
        <w:pStyle w:val="Nmeringsskjalsmls"/>
        <w:rPr>
          <w:sz w:val="24"/>
          <w:szCs w:val="24"/>
        </w:rPr>
      </w:pPr>
      <w:r w:rsidRPr="00103D38">
        <w:rPr>
          <w:sz w:val="24"/>
          <w:szCs w:val="24"/>
        </w:rPr>
        <w:t>Þingskjal x — x. mál</w:t>
      </w:r>
      <w:bookmarkEnd w:id="1"/>
      <w:r w:rsidRPr="00103D38">
        <w:rPr>
          <w:sz w:val="24"/>
          <w:szCs w:val="24"/>
        </w:rPr>
        <w:t>.</w:t>
      </w:r>
    </w:p>
    <w:p w14:paraId="1B71B8A4" w14:textId="77777777" w:rsidR="001264B7" w:rsidRPr="00103D38" w:rsidRDefault="001264B7" w:rsidP="001264B7">
      <w:pPr>
        <w:pStyle w:val="Nmeringsskjalsmls"/>
        <w:rPr>
          <w:sz w:val="24"/>
          <w:szCs w:val="24"/>
        </w:rPr>
      </w:pPr>
      <w:r w:rsidRPr="00103D38">
        <w:rPr>
          <w:sz w:val="24"/>
          <w:szCs w:val="24"/>
        </w:rPr>
        <w:t xml:space="preserve">Stjórnarfrumvarp. </w:t>
      </w:r>
    </w:p>
    <w:p w14:paraId="74C52485" w14:textId="77777777" w:rsidR="001264B7" w:rsidRPr="002748E9" w:rsidRDefault="001264B7" w:rsidP="001264B7">
      <w:pPr>
        <w:pStyle w:val="Fyrirsgn-skjalategund"/>
      </w:pPr>
      <w:r w:rsidRPr="002748E9">
        <w:t>Frumvarp til laga</w:t>
      </w:r>
    </w:p>
    <w:p w14:paraId="4A170451" w14:textId="77777777" w:rsidR="001264B7" w:rsidRPr="00103D38" w:rsidRDefault="001264B7" w:rsidP="001264B7">
      <w:pPr>
        <w:pStyle w:val="Fyrirsgn-undirfyrirsgn"/>
      </w:pPr>
      <w:r>
        <w:t>u</w:t>
      </w:r>
      <w:r w:rsidRPr="00103D38">
        <w:t xml:space="preserve">m breytingu á lögum </w:t>
      </w:r>
      <w:r>
        <w:t>um meðferð einkamála,</w:t>
      </w:r>
      <w:r w:rsidRPr="00103D38">
        <w:t xml:space="preserve"> </w:t>
      </w:r>
    </w:p>
    <w:p w14:paraId="700D76F5" w14:textId="6AB4BB69" w:rsidR="001264B7" w:rsidRPr="00103D38" w:rsidRDefault="001264B7" w:rsidP="001264B7">
      <w:pPr>
        <w:pStyle w:val="Fyrirsgn-undirfyrirsgn"/>
      </w:pPr>
      <w:r w:rsidRPr="00103D38">
        <w:t>lögum um meðferð sakamála</w:t>
      </w:r>
      <w:r w:rsidR="00F73BCC">
        <w:t>, lögum um dómstóla</w:t>
      </w:r>
      <w:r>
        <w:t xml:space="preserve"> o.fl.</w:t>
      </w:r>
    </w:p>
    <w:p w14:paraId="4F99858C" w14:textId="77777777" w:rsidR="001264B7" w:rsidRPr="00103D38" w:rsidRDefault="001264B7" w:rsidP="001264B7">
      <w:pPr>
        <w:ind w:firstLine="0"/>
        <w:jc w:val="center"/>
        <w:rPr>
          <w:sz w:val="24"/>
          <w:szCs w:val="24"/>
        </w:rPr>
      </w:pPr>
      <w:r w:rsidRPr="00103D38">
        <w:rPr>
          <w:sz w:val="24"/>
          <w:szCs w:val="24"/>
        </w:rPr>
        <w:t xml:space="preserve"> (</w:t>
      </w:r>
      <w:r w:rsidRPr="00B210BF">
        <w:rPr>
          <w:sz w:val="24"/>
          <w:szCs w:val="24"/>
        </w:rPr>
        <w:t>ýmislegt</w:t>
      </w:r>
      <w:r w:rsidRPr="00103D38">
        <w:rPr>
          <w:sz w:val="24"/>
          <w:szCs w:val="24"/>
        </w:rPr>
        <w:t>).</w:t>
      </w:r>
    </w:p>
    <w:p w14:paraId="4FA51F1B" w14:textId="77777777" w:rsidR="001264B7" w:rsidRPr="00103D38" w:rsidRDefault="001264B7" w:rsidP="001264B7">
      <w:pPr>
        <w:rPr>
          <w:sz w:val="24"/>
          <w:szCs w:val="24"/>
        </w:rPr>
      </w:pPr>
    </w:p>
    <w:p w14:paraId="0CA72115" w14:textId="77777777" w:rsidR="001264B7" w:rsidRPr="001264B7" w:rsidRDefault="001264B7" w:rsidP="001264B7">
      <w:pPr>
        <w:pStyle w:val="Frrherra"/>
      </w:pPr>
      <w:r w:rsidRPr="001264B7">
        <w:t xml:space="preserve">Frá dómsmálaráðherra. </w:t>
      </w:r>
    </w:p>
    <w:p w14:paraId="02ACE70B" w14:textId="77777777" w:rsidR="001264B7" w:rsidRPr="00103D38" w:rsidRDefault="001264B7" w:rsidP="001264B7">
      <w:pPr>
        <w:rPr>
          <w:sz w:val="24"/>
          <w:szCs w:val="24"/>
        </w:rPr>
      </w:pPr>
    </w:p>
    <w:p w14:paraId="3E283E41" w14:textId="77777777" w:rsidR="001264B7" w:rsidRPr="001264B7" w:rsidRDefault="001264B7" w:rsidP="001264B7">
      <w:pPr>
        <w:pStyle w:val="Kaflanmer"/>
      </w:pPr>
      <w:r w:rsidRPr="001264B7">
        <w:t>I. kafli</w:t>
      </w:r>
    </w:p>
    <w:p w14:paraId="28E9125E" w14:textId="0E91D248" w:rsidR="001264B7" w:rsidRPr="001264B7" w:rsidRDefault="001264B7" w:rsidP="001264B7">
      <w:pPr>
        <w:pStyle w:val="Kaflafyrirsgn"/>
      </w:pPr>
      <w:r w:rsidRPr="001264B7">
        <w:t>Breyting á lögum um meðferð einkamála nr. 91/1991</w:t>
      </w:r>
      <w:r w:rsidR="00224331">
        <w:t>,</w:t>
      </w:r>
      <w:r w:rsidRPr="001264B7">
        <w:t xml:space="preserve"> með síðari breytingum</w:t>
      </w:r>
      <w:r w:rsidR="00224331">
        <w:t>.</w:t>
      </w:r>
    </w:p>
    <w:p w14:paraId="107266F5" w14:textId="77777777" w:rsidR="001264B7" w:rsidRPr="001264B7" w:rsidRDefault="001264B7" w:rsidP="001264B7">
      <w:pPr>
        <w:pStyle w:val="Greinarnmer"/>
      </w:pPr>
      <w:r w:rsidRPr="001264B7">
        <w:t>1. gr.</w:t>
      </w:r>
    </w:p>
    <w:p w14:paraId="0FE4916F" w14:textId="77777777" w:rsidR="001264B7" w:rsidRPr="003F4002" w:rsidRDefault="001264B7" w:rsidP="001264B7">
      <w:r>
        <w:t xml:space="preserve">2. </w:t>
      </w:r>
      <w:r w:rsidRPr="003F4002">
        <w:t>mgr. 7. gr. laganna fellur brott.</w:t>
      </w:r>
    </w:p>
    <w:p w14:paraId="4EAC0D4A" w14:textId="77777777" w:rsidR="001264B7" w:rsidRDefault="001264B7" w:rsidP="001264B7">
      <w:pPr>
        <w:pStyle w:val="Greinarnmer"/>
        <w:rPr>
          <w:sz w:val="24"/>
          <w:szCs w:val="24"/>
        </w:rPr>
      </w:pPr>
      <w:r>
        <w:rPr>
          <w:sz w:val="24"/>
          <w:szCs w:val="24"/>
        </w:rPr>
        <w:t xml:space="preserve"> </w:t>
      </w:r>
    </w:p>
    <w:p w14:paraId="3986B20A" w14:textId="77777777" w:rsidR="001264B7" w:rsidRPr="001264B7" w:rsidRDefault="001264B7" w:rsidP="001264B7">
      <w:pPr>
        <w:pStyle w:val="Greinarnmer"/>
      </w:pPr>
      <w:r w:rsidRPr="001264B7">
        <w:t>2. gr.</w:t>
      </w:r>
    </w:p>
    <w:p w14:paraId="7F690185" w14:textId="77777777" w:rsidR="001264B7" w:rsidRDefault="001264B7" w:rsidP="001264B7">
      <w:r>
        <w:t>1. mgr. 9. gr. laganna orðast svo:</w:t>
      </w:r>
    </w:p>
    <w:p w14:paraId="7A6C4DFD" w14:textId="7E3DB905" w:rsidR="001264B7" w:rsidRDefault="001264B7" w:rsidP="001264B7">
      <w:pPr>
        <w:rPr>
          <w:color w:val="242424"/>
          <w:shd w:val="clear" w:color="auto" w:fill="FFFFFF"/>
        </w:rPr>
      </w:pPr>
      <w:r>
        <w:t xml:space="preserve">1. </w:t>
      </w:r>
      <w:r w:rsidRPr="007E6F9F">
        <w:rPr>
          <w:color w:val="242424"/>
          <w:shd w:val="clear" w:color="auto" w:fill="FFFFFF"/>
        </w:rPr>
        <w:t>Óheimilt er öðrum en dómstólum að hljóðrita eða taka myndir í þinghaldi. Jafnframt er óheimilt að streyma hljóði eða mynd úr þinghaldi eða senda þaðan samtíma endursögn af því sem fram fer.</w:t>
      </w:r>
      <w:r>
        <w:rPr>
          <w:color w:val="242424"/>
          <w:shd w:val="clear" w:color="auto" w:fill="FFFFFF"/>
        </w:rPr>
        <w:t xml:space="preserve"> </w:t>
      </w:r>
      <w:r w:rsidRPr="007E6F9F">
        <w:rPr>
          <w:color w:val="242424"/>
          <w:shd w:val="clear" w:color="auto" w:fill="FFFFFF"/>
        </w:rPr>
        <w:t>Dómari getur veitt undanþágu frá þessu banni ef sérstaklega stendur á. Ef tekið hefur verið upp hljóð eða teknar myndir í þinghaldi án leyfis dómara er óheimilt að birta þær hljóðupptökur eða myndir. Sama gildir um birtingu hljóð- og myndupptaka af munnlegum frambu</w:t>
      </w:r>
      <w:r>
        <w:rPr>
          <w:color w:val="242424"/>
          <w:shd w:val="clear" w:color="auto" w:fill="FFFFFF"/>
        </w:rPr>
        <w:t xml:space="preserve">rði sem dómstóll hefur </w:t>
      </w:r>
      <w:r w:rsidRPr="004C476E">
        <w:rPr>
          <w:shd w:val="clear" w:color="auto" w:fill="FFFFFF"/>
        </w:rPr>
        <w:t>annast</w:t>
      </w:r>
      <w:r w:rsidR="004C476E" w:rsidRPr="008E04FE">
        <w:rPr>
          <w:shd w:val="clear" w:color="auto" w:fill="FFFFFF"/>
        </w:rPr>
        <w:t xml:space="preserve">. </w:t>
      </w:r>
      <w:r w:rsidRPr="004C476E">
        <w:rPr>
          <w:shd w:val="clear" w:color="auto" w:fill="FFFFFF"/>
        </w:rPr>
        <w:t>Brot</w:t>
      </w:r>
      <w:r>
        <w:rPr>
          <w:color w:val="242424"/>
          <w:shd w:val="clear" w:color="auto" w:fill="FFFFFF"/>
        </w:rPr>
        <w:t xml:space="preserve"> gegn þessu varðar sektum nema þyngri refsing liggi við eftir öðrum lögum.</w:t>
      </w:r>
    </w:p>
    <w:p w14:paraId="27F8DAB9" w14:textId="77777777" w:rsidR="001264B7" w:rsidRDefault="001264B7" w:rsidP="001264B7">
      <w:pPr>
        <w:rPr>
          <w:color w:val="242424"/>
          <w:sz w:val="24"/>
          <w:szCs w:val="24"/>
          <w:shd w:val="clear" w:color="auto" w:fill="FFFFFF"/>
        </w:rPr>
      </w:pPr>
    </w:p>
    <w:p w14:paraId="10EBAFC5" w14:textId="77777777" w:rsidR="001264B7" w:rsidRDefault="001264B7" w:rsidP="00207E5E">
      <w:pPr>
        <w:pStyle w:val="Greinarnmer"/>
      </w:pPr>
      <w:r>
        <w:rPr>
          <w:shd w:val="clear" w:color="auto" w:fill="FFFFFF"/>
        </w:rPr>
        <w:t>3. gr.</w:t>
      </w:r>
    </w:p>
    <w:p w14:paraId="3CC2D3C3" w14:textId="77777777" w:rsidR="001264B7" w:rsidRDefault="001264B7" w:rsidP="00207E5E">
      <w:r>
        <w:t>2. málsl. 1. mgr. 11. gr. laganna orðast svo:</w:t>
      </w:r>
    </w:p>
    <w:p w14:paraId="1942A65A" w14:textId="77777777" w:rsidR="001264B7" w:rsidRDefault="001264B7" w:rsidP="00207E5E">
      <w:r>
        <w:t>Dómara er rétt að rita á tölvu það sem væri ella fært í slíka bók, en það sem skráð er með þeim hætti skal þá varðveita á rafrænu formi með aðgengilegum og tryggum hætti.</w:t>
      </w:r>
    </w:p>
    <w:p w14:paraId="2CF47B40" w14:textId="77777777" w:rsidR="001264B7" w:rsidRDefault="001264B7" w:rsidP="001264B7">
      <w:pPr>
        <w:rPr>
          <w:sz w:val="24"/>
          <w:szCs w:val="24"/>
        </w:rPr>
      </w:pPr>
    </w:p>
    <w:p w14:paraId="3A2914B3" w14:textId="77777777" w:rsidR="001264B7" w:rsidRDefault="001264B7" w:rsidP="00207E5E">
      <w:pPr>
        <w:pStyle w:val="Greinarnmer"/>
      </w:pPr>
      <w:r>
        <w:t>4. gr.</w:t>
      </w:r>
    </w:p>
    <w:p w14:paraId="550BF7AF" w14:textId="77777777" w:rsidR="001264B7" w:rsidRDefault="001264B7" w:rsidP="00207E5E">
      <w:r>
        <w:t>Eftirfarandi breytingar verða á 14. gr. laganna:</w:t>
      </w:r>
    </w:p>
    <w:p w14:paraId="4729DA8D" w14:textId="16019183" w:rsidR="001264B7" w:rsidRDefault="001264B7" w:rsidP="006C4088">
      <w:pPr>
        <w:pStyle w:val="ListParagraph"/>
        <w:numPr>
          <w:ilvl w:val="0"/>
          <w:numId w:val="7"/>
        </w:numPr>
      </w:pPr>
      <w:r>
        <w:t xml:space="preserve">Í stað orðanna „Landsrétti eða“ </w:t>
      </w:r>
      <w:r w:rsidR="00A35490">
        <w:t xml:space="preserve">í 1. mgr. </w:t>
      </w:r>
      <w:r>
        <w:t>kemur: æðra dómi.</w:t>
      </w:r>
    </w:p>
    <w:p w14:paraId="2BB2353B" w14:textId="2F591E30" w:rsidR="001264B7" w:rsidRDefault="001264B7" w:rsidP="006C4088">
      <w:pPr>
        <w:pStyle w:val="ListParagraph"/>
        <w:numPr>
          <w:ilvl w:val="0"/>
          <w:numId w:val="7"/>
        </w:numPr>
      </w:pPr>
      <w:r>
        <w:t>1. málsl. 3. mgr. orðast svo: Meðan mál er rekið fyrir Landsrétti eða í héraði, unnt er að skjóta því til æðra dóms eða mál er rekið þar fyrir dómi</w:t>
      </w:r>
      <w:r w:rsidR="006D1425">
        <w:t>,</w:t>
      </w:r>
      <w:r>
        <w:t xml:space="preserve"> er dómara skylt gegn greiðslu gjalds að afhenda aðilum hljóðupptöku skv. 3. mgr. 11. gr. eða leyfa þeim að hlýða á slíkar upptökur eða horfa á myndupptökur, svo fljótt sem við verður komið eftir að þess er óskað.</w:t>
      </w:r>
    </w:p>
    <w:p w14:paraId="6EB0E263" w14:textId="412634C1" w:rsidR="001264B7" w:rsidRDefault="001264B7" w:rsidP="006C4088">
      <w:pPr>
        <w:pStyle w:val="ListParagraph"/>
        <w:numPr>
          <w:ilvl w:val="0"/>
          <w:numId w:val="7"/>
        </w:numPr>
      </w:pPr>
      <w:r>
        <w:t>Við 3. mgr. bætist nýr málsliður svohljóðandi: Dómstólasýslan setur nánari reglur um afhendingu afrita af hljóðupptökum og um aðgang að myndupptökum.</w:t>
      </w:r>
    </w:p>
    <w:p w14:paraId="12E9D486" w14:textId="516F575E" w:rsidR="001264B7" w:rsidRPr="00B72A8C" w:rsidRDefault="001264B7" w:rsidP="006C4088">
      <w:pPr>
        <w:pStyle w:val="ListParagraph"/>
        <w:numPr>
          <w:ilvl w:val="0"/>
          <w:numId w:val="7"/>
        </w:numPr>
        <w:rPr>
          <w:color w:val="242424"/>
          <w:shd w:val="clear" w:color="auto" w:fill="FFFFFF"/>
        </w:rPr>
      </w:pPr>
      <w:r>
        <w:lastRenderedPageBreak/>
        <w:t xml:space="preserve">Við 6. mgr. bætist nýr málsliður svohljóðandi: </w:t>
      </w:r>
      <w:r w:rsidRPr="00B72A8C">
        <w:rPr>
          <w:color w:val="242424"/>
          <w:shd w:val="clear" w:color="auto" w:fill="FFFFFF"/>
        </w:rPr>
        <w:t>Forseti æðr</w:t>
      </w:r>
      <w:r w:rsidR="00E26D32">
        <w:rPr>
          <w:color w:val="242424"/>
          <w:shd w:val="clear" w:color="auto" w:fill="FFFFFF"/>
        </w:rPr>
        <w:t>i</w:t>
      </w:r>
      <w:r w:rsidRPr="00B72A8C">
        <w:rPr>
          <w:color w:val="242424"/>
          <w:shd w:val="clear" w:color="auto" w:fill="FFFFFF"/>
        </w:rPr>
        <w:t xml:space="preserve"> dóms tekur  slíka ákvörðun eða kveður upp úrskurð þegar meðferð máls er endanlega lokið fyrir þeim dómi.</w:t>
      </w:r>
    </w:p>
    <w:p w14:paraId="2F8AC32A" w14:textId="77777777" w:rsidR="001264B7" w:rsidRDefault="001264B7" w:rsidP="001264B7">
      <w:pPr>
        <w:tabs>
          <w:tab w:val="left" w:pos="284"/>
        </w:tabs>
        <w:ind w:left="280" w:hanging="280"/>
        <w:rPr>
          <w:color w:val="242424"/>
          <w:sz w:val="24"/>
          <w:szCs w:val="24"/>
          <w:shd w:val="clear" w:color="auto" w:fill="FFFFFF"/>
        </w:rPr>
      </w:pPr>
    </w:p>
    <w:p w14:paraId="796DFBB8" w14:textId="77777777" w:rsidR="001264B7" w:rsidRDefault="001264B7" w:rsidP="00207E5E">
      <w:pPr>
        <w:pStyle w:val="Greinarnmer"/>
        <w:rPr>
          <w:shd w:val="clear" w:color="auto" w:fill="FFFFFF"/>
        </w:rPr>
      </w:pPr>
      <w:r>
        <w:rPr>
          <w:shd w:val="clear" w:color="auto" w:fill="FFFFFF"/>
        </w:rPr>
        <w:t>5. gr.</w:t>
      </w:r>
    </w:p>
    <w:p w14:paraId="0B5EBD67" w14:textId="5F22686D" w:rsidR="001264B7" w:rsidRDefault="001264B7" w:rsidP="00207E5E">
      <w:r>
        <w:rPr>
          <w:shd w:val="clear" w:color="auto" w:fill="FFFFFF"/>
        </w:rPr>
        <w:tab/>
        <w:t xml:space="preserve">Í stað orðanna „149. gr.“ í 4. mgr. 124. gr. laganna kemur: 148. gr. </w:t>
      </w:r>
    </w:p>
    <w:p w14:paraId="4C94E020" w14:textId="77777777" w:rsidR="001264B7" w:rsidRDefault="001264B7" w:rsidP="001264B7">
      <w:pPr>
        <w:ind w:firstLine="0"/>
        <w:rPr>
          <w:sz w:val="24"/>
          <w:szCs w:val="24"/>
        </w:rPr>
      </w:pPr>
    </w:p>
    <w:p w14:paraId="0666FEF3" w14:textId="77777777" w:rsidR="001264B7" w:rsidRPr="00207E5E" w:rsidRDefault="001264B7" w:rsidP="00207E5E">
      <w:pPr>
        <w:pStyle w:val="Greinarnmer"/>
      </w:pPr>
      <w:r w:rsidRPr="00207E5E">
        <w:t>6. gr.</w:t>
      </w:r>
    </w:p>
    <w:p w14:paraId="384F6328" w14:textId="77777777" w:rsidR="001264B7" w:rsidRDefault="001264B7" w:rsidP="00207E5E">
      <w:r>
        <w:t>Í stað orðanna „Þegar vika er liðinn frá því að kærumálsgögn og eftir atvikum greinargerð gagnaðila bárust“ í 1. mgr. 149. gr. laganna kemur: Að liðnum fresti skv. 148. gr. eða þegar greinargerð gagnaðila hefur borist.</w:t>
      </w:r>
    </w:p>
    <w:p w14:paraId="589BB5D2" w14:textId="77777777" w:rsidR="001264B7" w:rsidRDefault="001264B7" w:rsidP="001264B7">
      <w:pPr>
        <w:ind w:firstLine="0"/>
        <w:jc w:val="center"/>
        <w:rPr>
          <w:sz w:val="24"/>
          <w:szCs w:val="24"/>
        </w:rPr>
      </w:pPr>
    </w:p>
    <w:p w14:paraId="689B0D48" w14:textId="77777777" w:rsidR="001264B7" w:rsidRPr="00103D38" w:rsidRDefault="001264B7" w:rsidP="00207E5E">
      <w:pPr>
        <w:pStyle w:val="Greinarnmer"/>
      </w:pPr>
      <w:r>
        <w:t xml:space="preserve">7. gr. </w:t>
      </w:r>
    </w:p>
    <w:p w14:paraId="1F5974C0" w14:textId="62638585" w:rsidR="001264B7" w:rsidRDefault="00207E5E" w:rsidP="00207E5E">
      <w:r>
        <w:t>E-</w:t>
      </w:r>
      <w:r w:rsidR="001264B7">
        <w:t>liður 1. mgr. 155. gr. laganna fellur brott.</w:t>
      </w:r>
    </w:p>
    <w:p w14:paraId="45E0AB50" w14:textId="77777777" w:rsidR="001264B7" w:rsidRDefault="001264B7" w:rsidP="001264B7">
      <w:pPr>
        <w:rPr>
          <w:sz w:val="24"/>
          <w:szCs w:val="24"/>
        </w:rPr>
      </w:pPr>
    </w:p>
    <w:p w14:paraId="5718F36E" w14:textId="77777777" w:rsidR="001264B7" w:rsidRDefault="001264B7" w:rsidP="00B72A8C">
      <w:pPr>
        <w:pStyle w:val="Greinarnmer"/>
      </w:pPr>
      <w:r>
        <w:t>8. gr.</w:t>
      </w:r>
    </w:p>
    <w:p w14:paraId="733F94DB" w14:textId="77777777" w:rsidR="001264B7" w:rsidRDefault="001264B7" w:rsidP="00B254F5">
      <w:r>
        <w:t>Eftirfarandi breytingar verða á 1. mgr. 156. gr. laganna:</w:t>
      </w:r>
    </w:p>
    <w:p w14:paraId="693E83DA" w14:textId="70379500" w:rsidR="001264B7" w:rsidRDefault="001264B7" w:rsidP="006C4088">
      <w:pPr>
        <w:pStyle w:val="ListParagraph"/>
        <w:numPr>
          <w:ilvl w:val="0"/>
          <w:numId w:val="8"/>
        </w:numPr>
      </w:pPr>
      <w:r>
        <w:t>Í 2. málslið falla brott orðin „og hljóð- og myndupptökur“.</w:t>
      </w:r>
    </w:p>
    <w:p w14:paraId="1E552A6C" w14:textId="0BD42871" w:rsidR="001264B7" w:rsidRDefault="001264B7" w:rsidP="006C4088">
      <w:pPr>
        <w:pStyle w:val="ListParagraph"/>
        <w:numPr>
          <w:ilvl w:val="0"/>
          <w:numId w:val="8"/>
        </w:numPr>
      </w:pPr>
      <w:r>
        <w:t xml:space="preserve">Við bætist nýr málsliður svohljóðandi: </w:t>
      </w:r>
      <w:r w:rsidRPr="00B72A8C">
        <w:rPr>
          <w:color w:val="242424"/>
          <w:shd w:val="clear" w:color="auto" w:fill="FFFFFF"/>
        </w:rPr>
        <w:t>Héraðsdómstóll skal afhenda Landsrétti hljóð- og myndupptökur af munnlegum framburði í málinu.</w:t>
      </w:r>
      <w:r w:rsidRPr="00B72A8C">
        <w:rPr>
          <w:vanish/>
          <w:color w:val="242424"/>
          <w:shd w:val="clear" w:color="auto" w:fill="FFFFFF"/>
        </w:rPr>
        <w:t>.andi:﷽﷽﷽﷽ohljnkurrðin na:</w:t>
      </w:r>
      <w:r w:rsidRPr="00B72A8C">
        <w:rPr>
          <w:vanish/>
          <w:color w:val="242424"/>
          <w:shd w:val="clear" w:color="auto" w:fill="FFFFFF"/>
        </w:rPr>
        <w:cr/>
        <w:t>ða nna fellur brott.ringer 2019.sson.</w:t>
      </w:r>
      <w:r w:rsidRPr="00B72A8C">
        <w:rPr>
          <w:vanish/>
          <w:color w:val="242424"/>
          <w:shd w:val="clear" w:color="auto" w:fill="FFFFFF"/>
        </w:rPr>
        <w:cr/>
        <w:t>ngar raldeyrismafturkölluð. H</w:t>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r>
        <w:rPr>
          <w:vanish/>
          <w:shd w:val="clear" w:color="auto" w:fill="FFFFFF"/>
        </w:rPr>
        <w:pgNum/>
      </w:r>
    </w:p>
    <w:p w14:paraId="44493E1C" w14:textId="77777777" w:rsidR="001264B7" w:rsidRDefault="001264B7" w:rsidP="001264B7">
      <w:pPr>
        <w:tabs>
          <w:tab w:val="left" w:pos="284"/>
        </w:tabs>
        <w:ind w:firstLine="0"/>
        <w:rPr>
          <w:sz w:val="24"/>
          <w:szCs w:val="24"/>
        </w:rPr>
      </w:pPr>
    </w:p>
    <w:p w14:paraId="48E09FF3" w14:textId="77777777" w:rsidR="001264B7" w:rsidRPr="00103D38" w:rsidRDefault="001264B7" w:rsidP="00B72A8C">
      <w:pPr>
        <w:pStyle w:val="Greinarnmer"/>
      </w:pPr>
      <w:r>
        <w:t>9. gr.</w:t>
      </w:r>
    </w:p>
    <w:p w14:paraId="6C64F6B4" w14:textId="77777777" w:rsidR="001264B7" w:rsidRPr="002748E9" w:rsidRDefault="001264B7" w:rsidP="00B72A8C">
      <w:r>
        <w:t>Eftirfarandi breyting verður á 1. mgr. 167. gr. laganna:</w:t>
      </w:r>
    </w:p>
    <w:p w14:paraId="785957E4" w14:textId="7DA5F1B9" w:rsidR="001264B7" w:rsidRDefault="001264B7" w:rsidP="006C4088">
      <w:pPr>
        <w:pStyle w:val="ListParagraph"/>
        <w:numPr>
          <w:ilvl w:val="0"/>
          <w:numId w:val="9"/>
        </w:numPr>
      </w:pPr>
      <w:r>
        <w:t>Í stað orðsins „Úrskurðir“ kemur: Dómsathafnir.</w:t>
      </w:r>
    </w:p>
    <w:p w14:paraId="168DB373" w14:textId="7A6EFA05" w:rsidR="001264B7" w:rsidRDefault="001264B7" w:rsidP="006C4088">
      <w:pPr>
        <w:pStyle w:val="ListParagraph"/>
        <w:numPr>
          <w:ilvl w:val="0"/>
          <w:numId w:val="9"/>
        </w:numPr>
      </w:pPr>
      <w:r>
        <w:t>Við a</w:t>
      </w:r>
      <w:r w:rsidR="00B72A8C">
        <w:t>-</w:t>
      </w:r>
      <w:r>
        <w:t>lið bætist: ef ekki er um að ræða staðfestingu á slíkri dómsathöfn héraðsdóms.</w:t>
      </w:r>
    </w:p>
    <w:p w14:paraId="552A12BA" w14:textId="1CA5B32C" w:rsidR="001264B7" w:rsidRDefault="001264B7" w:rsidP="006C4088">
      <w:pPr>
        <w:pStyle w:val="ListParagraph"/>
        <w:numPr>
          <w:ilvl w:val="0"/>
          <w:numId w:val="9"/>
        </w:numPr>
      </w:pPr>
      <w:r>
        <w:t>Við upphaf d</w:t>
      </w:r>
      <w:r w:rsidR="00B72A8C">
        <w:t>-</w:t>
      </w:r>
      <w:r>
        <w:t>liðar bætist: Úrskurður um.</w:t>
      </w:r>
    </w:p>
    <w:p w14:paraId="4A1D3C24" w14:textId="77777777" w:rsidR="001264B7" w:rsidRDefault="001264B7" w:rsidP="001264B7">
      <w:pPr>
        <w:ind w:firstLine="0"/>
        <w:rPr>
          <w:sz w:val="24"/>
          <w:szCs w:val="24"/>
        </w:rPr>
      </w:pPr>
    </w:p>
    <w:p w14:paraId="5E99115C" w14:textId="77777777" w:rsidR="001264B7" w:rsidRDefault="001264B7" w:rsidP="00B72A8C">
      <w:pPr>
        <w:pStyle w:val="Greinarnmer"/>
      </w:pPr>
      <w:r>
        <w:t>10. gr.</w:t>
      </w:r>
    </w:p>
    <w:p w14:paraId="313BDFEC" w14:textId="77777777" w:rsidR="001264B7" w:rsidRDefault="001264B7" w:rsidP="00B72A8C">
      <w:r>
        <w:t>Eftirfarandi breytingar verða á 168. gr. laganna:</w:t>
      </w:r>
    </w:p>
    <w:p w14:paraId="610A30FB" w14:textId="2584B3C9" w:rsidR="001264B7" w:rsidRDefault="001264B7" w:rsidP="006C4088">
      <w:pPr>
        <w:pStyle w:val="ListParagraph"/>
        <w:numPr>
          <w:ilvl w:val="0"/>
          <w:numId w:val="6"/>
        </w:numPr>
      </w:pPr>
      <w:r w:rsidRPr="00710C82">
        <w:t xml:space="preserve">Í stað orðanna „og eftir atvikum“ </w:t>
      </w:r>
      <w:r>
        <w:t xml:space="preserve">í 1. mgr. </w:t>
      </w:r>
      <w:r w:rsidRPr="00710C82">
        <w:t>kemur: , ef við á</w:t>
      </w:r>
      <w:r w:rsidR="0066044E">
        <w:t xml:space="preserve"> með.</w:t>
      </w:r>
    </w:p>
    <w:p w14:paraId="5F05FBA0" w14:textId="7F0EBE0D" w:rsidR="001264B7" w:rsidRDefault="001264B7" w:rsidP="006C4088">
      <w:pPr>
        <w:pStyle w:val="ListParagraph"/>
        <w:numPr>
          <w:ilvl w:val="0"/>
          <w:numId w:val="6"/>
        </w:numPr>
      </w:pPr>
      <w:r>
        <w:t>Orðin „ásamt skriflegri kæru,“ í 1. mgr. falla brott.</w:t>
      </w:r>
    </w:p>
    <w:p w14:paraId="03931F4A" w14:textId="0C06DBF9" w:rsidR="001264B7" w:rsidRPr="00710C82" w:rsidRDefault="001264B7" w:rsidP="006C4088">
      <w:pPr>
        <w:pStyle w:val="ListParagraph"/>
        <w:numPr>
          <w:ilvl w:val="0"/>
          <w:numId w:val="6"/>
        </w:numPr>
      </w:pPr>
      <w:r w:rsidRPr="00710C82">
        <w:t>Í stað orð</w:t>
      </w:r>
      <w:r w:rsidR="00ED69A0">
        <w:t>anna</w:t>
      </w:r>
      <w:r w:rsidRPr="00710C82">
        <w:t xml:space="preserve"> „</w:t>
      </w:r>
      <w:r w:rsidR="00ED69A0" w:rsidRPr="00ED69A0">
        <w:t>Kæra eða ósk um kæruleyfi</w:t>
      </w:r>
      <w:r w:rsidRPr="00710C82">
        <w:t xml:space="preserve">“ í 2. mgr. kemur: </w:t>
      </w:r>
      <w:r w:rsidR="00ED69A0" w:rsidRPr="00ED69A0">
        <w:t>Kæra, ef við á með ósk um kæruleyfi,</w:t>
      </w:r>
    </w:p>
    <w:p w14:paraId="3E241E84" w14:textId="77777777" w:rsidR="001264B7" w:rsidRDefault="001264B7" w:rsidP="001264B7">
      <w:pPr>
        <w:tabs>
          <w:tab w:val="left" w:pos="284"/>
        </w:tabs>
        <w:ind w:firstLine="0"/>
        <w:rPr>
          <w:sz w:val="24"/>
          <w:szCs w:val="24"/>
        </w:rPr>
      </w:pPr>
    </w:p>
    <w:p w14:paraId="0AB3967B" w14:textId="77777777" w:rsidR="001264B7" w:rsidRPr="00B72A8C" w:rsidRDefault="001264B7" w:rsidP="00B72A8C">
      <w:pPr>
        <w:pStyle w:val="Greinarnmer"/>
      </w:pPr>
      <w:r w:rsidRPr="00B72A8C">
        <w:t>11. gr.</w:t>
      </w:r>
    </w:p>
    <w:p w14:paraId="26A0AF12" w14:textId="080020A5" w:rsidR="001264B7" w:rsidRDefault="001264B7" w:rsidP="00B72A8C">
      <w:r>
        <w:t>Í stað orðsins „henni“ í c</w:t>
      </w:r>
      <w:r w:rsidR="00B72A8C">
        <w:t>-</w:t>
      </w:r>
      <w:r>
        <w:t>lið 1. mgr. 169. gr. laganna kemur: hinni kærðu dómsathöfn.</w:t>
      </w:r>
    </w:p>
    <w:p w14:paraId="7D691CD4" w14:textId="77777777" w:rsidR="001264B7" w:rsidRDefault="001264B7" w:rsidP="001264B7">
      <w:pPr>
        <w:ind w:firstLine="0"/>
        <w:rPr>
          <w:sz w:val="24"/>
          <w:szCs w:val="24"/>
        </w:rPr>
      </w:pPr>
    </w:p>
    <w:p w14:paraId="4483E24F" w14:textId="77777777" w:rsidR="001264B7" w:rsidRDefault="001264B7" w:rsidP="00B72A8C">
      <w:pPr>
        <w:pStyle w:val="Greinarnmer"/>
      </w:pPr>
      <w:r>
        <w:t>12. gr.</w:t>
      </w:r>
    </w:p>
    <w:p w14:paraId="128DBCC1" w14:textId="77777777" w:rsidR="001264B7" w:rsidRDefault="001264B7" w:rsidP="00B72A8C">
      <w:r>
        <w:t>Eftirfarandi breytingar verða á 171. gr. laganna:</w:t>
      </w:r>
    </w:p>
    <w:p w14:paraId="628EF999" w14:textId="3D85A8B1" w:rsidR="001264B7" w:rsidRDefault="001264B7" w:rsidP="006C4088">
      <w:pPr>
        <w:pStyle w:val="ListParagraph"/>
        <w:numPr>
          <w:ilvl w:val="0"/>
          <w:numId w:val="10"/>
        </w:numPr>
      </w:pPr>
      <w:r>
        <w:t>Í stað orðanna „eða ósk um kæruleyfi ásamt kæru“ í 1. mgr. kemur: ef við á með ósk um kæruleyfi.</w:t>
      </w:r>
    </w:p>
    <w:p w14:paraId="220A5958" w14:textId="2840E872" w:rsidR="001264B7" w:rsidRDefault="001264B7" w:rsidP="006C4088">
      <w:pPr>
        <w:pStyle w:val="ListParagraph"/>
        <w:numPr>
          <w:ilvl w:val="0"/>
          <w:numId w:val="10"/>
        </w:numPr>
      </w:pPr>
      <w:r>
        <w:t>Í stað orðanna „eða óskar eftir kæruleyfi vegna dómsathafnar“ í 2. mgr. kemur: , ef við á með kæruleyfi, dómsathöfn.</w:t>
      </w:r>
    </w:p>
    <w:p w14:paraId="02125AFE" w14:textId="3B6280DF" w:rsidR="001264B7" w:rsidRDefault="001264B7" w:rsidP="006C4088">
      <w:pPr>
        <w:pStyle w:val="ListParagraph"/>
        <w:numPr>
          <w:ilvl w:val="0"/>
          <w:numId w:val="10"/>
        </w:numPr>
      </w:pPr>
      <w:r>
        <w:t>Í stað orðsins „fjórriti“ í 2. mgr. kemur: sex eintökum.</w:t>
      </w:r>
    </w:p>
    <w:p w14:paraId="15396378" w14:textId="1C6A20BA" w:rsidR="001264B7" w:rsidRDefault="001264B7" w:rsidP="006C4088">
      <w:pPr>
        <w:pStyle w:val="ListParagraph"/>
        <w:numPr>
          <w:ilvl w:val="0"/>
          <w:numId w:val="10"/>
        </w:numPr>
      </w:pPr>
      <w:r>
        <w:t xml:space="preserve">Í stað orðanna „eða óskar eftir kæruleyfi“ </w:t>
      </w:r>
      <w:r w:rsidR="007A6CF8">
        <w:t xml:space="preserve">í 3. mgr. </w:t>
      </w:r>
      <w:r>
        <w:t xml:space="preserve">kemur: , ef við á með ósk um kæruleyfi,. </w:t>
      </w:r>
    </w:p>
    <w:p w14:paraId="55A9B7FB" w14:textId="77777777" w:rsidR="001264B7" w:rsidRDefault="001264B7" w:rsidP="001264B7">
      <w:pPr>
        <w:ind w:firstLine="0"/>
        <w:rPr>
          <w:sz w:val="24"/>
          <w:szCs w:val="24"/>
        </w:rPr>
      </w:pPr>
    </w:p>
    <w:p w14:paraId="6B03EA4D" w14:textId="77777777" w:rsidR="001264B7" w:rsidRDefault="001264B7" w:rsidP="00CE21F9">
      <w:pPr>
        <w:pStyle w:val="Greinarnmer"/>
      </w:pPr>
      <w:r>
        <w:t>13. gr.</w:t>
      </w:r>
    </w:p>
    <w:p w14:paraId="10408F2D" w14:textId="77777777" w:rsidR="001264B7" w:rsidRDefault="001264B7" w:rsidP="00CE21F9">
      <w:r>
        <w:t>Í stað orðanna „Þegar vika er liðinn frá því að kærumálsgögn og eftir atvikum greinargerð gagnaðila bárust“ í 1. mgr. 173. gr. laganna kemur: Að liðnum fresti skv. 172. gr. eða þegar greinargerð gagnaðila hefur borist.</w:t>
      </w:r>
    </w:p>
    <w:p w14:paraId="17C166ED" w14:textId="77777777" w:rsidR="001264B7" w:rsidRDefault="001264B7" w:rsidP="001264B7">
      <w:pPr>
        <w:rPr>
          <w:sz w:val="24"/>
          <w:szCs w:val="24"/>
        </w:rPr>
      </w:pPr>
    </w:p>
    <w:p w14:paraId="719640B3" w14:textId="77777777" w:rsidR="001264B7" w:rsidRDefault="001264B7" w:rsidP="00CE21F9">
      <w:pPr>
        <w:pStyle w:val="Greinarnmer"/>
      </w:pPr>
      <w:r>
        <w:t>14. gr.</w:t>
      </w:r>
    </w:p>
    <w:p w14:paraId="2C3D127B" w14:textId="77777777" w:rsidR="001264B7" w:rsidRDefault="001264B7" w:rsidP="00CE21F9">
      <w:r>
        <w:t xml:space="preserve"> Eftirfarandi breytingar verða á 174. gr. laganna:</w:t>
      </w:r>
    </w:p>
    <w:p w14:paraId="3DFAD179" w14:textId="3C297486" w:rsidR="001264B7" w:rsidRPr="00CE21F9" w:rsidRDefault="001264B7" w:rsidP="006C4088">
      <w:pPr>
        <w:pStyle w:val="ListParagraph"/>
        <w:numPr>
          <w:ilvl w:val="0"/>
          <w:numId w:val="11"/>
        </w:numPr>
        <w:rPr>
          <w:color w:val="242424"/>
          <w:shd w:val="clear" w:color="auto" w:fill="FFFFFF"/>
        </w:rPr>
      </w:pPr>
      <w:r w:rsidRPr="00CE21F9">
        <w:t xml:space="preserve">Við 3. mgr. bætist nýr málsliður svohljóðandi: </w:t>
      </w:r>
      <w:r w:rsidRPr="00CE21F9">
        <w:rPr>
          <w:color w:val="242424"/>
          <w:shd w:val="clear" w:color="auto" w:fill="FFFFFF"/>
        </w:rPr>
        <w:t>Í tilkynningu skal greint frá ástæðum fyrir synjuninni.</w:t>
      </w:r>
    </w:p>
    <w:p w14:paraId="5A42F229" w14:textId="51F38159" w:rsidR="001264B7" w:rsidRPr="00CE21F9" w:rsidRDefault="001264B7" w:rsidP="006C4088">
      <w:pPr>
        <w:pStyle w:val="ListParagraph"/>
        <w:numPr>
          <w:ilvl w:val="0"/>
          <w:numId w:val="11"/>
        </w:numPr>
        <w:rPr>
          <w:color w:val="242424"/>
          <w:shd w:val="clear" w:color="auto" w:fill="FFFFFF"/>
        </w:rPr>
      </w:pPr>
      <w:r w:rsidRPr="00CE21F9">
        <w:rPr>
          <w:color w:val="242424"/>
          <w:shd w:val="clear" w:color="auto" w:fill="FFFFFF"/>
        </w:rPr>
        <w:t>Á eftir orðinu „Landsrétti“ í 1. málsl. 4. mgr. kemur: , og eftir atvikum héraðsdómara,.</w:t>
      </w:r>
    </w:p>
    <w:p w14:paraId="5550FB9D" w14:textId="455902CA" w:rsidR="001264B7" w:rsidRPr="00CE21F9" w:rsidRDefault="001264B7" w:rsidP="006C4088">
      <w:pPr>
        <w:pStyle w:val="ListParagraph"/>
        <w:numPr>
          <w:ilvl w:val="0"/>
          <w:numId w:val="11"/>
        </w:numPr>
        <w:rPr>
          <w:color w:val="242424"/>
          <w:shd w:val="clear" w:color="auto" w:fill="FFFFFF"/>
        </w:rPr>
      </w:pPr>
      <w:r w:rsidRPr="00CE21F9">
        <w:rPr>
          <w:color w:val="242424"/>
          <w:shd w:val="clear" w:color="auto" w:fill="FFFFFF"/>
        </w:rPr>
        <w:t xml:space="preserve">2. málsl. 4. mgr. orðast svo: Hæstiréttur tilkynnir aðilum kærumáls sem hafa látið það til sín taka fyrir réttinum um úrslit þess. </w:t>
      </w:r>
    </w:p>
    <w:p w14:paraId="1ED1A562" w14:textId="77777777" w:rsidR="001264B7" w:rsidRDefault="001264B7" w:rsidP="001264B7">
      <w:pPr>
        <w:tabs>
          <w:tab w:val="left" w:pos="284"/>
        </w:tabs>
        <w:ind w:left="280" w:hanging="280"/>
        <w:rPr>
          <w:color w:val="242424"/>
          <w:sz w:val="24"/>
          <w:szCs w:val="24"/>
          <w:shd w:val="clear" w:color="auto" w:fill="FFFFFF"/>
        </w:rPr>
      </w:pPr>
    </w:p>
    <w:p w14:paraId="6BC250EE" w14:textId="77777777" w:rsidR="001264B7" w:rsidRDefault="001264B7" w:rsidP="00CE21F9">
      <w:pPr>
        <w:pStyle w:val="Greinarnmer"/>
      </w:pPr>
      <w:r>
        <w:rPr>
          <w:shd w:val="clear" w:color="auto" w:fill="FFFFFF"/>
        </w:rPr>
        <w:t>15. gr.</w:t>
      </w:r>
    </w:p>
    <w:p w14:paraId="18A79A5F" w14:textId="6BE1986B" w:rsidR="001264B7" w:rsidRDefault="001264B7" w:rsidP="00CE21F9">
      <w:r>
        <w:t>Í stað 2. málsl. 1. mgr. 176. gr. laganna koma tveir nýir málsliðir svohljóðandi: Hæstiréttur ákveður hvort orðið verði við umsókn um áfrýjunarleyfi og má takmarka leyfið við tiltekin atriði máls. Við mat á því hvort fallist verði á beiðni um áfrýjunarleyfi skal líta til þess hvort úrslit máls hafi verulegt almennt gildi eða varði sérstaklega mikilvæga hagsmuni þess sem leitar leyfis.</w:t>
      </w:r>
    </w:p>
    <w:p w14:paraId="70D9F52B" w14:textId="77777777" w:rsidR="001264B7" w:rsidRPr="002748E9" w:rsidRDefault="001264B7" w:rsidP="001264B7">
      <w:pPr>
        <w:tabs>
          <w:tab w:val="left" w:pos="284"/>
        </w:tabs>
        <w:ind w:firstLine="0"/>
        <w:rPr>
          <w:sz w:val="24"/>
          <w:szCs w:val="24"/>
        </w:rPr>
      </w:pPr>
    </w:p>
    <w:p w14:paraId="749F5779" w14:textId="77777777" w:rsidR="001264B7" w:rsidRPr="00CE21F9" w:rsidRDefault="001264B7" w:rsidP="00CE21F9">
      <w:pPr>
        <w:pStyle w:val="Kaflanmer"/>
      </w:pPr>
      <w:r w:rsidRPr="00CE21F9">
        <w:t>II. kafli</w:t>
      </w:r>
    </w:p>
    <w:p w14:paraId="1FEBA9AE" w14:textId="38653F25" w:rsidR="001264B7" w:rsidRPr="00CE21F9" w:rsidRDefault="001264B7" w:rsidP="00CE21F9">
      <w:pPr>
        <w:pStyle w:val="Kaflafyrirsgn"/>
      </w:pPr>
      <w:r w:rsidRPr="00CE21F9">
        <w:t>Breyting á lögum um meðferð sakamála nr. 88/2008</w:t>
      </w:r>
      <w:r w:rsidR="00224331">
        <w:t>,</w:t>
      </w:r>
      <w:r w:rsidRPr="00CE21F9">
        <w:t xml:space="preserve"> með síðari breytingum</w:t>
      </w:r>
      <w:r w:rsidR="00224331">
        <w:t>.</w:t>
      </w:r>
    </w:p>
    <w:p w14:paraId="5FA9AB5D" w14:textId="77777777" w:rsidR="001264B7" w:rsidRPr="00CE21F9" w:rsidRDefault="001264B7" w:rsidP="00CE21F9">
      <w:pPr>
        <w:pStyle w:val="Greinarnmer"/>
      </w:pPr>
      <w:r w:rsidRPr="00CE21F9">
        <w:t>16. gr.</w:t>
      </w:r>
    </w:p>
    <w:p w14:paraId="0B1FEA93" w14:textId="77777777" w:rsidR="001264B7" w:rsidRPr="00D249D8" w:rsidRDefault="001264B7" w:rsidP="00CE21F9">
      <w:r>
        <w:t>2. mgr. 8. gr. laganna fellur brott.</w:t>
      </w:r>
    </w:p>
    <w:p w14:paraId="6276D06F" w14:textId="77777777" w:rsidR="001264B7" w:rsidRPr="00D249D8" w:rsidRDefault="001264B7" w:rsidP="001264B7"/>
    <w:p w14:paraId="032713A9" w14:textId="77777777" w:rsidR="001264B7" w:rsidRPr="00CE21F9" w:rsidRDefault="001264B7" w:rsidP="00CE21F9">
      <w:pPr>
        <w:pStyle w:val="Greinarnmer"/>
      </w:pPr>
      <w:r w:rsidRPr="00CE21F9">
        <w:t>17. gr.</w:t>
      </w:r>
    </w:p>
    <w:p w14:paraId="0D29EC00" w14:textId="77777777" w:rsidR="001264B7" w:rsidRDefault="001264B7" w:rsidP="00CE21F9">
      <w:r>
        <w:t>1. mgr. 11. gr. laganna orðast svo:</w:t>
      </w:r>
    </w:p>
    <w:p w14:paraId="1C4F78EC" w14:textId="22F2A4FE" w:rsidR="001264B7" w:rsidRDefault="001264B7" w:rsidP="00CE21F9">
      <w:pPr>
        <w:rPr>
          <w:color w:val="242424"/>
          <w:shd w:val="clear" w:color="auto" w:fill="FFFFFF"/>
        </w:rPr>
      </w:pPr>
      <w:r w:rsidRPr="007E6F9F">
        <w:rPr>
          <w:color w:val="242424"/>
          <w:shd w:val="clear" w:color="auto" w:fill="FFFFFF"/>
        </w:rPr>
        <w:t>Óheimilt er öðrum en dómstólum að hljóðrita eða taka myndir í þinghaldi. Jafnframt er óheimilt að streyma hljóði eða mynd úr þinghaldi eða senda þaðan samtíma endursögn af því sem fram fer. Dómari getur veitt undanþágu frá þessu banni ef sérstaklega stendur á. Ef tekið hefur verið upp hljóð eða teknar myndir í þinghaldi án leyfis dómara er óheimilt að birta þær hljóðupptökur eða myndir. Sama gildir um birtingu hljóð- og myndupptaka af munnlegum framburði sem dómstóll hefur a</w:t>
      </w:r>
      <w:r>
        <w:rPr>
          <w:color w:val="242424"/>
          <w:shd w:val="clear" w:color="auto" w:fill="FFFFFF"/>
        </w:rPr>
        <w:t>nnast</w:t>
      </w:r>
      <w:r w:rsidRPr="008E04FE">
        <w:rPr>
          <w:color w:val="242424"/>
          <w:shd w:val="clear" w:color="auto" w:fill="FFFFFF"/>
        </w:rPr>
        <w:t>.</w:t>
      </w:r>
      <w:r>
        <w:rPr>
          <w:color w:val="242424"/>
          <w:shd w:val="clear" w:color="auto" w:fill="FFFFFF"/>
        </w:rPr>
        <w:t xml:space="preserve"> </w:t>
      </w:r>
    </w:p>
    <w:p w14:paraId="2FDEB3B1" w14:textId="77777777" w:rsidR="001264B7" w:rsidRDefault="001264B7" w:rsidP="001264B7">
      <w:pPr>
        <w:rPr>
          <w:color w:val="242424"/>
          <w:sz w:val="24"/>
          <w:szCs w:val="24"/>
          <w:shd w:val="clear" w:color="auto" w:fill="FFFFFF"/>
        </w:rPr>
      </w:pPr>
    </w:p>
    <w:p w14:paraId="0DA06036" w14:textId="77777777" w:rsidR="001264B7" w:rsidRDefault="001264B7" w:rsidP="00CE21F9">
      <w:pPr>
        <w:pStyle w:val="Greinarnmer"/>
      </w:pPr>
      <w:r>
        <w:rPr>
          <w:shd w:val="clear" w:color="auto" w:fill="FFFFFF"/>
        </w:rPr>
        <w:t>18. gr.</w:t>
      </w:r>
    </w:p>
    <w:p w14:paraId="5C97BDB6" w14:textId="77777777" w:rsidR="001264B7" w:rsidRDefault="001264B7" w:rsidP="00CE21F9">
      <w:r>
        <w:t>2. málsl. 1. mgr. 13. gr. laganna orðast svo:</w:t>
      </w:r>
    </w:p>
    <w:p w14:paraId="4455D941" w14:textId="77777777" w:rsidR="001264B7" w:rsidRDefault="001264B7" w:rsidP="00CE21F9">
      <w:r>
        <w:t>Dómara er rétt að rita á tölvu það sem væri ella fært í slíka bók, en það sem skráð er með þeim hætti skal þá varðveita á rafrænu formi með aðgengilegum og tryggum hætti.</w:t>
      </w:r>
    </w:p>
    <w:p w14:paraId="2C7C6496" w14:textId="77777777" w:rsidR="001264B7" w:rsidRDefault="001264B7" w:rsidP="001264B7">
      <w:pPr>
        <w:rPr>
          <w:sz w:val="24"/>
          <w:szCs w:val="24"/>
        </w:rPr>
      </w:pPr>
    </w:p>
    <w:p w14:paraId="3B2B9D64" w14:textId="77777777" w:rsidR="001264B7" w:rsidRDefault="001264B7" w:rsidP="00CE21F9">
      <w:pPr>
        <w:pStyle w:val="Greinarnmer"/>
      </w:pPr>
      <w:r>
        <w:t>19. gr.</w:t>
      </w:r>
    </w:p>
    <w:p w14:paraId="1341E96F" w14:textId="77777777" w:rsidR="001264B7" w:rsidRDefault="001264B7" w:rsidP="00CE21F9">
      <w:r>
        <w:t>Eftirfarandi breytingar verða á 16. gr. laganna:</w:t>
      </w:r>
    </w:p>
    <w:p w14:paraId="62A51493" w14:textId="4F567C60" w:rsidR="001264B7" w:rsidRDefault="00CE21F9" w:rsidP="006C4088">
      <w:pPr>
        <w:pStyle w:val="ListParagraph"/>
        <w:numPr>
          <w:ilvl w:val="0"/>
          <w:numId w:val="12"/>
        </w:numPr>
      </w:pPr>
      <w:r>
        <w:t xml:space="preserve">1. </w:t>
      </w:r>
      <w:r w:rsidR="001264B7">
        <w:t xml:space="preserve">málsl. </w:t>
      </w:r>
      <w:r w:rsidR="00200DAD">
        <w:t>4</w:t>
      </w:r>
      <w:r w:rsidR="001264B7">
        <w:t>. mgr. orðast svo: Meðan mál er rekið fyrir Landsrétti eða í héraði, unnt er að skjóta því til æðra dóms eða mál er rekið þar fyrir dómi</w:t>
      </w:r>
      <w:r w:rsidR="006D1425">
        <w:t>,</w:t>
      </w:r>
      <w:r w:rsidR="001264B7">
        <w:t xml:space="preserve"> er dómara skylt endurgjaldslaust að afhenda aðilum hljóðupptöku skv. 3. mgr. 13. gr. eða leyfa þeim </w:t>
      </w:r>
      <w:r w:rsidR="001264B7">
        <w:lastRenderedPageBreak/>
        <w:t>að hlýða á slíkar upptökur eða horfa á myndupptökur, svo fljótt sem við verður komið eftir að þess er óskað.</w:t>
      </w:r>
    </w:p>
    <w:p w14:paraId="72132FA7" w14:textId="2B56CF89" w:rsidR="001264B7" w:rsidRDefault="001264B7" w:rsidP="006C4088">
      <w:pPr>
        <w:pStyle w:val="ListParagraph"/>
        <w:numPr>
          <w:ilvl w:val="0"/>
          <w:numId w:val="12"/>
        </w:numPr>
      </w:pPr>
      <w:r>
        <w:t xml:space="preserve">Við </w:t>
      </w:r>
      <w:r w:rsidR="00200DAD">
        <w:t>4</w:t>
      </w:r>
      <w:r>
        <w:t>. mgr. bætist nýr málsliður svohljóðandi: Dómstólasýslan setur nánari reglur um afhendingu afrita af hljóðupptökum og um aðgang að myndupptökum.</w:t>
      </w:r>
    </w:p>
    <w:p w14:paraId="65181B38" w14:textId="65C7D481" w:rsidR="001264B7" w:rsidRPr="00CE21F9" w:rsidRDefault="001264B7" w:rsidP="006C4088">
      <w:pPr>
        <w:pStyle w:val="ListParagraph"/>
        <w:numPr>
          <w:ilvl w:val="0"/>
          <w:numId w:val="12"/>
        </w:numPr>
        <w:rPr>
          <w:color w:val="242424"/>
          <w:shd w:val="clear" w:color="auto" w:fill="FFFFFF"/>
        </w:rPr>
      </w:pPr>
      <w:r>
        <w:t xml:space="preserve">Við 7. mgr. bætist nýr málsliður svohljóðandi: </w:t>
      </w:r>
      <w:r w:rsidRPr="00CE21F9">
        <w:rPr>
          <w:color w:val="242424"/>
          <w:shd w:val="clear" w:color="auto" w:fill="FFFFFF"/>
        </w:rPr>
        <w:t>Forseti æðr</w:t>
      </w:r>
      <w:r w:rsidR="00200DAD">
        <w:rPr>
          <w:color w:val="242424"/>
          <w:shd w:val="clear" w:color="auto" w:fill="FFFFFF"/>
        </w:rPr>
        <w:t>i</w:t>
      </w:r>
      <w:r w:rsidRPr="00CE21F9">
        <w:rPr>
          <w:color w:val="242424"/>
          <w:shd w:val="clear" w:color="auto" w:fill="FFFFFF"/>
        </w:rPr>
        <w:t xml:space="preserve"> dóms tekur  slíka ákvörðun eða kveður upp úrskurð þegar meðferð máls er endanlega lokið fyrir þeim dómi.</w:t>
      </w:r>
    </w:p>
    <w:p w14:paraId="68D90F6E" w14:textId="77777777" w:rsidR="001264B7" w:rsidRDefault="001264B7" w:rsidP="001264B7">
      <w:pPr>
        <w:tabs>
          <w:tab w:val="left" w:pos="284"/>
        </w:tabs>
        <w:ind w:firstLine="0"/>
        <w:rPr>
          <w:color w:val="242424"/>
          <w:sz w:val="24"/>
          <w:szCs w:val="24"/>
          <w:shd w:val="clear" w:color="auto" w:fill="FFFFFF"/>
        </w:rPr>
      </w:pPr>
    </w:p>
    <w:p w14:paraId="6A31D1DD" w14:textId="77777777" w:rsidR="001264B7" w:rsidRDefault="001264B7" w:rsidP="00CE21F9">
      <w:pPr>
        <w:pStyle w:val="Greinarnmer"/>
        <w:rPr>
          <w:shd w:val="clear" w:color="auto" w:fill="FFFFFF"/>
        </w:rPr>
      </w:pPr>
      <w:r>
        <w:rPr>
          <w:shd w:val="clear" w:color="auto" w:fill="FFFFFF"/>
        </w:rPr>
        <w:t>20. gr.</w:t>
      </w:r>
    </w:p>
    <w:p w14:paraId="55DFCD03" w14:textId="135D6243" w:rsidR="005A1447" w:rsidRDefault="005A1447" w:rsidP="00CE21F9">
      <w:pPr>
        <w:rPr>
          <w:shd w:val="clear" w:color="auto" w:fill="FFFFFF"/>
        </w:rPr>
      </w:pPr>
      <w:r>
        <w:rPr>
          <w:shd w:val="clear" w:color="auto" w:fill="FFFFFF"/>
        </w:rPr>
        <w:t>Í stað orðanna „eftir atvikum“ í 2. málsl. 4. mgr. 21. gr.</w:t>
      </w:r>
      <w:r w:rsidR="00766A41">
        <w:rPr>
          <w:shd w:val="clear" w:color="auto" w:fill="FFFFFF"/>
        </w:rPr>
        <w:t xml:space="preserve"> laganna</w:t>
      </w:r>
      <w:r>
        <w:rPr>
          <w:shd w:val="clear" w:color="auto" w:fill="FFFFFF"/>
        </w:rPr>
        <w:t>, kemur: um kæru til.</w:t>
      </w:r>
    </w:p>
    <w:p w14:paraId="69659B99" w14:textId="77777777" w:rsidR="001264B7" w:rsidRDefault="001264B7" w:rsidP="001264B7">
      <w:pPr>
        <w:rPr>
          <w:color w:val="242424"/>
          <w:sz w:val="24"/>
          <w:szCs w:val="24"/>
          <w:shd w:val="clear" w:color="auto" w:fill="FFFFFF"/>
        </w:rPr>
      </w:pPr>
    </w:p>
    <w:p w14:paraId="7A0F3823" w14:textId="77777777" w:rsidR="001264B7" w:rsidRDefault="001264B7" w:rsidP="00CE21F9">
      <w:pPr>
        <w:pStyle w:val="Greinarnmer"/>
      </w:pPr>
      <w:r>
        <w:rPr>
          <w:shd w:val="clear" w:color="auto" w:fill="FFFFFF"/>
        </w:rPr>
        <w:t>21. gr.</w:t>
      </w:r>
    </w:p>
    <w:p w14:paraId="2E143D73" w14:textId="346A96CF" w:rsidR="00766A41" w:rsidRPr="00482ABB" w:rsidRDefault="00766A41" w:rsidP="00766A41">
      <w:r w:rsidRPr="00482ABB">
        <w:t xml:space="preserve">3. mgr. 23. gr. laganna orðast svo: Ef rannsókn á því broti sem héraðssaksóknari fer með skv. 1. og 2. mgr. leiðir til þess að rannsakað er annað </w:t>
      </w:r>
      <w:r w:rsidR="00482ABB" w:rsidRPr="00482ABB">
        <w:t xml:space="preserve">eða önnur </w:t>
      </w:r>
      <w:r w:rsidRPr="00482ABB">
        <w:t>brot sama sakborning</w:t>
      </w:r>
      <w:r w:rsidR="00482ABB" w:rsidRPr="00482ABB">
        <w:t>s</w:t>
      </w:r>
      <w:r w:rsidRPr="00482ABB">
        <w:t xml:space="preserve"> sem </w:t>
      </w:r>
      <w:r w:rsidR="00482ABB" w:rsidRPr="00482ABB">
        <w:t xml:space="preserve">ákæruvald </w:t>
      </w:r>
      <w:r w:rsidRPr="00482ABB">
        <w:t>héraðssaksóknar</w:t>
      </w:r>
      <w:r w:rsidR="00482ABB" w:rsidRPr="00482ABB">
        <w:t>a</w:t>
      </w:r>
      <w:r w:rsidRPr="00482ABB">
        <w:t xml:space="preserve"> </w:t>
      </w:r>
      <w:r w:rsidR="00482ABB" w:rsidRPr="00482ABB">
        <w:t>nær</w:t>
      </w:r>
      <w:r w:rsidRPr="00482ABB">
        <w:t xml:space="preserve"> ekki </w:t>
      </w:r>
      <w:r w:rsidR="00482ABB" w:rsidRPr="00482ABB">
        <w:t>til</w:t>
      </w:r>
      <w:r w:rsidRPr="00482ABB">
        <w:t>, getur hann höfðað mál vegna brotanna en ella gerir lögreglustjóri það.</w:t>
      </w:r>
    </w:p>
    <w:p w14:paraId="7D950677" w14:textId="77777777" w:rsidR="001264B7" w:rsidRDefault="001264B7" w:rsidP="001264B7">
      <w:pPr>
        <w:rPr>
          <w:rFonts w:eastAsiaTheme="minorEastAsia"/>
          <w:color w:val="1B1B1B"/>
          <w:sz w:val="24"/>
          <w:szCs w:val="24"/>
        </w:rPr>
      </w:pPr>
    </w:p>
    <w:p w14:paraId="592606F4" w14:textId="77777777" w:rsidR="001264B7" w:rsidRDefault="001264B7" w:rsidP="00CE21F9">
      <w:pPr>
        <w:pStyle w:val="Greinarnmer"/>
      </w:pPr>
      <w:r>
        <w:t>22. gr.</w:t>
      </w:r>
    </w:p>
    <w:p w14:paraId="22E5A512" w14:textId="77777777" w:rsidR="001264B7" w:rsidRDefault="001264B7" w:rsidP="00CE21F9">
      <w:r>
        <w:t>Eftirfarandi breytingar verða á 97. gr. laganna:</w:t>
      </w:r>
    </w:p>
    <w:p w14:paraId="5EFA62A1" w14:textId="4BC6B11E" w:rsidR="001264B7" w:rsidRPr="00CE21F9" w:rsidRDefault="001264B7" w:rsidP="006C4088">
      <w:pPr>
        <w:pStyle w:val="ListParagraph"/>
        <w:numPr>
          <w:ilvl w:val="0"/>
          <w:numId w:val="13"/>
        </w:numPr>
        <w:rPr>
          <w:shd w:val="clear" w:color="auto" w:fill="FFFFFF"/>
        </w:rPr>
      </w:pPr>
      <w:r w:rsidRPr="00CE21F9">
        <w:rPr>
          <w:rFonts w:eastAsiaTheme="minorEastAsia"/>
          <w:color w:val="1B1B1B"/>
        </w:rPr>
        <w:t xml:space="preserve">3. málsl. 1. mgr. orðast svo: </w:t>
      </w:r>
      <w:r w:rsidRPr="00CE21F9">
        <w:rPr>
          <w:shd w:val="clear" w:color="auto" w:fill="FFFFFF"/>
        </w:rPr>
        <w:t>Því má þó marka lengri tíma en fjórar vikur meðan stendur á áfrýjunarfresti skv. 199. gr. eða fresti til að leita leyfis Hæstaréttar til að áfrýja dómi Landsréttar skv. 217.  gr., svo og meðan mál er til meðferðar fyrir æðri dómi uns endanlegur dómur gengur.</w:t>
      </w:r>
    </w:p>
    <w:p w14:paraId="7F3EF010" w14:textId="44353F8D" w:rsidR="001264B7" w:rsidRPr="00CE21F9" w:rsidRDefault="001264B7" w:rsidP="006C4088">
      <w:pPr>
        <w:pStyle w:val="ListParagraph"/>
        <w:numPr>
          <w:ilvl w:val="0"/>
          <w:numId w:val="13"/>
        </w:numPr>
        <w:rPr>
          <w:shd w:val="clear" w:color="auto" w:fill="FFFFFF"/>
        </w:rPr>
      </w:pPr>
      <w:r w:rsidRPr="00CE21F9">
        <w:rPr>
          <w:shd w:val="clear" w:color="auto" w:fill="FFFFFF"/>
        </w:rPr>
        <w:t>3. mgr. orðast svo:</w:t>
      </w:r>
      <w:r w:rsidR="00CE21F9">
        <w:rPr>
          <w:shd w:val="clear" w:color="auto" w:fill="FFFFFF"/>
        </w:rPr>
        <w:t xml:space="preserve"> </w:t>
      </w:r>
      <w:r w:rsidRPr="00CE21F9">
        <w:rPr>
          <w:shd w:val="clear" w:color="auto" w:fill="FFFFFF"/>
        </w:rPr>
        <w:t>Gæsluvarðhaldi lýkur með endanlegum dómi eða ef ákærði er sýknaður eða dæmd refsing er vægari en óskilorðsbundið fangelsi.</w:t>
      </w:r>
    </w:p>
    <w:p w14:paraId="2C8C9E1C" w14:textId="77777777" w:rsidR="001264B7" w:rsidRDefault="001264B7" w:rsidP="001264B7">
      <w:pPr>
        <w:ind w:firstLine="0"/>
        <w:rPr>
          <w:sz w:val="24"/>
          <w:szCs w:val="24"/>
        </w:rPr>
      </w:pPr>
    </w:p>
    <w:p w14:paraId="299A5B3C" w14:textId="77777777" w:rsidR="001264B7" w:rsidRDefault="001264B7" w:rsidP="00CE21F9">
      <w:pPr>
        <w:pStyle w:val="Greinarnmer"/>
      </w:pPr>
      <w:r>
        <w:t>23. gr.</w:t>
      </w:r>
    </w:p>
    <w:p w14:paraId="7209E2B3" w14:textId="3A1B73A0" w:rsidR="00921584" w:rsidRDefault="00921584" w:rsidP="00921584">
      <w:r>
        <w:t>Eftirfarandi breytingar verða á 1. mgr. 122. gr. laganna:</w:t>
      </w:r>
    </w:p>
    <w:p w14:paraId="004ADD6D" w14:textId="3C53CE6F" w:rsidR="00921584" w:rsidRPr="00CE21F9" w:rsidRDefault="00E1020E" w:rsidP="00921584">
      <w:pPr>
        <w:pStyle w:val="ListParagraph"/>
        <w:numPr>
          <w:ilvl w:val="0"/>
          <w:numId w:val="14"/>
        </w:numPr>
      </w:pPr>
      <w:r>
        <w:t>Í stað orðanna „nafni sínu, kennitölu og heimili,“ í 1. málsl., kemur: nafni sínu og kennitölu“</w:t>
      </w:r>
    </w:p>
    <w:p w14:paraId="5DC9378A" w14:textId="77777777" w:rsidR="00E1020E" w:rsidRDefault="00E1020E" w:rsidP="00E1020E">
      <w:pPr>
        <w:pStyle w:val="ListParagraph"/>
        <w:numPr>
          <w:ilvl w:val="0"/>
          <w:numId w:val="14"/>
        </w:numPr>
      </w:pPr>
      <w:r>
        <w:t>Á eftir 1. málsl. kemur nýr málsliður svohljóðandi: Dómari lætur lögreglumann þó aðeins gera grein fyrir nafni og lögreglunúmeri.</w:t>
      </w:r>
    </w:p>
    <w:p w14:paraId="31E38978" w14:textId="77777777" w:rsidR="001264B7" w:rsidRDefault="001264B7" w:rsidP="001264B7">
      <w:pPr>
        <w:rPr>
          <w:sz w:val="24"/>
          <w:szCs w:val="24"/>
        </w:rPr>
      </w:pPr>
    </w:p>
    <w:p w14:paraId="4E55E41C" w14:textId="77777777" w:rsidR="008E04FE" w:rsidRPr="00CE21F9" w:rsidRDefault="008E04FE" w:rsidP="008E04FE">
      <w:pPr>
        <w:pStyle w:val="Greinarnmer"/>
      </w:pPr>
      <w:r w:rsidRPr="00CE21F9">
        <w:t>24. gr.</w:t>
      </w:r>
    </w:p>
    <w:p w14:paraId="501CD8D1" w14:textId="75F8BF37" w:rsidR="008E04FE" w:rsidRDefault="008E04FE" w:rsidP="008E04FE">
      <w:r>
        <w:t xml:space="preserve">Í stað orðanna „í fjórriti“ í 4. málsl. 1. mgr. 194. gr., kemur: á því formi eða </w:t>
      </w:r>
      <w:r w:rsidR="00482ABB">
        <w:t xml:space="preserve">í þeim </w:t>
      </w:r>
      <w:r>
        <w:t xml:space="preserve">fjölda eintaka sem Landsréttur ákveður, </w:t>
      </w:r>
    </w:p>
    <w:p w14:paraId="4D6585BE" w14:textId="77777777" w:rsidR="008E04FE" w:rsidRDefault="008E04FE" w:rsidP="00CE21F9">
      <w:pPr>
        <w:pStyle w:val="Greinarnmer"/>
      </w:pPr>
    </w:p>
    <w:p w14:paraId="011D9006" w14:textId="5C13F89F" w:rsidR="001264B7" w:rsidRPr="00CE21F9" w:rsidRDefault="001264B7" w:rsidP="00CE21F9">
      <w:pPr>
        <w:pStyle w:val="Greinarnmer"/>
      </w:pPr>
      <w:bookmarkStart w:id="2" w:name="_Hlk536789075"/>
      <w:r w:rsidRPr="00CE21F9">
        <w:t>2</w:t>
      </w:r>
      <w:r w:rsidR="008E04FE">
        <w:t>5</w:t>
      </w:r>
      <w:r w:rsidRPr="00CE21F9">
        <w:t>. gr.</w:t>
      </w:r>
    </w:p>
    <w:p w14:paraId="662AD7F8" w14:textId="77777777" w:rsidR="001264B7" w:rsidRDefault="001264B7" w:rsidP="00CE21F9">
      <w:r>
        <w:t>Eftirfarandi breytingar verða á 2. mgr. 202. gr. laganna:</w:t>
      </w:r>
    </w:p>
    <w:p w14:paraId="14AC423A" w14:textId="7B98A87F" w:rsidR="001264B7" w:rsidRPr="00CE21F9" w:rsidRDefault="001264B7" w:rsidP="00F513A9">
      <w:pPr>
        <w:pStyle w:val="ListParagraph"/>
        <w:numPr>
          <w:ilvl w:val="0"/>
          <w:numId w:val="16"/>
        </w:numPr>
      </w:pPr>
      <w:r w:rsidRPr="00CE21F9">
        <w:t>Í stað orðanna „hljóð- og myndupptökur“ í 1. málsl. kemur: hljóðupptökur.</w:t>
      </w:r>
    </w:p>
    <w:p w14:paraId="2F75770D" w14:textId="4DC281DA" w:rsidR="001264B7" w:rsidRPr="00CE21F9" w:rsidRDefault="001264B7" w:rsidP="00F513A9">
      <w:pPr>
        <w:pStyle w:val="ListParagraph"/>
        <w:numPr>
          <w:ilvl w:val="0"/>
          <w:numId w:val="16"/>
        </w:numPr>
      </w:pPr>
      <w:r w:rsidRPr="00CE21F9">
        <w:t>Á eftir 1. málslið kemur nýr málsliður svohljóðandi: Ríkissaksóknari skal afhenda verjanda málsgögn.</w:t>
      </w:r>
    </w:p>
    <w:p w14:paraId="4864E83E" w14:textId="27963979" w:rsidR="001264B7" w:rsidRPr="00CE21F9" w:rsidRDefault="001264B7" w:rsidP="00F513A9">
      <w:pPr>
        <w:pStyle w:val="ListParagraph"/>
        <w:numPr>
          <w:ilvl w:val="0"/>
          <w:numId w:val="16"/>
        </w:numPr>
        <w:rPr>
          <w:color w:val="242424"/>
          <w:shd w:val="clear" w:color="auto" w:fill="FFFFFF"/>
        </w:rPr>
      </w:pPr>
      <w:r w:rsidRPr="00CE21F9">
        <w:t xml:space="preserve">Við bætist nýr málsliður svohljóðandi: </w:t>
      </w:r>
      <w:r w:rsidRPr="00CE21F9">
        <w:rPr>
          <w:color w:val="242424"/>
          <w:shd w:val="clear" w:color="auto" w:fill="FFFFFF"/>
        </w:rPr>
        <w:t>Héraðsdómstóll skal afhenda Landsrétti hljóð- og myndupptökur af munnlegum framburði í málinu.</w:t>
      </w:r>
    </w:p>
    <w:bookmarkEnd w:id="2"/>
    <w:p w14:paraId="622E670A" w14:textId="77777777" w:rsidR="001264B7" w:rsidRDefault="001264B7" w:rsidP="001264B7">
      <w:pPr>
        <w:tabs>
          <w:tab w:val="left" w:pos="284"/>
        </w:tabs>
        <w:ind w:left="280" w:hanging="280"/>
        <w:rPr>
          <w:color w:val="242424"/>
          <w:sz w:val="24"/>
          <w:szCs w:val="24"/>
          <w:shd w:val="clear" w:color="auto" w:fill="FFFFFF"/>
        </w:rPr>
      </w:pPr>
    </w:p>
    <w:p w14:paraId="2933E6A4" w14:textId="70C8B3A4" w:rsidR="001264B7" w:rsidRPr="00CE21F9" w:rsidRDefault="001264B7" w:rsidP="00CE21F9">
      <w:pPr>
        <w:pStyle w:val="Greinarnmer"/>
      </w:pPr>
      <w:r w:rsidRPr="00CE21F9">
        <w:t>2</w:t>
      </w:r>
      <w:r w:rsidR="008E04FE">
        <w:t>6</w:t>
      </w:r>
      <w:r w:rsidRPr="00CE21F9">
        <w:t>. gr.</w:t>
      </w:r>
    </w:p>
    <w:p w14:paraId="4723ECA8" w14:textId="3EC5A124" w:rsidR="001264B7" w:rsidRPr="002748E9" w:rsidRDefault="001264B7" w:rsidP="00CE21F9">
      <w:r>
        <w:t>Eftirfarandi breyting</w:t>
      </w:r>
      <w:r w:rsidR="00E50441">
        <w:t>ar</w:t>
      </w:r>
      <w:r>
        <w:t xml:space="preserve"> verð</w:t>
      </w:r>
      <w:r w:rsidR="00E50441">
        <w:t>a</w:t>
      </w:r>
      <w:r>
        <w:t xml:space="preserve"> á 1. mgr. 211. gr. laganna:</w:t>
      </w:r>
    </w:p>
    <w:p w14:paraId="483AC305" w14:textId="77777777" w:rsidR="001264B7" w:rsidRDefault="001264B7" w:rsidP="00CE21F9">
      <w:r>
        <w:lastRenderedPageBreak/>
        <w:t>a.</w:t>
      </w:r>
      <w:r>
        <w:tab/>
        <w:t>Í stað orðsins „Úrskurðir“ kemur: Dómsathafnir.</w:t>
      </w:r>
    </w:p>
    <w:p w14:paraId="1158766E" w14:textId="7CB834D2" w:rsidR="001264B7" w:rsidRDefault="001264B7" w:rsidP="00CE21F9">
      <w:r>
        <w:t>b.</w:t>
      </w:r>
      <w:r>
        <w:tab/>
        <w:t>Við a</w:t>
      </w:r>
      <w:r w:rsidR="004A3973">
        <w:t>-</w:t>
      </w:r>
      <w:r>
        <w:t>lið bætist: ef ekki er um að ræða staðfestingu á slíkri dómsathöfn héraðsdóms.</w:t>
      </w:r>
    </w:p>
    <w:p w14:paraId="09C404C0" w14:textId="065A87AA" w:rsidR="001264B7" w:rsidRDefault="001264B7" w:rsidP="00CE21F9">
      <w:r>
        <w:t>c.</w:t>
      </w:r>
      <w:r>
        <w:tab/>
        <w:t>Við upphaf c</w:t>
      </w:r>
      <w:r w:rsidR="004A3973">
        <w:t>-</w:t>
      </w:r>
      <w:r>
        <w:t>liðar bætist: Úrskurður um.</w:t>
      </w:r>
    </w:p>
    <w:p w14:paraId="3FF6E25D" w14:textId="77777777" w:rsidR="001264B7" w:rsidRDefault="001264B7" w:rsidP="001264B7">
      <w:pPr>
        <w:tabs>
          <w:tab w:val="left" w:pos="284"/>
        </w:tabs>
        <w:ind w:left="280" w:hanging="280"/>
        <w:rPr>
          <w:sz w:val="24"/>
          <w:szCs w:val="24"/>
        </w:rPr>
      </w:pPr>
    </w:p>
    <w:p w14:paraId="7D56CE7E" w14:textId="5B9C8536" w:rsidR="001264B7" w:rsidRDefault="001264B7" w:rsidP="00CE21F9">
      <w:pPr>
        <w:pStyle w:val="Greinarnmer"/>
      </w:pPr>
      <w:r>
        <w:t>2</w:t>
      </w:r>
      <w:r w:rsidR="008E04FE">
        <w:t>7</w:t>
      </w:r>
      <w:r>
        <w:t>. gr.</w:t>
      </w:r>
    </w:p>
    <w:p w14:paraId="063CA745" w14:textId="77777777" w:rsidR="001264B7" w:rsidRDefault="001264B7" w:rsidP="00CE21F9">
      <w:r>
        <w:t>Í stað tölunnar „200“ í síðari málslið 3. mgr. 212. gr. kemur: 216.</w:t>
      </w:r>
    </w:p>
    <w:p w14:paraId="5FE9C055" w14:textId="77777777" w:rsidR="001264B7" w:rsidRDefault="001264B7" w:rsidP="001264B7">
      <w:pPr>
        <w:rPr>
          <w:sz w:val="24"/>
          <w:szCs w:val="24"/>
        </w:rPr>
      </w:pPr>
    </w:p>
    <w:p w14:paraId="2584548C" w14:textId="11590537" w:rsidR="001264B7" w:rsidRDefault="001264B7" w:rsidP="00CE21F9">
      <w:pPr>
        <w:pStyle w:val="Greinarnmer"/>
      </w:pPr>
      <w:r>
        <w:t>2</w:t>
      </w:r>
      <w:r w:rsidR="008E04FE">
        <w:t>8</w:t>
      </w:r>
      <w:r>
        <w:t>. gr.</w:t>
      </w:r>
    </w:p>
    <w:p w14:paraId="60AC4644" w14:textId="77777777" w:rsidR="001264B7" w:rsidRDefault="001264B7" w:rsidP="00CE21F9">
      <w:r>
        <w:t>Í stað orðsins „fjórriti“ í 3. málsl. 1. mgr. 213. gr. laganna kemur: sex eintökum.</w:t>
      </w:r>
    </w:p>
    <w:p w14:paraId="4C107C83" w14:textId="77777777" w:rsidR="001264B7" w:rsidRDefault="001264B7" w:rsidP="001264B7">
      <w:pPr>
        <w:rPr>
          <w:sz w:val="24"/>
          <w:szCs w:val="24"/>
        </w:rPr>
      </w:pPr>
    </w:p>
    <w:p w14:paraId="2F859751" w14:textId="784190FB" w:rsidR="001264B7" w:rsidRDefault="001264B7" w:rsidP="00CE21F9">
      <w:pPr>
        <w:pStyle w:val="Greinarnmer"/>
      </w:pPr>
      <w:r>
        <w:t>2</w:t>
      </w:r>
      <w:r w:rsidR="008E04FE">
        <w:t>9</w:t>
      </w:r>
      <w:r>
        <w:t>. gr.</w:t>
      </w:r>
    </w:p>
    <w:p w14:paraId="330ABD38" w14:textId="77777777" w:rsidR="001264B7" w:rsidRPr="002B4EEB" w:rsidRDefault="001264B7" w:rsidP="00CE21F9">
      <w:r>
        <w:t xml:space="preserve"> Eftirfarandi breytingar verða á 3. mgr. 214. gr. laganna:</w:t>
      </w:r>
    </w:p>
    <w:p w14:paraId="3E09C910" w14:textId="77777777" w:rsidR="001264B7" w:rsidRDefault="001264B7" w:rsidP="00CE21F9">
      <w:pPr>
        <w:rPr>
          <w:color w:val="242424"/>
          <w:shd w:val="clear" w:color="auto" w:fill="FFFFFF"/>
        </w:rPr>
      </w:pPr>
      <w:r>
        <w:rPr>
          <w:color w:val="242424"/>
          <w:shd w:val="clear" w:color="auto" w:fill="FFFFFF"/>
        </w:rPr>
        <w:t>a.</w:t>
      </w:r>
      <w:r>
        <w:rPr>
          <w:color w:val="242424"/>
          <w:shd w:val="clear" w:color="auto" w:fill="FFFFFF"/>
        </w:rPr>
        <w:tab/>
        <w:t>Á eftir orðinu „Landsrétti“ í 1. málsl. kemur: , og eftir atvikum héraðsdómara,.</w:t>
      </w:r>
    </w:p>
    <w:p w14:paraId="18733BBD" w14:textId="77777777" w:rsidR="001264B7" w:rsidRDefault="001264B7" w:rsidP="00CE21F9">
      <w:pPr>
        <w:ind w:left="568" w:hanging="284"/>
        <w:rPr>
          <w:color w:val="242424"/>
          <w:shd w:val="clear" w:color="auto" w:fill="FFFFFF"/>
        </w:rPr>
      </w:pPr>
      <w:r>
        <w:rPr>
          <w:color w:val="242424"/>
          <w:shd w:val="clear" w:color="auto" w:fill="FFFFFF"/>
        </w:rPr>
        <w:t>b.</w:t>
      </w:r>
      <w:r>
        <w:rPr>
          <w:color w:val="242424"/>
          <w:shd w:val="clear" w:color="auto" w:fill="FFFFFF"/>
        </w:rPr>
        <w:tab/>
        <w:t xml:space="preserve">2. málsliður orðast svo: </w:t>
      </w:r>
      <w:r w:rsidRPr="00261405">
        <w:rPr>
          <w:color w:val="242424"/>
          <w:shd w:val="clear" w:color="auto" w:fill="FFFFFF"/>
        </w:rPr>
        <w:t>Hæstiréttur tilkynnir aðilum kærumáls sem hafa látið það til sín taka fyrir réttinum um úrslit þess.</w:t>
      </w:r>
    </w:p>
    <w:p w14:paraId="17C77BBB" w14:textId="77777777" w:rsidR="001264B7" w:rsidRDefault="001264B7" w:rsidP="001264B7">
      <w:pPr>
        <w:tabs>
          <w:tab w:val="left" w:pos="284"/>
        </w:tabs>
        <w:ind w:firstLine="0"/>
        <w:rPr>
          <w:color w:val="242424"/>
          <w:sz w:val="24"/>
          <w:szCs w:val="24"/>
          <w:shd w:val="clear" w:color="auto" w:fill="FFFFFF"/>
        </w:rPr>
      </w:pPr>
    </w:p>
    <w:p w14:paraId="5AE28601" w14:textId="7FE90623" w:rsidR="001264B7" w:rsidRDefault="008E04FE" w:rsidP="00CE21F9">
      <w:pPr>
        <w:pStyle w:val="Greinarnmer"/>
        <w:rPr>
          <w:shd w:val="clear" w:color="auto" w:fill="FFFFFF"/>
        </w:rPr>
      </w:pPr>
      <w:r>
        <w:rPr>
          <w:shd w:val="clear" w:color="auto" w:fill="FFFFFF"/>
        </w:rPr>
        <w:t>30</w:t>
      </w:r>
      <w:r w:rsidR="001264B7">
        <w:rPr>
          <w:shd w:val="clear" w:color="auto" w:fill="FFFFFF"/>
        </w:rPr>
        <w:t>. gr.</w:t>
      </w:r>
    </w:p>
    <w:p w14:paraId="3F3BC2BC" w14:textId="77777777" w:rsidR="001264B7" w:rsidRDefault="001264B7" w:rsidP="00CE21F9">
      <w:pPr>
        <w:rPr>
          <w:shd w:val="clear" w:color="auto" w:fill="FFFFFF"/>
        </w:rPr>
      </w:pPr>
      <w:r>
        <w:rPr>
          <w:shd w:val="clear" w:color="auto" w:fill="FFFFFF"/>
        </w:rPr>
        <w:tab/>
        <w:t xml:space="preserve">Við 1. málsl. 4. mgr. 215. gr. laganna bætist: </w:t>
      </w:r>
      <w:r>
        <w:t>og má takmarka leyfið við tiltekin atriði máls.</w:t>
      </w:r>
    </w:p>
    <w:p w14:paraId="72AA6F20" w14:textId="77777777" w:rsidR="001264B7" w:rsidRDefault="001264B7" w:rsidP="001264B7">
      <w:pPr>
        <w:tabs>
          <w:tab w:val="left" w:pos="284"/>
        </w:tabs>
        <w:ind w:firstLine="0"/>
        <w:rPr>
          <w:color w:val="242424"/>
          <w:sz w:val="24"/>
          <w:szCs w:val="24"/>
          <w:shd w:val="clear" w:color="auto" w:fill="FFFFFF"/>
        </w:rPr>
      </w:pPr>
    </w:p>
    <w:p w14:paraId="0F760DBF" w14:textId="2420EFB5" w:rsidR="001264B7" w:rsidRDefault="001264B7" w:rsidP="00407611">
      <w:pPr>
        <w:pStyle w:val="Greinarnmer"/>
        <w:rPr>
          <w:shd w:val="clear" w:color="auto" w:fill="FFFFFF"/>
        </w:rPr>
      </w:pPr>
      <w:r>
        <w:rPr>
          <w:shd w:val="clear" w:color="auto" w:fill="FFFFFF"/>
        </w:rPr>
        <w:t>3</w:t>
      </w:r>
      <w:r w:rsidR="008E04FE">
        <w:rPr>
          <w:shd w:val="clear" w:color="auto" w:fill="FFFFFF"/>
        </w:rPr>
        <w:t>1</w:t>
      </w:r>
      <w:r>
        <w:rPr>
          <w:shd w:val="clear" w:color="auto" w:fill="FFFFFF"/>
        </w:rPr>
        <w:t>. gr.</w:t>
      </w:r>
    </w:p>
    <w:p w14:paraId="3EFA1A40" w14:textId="77777777" w:rsidR="001264B7" w:rsidRDefault="001264B7" w:rsidP="00407611">
      <w:pPr>
        <w:rPr>
          <w:shd w:val="clear" w:color="auto" w:fill="FFFFFF"/>
        </w:rPr>
      </w:pPr>
      <w:r>
        <w:rPr>
          <w:shd w:val="clear" w:color="auto" w:fill="FFFFFF"/>
        </w:rPr>
        <w:tab/>
        <w:t>Í 1. og 2. mgr. 216. gr. laganna falla brott orðin „sbr. þó 1. mgr. 198. gr.“.</w:t>
      </w:r>
    </w:p>
    <w:p w14:paraId="1BCDD621" w14:textId="77777777" w:rsidR="001264B7" w:rsidRDefault="001264B7" w:rsidP="001264B7">
      <w:pPr>
        <w:tabs>
          <w:tab w:val="left" w:pos="284"/>
        </w:tabs>
        <w:ind w:firstLine="0"/>
        <w:rPr>
          <w:color w:val="242424"/>
          <w:sz w:val="24"/>
          <w:szCs w:val="24"/>
          <w:shd w:val="clear" w:color="auto" w:fill="FFFFFF"/>
        </w:rPr>
      </w:pPr>
    </w:p>
    <w:p w14:paraId="429C7167" w14:textId="520D94DA" w:rsidR="001264B7" w:rsidRDefault="001264B7" w:rsidP="00407611">
      <w:pPr>
        <w:pStyle w:val="Greinarnmer"/>
      </w:pPr>
      <w:r>
        <w:t>3</w:t>
      </w:r>
      <w:r w:rsidR="008E04FE">
        <w:t>2</w:t>
      </w:r>
      <w:r>
        <w:t>. gr.</w:t>
      </w:r>
    </w:p>
    <w:p w14:paraId="06B745DA" w14:textId="7CCC1321" w:rsidR="001264B7" w:rsidRDefault="001264B7" w:rsidP="00407611">
      <w:r>
        <w:t>Eftirfarandi breytingar verða á 217. gr. laganna.</w:t>
      </w:r>
      <w:r>
        <w:tab/>
      </w:r>
    </w:p>
    <w:p w14:paraId="3FFF6FF9" w14:textId="77777777" w:rsidR="001264B7" w:rsidRDefault="001264B7" w:rsidP="00407611">
      <w:r>
        <w:t>a.</w:t>
      </w:r>
      <w:r>
        <w:tab/>
        <w:t>Við 3. málsl. 3. mgr. bætist: svo og endurrit af dómi Landsréttar.</w:t>
      </w:r>
    </w:p>
    <w:p w14:paraId="45776AA4" w14:textId="77777777" w:rsidR="001264B7" w:rsidRDefault="001264B7" w:rsidP="00407611">
      <w:r>
        <w:t>b.</w:t>
      </w:r>
      <w:r>
        <w:tab/>
        <w:t>Í stað orðsins „áfrýjað“ í fyrri málslið 6. mgr. kemur: óskað eftir leyfi til áfrýjunar.</w:t>
      </w:r>
    </w:p>
    <w:p w14:paraId="1142DE7D" w14:textId="77777777" w:rsidR="001264B7" w:rsidRDefault="001264B7" w:rsidP="00407611">
      <w:r>
        <w:t>c.</w:t>
      </w:r>
      <w:r>
        <w:tab/>
        <w:t>í stað orðsins „áfrýjunarfrests“ í síðar málslið 6. mgr. kemur: framangreindra fresta.</w:t>
      </w:r>
    </w:p>
    <w:p w14:paraId="4D5E0AC5" w14:textId="77777777" w:rsidR="001264B7" w:rsidRDefault="001264B7" w:rsidP="001264B7">
      <w:pPr>
        <w:tabs>
          <w:tab w:val="left" w:pos="284"/>
        </w:tabs>
        <w:ind w:left="280" w:hanging="280"/>
        <w:rPr>
          <w:sz w:val="24"/>
          <w:szCs w:val="24"/>
        </w:rPr>
      </w:pPr>
    </w:p>
    <w:p w14:paraId="2BD00B99" w14:textId="342A0435" w:rsidR="001264B7" w:rsidRDefault="001264B7" w:rsidP="00407611">
      <w:pPr>
        <w:pStyle w:val="Greinarnmer"/>
      </w:pPr>
      <w:r>
        <w:t>3</w:t>
      </w:r>
      <w:r w:rsidR="008E04FE">
        <w:t>3</w:t>
      </w:r>
      <w:r>
        <w:t>. gr.</w:t>
      </w:r>
    </w:p>
    <w:p w14:paraId="6759B2DD" w14:textId="3C754EF4" w:rsidR="001264B7" w:rsidRDefault="001264B7" w:rsidP="00407611">
      <w:r>
        <w:t>Í stað orðsins „héraðsdómi“ í 1. mgr. 218. gr. laganna kemur: dómi Landsréttar.</w:t>
      </w:r>
    </w:p>
    <w:p w14:paraId="772FB0A8" w14:textId="77777777" w:rsidR="001264B7" w:rsidRDefault="001264B7" w:rsidP="001264B7">
      <w:pPr>
        <w:tabs>
          <w:tab w:val="left" w:pos="284"/>
        </w:tabs>
        <w:ind w:left="280" w:hanging="280"/>
        <w:rPr>
          <w:sz w:val="24"/>
          <w:szCs w:val="24"/>
        </w:rPr>
      </w:pPr>
    </w:p>
    <w:p w14:paraId="7B991E34" w14:textId="2A8AEC63" w:rsidR="001264B7" w:rsidRDefault="001264B7" w:rsidP="00407611">
      <w:pPr>
        <w:pStyle w:val="Greinarnmer"/>
      </w:pPr>
      <w:r>
        <w:t>3</w:t>
      </w:r>
      <w:r w:rsidR="008E04FE">
        <w:t>4</w:t>
      </w:r>
      <w:r>
        <w:t>. gr.</w:t>
      </w:r>
    </w:p>
    <w:p w14:paraId="3C28B6CA" w14:textId="77777777" w:rsidR="001264B7" w:rsidRDefault="001264B7" w:rsidP="00407611">
      <w:r>
        <w:t>Í stað orðanna „viðkomandi dómstóll“ í 1. mgr. 219. gr. laganna kemur: Landsréttur.</w:t>
      </w:r>
    </w:p>
    <w:p w14:paraId="00F92DA4" w14:textId="77777777" w:rsidR="001264B7" w:rsidRDefault="001264B7" w:rsidP="001264B7">
      <w:pPr>
        <w:rPr>
          <w:sz w:val="24"/>
          <w:szCs w:val="24"/>
        </w:rPr>
      </w:pPr>
    </w:p>
    <w:p w14:paraId="7258A047" w14:textId="613DD303" w:rsidR="001264B7" w:rsidRDefault="001264B7" w:rsidP="00407611">
      <w:pPr>
        <w:pStyle w:val="Greinarnmer"/>
      </w:pPr>
      <w:r>
        <w:t>3</w:t>
      </w:r>
      <w:r w:rsidR="008E04FE">
        <w:t>5</w:t>
      </w:r>
      <w:r>
        <w:t>. gr.</w:t>
      </w:r>
    </w:p>
    <w:p w14:paraId="4D09AA5F" w14:textId="35E8D818" w:rsidR="001264B7" w:rsidRDefault="001264B7" w:rsidP="00407611">
      <w:r>
        <w:t>Eftirfarandi breytingar verða á 3. mgr. 237. gr. laganna:</w:t>
      </w:r>
    </w:p>
    <w:p w14:paraId="06D9D728" w14:textId="77777777" w:rsidR="001264B7" w:rsidRDefault="001264B7" w:rsidP="00407611">
      <w:r>
        <w:t>a.</w:t>
      </w:r>
      <w:r>
        <w:tab/>
        <w:t>Í stað orðsins „dæmdur“ kemur: úrskurðaður.</w:t>
      </w:r>
    </w:p>
    <w:p w14:paraId="6E1FC86F" w14:textId="77777777" w:rsidR="001264B7" w:rsidRDefault="001264B7" w:rsidP="00407611">
      <w:r>
        <w:t>b.</w:t>
      </w:r>
      <w:r>
        <w:tab/>
        <w:t>Í stað orðsins „dómi“ kemur: úrskurði.</w:t>
      </w:r>
    </w:p>
    <w:p w14:paraId="54593F49" w14:textId="77777777" w:rsidR="001264B7" w:rsidRDefault="001264B7" w:rsidP="001264B7">
      <w:pPr>
        <w:tabs>
          <w:tab w:val="left" w:pos="284"/>
        </w:tabs>
        <w:ind w:firstLine="0"/>
        <w:rPr>
          <w:sz w:val="24"/>
          <w:szCs w:val="24"/>
        </w:rPr>
      </w:pPr>
    </w:p>
    <w:p w14:paraId="7EDDC22F" w14:textId="2AB8FDDD" w:rsidR="001264B7" w:rsidRDefault="001264B7" w:rsidP="00407611">
      <w:pPr>
        <w:pStyle w:val="Greinarnmer"/>
      </w:pPr>
      <w:r>
        <w:t>3</w:t>
      </w:r>
      <w:r w:rsidR="008E04FE">
        <w:t>6</w:t>
      </w:r>
      <w:r>
        <w:t>. gr.</w:t>
      </w:r>
    </w:p>
    <w:p w14:paraId="7EF993B6" w14:textId="3082FF5F" w:rsidR="001264B7" w:rsidRDefault="009F3034" w:rsidP="00407611">
      <w:r>
        <w:t xml:space="preserve">Á eftir 2. mgr. </w:t>
      </w:r>
      <w:r w:rsidR="001264B7">
        <w:t xml:space="preserve">238. gr. laganna </w:t>
      </w:r>
      <w:r>
        <w:t xml:space="preserve">kemur </w:t>
      </w:r>
      <w:r w:rsidR="001264B7">
        <w:t>ný málsgrein, svohljóðandi:</w:t>
      </w:r>
      <w:r w:rsidR="00407611">
        <w:t xml:space="preserve"> </w:t>
      </w:r>
      <w:r w:rsidR="001264B7">
        <w:t xml:space="preserve">Kærumálskostnaður verður ekki dæmdur fyrir Hæstarétti nema máli sé þá lokið með dómi. </w:t>
      </w:r>
    </w:p>
    <w:p w14:paraId="47A496C4" w14:textId="77777777" w:rsidR="001264B7" w:rsidRDefault="001264B7" w:rsidP="001264B7">
      <w:pPr>
        <w:ind w:firstLine="0"/>
        <w:rPr>
          <w:sz w:val="24"/>
          <w:szCs w:val="24"/>
        </w:rPr>
      </w:pPr>
    </w:p>
    <w:p w14:paraId="1038BB8B" w14:textId="77777777" w:rsidR="001264B7" w:rsidRPr="00407611" w:rsidRDefault="001264B7" w:rsidP="00407611">
      <w:pPr>
        <w:pStyle w:val="Kaflanmer"/>
      </w:pPr>
      <w:r w:rsidRPr="00407611">
        <w:t>III. kafli</w:t>
      </w:r>
    </w:p>
    <w:p w14:paraId="6B7F6AE8" w14:textId="77777777" w:rsidR="001264B7" w:rsidRPr="00306EEF" w:rsidRDefault="001264B7" w:rsidP="00407611">
      <w:pPr>
        <w:pStyle w:val="Kaflafyrirsgn"/>
      </w:pPr>
      <w:r w:rsidRPr="00306EEF">
        <w:lastRenderedPageBreak/>
        <w:t>Breyting á lögum nr. 88/1991 um aukatekur ríkissjóðs, með síðari breytingum.</w:t>
      </w:r>
    </w:p>
    <w:p w14:paraId="123534F4" w14:textId="62D269A0" w:rsidR="001264B7" w:rsidRPr="00306EEF" w:rsidRDefault="001264B7" w:rsidP="00407611">
      <w:pPr>
        <w:pStyle w:val="Greinarnmer"/>
      </w:pPr>
      <w:r w:rsidRPr="00306EEF">
        <w:t>3</w:t>
      </w:r>
      <w:r w:rsidR="008E04FE">
        <w:t>7</w:t>
      </w:r>
      <w:r w:rsidRPr="00306EEF">
        <w:t>. gr.</w:t>
      </w:r>
    </w:p>
    <w:p w14:paraId="1E3D330F" w14:textId="77777777" w:rsidR="001264B7" w:rsidRDefault="001264B7" w:rsidP="00407611">
      <w:r>
        <w:t>Eftirfarandi breytingar verða á 3. mgr. 1. gr. laganna.</w:t>
      </w:r>
    </w:p>
    <w:p w14:paraId="2CDC85B1" w14:textId="77777777" w:rsidR="001264B7" w:rsidRPr="00306EEF" w:rsidRDefault="001264B7" w:rsidP="006C4088">
      <w:pPr>
        <w:pStyle w:val="ListParagraph"/>
        <w:numPr>
          <w:ilvl w:val="0"/>
          <w:numId w:val="15"/>
        </w:numPr>
      </w:pPr>
      <w:r w:rsidRPr="00306EEF">
        <w:t xml:space="preserve">Í stað orðsins „ kæruleyfi“ </w:t>
      </w:r>
      <w:r>
        <w:t xml:space="preserve">í 1. tölulið </w:t>
      </w:r>
      <w:r w:rsidRPr="00306EEF">
        <w:t>kemur: beiðni um kæruleyfi ásamt kæru.</w:t>
      </w:r>
    </w:p>
    <w:p w14:paraId="23019678" w14:textId="77777777" w:rsidR="001264B7" w:rsidRDefault="001264B7" w:rsidP="006C4088">
      <w:pPr>
        <w:pStyle w:val="ListParagraph"/>
        <w:numPr>
          <w:ilvl w:val="0"/>
          <w:numId w:val="15"/>
        </w:numPr>
      </w:pPr>
      <w:r>
        <w:t>Í stað orðsins „áfrýjunarleyfi“ í 2. tölulið kemur: beiðni um áfrýjunarleyfi.</w:t>
      </w:r>
    </w:p>
    <w:p w14:paraId="0EF631CB" w14:textId="77777777" w:rsidR="001264B7" w:rsidRDefault="001264B7" w:rsidP="001264B7">
      <w:pPr>
        <w:ind w:left="284" w:firstLine="0"/>
        <w:rPr>
          <w:sz w:val="24"/>
          <w:szCs w:val="24"/>
        </w:rPr>
      </w:pPr>
    </w:p>
    <w:p w14:paraId="15E0F511" w14:textId="77777777" w:rsidR="001264B7" w:rsidRDefault="001264B7" w:rsidP="00407611">
      <w:pPr>
        <w:pStyle w:val="Kaflanmer"/>
        <w:rPr>
          <w:b/>
        </w:rPr>
      </w:pPr>
      <w:r>
        <w:t>IV. KAFLI</w:t>
      </w:r>
      <w:r w:rsidRPr="00306EEF">
        <w:rPr>
          <w:b/>
        </w:rPr>
        <w:t xml:space="preserve"> </w:t>
      </w:r>
    </w:p>
    <w:p w14:paraId="7226491E" w14:textId="77777777" w:rsidR="001264B7" w:rsidRPr="00306EEF" w:rsidRDefault="001264B7" w:rsidP="00407611">
      <w:pPr>
        <w:pStyle w:val="Kaflafyrirsgn"/>
      </w:pPr>
      <w:r w:rsidRPr="00306EEF">
        <w:t>Breyting á barnaverndarlögum nr. 80/2002, með síðari breytingum.</w:t>
      </w:r>
    </w:p>
    <w:p w14:paraId="41CFE9BA" w14:textId="721E0AAA" w:rsidR="001264B7" w:rsidRDefault="001264B7" w:rsidP="001264B7">
      <w:pPr>
        <w:ind w:firstLine="0"/>
        <w:jc w:val="center"/>
        <w:rPr>
          <w:sz w:val="24"/>
          <w:szCs w:val="24"/>
        </w:rPr>
      </w:pPr>
      <w:r>
        <w:rPr>
          <w:sz w:val="24"/>
          <w:szCs w:val="24"/>
        </w:rPr>
        <w:t>3</w:t>
      </w:r>
      <w:r w:rsidR="008E04FE">
        <w:rPr>
          <w:sz w:val="24"/>
          <w:szCs w:val="24"/>
        </w:rPr>
        <w:t>8</w:t>
      </w:r>
      <w:r>
        <w:rPr>
          <w:sz w:val="24"/>
          <w:szCs w:val="24"/>
        </w:rPr>
        <w:t>. gr.</w:t>
      </w:r>
    </w:p>
    <w:p w14:paraId="604658B7" w14:textId="77777777" w:rsidR="001264B7" w:rsidRPr="006C5E33" w:rsidRDefault="001264B7" w:rsidP="00407611">
      <w:r w:rsidRPr="006C5E33">
        <w:t>1. mgr. 54. gr. orðast svo:</w:t>
      </w:r>
    </w:p>
    <w:p w14:paraId="05C63DA6" w14:textId="15164B79" w:rsidR="001264B7" w:rsidRDefault="001264B7" w:rsidP="00407611">
      <w:r w:rsidRPr="006C5E33">
        <w:t>Í málum samkvæmt ákvæ</w:t>
      </w:r>
      <w:r>
        <w:t>ðum þessa kafla skal kveðja til</w:t>
      </w:r>
      <w:r w:rsidRPr="00C622AA">
        <w:rPr>
          <w:color w:val="242424"/>
          <w:shd w:val="clear" w:color="auto" w:fill="FFFFFF"/>
        </w:rPr>
        <w:t xml:space="preserve"> setu í dómi </w:t>
      </w:r>
      <w:r>
        <w:t xml:space="preserve">sérfróðan meðdómsmann eða meðdómsmenn </w:t>
      </w:r>
      <w:r w:rsidRPr="00C622AA">
        <w:rPr>
          <w:color w:val="242424"/>
          <w:shd w:val="clear" w:color="auto" w:fill="FFFFFF"/>
        </w:rPr>
        <w:t>nema útivist verði af hálfu aðila eða máli vísað frá vegna augljósra annmarka</w:t>
      </w:r>
      <w:r>
        <w:rPr>
          <w:color w:val="242424"/>
          <w:shd w:val="clear" w:color="auto" w:fill="FFFFFF"/>
        </w:rPr>
        <w:t xml:space="preserve">. Um </w:t>
      </w:r>
      <w:r>
        <w:t xml:space="preserve">fjölda þeirra og kvaðningu </w:t>
      </w:r>
      <w:r w:rsidR="004D531E">
        <w:t xml:space="preserve">fer </w:t>
      </w:r>
      <w:r>
        <w:t>að öðru leyti eftir 2.</w:t>
      </w:r>
      <w:r w:rsidR="004D531E">
        <w:t xml:space="preserve"> gr.</w:t>
      </w:r>
      <w:r>
        <w:t xml:space="preserve"> og 2. gr. a laga um meðferð einkamála. </w:t>
      </w:r>
    </w:p>
    <w:p w14:paraId="2137C2A1" w14:textId="77777777" w:rsidR="001264B7" w:rsidRDefault="001264B7" w:rsidP="001264B7">
      <w:pPr>
        <w:ind w:firstLine="0"/>
        <w:rPr>
          <w:sz w:val="24"/>
          <w:szCs w:val="24"/>
        </w:rPr>
      </w:pPr>
    </w:p>
    <w:p w14:paraId="73324C3D" w14:textId="77777777" w:rsidR="001264B7" w:rsidRPr="00306EEF" w:rsidRDefault="001264B7" w:rsidP="00407611">
      <w:pPr>
        <w:pStyle w:val="Kaflanmer"/>
        <w:rPr>
          <w:b/>
        </w:rPr>
      </w:pPr>
      <w:r>
        <w:t>V. KAFLI</w:t>
      </w:r>
      <w:r w:rsidRPr="00306EEF">
        <w:rPr>
          <w:b/>
        </w:rPr>
        <w:t xml:space="preserve"> </w:t>
      </w:r>
    </w:p>
    <w:p w14:paraId="6BA3B160" w14:textId="54481DB3" w:rsidR="001264B7" w:rsidRDefault="001264B7" w:rsidP="00407611">
      <w:pPr>
        <w:pStyle w:val="Kaflafyrirsgn"/>
      </w:pPr>
      <w:r w:rsidRPr="00306EEF">
        <w:t>Breyting á lögum nr. 85/2011 um nálgunarbann og brottvísun af heimili, með síðari breytingum</w:t>
      </w:r>
      <w:r w:rsidR="00224331">
        <w:t>.</w:t>
      </w:r>
    </w:p>
    <w:p w14:paraId="01D89B67" w14:textId="7714AC8A" w:rsidR="001264B7" w:rsidRPr="00306EEF" w:rsidRDefault="001264B7" w:rsidP="00407611">
      <w:pPr>
        <w:pStyle w:val="Greinarnmer"/>
      </w:pPr>
      <w:r>
        <w:t>3</w:t>
      </w:r>
      <w:r w:rsidR="008E04FE">
        <w:t>9</w:t>
      </w:r>
      <w:r>
        <w:t>. gr.</w:t>
      </w:r>
    </w:p>
    <w:p w14:paraId="6DCE64B4" w14:textId="77777777" w:rsidR="001264B7" w:rsidRDefault="001264B7" w:rsidP="00407611">
      <w:r>
        <w:t xml:space="preserve">3. mgr. 15. gr. laganna </w:t>
      </w:r>
      <w:r w:rsidRPr="006C5E33">
        <w:t>orðast svo:</w:t>
      </w:r>
    </w:p>
    <w:p w14:paraId="21FA46A1" w14:textId="77777777" w:rsidR="001264B7" w:rsidRDefault="001264B7" w:rsidP="00407611">
      <w:r w:rsidRPr="00FC33DF">
        <w:t xml:space="preserve">Kæra má til Landsréttar úrskurð dómara um hvort lagt verði á nálgunarbann eða um brottvísun af heimili, svo og úrskurð sem gengur í máli um slíka kröfu, ef hann getur sætt kæru eftir almennum reglum 1. mgr. 192. gr. laga um meðferð sakamála. Aðrir úrskurðir Landsréttar en mælt er fyrir um í 1. mgr. 211. gr. laga um meðferð sakamála verða ekki kærðir til Hæstaréttar. </w:t>
      </w:r>
    </w:p>
    <w:p w14:paraId="19745500" w14:textId="77777777" w:rsidR="001264B7" w:rsidRDefault="001264B7" w:rsidP="001264B7">
      <w:pPr>
        <w:ind w:firstLine="280"/>
        <w:rPr>
          <w:sz w:val="24"/>
          <w:szCs w:val="24"/>
        </w:rPr>
      </w:pPr>
    </w:p>
    <w:p w14:paraId="1EED918E" w14:textId="77777777" w:rsidR="001264B7" w:rsidRPr="00306EEF" w:rsidRDefault="001264B7" w:rsidP="00407611">
      <w:pPr>
        <w:pStyle w:val="Kaflanmer"/>
        <w:rPr>
          <w:b/>
        </w:rPr>
      </w:pPr>
      <w:r>
        <w:t>VI. KAFLI</w:t>
      </w:r>
      <w:r w:rsidRPr="00306EEF">
        <w:rPr>
          <w:b/>
        </w:rPr>
        <w:t xml:space="preserve"> </w:t>
      </w:r>
    </w:p>
    <w:p w14:paraId="1AF5C30A" w14:textId="77777777" w:rsidR="001264B7" w:rsidRDefault="001264B7" w:rsidP="00407611">
      <w:pPr>
        <w:pStyle w:val="Kaflafyrirsgn"/>
      </w:pPr>
      <w:r w:rsidRPr="00306EEF">
        <w:t xml:space="preserve">Breyting á lögum nr. 50/2016 um dómstóla, með síðari breytingum. </w:t>
      </w:r>
    </w:p>
    <w:p w14:paraId="30E9B489" w14:textId="6D407100" w:rsidR="001D6B2A" w:rsidRPr="00306EEF" w:rsidRDefault="001D6B2A" w:rsidP="001D6B2A">
      <w:pPr>
        <w:pStyle w:val="Greinarnmer"/>
      </w:pPr>
      <w:r>
        <w:t>40. gr.</w:t>
      </w:r>
    </w:p>
    <w:p w14:paraId="75CC71C0" w14:textId="77777777" w:rsidR="00AF562C" w:rsidRDefault="00AF562C" w:rsidP="00AF562C">
      <w:pPr>
        <w:rPr>
          <w:color w:val="242424"/>
          <w:shd w:val="clear" w:color="auto" w:fill="FFFFFF"/>
        </w:rPr>
      </w:pPr>
      <w:r>
        <w:t xml:space="preserve">Við 7. gr. laganna bætist ný málsgrein, svohljóðandi: </w:t>
      </w:r>
      <w:r w:rsidRPr="00E96A3E">
        <w:rPr>
          <w:szCs w:val="21"/>
        </w:rPr>
        <w:t xml:space="preserve">Stjórn dómstólasýslunnar setur reglur um birtingu dóma og úrskurða héraðsdómstóla, Landsréttar og </w:t>
      </w:r>
      <w:r w:rsidRPr="003F641B">
        <w:rPr>
          <w:szCs w:val="21"/>
        </w:rPr>
        <w:t xml:space="preserve">Hæstaréttar. </w:t>
      </w:r>
    </w:p>
    <w:p w14:paraId="2729AD90" w14:textId="01E6139F" w:rsidR="001D6B2A" w:rsidRDefault="001D6B2A" w:rsidP="001D6B2A"/>
    <w:p w14:paraId="79789944" w14:textId="2B8FB100" w:rsidR="00AF562C" w:rsidRPr="00306EEF" w:rsidRDefault="00AF562C" w:rsidP="00AF562C">
      <w:pPr>
        <w:pStyle w:val="Greinarnmer"/>
      </w:pPr>
      <w:r>
        <w:t>41. gr.</w:t>
      </w:r>
    </w:p>
    <w:p w14:paraId="7480A87B" w14:textId="05D904DF" w:rsidR="00AF562C" w:rsidRDefault="00AF562C" w:rsidP="00AF562C">
      <w:r>
        <w:t>Lokamálsliður 2. mgr. 20. gr. fellur brott.</w:t>
      </w:r>
    </w:p>
    <w:p w14:paraId="42993EE7" w14:textId="77777777" w:rsidR="00AF562C" w:rsidRDefault="00AF562C" w:rsidP="00407611">
      <w:pPr>
        <w:pStyle w:val="Greinarnmer"/>
      </w:pPr>
    </w:p>
    <w:p w14:paraId="614810ED" w14:textId="2DA3F3F8" w:rsidR="001264B7" w:rsidRPr="00306EEF" w:rsidRDefault="00AF562C" w:rsidP="00407611">
      <w:pPr>
        <w:pStyle w:val="Greinarnmer"/>
      </w:pPr>
      <w:r>
        <w:t>42</w:t>
      </w:r>
      <w:r w:rsidR="001264B7">
        <w:t>. gr.</w:t>
      </w:r>
    </w:p>
    <w:p w14:paraId="24BE3A14" w14:textId="77777777" w:rsidR="001264B7" w:rsidRDefault="001264B7" w:rsidP="00407611">
      <w:r>
        <w:t xml:space="preserve">Á undan 1. málsl. 2. mgr. 25. gr. laga kemur nýr málsliður svohljóðandi: </w:t>
      </w:r>
    </w:p>
    <w:p w14:paraId="30C6CCE9" w14:textId="6AA85FB3" w:rsidR="001264B7" w:rsidRDefault="001264B7" w:rsidP="00407611">
      <w:pPr>
        <w:rPr>
          <w:color w:val="242424"/>
          <w:shd w:val="clear" w:color="auto" w:fill="FFFFFF"/>
        </w:rPr>
      </w:pPr>
      <w:r w:rsidRPr="00306EEF">
        <w:rPr>
          <w:color w:val="242424"/>
          <w:shd w:val="clear" w:color="auto" w:fill="FFFFFF"/>
        </w:rPr>
        <w:t>Fullnægi enginn dómari við Landsrétt sérstökum hæfisskilyrðum til að fara með mál kveður forseti í einu lagi upp úrskurð um að þeir víki allir sæti í því.</w:t>
      </w:r>
    </w:p>
    <w:p w14:paraId="586C43DF" w14:textId="77777777" w:rsidR="00AF562C" w:rsidRDefault="00AF562C" w:rsidP="00407611"/>
    <w:p w14:paraId="13D53520" w14:textId="34FDAE69" w:rsidR="00AF562C" w:rsidRPr="00306EEF" w:rsidRDefault="00AF562C" w:rsidP="00AF562C">
      <w:pPr>
        <w:pStyle w:val="Greinarnmer"/>
      </w:pPr>
      <w:r>
        <w:t>43. gr.</w:t>
      </w:r>
    </w:p>
    <w:p w14:paraId="265B5EF5" w14:textId="3FC618AF" w:rsidR="00AF562C" w:rsidRDefault="00AF562C" w:rsidP="00AF562C">
      <w:r>
        <w:t>Lokamálsliður 2. mgr. 28. gr. fellur brott.</w:t>
      </w:r>
    </w:p>
    <w:p w14:paraId="55AFD099" w14:textId="77777777" w:rsidR="001264B7" w:rsidRDefault="001264B7" w:rsidP="001264B7">
      <w:pPr>
        <w:ind w:firstLine="280"/>
        <w:rPr>
          <w:sz w:val="24"/>
          <w:szCs w:val="24"/>
        </w:rPr>
      </w:pPr>
    </w:p>
    <w:p w14:paraId="45273F42" w14:textId="7A27DDFE" w:rsidR="00456C38" w:rsidRPr="00306EEF" w:rsidRDefault="00456C38" w:rsidP="00456C38">
      <w:pPr>
        <w:pStyle w:val="Greinarnmer"/>
      </w:pPr>
      <w:bookmarkStart w:id="3" w:name="_Hlk188104"/>
      <w:r>
        <w:t>44. gr.</w:t>
      </w:r>
    </w:p>
    <w:p w14:paraId="0DB2AD08" w14:textId="6868F98B" w:rsidR="00456C38" w:rsidRDefault="00456C38" w:rsidP="00456C38">
      <w:r>
        <w:t>Orðin „setur reglur og“ í 1. mgr. 38. gr. laganna falla brott.</w:t>
      </w:r>
    </w:p>
    <w:p w14:paraId="4B7D7A1A" w14:textId="68346E17" w:rsidR="00407611" w:rsidRDefault="00407611" w:rsidP="001264B7">
      <w:pPr>
        <w:ind w:firstLine="280"/>
        <w:rPr>
          <w:sz w:val="24"/>
          <w:szCs w:val="24"/>
        </w:rPr>
      </w:pPr>
    </w:p>
    <w:p w14:paraId="4CA53874" w14:textId="5E77594D" w:rsidR="00456C38" w:rsidRPr="00306EEF" w:rsidRDefault="00456C38" w:rsidP="00456C38">
      <w:pPr>
        <w:pStyle w:val="Greinarnmer"/>
      </w:pPr>
      <w:r>
        <w:lastRenderedPageBreak/>
        <w:t>45. gr.</w:t>
      </w:r>
    </w:p>
    <w:p w14:paraId="7973A2F7" w14:textId="62C6F868" w:rsidR="00456C38" w:rsidRDefault="00456C38" w:rsidP="00456C38">
      <w:r>
        <w:t xml:space="preserve">Lög þessi </w:t>
      </w:r>
      <w:r w:rsidR="00E129E6">
        <w:t>öðlast þegar gildi.</w:t>
      </w:r>
    </w:p>
    <w:bookmarkEnd w:id="3"/>
    <w:p w14:paraId="3E704A36" w14:textId="77777777" w:rsidR="00456C38" w:rsidRDefault="00456C38" w:rsidP="001264B7">
      <w:pPr>
        <w:ind w:firstLine="280"/>
        <w:rPr>
          <w:sz w:val="24"/>
          <w:szCs w:val="24"/>
        </w:rPr>
      </w:pPr>
    </w:p>
    <w:p w14:paraId="04FF130A" w14:textId="77777777" w:rsidR="001264B7" w:rsidRPr="008A4049" w:rsidRDefault="001264B7" w:rsidP="001264B7">
      <w:pPr>
        <w:pStyle w:val="Fyrirsgn-greinarger"/>
        <w:rPr>
          <w:sz w:val="24"/>
          <w:szCs w:val="24"/>
        </w:rPr>
      </w:pPr>
      <w:r w:rsidRPr="008A4049">
        <w:rPr>
          <w:sz w:val="24"/>
          <w:szCs w:val="24"/>
        </w:rPr>
        <w:t>Greinargerð.</w:t>
      </w:r>
    </w:p>
    <w:p w14:paraId="18A8A7F5" w14:textId="77777777" w:rsidR="001264B7" w:rsidRPr="008A4049" w:rsidRDefault="001264B7" w:rsidP="001264B7">
      <w:pPr>
        <w:rPr>
          <w:sz w:val="24"/>
          <w:szCs w:val="24"/>
        </w:rPr>
      </w:pPr>
    </w:p>
    <w:p w14:paraId="19402538" w14:textId="77777777" w:rsidR="001264B7" w:rsidRPr="008A4049" w:rsidRDefault="001264B7" w:rsidP="001264B7">
      <w:pPr>
        <w:pStyle w:val="Millifyrirsgn1"/>
        <w:rPr>
          <w:sz w:val="24"/>
          <w:szCs w:val="24"/>
        </w:rPr>
      </w:pPr>
      <w:r w:rsidRPr="008A4049">
        <w:rPr>
          <w:sz w:val="24"/>
          <w:szCs w:val="24"/>
        </w:rPr>
        <w:t xml:space="preserve">1. Inngangur. </w:t>
      </w:r>
    </w:p>
    <w:p w14:paraId="4CE08632" w14:textId="77777777" w:rsidR="001264B7" w:rsidRPr="008A4049" w:rsidRDefault="001264B7" w:rsidP="00407611">
      <w:r>
        <w:t>Frumvarp þetta er samið í dómsmálaráðuneytinu að höfðu samráði við réttarfarsnefnd. Frumvarpið felur í sér nokkrar breytingar á ákvæðum réttarfarslaga svo og breytingu á nokkrum öðrum lögum.</w:t>
      </w:r>
    </w:p>
    <w:p w14:paraId="5C89167C" w14:textId="77777777" w:rsidR="001264B7" w:rsidRPr="008A4049" w:rsidRDefault="001264B7" w:rsidP="001264B7">
      <w:pPr>
        <w:rPr>
          <w:sz w:val="24"/>
          <w:szCs w:val="24"/>
        </w:rPr>
      </w:pPr>
    </w:p>
    <w:p w14:paraId="12308996" w14:textId="77777777" w:rsidR="001264B7" w:rsidRPr="008A4049" w:rsidRDefault="001264B7" w:rsidP="001264B7">
      <w:pPr>
        <w:pStyle w:val="Millifyrirsgn1"/>
        <w:rPr>
          <w:sz w:val="24"/>
          <w:szCs w:val="24"/>
        </w:rPr>
      </w:pPr>
      <w:r w:rsidRPr="008A4049">
        <w:rPr>
          <w:sz w:val="24"/>
          <w:szCs w:val="24"/>
        </w:rPr>
        <w:t xml:space="preserve">2. Tilefni og nauðsyn lagasetningar. </w:t>
      </w:r>
    </w:p>
    <w:p w14:paraId="125692AC" w14:textId="2E6DC831" w:rsidR="00407611" w:rsidRDefault="001264B7" w:rsidP="00407611">
      <w:r>
        <w:t xml:space="preserve">Tilefni lagasetningarinnar er að gera nokkrar breytingar á ákvæðum laga nr. 91/1991 um meðferð einkamála og laga nr. 88/2008 um meðferð sakamála, eins og þessum lögum var breytt með lögum nr. 49/2016. </w:t>
      </w:r>
      <w:r w:rsidR="00AA5CFA">
        <w:t>Þá eru jafnframt lagðar til nokkrar breytingar á lögum um dómstóla nr. 50/2016</w:t>
      </w:r>
      <w:r w:rsidR="00DB1833">
        <w:t xml:space="preserve"> og öðrum lögum.</w:t>
      </w:r>
    </w:p>
    <w:p w14:paraId="05F30E3B" w14:textId="53663044" w:rsidR="001264B7" w:rsidRDefault="001264B7" w:rsidP="00407611">
      <w:r>
        <w:t xml:space="preserve">Á því rúma ári sem liðið er frá því að þriggja þrepa dómskerfi var komið á fót hér á landi og Landsréttur tók til starfa, á grundvelli laga nr. 49/2016 um breytingu á lögum um meðferð einkamála og lögum um meðferð sakamála og nýrra dómstólalaga nr. 50/2016, hafa dómsmálaráðuneytinu og réttarfarsnefnd borist ábendingar meðal annars frá Landsrétti, Hæstarétti og ríkissaksóknara um ýmis atriði sem reynslan hefur leitt í ljós að betur megi fara í hinu nýja regluverki um málsmeðferð fyrir þessum dómstólum og önnur atriði sem ekki tengjast nýlegum breytingum á dómstólum og réttarfari. Ekki er um að ræða atriði sem hafa hamlað málsmeðferð fyrir þessum dómstólum heldur frekar þætti í málsmeðferðinni sem þarfnast frekari útfærslu eða samræmingar milli dómstiga og milli einkamálaréttarfars og sakamálaréttarfars. </w:t>
      </w:r>
    </w:p>
    <w:p w14:paraId="362EBF59" w14:textId="77777777" w:rsidR="001264B7" w:rsidRPr="008A4049" w:rsidRDefault="001264B7" w:rsidP="001264B7">
      <w:pPr>
        <w:rPr>
          <w:sz w:val="24"/>
          <w:szCs w:val="24"/>
        </w:rPr>
      </w:pPr>
    </w:p>
    <w:p w14:paraId="3A6F9053" w14:textId="77777777" w:rsidR="001264B7" w:rsidRPr="008A4049" w:rsidRDefault="001264B7" w:rsidP="001264B7">
      <w:pPr>
        <w:pStyle w:val="Millifyrirsgn1"/>
        <w:rPr>
          <w:sz w:val="24"/>
          <w:szCs w:val="24"/>
        </w:rPr>
      </w:pPr>
      <w:r w:rsidRPr="008A4049">
        <w:rPr>
          <w:sz w:val="24"/>
          <w:szCs w:val="24"/>
        </w:rPr>
        <w:t xml:space="preserve">3. Meginefni frumvarpsins. </w:t>
      </w:r>
    </w:p>
    <w:p w14:paraId="6D5D925B" w14:textId="020F9BE8" w:rsidR="007F62E0" w:rsidRDefault="007F62E0" w:rsidP="007F62E0">
      <w:r>
        <w:t xml:space="preserve">Frumvarpið felur jöfnum höndum í sér breytingar á lögum um meðferð einkamála og lögum um meðferð sakamála. Í nokkrum tilvikum er um að ræða samsvarandi breytingar á báðum lagabálkunum þannig í raun er um að ræða færri efnisbreytingar en fjöldi greina í frumvarpinu bendir til. </w:t>
      </w:r>
      <w:r w:rsidR="00742895">
        <w:t xml:space="preserve">Þá eru lagðar til nokkrar breytingar á lögum um dómstóla og öðrum lögum. </w:t>
      </w:r>
      <w:r>
        <w:t>Veigamestu breytingarnar sem frumvarpið felur í sér eru eftirfarandi:</w:t>
      </w:r>
    </w:p>
    <w:p w14:paraId="39C4A17F" w14:textId="4D92777A" w:rsidR="007F62E0" w:rsidRDefault="007F62E0" w:rsidP="007F62E0">
      <w:r w:rsidRPr="00C54A2F">
        <w:rPr>
          <w:i/>
        </w:rPr>
        <w:t xml:space="preserve">Upptökur og miðlun upplýsinga úr þinghaldi. </w:t>
      </w:r>
      <w:r>
        <w:t>Samkvæmt gildandi lögum er óheimilt að hljóðrita eða taka myndir í þinghaldi án þess að dómari veiti til þess undanþágu og gildir þá einu hvort um einkamál eða sakamál er að ræða. Í frumvarpinu er lagt til að jafnframt verði óheimilt að streyma hljóði eða mynd úr þinghaldi eða senda þaðan samtíma endursögn af því sem fram fer. Dómari getur veitt undanþágu frá þessu. Þá verði óheimilt að birta slíkar upptökur sem gerðar hafa verið án leyfis dómara að viðlögðum sektum nema þyngri refsing liggi við eftir öðrum lögum. Sama gildi um hljóð- og myndupptökur af munnlegum framburði sem dómstóll</w:t>
      </w:r>
      <w:r w:rsidR="00742895">
        <w:t xml:space="preserve"> annast.</w:t>
      </w:r>
    </w:p>
    <w:p w14:paraId="47746977" w14:textId="77777777" w:rsidR="007F62E0" w:rsidRDefault="007F62E0" w:rsidP="007F62E0">
      <w:r w:rsidRPr="00264D13">
        <w:rPr>
          <w:i/>
        </w:rPr>
        <w:t>Afhending hljóð- og myndupptaka til aðila máls.</w:t>
      </w:r>
      <w:r>
        <w:t xml:space="preserve"> Samkvæmt gildandi lögum skal, á meðan mál er rekið fyrir Landsrétti eða í héraði, unnt er að skjóta því til æðri dóms eða mál er rekið fyrir æðri dómi, dómstóll láta aðilum í té hljóð- og myndupptökur af munnlegum framburði. Þetta gildir bæði í einkamálum og sakamálum. Í frumvarpinu er lögð til sú breyting að einungis hljóðupptökur af munnlegum framburði verði afhentar aðilum málsins en aftur á móti verði </w:t>
      </w:r>
      <w:r>
        <w:lastRenderedPageBreak/>
        <w:t>þeim leyft að horfa á slíkar myndupptökur í húsakynnum dómstóls. Um þetta fari nánar eftir reglum sem dómstólasýslan setji.</w:t>
      </w:r>
    </w:p>
    <w:p w14:paraId="57FEDC63" w14:textId="77777777" w:rsidR="007F62E0" w:rsidRDefault="007F62E0" w:rsidP="007F62E0">
      <w:r w:rsidRPr="00B728A9">
        <w:rPr>
          <w:i/>
        </w:rPr>
        <w:t>Kæra á frávísunarúrskurðum Landsréttar.</w:t>
      </w:r>
      <w:r>
        <w:t xml:space="preserve"> Lagt er til að skýrt verði kveðið á um það í lögum að úrskurðir Landsréttar um að staðfesta niðurstöðu héraðsdóms um frávísun séu ekki kæranlegir til Hæstaréttar. Eftir sem áður verður heimilt að kæra til Hæstaréttar úrskurði Landsréttar um að vísa máli frá héraðsdómi að eigin frumkvæði. Þessi breyting er lögð til bæði er varðar einkamál og sakamál.</w:t>
      </w:r>
    </w:p>
    <w:p w14:paraId="675999DB" w14:textId="3ECE722F" w:rsidR="007F62E0" w:rsidRDefault="007F62E0" w:rsidP="007F62E0">
      <w:r w:rsidRPr="00607ADD">
        <w:rPr>
          <w:i/>
        </w:rPr>
        <w:t>Málsmeðferðartími í kærumálum.</w:t>
      </w:r>
      <w:r>
        <w:t xml:space="preserve"> Lagt er til að Landsréttur og Hæstiréttur geti kveðið upp dóm eða úrskurð í kærumálum, hvort heldur í einkamáli eða sakamáli, þegar er greinargerð varnaraðila hefur borist jafnvel þótt hann hafi ekki nýtt til þess allan lögbundinn frest. Þessi breyting leiðir til styttri málsmeðferðartíma í einhverjum tilvikum en samkvæmt gildandi lögum er óheimilt að kveða upp slíkan dóm eða úrskurð fyrr en vika er liðin frá því að kærumálsgögn bárust viðkomandi dómstól.</w:t>
      </w:r>
    </w:p>
    <w:p w14:paraId="10FF3B5C" w14:textId="2FAB6453" w:rsidR="00AA5CFA" w:rsidRDefault="00AA5CFA" w:rsidP="007F62E0">
      <w:r w:rsidRPr="00AA5CFA">
        <w:rPr>
          <w:i/>
        </w:rPr>
        <w:t>Afhending gagna í kærumálum í sakamálum.</w:t>
      </w:r>
      <w:r>
        <w:t xml:space="preserve"> Lagt er til í frumvarpinu að í stað þess að fastsetja með lögum að héraðsdómur afhendi Landsrétti gögn kærumála í sakamálum</w:t>
      </w:r>
      <w:r w:rsidR="00742895">
        <w:t xml:space="preserve"> í fjórriti</w:t>
      </w:r>
      <w:r>
        <w:t xml:space="preserve">, þá afhendi héraðsdómur gögnin á því formi eða </w:t>
      </w:r>
      <w:r w:rsidR="00FE0B7A">
        <w:t xml:space="preserve">í þeim </w:t>
      </w:r>
      <w:r>
        <w:t>fjölda eintaka sem Landsréttur ákveður. Með því er að gera lögin hlutlaus að því er varðar sendingarmáta á þennan hátt er opnað á þann möguleik</w:t>
      </w:r>
      <w:r w:rsidR="008948A7">
        <w:t>a</w:t>
      </w:r>
      <w:bookmarkStart w:id="4" w:name="_GoBack"/>
      <w:bookmarkEnd w:id="4"/>
      <w:r>
        <w:t xml:space="preserve"> að gögn verði send með rafrænum hætti á milli dómstiganna og þannig stigið skref í átt að rafrænu réttarfari.</w:t>
      </w:r>
    </w:p>
    <w:p w14:paraId="737042DE" w14:textId="77777777" w:rsidR="007F62E0" w:rsidRDefault="007F62E0" w:rsidP="007F62E0">
      <w:r w:rsidRPr="00C20F17">
        <w:rPr>
          <w:i/>
        </w:rPr>
        <w:t>Kæra til Hæstaréttar og kæruleyfi.</w:t>
      </w:r>
      <w:r>
        <w:t xml:space="preserve"> Í hagkvæmnisskyni er lagt til að kæra til Hæstaréttar og ósk um kæruleyfi í einkamálum verði eftirleiðis sett fram í einu og sama skjalinu þar sem við á.</w:t>
      </w:r>
    </w:p>
    <w:p w14:paraId="34C23676" w14:textId="77777777" w:rsidR="007F62E0" w:rsidRDefault="007F62E0" w:rsidP="007F62E0">
      <w:r w:rsidRPr="00544564">
        <w:rPr>
          <w:i/>
        </w:rPr>
        <w:t>Áfrýjunarstefna í einkamálum.</w:t>
      </w:r>
      <w:r>
        <w:t xml:space="preserve"> Lagt er til að við áfrýjun til Landsréttar þurfi ekki lengur að greina í áfrýjunarstefnu þá sem áfrýjandi hyggst leiða fyrir dóm til skýrslugjafar um atvik máls og í hvaða skyni það skuli gert. Nægilegt sé að slíkt komi skýrlega fram í greinargerð áfrýjanda sem lögð er fram við þingfestingu.</w:t>
      </w:r>
    </w:p>
    <w:p w14:paraId="19B0116E" w14:textId="78235D0F" w:rsidR="007F62E0" w:rsidRDefault="007F62E0" w:rsidP="007F62E0">
      <w:r w:rsidRPr="00C20F17">
        <w:rPr>
          <w:i/>
        </w:rPr>
        <w:t>Áfrýjun til Hæstaréttar.</w:t>
      </w:r>
      <w:r>
        <w:t xml:space="preserve"> Lagt er til að skýrt verði tekið fram í lögum að Hæstarétt</w:t>
      </w:r>
      <w:r w:rsidR="00F6649C">
        <w:t>i</w:t>
      </w:r>
      <w:r>
        <w:t xml:space="preserve"> sé heimilt að takmarka áfrýjunarleyfi, hvort heldur í einkamáli eða sakamáli, við tiltekin atriði máls. </w:t>
      </w:r>
    </w:p>
    <w:p w14:paraId="21A4190A" w14:textId="77777777" w:rsidR="007F62E0" w:rsidRDefault="007F62E0" w:rsidP="007F62E0">
      <w:r w:rsidRPr="00D009C9">
        <w:rPr>
          <w:i/>
        </w:rPr>
        <w:t>Gæsluvarðhald.</w:t>
      </w:r>
      <w:r>
        <w:t xml:space="preserve">  Lagt er til að ekki verði lengur kveðið á um það í lögum að gæsluvarðhaldi ljúki þegar er dómur héraðsdóms hefur verið kveðinn upp. Í stað þess verði kveðið á um að gæsluvarðhald ljúki með endanlegum dómi ef ákærði er sýknaður eða dæmd refsing sem er vægari en óskilorðsbundið fangelsi. Þá er lagt til að skýrt verði kveðið á um það í lögum að heimilt sé að úrskurða sakborning í gæsluvarðhald á meðan á áfrýjunarfresti til Hæstaréttar stendur svo og meðan mál er til meðferðar fyrir æðri dómi. </w:t>
      </w:r>
    </w:p>
    <w:p w14:paraId="2F616B8D" w14:textId="77777777" w:rsidR="007F62E0" w:rsidRDefault="007F62E0" w:rsidP="007F62E0">
      <w:r w:rsidRPr="00244D1D">
        <w:rPr>
          <w:i/>
        </w:rPr>
        <w:t>Vitni í sakamálum.</w:t>
      </w:r>
      <w:r>
        <w:t xml:space="preserve"> Lagt er til að vitnum í sakamálum verði einungis gert að greina frá nafni sínu og kennitölu, en ekki heimili líkt og nú gildir. Þá er lagt til að lögreglumönnum verði einungis gert að greina frá nafni og lögreglunúmeri.</w:t>
      </w:r>
    </w:p>
    <w:p w14:paraId="4767CEAC" w14:textId="4FC3BC89" w:rsidR="007F62E0" w:rsidRDefault="007F62E0" w:rsidP="007F62E0">
      <w:r w:rsidRPr="00AA5A31">
        <w:rPr>
          <w:i/>
        </w:rPr>
        <w:t>Dómsmálagjöld</w:t>
      </w:r>
      <w:r>
        <w:rPr>
          <w:i/>
        </w:rPr>
        <w:t xml:space="preserve"> við meðferð einkamála</w:t>
      </w:r>
      <w:r w:rsidRPr="00AA5A31">
        <w:rPr>
          <w:i/>
        </w:rPr>
        <w:t>.</w:t>
      </w:r>
      <w:r>
        <w:t xml:space="preserve"> Lagt er til að tvímæli séu tekin af um að gjald sé tekið fyrir kæru til Hæstaréttar þegar um beina kæruheimild til Hæstaréttar er að ræða, en í þeim tilvikum sem lög mæla fyrir um að óska þurfi eftir leyfi Hæstaréttar til kæru sé greitt fyrir beiðni um kæruleyfi, hvort sem kæruleyfi er veitt eður ei. Ekki þurfi aftur á móti að greiða viðbótargjald fyrir kæru verði leyfið veitt. Þá er jafnframt lagt til að skýrt verði kveðið á um að gjald sé tekið fyrir að leggja fram beiðni um leyfi Hæstaréttar til áfrýjunar einkamáls hvort sem slíkt leyfi sé veitt eður ei. Sé beiðni um áfrýjunarleyfi samþykkt skal greiða viðbótargjald fyrir útgáfu áfrýjunarstefnu.</w:t>
      </w:r>
    </w:p>
    <w:p w14:paraId="74707D24" w14:textId="71FB4BFE" w:rsidR="007F62E0" w:rsidRDefault="007F62E0" w:rsidP="007F62E0">
      <w:r w:rsidRPr="00E43B0A">
        <w:rPr>
          <w:i/>
        </w:rPr>
        <w:t>Sérfóðir meðdómsmenn og barnaverndarmál.</w:t>
      </w:r>
      <w:r>
        <w:t xml:space="preserve"> Lagt er til að skylt verði að kveða til meðdómsmann eða meðdómsmenn í málum sem rekin eru skv. 54. gr. barnarverndarlaga nr. </w:t>
      </w:r>
      <w:r>
        <w:lastRenderedPageBreak/>
        <w:t xml:space="preserve">80/2002. Um fjölda þeirra og kvaðningu fari aftur á móti eftir almennum reglum um meðferð einkamála.  </w:t>
      </w:r>
    </w:p>
    <w:p w14:paraId="310B5A44" w14:textId="41D85465" w:rsidR="002F2BF1" w:rsidRDefault="002F2BF1" w:rsidP="002F2BF1">
      <w:r>
        <w:rPr>
          <w:i/>
        </w:rPr>
        <w:t>Samræmdar reglur um birtingu dóma.</w:t>
      </w:r>
      <w:r>
        <w:t xml:space="preserve"> Lagt er til að dómstólasýslunni verði falið að setja samræmdar reglur um birtingu dóma og úrskurða allra dómstiganna þriggja. Samkvæmt gildandi lögum ná reglu</w:t>
      </w:r>
      <w:r w:rsidR="00742895">
        <w:t>r</w:t>
      </w:r>
      <w:r>
        <w:t xml:space="preserve"> dómstólasýslunnar einungis til </w:t>
      </w:r>
      <w:r w:rsidR="00ED1A9E">
        <w:t xml:space="preserve">birtingu </w:t>
      </w:r>
      <w:r>
        <w:t>héraðsdóm</w:t>
      </w:r>
      <w:r w:rsidR="00ED1A9E">
        <w:t>a</w:t>
      </w:r>
      <w:r>
        <w:t xml:space="preserve">, en um birtingu dómsúrlausna Landsréttar og Hæstaréttar fer eftir ákvörðun þessara dómstóla að höfðu samráði við dómstólasýsluna. Lögð er áhersla á að ekki eru í þessu frumvarpi lagðar til neinar aðrar breytingar á reglum um birtingu dóma.  </w:t>
      </w:r>
    </w:p>
    <w:p w14:paraId="63715F2A" w14:textId="5A82CBF1" w:rsidR="007F62E0" w:rsidRDefault="007F62E0" w:rsidP="007F62E0">
      <w:r>
        <w:t xml:space="preserve">Þá hefur frumvarpið að geyma nokkrar smærri lagfæringar á orðalagi einstaka ákvæða og tilvísunum á milli lagaákvæða sem þó þykja nauðsynlegar til að tryggja nægilegan skýrleika ákvæðanna. Nánari grein er gerð fyrir þessum breytingartillögum í athugasemdum við einstök ákvæði. </w:t>
      </w:r>
    </w:p>
    <w:p w14:paraId="112E28F1" w14:textId="77777777" w:rsidR="001264B7" w:rsidRPr="008A4049" w:rsidRDefault="001264B7" w:rsidP="001264B7">
      <w:pPr>
        <w:rPr>
          <w:sz w:val="24"/>
          <w:szCs w:val="24"/>
        </w:rPr>
      </w:pPr>
    </w:p>
    <w:p w14:paraId="32E556C8" w14:textId="77777777" w:rsidR="001264B7" w:rsidRPr="008A4049" w:rsidRDefault="001264B7" w:rsidP="001264B7">
      <w:pPr>
        <w:pStyle w:val="Millifyrirsgn1"/>
        <w:rPr>
          <w:sz w:val="24"/>
          <w:szCs w:val="24"/>
        </w:rPr>
      </w:pPr>
      <w:r w:rsidRPr="008A4049">
        <w:rPr>
          <w:sz w:val="24"/>
          <w:szCs w:val="24"/>
        </w:rPr>
        <w:t xml:space="preserve">4. Samræmi við stjórnarskrá og alþjóðlegar skuldbindingar. </w:t>
      </w:r>
    </w:p>
    <w:p w14:paraId="233EF719" w14:textId="77777777" w:rsidR="001264B7" w:rsidRPr="008A4049" w:rsidRDefault="001264B7" w:rsidP="00407611">
      <w:r w:rsidRPr="00766A41">
        <w:t>Þær breytingar sem lagðar eru til í frumvarpinu gefa ekki tilefni til að ætla að þær séu í andstöðu við stjórnarskrá eða alþjóðlegar skuldbindingar.</w:t>
      </w:r>
      <w:r>
        <w:t xml:space="preserve"> </w:t>
      </w:r>
    </w:p>
    <w:p w14:paraId="419A35A6" w14:textId="77777777" w:rsidR="001264B7" w:rsidRPr="008A4049" w:rsidRDefault="001264B7" w:rsidP="001264B7">
      <w:pPr>
        <w:rPr>
          <w:sz w:val="24"/>
          <w:szCs w:val="24"/>
        </w:rPr>
      </w:pPr>
    </w:p>
    <w:p w14:paraId="54090AA7" w14:textId="77777777" w:rsidR="001264B7" w:rsidRPr="008A4049" w:rsidRDefault="001264B7" w:rsidP="001264B7">
      <w:pPr>
        <w:pStyle w:val="Millifyrirsgn1"/>
        <w:rPr>
          <w:sz w:val="24"/>
          <w:szCs w:val="24"/>
        </w:rPr>
      </w:pPr>
      <w:r w:rsidRPr="008A4049">
        <w:rPr>
          <w:sz w:val="24"/>
          <w:szCs w:val="24"/>
        </w:rPr>
        <w:t xml:space="preserve">5. Samráð. </w:t>
      </w:r>
    </w:p>
    <w:p w14:paraId="64C2E54B" w14:textId="77777777" w:rsidR="001264B7" w:rsidRPr="008A4049" w:rsidRDefault="001264B7" w:rsidP="001264B7">
      <w:pPr>
        <w:ind w:firstLine="0"/>
        <w:rPr>
          <w:sz w:val="24"/>
          <w:szCs w:val="24"/>
        </w:rPr>
      </w:pPr>
    </w:p>
    <w:p w14:paraId="23E3604A" w14:textId="77777777" w:rsidR="001264B7" w:rsidRPr="008A4049" w:rsidRDefault="001264B7" w:rsidP="001264B7">
      <w:pPr>
        <w:pStyle w:val="Millifyrirsgn1"/>
        <w:rPr>
          <w:sz w:val="24"/>
          <w:szCs w:val="24"/>
        </w:rPr>
      </w:pPr>
      <w:r w:rsidRPr="008A4049">
        <w:rPr>
          <w:sz w:val="24"/>
          <w:szCs w:val="24"/>
        </w:rPr>
        <w:t xml:space="preserve">6. Mat á áhrifum. </w:t>
      </w:r>
    </w:p>
    <w:p w14:paraId="64F1BBE4" w14:textId="124B6AA5" w:rsidR="001264B7" w:rsidRDefault="001264B7" w:rsidP="00407611">
      <w:r>
        <w:t xml:space="preserve">Frumvarpið er ekki til þess fallið að hafa merkjanleg fjárhagsleg áhrif fyrir ríkissjóð eða </w:t>
      </w:r>
      <w:r w:rsidR="00407611">
        <w:t>sveitarfélög.</w:t>
      </w:r>
      <w:r>
        <w:t xml:space="preserve"> Áhrif frumvarpsins eru fyrst og fremst þau að málsmeðferðarreglur verða afdráttarlausari, skýrari og samræmdari og lögfesting þess ætti að koma dómstólunum sjálfum og þeim sem þeir eiga að þjóna til góða. Ekki verður séð að frumvarpið geti haft neikvæð eða íþyngjandi áhrif á starfsemi dómstólanna</w:t>
      </w:r>
      <w:r w:rsidR="00742895">
        <w:t>.</w:t>
      </w:r>
      <w:r>
        <w:t xml:space="preserve"> </w:t>
      </w:r>
      <w:r w:rsidR="00407611" w:rsidRPr="00292166">
        <w:t>Frumvarpið gerir ekki greinarmun á kynjum eða tekur kyn til skoðunar og því hvorki gert ráð fyrir að það hafi áhrif á jafnrétti né stöðu kynjanna.</w:t>
      </w:r>
    </w:p>
    <w:p w14:paraId="355A0586" w14:textId="641E439A" w:rsidR="001264B7" w:rsidRPr="008A4049" w:rsidRDefault="001264B7" w:rsidP="00407611">
      <w:pPr>
        <w:rPr>
          <w:sz w:val="24"/>
          <w:szCs w:val="24"/>
        </w:rPr>
      </w:pPr>
      <w:r>
        <w:rPr>
          <w:sz w:val="24"/>
          <w:szCs w:val="24"/>
        </w:rPr>
        <w:t xml:space="preserve"> </w:t>
      </w:r>
    </w:p>
    <w:p w14:paraId="5992BED8" w14:textId="77777777" w:rsidR="001264B7" w:rsidRDefault="001264B7" w:rsidP="001264B7">
      <w:pPr>
        <w:pStyle w:val="Greinarfyrirsgn"/>
        <w:rPr>
          <w:sz w:val="24"/>
          <w:szCs w:val="24"/>
        </w:rPr>
      </w:pPr>
      <w:r w:rsidRPr="008A4049">
        <w:rPr>
          <w:sz w:val="24"/>
          <w:szCs w:val="24"/>
        </w:rPr>
        <w:t>Um einstakar greinar frumvarpsins.</w:t>
      </w:r>
    </w:p>
    <w:p w14:paraId="74AA94F9" w14:textId="17CEB55D" w:rsidR="001264B7" w:rsidRPr="00407611" w:rsidRDefault="001264B7" w:rsidP="00407611">
      <w:pPr>
        <w:pStyle w:val="Greinarnmer"/>
      </w:pPr>
      <w:r w:rsidRPr="00407611">
        <w:t>Um 1. gr.</w:t>
      </w:r>
    </w:p>
    <w:p w14:paraId="4F220AD8" w14:textId="7BFFB391" w:rsidR="001264B7" w:rsidRDefault="001264B7" w:rsidP="00407611">
      <w:r>
        <w:t xml:space="preserve">Vegna skilvirknissjónarmiða hafa eiginlegir þingvottar ekki verið til staðar í þinghöldum í áratugi hér á landi. Dómritarar hafa þó gegnt hlutverki þingvotta þegar þeir eru að störfum í dómsölum, einkum þegar skýrslur eru teknar. Segja má því að lagafyrirmæli um þingvotta í einkamálum og sakamálum sé orðið dauður lagabókstafur og rétt að nema þau brott úr réttarfarslögum. </w:t>
      </w:r>
      <w:r w:rsidR="00F05EAA">
        <w:t>Dómritarar og dómverðir sem viðstaddir eru þinghöld geta þó, ef á reynir, áfram borið vitni um það sem þeir verða áskynja í dómsal.</w:t>
      </w:r>
    </w:p>
    <w:p w14:paraId="6806DA02" w14:textId="77777777" w:rsidR="001264B7" w:rsidRPr="00306EEF" w:rsidRDefault="001264B7" w:rsidP="001264B7"/>
    <w:p w14:paraId="4539A057" w14:textId="77777777" w:rsidR="001264B7" w:rsidRPr="00407611" w:rsidRDefault="001264B7" w:rsidP="00407611">
      <w:pPr>
        <w:pStyle w:val="Greinarnmer"/>
      </w:pPr>
      <w:r w:rsidRPr="00407611">
        <w:t>Um 2. gr.</w:t>
      </w:r>
    </w:p>
    <w:p w14:paraId="3A604C26" w14:textId="1B598989" w:rsidR="007B3373" w:rsidRDefault="001264B7" w:rsidP="00407611">
      <w:r>
        <w:t>Rétt þykir að taka af öll tvímæli um að öðrum en dómstólunum sjálfum sé óheimilt að hljóðrita eða taka myndir í þinghaldi og að þetta bann taki einnig til þess að streyma hljóði eða mynd úr þinghaldi eða senda úr dómsal samtíma endursögn af því sem þar fer fram. Eftir sem áður getur dómari veitt undanþágu frá þessu banni ef sérstaklega stendur á. Breytingunni er fyrst og fremst ætlað að treysta réttaröryggi en 3. mgr. 56. gr. laga</w:t>
      </w:r>
      <w:r w:rsidR="00DB31A5">
        <w:t xml:space="preserve"> um meðferð einkamála</w:t>
      </w:r>
      <w:r>
        <w:t xml:space="preserve"> hefur að geyma þá mikilvægu reglu að hvert vitni skuli að jafnaði prófa sér án þess að önnur vitni hlýði á. Ákvæðinu er ætlað að tryggja að framburður vitnis í dómsmáli mengist ekki af framburði annarra vitna sem þegar hafa gefið skýrslu þannig að áhrif hafi á niðurstöðu </w:t>
      </w:r>
      <w:r>
        <w:lastRenderedPageBreak/>
        <w:t>dómsmáls. Þessi varúðarregla hefur augljóslega engin áhrif ef vitni geta fylgst með skýrslugjöf annarra vitna í beinni útsendingu utan dómsal</w:t>
      </w:r>
      <w:r w:rsidR="00455E9B">
        <w:t>s</w:t>
      </w:r>
      <w:r>
        <w:t xml:space="preserve">. Ástæða þess að nauðsynlegt þykir að víkka gildissvið slíks banns er jafnframt tilkoma ýmiss konar nýrrar fjarskiptatækni sem gerir þeim sem viðstaddir eru þinghöld mögulegt að senda út til smærri eða stærri hóps manna það sem fram fer í dómsal. </w:t>
      </w:r>
    </w:p>
    <w:p w14:paraId="3855D429" w14:textId="4370566D" w:rsidR="00B6275C" w:rsidRDefault="00B6275C" w:rsidP="00933E46">
      <w:r>
        <w:t xml:space="preserve">Þá er með ákvæðinu lagt til að óheimilt verði að birta hljóð- og myndupptökur sem </w:t>
      </w:r>
      <w:r w:rsidR="00CA5BD3">
        <w:t>gerðar</w:t>
      </w:r>
      <w:r>
        <w:t xml:space="preserve"> hafa verið án leyfis dómara, sem og hljóð- og myndupptökur af munnlegum framburði sem dómstóll hefur annast. Hvað síðarnefnda atriðið varðar þá má </w:t>
      </w:r>
      <w:r w:rsidR="00CA5BD3">
        <w:t xml:space="preserve">leiða að því </w:t>
      </w:r>
      <w:r>
        <w:t>því rök að hverjum þeim sem hefur undir höndum slíka upptöku af eigin munnleg</w:t>
      </w:r>
      <w:r w:rsidR="00F6649C">
        <w:t>a</w:t>
      </w:r>
      <w:r>
        <w:t xml:space="preserve"> framburði ætti að vera í sjálfsvald sett að birta eða veita samþykki fyrir birtingu hennar. Má í því sambandi </w:t>
      </w:r>
      <w:r w:rsidR="00085306">
        <w:t xml:space="preserve">benda á </w:t>
      </w:r>
      <w:r>
        <w:t>að ekki eru lagðar til neinar breytingar</w:t>
      </w:r>
      <w:r w:rsidR="00085306">
        <w:t xml:space="preserve"> á</w:t>
      </w:r>
      <w:r>
        <w:t xml:space="preserve"> reglum um birtingu endurrita eða annarra dómsskjala sem geta innihaldið sömu efnislegu upplýsingar og upptaka. Andstætt þessu er það sjónarmið að munnlegur framburð</w:t>
      </w:r>
      <w:r w:rsidR="00933E46">
        <w:t>u</w:t>
      </w:r>
      <w:r>
        <w:t xml:space="preserve">r varðar sjaldnast einungis þann sem hann gefur. Þannig getur </w:t>
      </w:r>
      <w:r w:rsidR="00085306">
        <w:t xml:space="preserve">í honum </w:t>
      </w:r>
      <w:r>
        <w:t>verið fjallað í verulegum atriðum um einkahagsmuni annars manns eða önnur viðkvæm málefni, auk þess sem fleiri taka þátt í skýrslu</w:t>
      </w:r>
      <w:r w:rsidR="001B27AB">
        <w:t>töku</w:t>
      </w:r>
      <w:r>
        <w:t xml:space="preserve"> </w:t>
      </w:r>
      <w:r w:rsidR="00085306">
        <w:t>en</w:t>
      </w:r>
      <w:r>
        <w:t xml:space="preserve"> skýrslugjafi, </w:t>
      </w:r>
      <w:r w:rsidR="00C00384">
        <w:t>svo sem</w:t>
      </w:r>
      <w:r>
        <w:t xml:space="preserve"> lögmenn og dómarar. Þannig er ljóst að munnlegur framburður er ekki einkamál skýrslugjafa. Við þetta er því að bæta að þótt upptökur innihaldi</w:t>
      </w:r>
      <w:r w:rsidR="00C00384">
        <w:t xml:space="preserve"> í stórum dráttum </w:t>
      </w:r>
      <w:r>
        <w:t>sömu upplýsingar og endurrit af munnlegum framburði þá er grundvallarmunur þarna á. Þannig fela endurrit í sér endursögn af því sem fram fór en upptökurnar eru nær því að vera frum</w:t>
      </w:r>
      <w:r w:rsidR="001B27AB">
        <w:t xml:space="preserve">heimild um skýrslugjöf. Auk þess getur verið </w:t>
      </w:r>
      <w:r>
        <w:t xml:space="preserve">mun áhrifameira að horfa eða hlusta á munnlegan framburð en að lesa </w:t>
      </w:r>
      <w:r w:rsidR="00D03D8F">
        <w:t>endurrit af framburði</w:t>
      </w:r>
      <w:r>
        <w:t xml:space="preserve">. Þá er mikilvægt að hafa í huga að ef </w:t>
      </w:r>
      <w:r w:rsidR="00C00384">
        <w:t xml:space="preserve">skýrslugjafa </w:t>
      </w:r>
      <w:r>
        <w:t>er í sjálfsvald</w:t>
      </w:r>
      <w:r w:rsidRPr="00B6275C">
        <w:t xml:space="preserve"> </w:t>
      </w:r>
      <w:r w:rsidR="00933E46">
        <w:t xml:space="preserve">sett að birta upptökur af eigin framburði </w:t>
      </w:r>
      <w:r w:rsidR="00C00384">
        <w:t xml:space="preserve">getur </w:t>
      </w:r>
      <w:r w:rsidR="00933E46">
        <w:t xml:space="preserve">það hamlað störfum í réttarsalnum, </w:t>
      </w:r>
      <w:r w:rsidR="00C00384">
        <w:t xml:space="preserve">enda </w:t>
      </w:r>
      <w:r w:rsidR="00273655">
        <w:t xml:space="preserve">getur </w:t>
      </w:r>
      <w:r w:rsidR="00C00384">
        <w:t>það</w:t>
      </w:r>
      <w:r w:rsidR="00F1595E">
        <w:t xml:space="preserve"> haft þau áhrif að þeir sem</w:t>
      </w:r>
      <w:r w:rsidR="00933E46">
        <w:t xml:space="preserve"> þar starfa </w:t>
      </w:r>
      <w:r w:rsidR="00273655">
        <w:t xml:space="preserve">hagi </w:t>
      </w:r>
      <w:r w:rsidR="00933E46">
        <w:t xml:space="preserve">störfum sínum öðruvísi ef raunverulegur möguleiki </w:t>
      </w:r>
      <w:r w:rsidR="00273655">
        <w:t xml:space="preserve">er </w:t>
      </w:r>
      <w:r w:rsidR="00933E46">
        <w:t xml:space="preserve">á að upptökur af þeim </w:t>
      </w:r>
      <w:r w:rsidR="00273655">
        <w:t xml:space="preserve">rati </w:t>
      </w:r>
      <w:r w:rsidR="00933E46">
        <w:t xml:space="preserve">á netið. Í þessu ljósi er </w:t>
      </w:r>
      <w:r w:rsidR="001C2F40">
        <w:t>lagt til að leggja alfarið</w:t>
      </w:r>
      <w:r w:rsidR="00933E46">
        <w:t xml:space="preserve"> bann við birtingu upptaka af munnlegum framburði sem dómstóll hefur annast, jafnvel þótt birtingin næði einungis til eigin framburðar.</w:t>
      </w:r>
    </w:p>
    <w:p w14:paraId="4EC8F655" w14:textId="42EA39C1" w:rsidR="001264B7" w:rsidRDefault="001264B7" w:rsidP="00407611">
      <w:r>
        <w:t>Þá þykir rétt að setja sérstök refsiviðurlög við brotum á ákvæðinu enda má leiða líku</w:t>
      </w:r>
      <w:r w:rsidR="005D025D">
        <w:t>r</w:t>
      </w:r>
      <w:r>
        <w:t xml:space="preserve"> að því að varnaðaráhrif ákvæðisins verði lítil sem engin án slíks viðurlagaákvæðis. </w:t>
      </w:r>
    </w:p>
    <w:p w14:paraId="031F0885" w14:textId="77777777" w:rsidR="001264B7" w:rsidRDefault="001264B7" w:rsidP="001264B7">
      <w:pPr>
        <w:jc w:val="center"/>
        <w:rPr>
          <w:sz w:val="24"/>
          <w:szCs w:val="24"/>
        </w:rPr>
      </w:pPr>
    </w:p>
    <w:p w14:paraId="58968957" w14:textId="77777777" w:rsidR="001264B7" w:rsidRPr="008A4049" w:rsidRDefault="001264B7" w:rsidP="00407611">
      <w:pPr>
        <w:pStyle w:val="Greinarnmer"/>
      </w:pPr>
      <w:r>
        <w:t xml:space="preserve">Um 3. gr. </w:t>
      </w:r>
    </w:p>
    <w:p w14:paraId="221FC333" w14:textId="77777777" w:rsidR="001264B7" w:rsidRDefault="001264B7" w:rsidP="00407611">
      <w:r>
        <w:t xml:space="preserve">Breytingin miðar annars vegar að því að færa lagaákvæði um þingbækur til núverandi framkvæmdar en þingbækur hafa um langt skeið verið ritaðar á tölvur en ekki vélritaðar. Þá er lagt til að ekki verði lengur skylt að prenta út þingbækur og varðveita á pappír enda hefur verið talsverður misbrestur á því að það hafi verið gert. Þess í stað er lagt til að  þingbækur dómstólanna verði varðveittar með tryggum og aðgengilegum hætti á rafrænu formi. </w:t>
      </w:r>
    </w:p>
    <w:p w14:paraId="379037EC" w14:textId="77777777" w:rsidR="001264B7" w:rsidRDefault="001264B7" w:rsidP="001264B7">
      <w:pPr>
        <w:rPr>
          <w:sz w:val="24"/>
          <w:szCs w:val="24"/>
        </w:rPr>
      </w:pPr>
    </w:p>
    <w:p w14:paraId="32BE1BA5" w14:textId="77777777" w:rsidR="001264B7" w:rsidRDefault="001264B7" w:rsidP="00407611">
      <w:pPr>
        <w:pStyle w:val="Greinarnmer"/>
      </w:pPr>
      <w:r>
        <w:t xml:space="preserve">Um 4. gr. </w:t>
      </w:r>
    </w:p>
    <w:p w14:paraId="42376AA6" w14:textId="4E5C92AF" w:rsidR="001264B7" w:rsidRDefault="001264B7" w:rsidP="00407611">
      <w:r>
        <w:t>Í a</w:t>
      </w:r>
      <w:r w:rsidR="00407611">
        <w:t>-</w:t>
      </w:r>
      <w:r>
        <w:t xml:space="preserve">lið er lögð til sú breyting á 1. </w:t>
      </w:r>
      <w:r w:rsidR="008F4685">
        <w:t>m</w:t>
      </w:r>
      <w:r>
        <w:t xml:space="preserve">gr. 14. gr. að lagafyrirmæli um afhendingu eftirrits af málsskjölum og úr þingbók og dómabók í málum sem rekin eru fyrir Landsrétti eða héraðsdómi verði víkkað út þannig að það nái einnig til mála sem rekin eru fyrir Hæstarétti. </w:t>
      </w:r>
    </w:p>
    <w:p w14:paraId="630336BF" w14:textId="67C4BD54" w:rsidR="001264B7" w:rsidRDefault="001264B7" w:rsidP="00407611">
      <w:r>
        <w:t>Í b</w:t>
      </w:r>
      <w:r w:rsidR="00407611">
        <w:t>-</w:t>
      </w:r>
      <w:r>
        <w:t xml:space="preserve">lið er lögð til sú breyting á ákvæði um afhendingu á upptökum af skýrslutökum að það verði takmarkað við afhendingu á hljóðupptökum. Jafnframt er gert ráð fyrir að aðilar fái aðstöðu til þess að hlusta á hljóðupptökur og horfa á myndupptökur í húsakynnum viðkomandi dómstóls. Þessi greinarmunur á hljóð- og myndupptökum </w:t>
      </w:r>
      <w:r w:rsidR="000D7C69">
        <w:t>er</w:t>
      </w:r>
      <w:r>
        <w:t xml:space="preserve"> nauðsynlegur vegna þeirrar hættu sem er á því að myndupptökum af skýrslutökum fyrir dómi verði komið á netið. Augljóst er að myndskeið af munnlegum framburði er að þessu leyti mun áhrifameira en hljóðupptaka eða </w:t>
      </w:r>
      <w:r>
        <w:lastRenderedPageBreak/>
        <w:t>endurrit af framburði og þungbærara fyrir þann sem framburð gaf að myndupptaka af framburðinum komi fyrir sjónir almennings á netinu. Mikilvægt er að aðilar og vitni í dómsmálum, sem í flestum tilvikum hvílir skylda á að gefa skýrslu fyrir dómi, oft um viðkvæm og erfið málsatvik, geti treyst því að myndupptaka af framburði þeirra verði ekki gerð öllum aðgengileg um aldur og æ</w:t>
      </w:r>
      <w:r w:rsidR="00A95A82">
        <w:t>v</w:t>
      </w:r>
      <w:r>
        <w:t>i. Möguleikinn á að slíkar upptökur rati á netið er til þess fallinn að fæla vitni frá því að gefa skýrslu fyrir dómi eða hafa áhrif á framburð vitnis og þar með falli</w:t>
      </w:r>
      <w:r w:rsidR="00E04A59">
        <w:t>nn</w:t>
      </w:r>
      <w:r>
        <w:t xml:space="preserve"> til </w:t>
      </w:r>
      <w:r w:rsidR="00E04A59">
        <w:t xml:space="preserve">þess </w:t>
      </w:r>
      <w:r>
        <w:t>að ógna réttaröryggi þar sem niðurstaða dómsmáls getur oltið á munnlegum framburði.</w:t>
      </w:r>
      <w:r w:rsidRPr="00FA5B41">
        <w:t xml:space="preserve"> </w:t>
      </w:r>
      <w:r w:rsidRPr="00FF3BA4">
        <w:t>Þes</w:t>
      </w:r>
      <w:r>
        <w:t>si breyting felur ekki í sér takm</w:t>
      </w:r>
      <w:r w:rsidR="00E04A59">
        <w:t>ö</w:t>
      </w:r>
      <w:r>
        <w:t xml:space="preserve">rkun á meginreglunni um opinbera málsmeðferð þar sem hún felur ekki í sér neina hindrun á aðgengi almennings að þinghöldum eða endurriti af framburði fyrir héraðsdómi. </w:t>
      </w:r>
      <w:r w:rsidR="00E04A59">
        <w:t>Breytingunni er fyrst og fremst ætlað að</w:t>
      </w:r>
      <w:r>
        <w:t xml:space="preserve"> vernda hagsmuni þeirra sem gefa munnlega skýrslu og tryggja réttaröryggi málsaðila.</w:t>
      </w:r>
    </w:p>
    <w:p w14:paraId="0D58326E" w14:textId="15548A7A" w:rsidR="001264B7" w:rsidRDefault="00E04A59" w:rsidP="00407611">
      <w:r>
        <w:t>C</w:t>
      </w:r>
      <w:r w:rsidR="00407611">
        <w:t>-</w:t>
      </w:r>
      <w:r w:rsidR="001264B7">
        <w:t>liður þarfnast ekki skýringa.</w:t>
      </w:r>
    </w:p>
    <w:p w14:paraId="0B934ECD" w14:textId="72DC7E88" w:rsidR="001264B7" w:rsidRDefault="001264B7" w:rsidP="00407611">
      <w:r>
        <w:t>Sú breyting sem lögð er til í d</w:t>
      </w:r>
      <w:r w:rsidR="00407611">
        <w:t>-</w:t>
      </w:r>
      <w:r>
        <w:t xml:space="preserve">lið miðar að því að samræma framkvæmd á öllum dómstigum. </w:t>
      </w:r>
    </w:p>
    <w:p w14:paraId="2D42C1BA" w14:textId="77777777" w:rsidR="001264B7" w:rsidRDefault="001264B7" w:rsidP="001264B7">
      <w:pPr>
        <w:rPr>
          <w:sz w:val="24"/>
          <w:szCs w:val="24"/>
        </w:rPr>
      </w:pPr>
    </w:p>
    <w:p w14:paraId="750EB956" w14:textId="77777777" w:rsidR="001264B7" w:rsidRDefault="001264B7" w:rsidP="00407611">
      <w:pPr>
        <w:pStyle w:val="Greinarnmer"/>
      </w:pPr>
      <w:r>
        <w:t xml:space="preserve">Um 5. gr. </w:t>
      </w:r>
    </w:p>
    <w:p w14:paraId="50E8FDFE" w14:textId="77777777" w:rsidR="001264B7" w:rsidRDefault="001264B7" w:rsidP="00407611">
      <w:r>
        <w:t>Sú breyting sem lögð er til leiðir af þeirri breytingu sem lögð er til í 6. gr. frumvarpsins en hún miðar að því að samræma það tímamark þegar Landsréttur og Hæstiréttur geta lagt dóm eða úrskurð á kærur í einkamálum og sakamálum.</w:t>
      </w:r>
    </w:p>
    <w:p w14:paraId="1564ECE4" w14:textId="77777777" w:rsidR="001264B7" w:rsidRDefault="001264B7" w:rsidP="001264B7">
      <w:pPr>
        <w:rPr>
          <w:sz w:val="24"/>
          <w:szCs w:val="24"/>
        </w:rPr>
      </w:pPr>
    </w:p>
    <w:p w14:paraId="5BE0A4B8" w14:textId="77777777" w:rsidR="001264B7" w:rsidRDefault="001264B7" w:rsidP="00407611">
      <w:pPr>
        <w:pStyle w:val="Greinarnmer"/>
      </w:pPr>
      <w:r>
        <w:t>Um 6. gr.</w:t>
      </w:r>
    </w:p>
    <w:p w14:paraId="541C0208" w14:textId="77777777" w:rsidR="001264B7" w:rsidRDefault="001264B7" w:rsidP="00407611">
      <w:r>
        <w:t>Sú breyting sem hér er lögð til miðar að því að samræma það tímamark þegar Hæstiréttur og Landsréttur geta lagt dóm eða úrskurð á kæruefni í einkamálum og sakamálum og Hæstiréttur ákveðið hvort kæra í einkamáli verði tekin til meðferðar, sbr. einnig 13. grein frumvarpsins og 1. mgr. 195. gr. og 1. mgr. 214. gr. laga um meðferð sakamála. Af breytingunni leiðir að Landsréttur getur kveðið upp úrskurð í kærumáli þegar greinargerð varnaraðila hefur borist jafnvel þótt hann hafi ekki nýtt allan þann frest sem hann fékk til að skila greinargerð. Breytingin er þannig til þess fallin að stytta málsmeðferðartíma í kærumálum þegar varnaraðili nýtir ekki frest sinn að fullu.</w:t>
      </w:r>
    </w:p>
    <w:p w14:paraId="5186C8EB" w14:textId="77777777" w:rsidR="001264B7" w:rsidRDefault="001264B7" w:rsidP="001264B7">
      <w:pPr>
        <w:rPr>
          <w:sz w:val="24"/>
          <w:szCs w:val="24"/>
        </w:rPr>
      </w:pPr>
    </w:p>
    <w:p w14:paraId="3AD6BB4F" w14:textId="77777777" w:rsidR="001264B7" w:rsidRDefault="001264B7" w:rsidP="00407611">
      <w:pPr>
        <w:pStyle w:val="Greinarnmer"/>
      </w:pPr>
      <w:r>
        <w:t>Um 7. gr.</w:t>
      </w:r>
    </w:p>
    <w:p w14:paraId="5ADC9AAB" w14:textId="01549E37" w:rsidR="001264B7" w:rsidRDefault="001264B7" w:rsidP="00407611">
      <w:r>
        <w:t>Breytingin miðar að því að sá sem áfrýjar máli þurfi ekki í áfrýjunarstefnu til Landsréttar að gera grein fyrir því hverja hann hyggst leiða fyrir réttinn til skýrslugjafar og í hvaða skyni það skuli gert. Í e</w:t>
      </w:r>
      <w:r w:rsidR="00E27DA9">
        <w:t>-</w:t>
      </w:r>
      <w:r>
        <w:t xml:space="preserve">lið 2. mgr. 156. gr. laganna er kveðið á um að í greinargerð áfrýjanda skuli koma fram hverjir það eru sem ákærandi telur nauðsynlegt að </w:t>
      </w:r>
      <w:r w:rsidRPr="00CC4609">
        <w:t xml:space="preserve">gefi aðila- og vitnaskýrslur eða viðbótarskýrslur fyrir Landsrétti ásamt rökstuðningi þar að lútandi. Í því ákvæði er </w:t>
      </w:r>
      <w:r>
        <w:t xml:space="preserve">kveðið nánar á um </w:t>
      </w:r>
      <w:r w:rsidRPr="00CC4609">
        <w:t xml:space="preserve">skyldu áfrýjanda til að upplýsa um þá munnlegu sönnunarfærslu sem hann óskar eftir og hvaða upptökur af aðila- og vitnaskýrslum fyrir héraðsdómi hann telur nauðsynlegt að spila við aðalmeðferð málsins vegna endurmats á sönnunargildi þeirra. </w:t>
      </w:r>
    </w:p>
    <w:p w14:paraId="5C266B36" w14:textId="5B95F992" w:rsidR="001264B7" w:rsidRDefault="001264B7" w:rsidP="00407611">
      <w:r>
        <w:t xml:space="preserve">Áfrýjunarfrestur er nú fjórar vikur. Reynslan hefur sýnt að við útgáfu áfrýjunarstefnu hefur lögmaður áfrýjanda tæpast haft nægilegt ráðrúm til að leggja grunn að málatilbúnaði sínum hvað varðar endurskoðun á sönnun. </w:t>
      </w:r>
      <w:r w:rsidRPr="00CC4609">
        <w:t>Þar sem gert er ráð fyrir að greinargerð áfrýjanda sé lögð fram við þingfestingu og frestur stefndu til að skila greinargerð byrjar þá fyrst að líða er þessi breyting ekki til þess fallin að vald</w:t>
      </w:r>
      <w:r>
        <w:t>a</w:t>
      </w:r>
      <w:r w:rsidRPr="00CC4609">
        <w:t xml:space="preserve"> stefnda óhagræði</w:t>
      </w:r>
      <w:r>
        <w:t xml:space="preserve"> við varnir fyrir Landsrétti</w:t>
      </w:r>
      <w:r w:rsidRPr="00CC4609">
        <w:t>.</w:t>
      </w:r>
      <w:r>
        <w:t xml:space="preserve"> Hagkvæmt virðist þannig að fella brott lagaáskilnað um að upplýsingar um þá sem áfrýjandi vill að komi fyrir dóm komi fram í áfrýjunarstefnu. Með því er jafnframt undirstrikað hversu mikilvægt er </w:t>
      </w:r>
      <w:r>
        <w:lastRenderedPageBreak/>
        <w:t>að áfrýjandi fylgi fyrirmælum e</w:t>
      </w:r>
      <w:r w:rsidR="00E27DA9">
        <w:t>-</w:t>
      </w:r>
      <w:r>
        <w:t xml:space="preserve">liðar 2. mgr. 156. gr. laganna en vanræksla þar á getur leitt til þess að munnleg sönnunarfærsla verði ekki heimiluð fyrir Landsrétti. </w:t>
      </w:r>
    </w:p>
    <w:p w14:paraId="48EBCF55" w14:textId="77777777" w:rsidR="001264B7" w:rsidRDefault="001264B7" w:rsidP="001264B7">
      <w:pPr>
        <w:rPr>
          <w:sz w:val="24"/>
          <w:szCs w:val="24"/>
        </w:rPr>
      </w:pPr>
    </w:p>
    <w:p w14:paraId="197DCC1E" w14:textId="77777777" w:rsidR="001264B7" w:rsidRDefault="001264B7" w:rsidP="00407611">
      <w:pPr>
        <w:pStyle w:val="Greinarnmer"/>
      </w:pPr>
      <w:r>
        <w:t>Um 8. gr.</w:t>
      </w:r>
    </w:p>
    <w:p w14:paraId="0A0C6561" w14:textId="25CCA58F" w:rsidR="001264B7" w:rsidRDefault="001264B7" w:rsidP="00407611">
      <w:r>
        <w:t xml:space="preserve">Breytingin miðar að því að hljóð- og myndupptökur af munnlegum framburði í héraði teljist ekki hluti af málsgögnum sem áfrýjanda ber að afhenda Landsrétti vegna áfrýjunar máls. Þess í stað er lagt til að héraðsdómstóll skuli afhenda Landsrétti hljóð- og myndupptökur af munnlegum framburði í málinu. Breytingin er til komin af tæknilegum ástæðum. Hljóð- og myndupptökur eru varðveittar á rafrænu formi hjá héraðsdómstólunum og einfaldast og öruggast er að héraðsdómstólar komi þessum rafrænu skrám til Landsréttar eða það sem einfaldara er opni Landsrétti rafrænan aðgang að þeim. Breytingin er jafnframt í samræmi við þá breytingu sem lögð er til á 3. mgr. 14. gr. laganna með </w:t>
      </w:r>
      <w:r w:rsidR="00D340ED">
        <w:t>4.</w:t>
      </w:r>
      <w:r>
        <w:t xml:space="preserve"> gr. frumvarpsins en sú breyting miðar að því að aðilar máls fái einungis í hendur hljóðupptöku af framburði fyrir héraðsdómi  en hins vegar einungis aðstöðu til að horfa á myndupptökur af framburði í húsakynnum viðkomandi dómstóls.</w:t>
      </w:r>
    </w:p>
    <w:p w14:paraId="189A02D9" w14:textId="77777777" w:rsidR="001264B7" w:rsidRDefault="001264B7" w:rsidP="001264B7">
      <w:pPr>
        <w:rPr>
          <w:sz w:val="24"/>
          <w:szCs w:val="24"/>
        </w:rPr>
      </w:pPr>
    </w:p>
    <w:p w14:paraId="676BF2AE" w14:textId="77777777" w:rsidR="001264B7" w:rsidRDefault="001264B7" w:rsidP="00407611">
      <w:pPr>
        <w:pStyle w:val="Greinarnmer"/>
      </w:pPr>
      <w:r>
        <w:t>Um 9. gr.</w:t>
      </w:r>
    </w:p>
    <w:p w14:paraId="3349F1BA" w14:textId="5409FE45" w:rsidR="001264B7" w:rsidRDefault="001264B7" w:rsidP="00407611">
      <w:r>
        <w:t xml:space="preserve">Ákvæðið um kæru til Hæstaréttar í upphafsmálslið 1. mgr. 167. gr. laganna er nú orðað með sambærilegum hætti og upphafsmálsliður 1. mgr. 143. gr. laganna fyrir gildistöku laga nr. 49/2016 sem þá fjallaði um kæru á úrskurðum héraðsdóms til Hæstaréttar. Samkvæmt dómaframkvæmd Hæstaréttar </w:t>
      </w:r>
      <w:r w:rsidR="00C801FE">
        <w:t>er</w:t>
      </w:r>
      <w:r>
        <w:t xml:space="preserve"> niðurstaða héraðsdóms um frávísun máls að hluta í dómi talin kæranleg þrátt fyrir að einungis væri í ákvæðinu talað um úrskurði héraðsdómara. Form dómsúrlausnar Landsréttar um frávísun máls frá héraðsdómi eða Landsrétti ræðst af því hvort málið hefur einungis verið flutt um formsatriði þess eða samhliða um form og efni, sbr. 2. mgr. 164. gr. laganna. Með þeirri breytingu á 1. mgr. 167. gr. sem mælt er fyrir um í a</w:t>
      </w:r>
      <w:r w:rsidR="00407611">
        <w:t>-</w:t>
      </w:r>
      <w:r>
        <w:t xml:space="preserve">lið er ætlunin að taka af öll tvímæli um að unnt sé að kæra til Hæstaréttar niðurstöðu Landsréttar um frávísun máls frá héraðsdómi eða Landsrétti, að öllu leyti eða hluta, hvort sem sú niðurstaða kemur fram í úrskurði eða dómi. </w:t>
      </w:r>
    </w:p>
    <w:p w14:paraId="36CB315B" w14:textId="7D1EEE67" w:rsidR="001264B7" w:rsidRDefault="001264B7" w:rsidP="00407611">
      <w:r>
        <w:t>Með b</w:t>
      </w:r>
      <w:r w:rsidR="00407611">
        <w:t>-</w:t>
      </w:r>
      <w:r>
        <w:t>lið er ætlunin að bregðast við dómum Hæstaréttar, meðal annars frá 5. júní 2018 í máli nr. 8/2015 og 13. sama mánaðar í máli nr. 15/2018. Í þessum dómum var fjallað um heimild til að kæra til Hæstaréttar úrskurði Landsréttar þar sem staðfestir voru úrskurðir héraðsdóms um frávísun málanna frá héraðsdómi. Hæstiréttur taldi</w:t>
      </w:r>
      <w:r w:rsidRPr="00090EB6">
        <w:rPr>
          <w:color w:val="000000"/>
          <w:shd w:val="clear" w:color="auto" w:fill="FFFFFF"/>
        </w:rPr>
        <w:t xml:space="preserve"> að skoða þyrfti kæruheimildina í a</w:t>
      </w:r>
      <w:r w:rsidR="00407611">
        <w:rPr>
          <w:color w:val="000000"/>
          <w:shd w:val="clear" w:color="auto" w:fill="FFFFFF"/>
        </w:rPr>
        <w:t>-</w:t>
      </w:r>
      <w:r w:rsidRPr="00090EB6">
        <w:rPr>
          <w:color w:val="000000"/>
          <w:shd w:val="clear" w:color="auto" w:fill="FFFFFF"/>
        </w:rPr>
        <w:t>lið 1. mgr. 167. gr. laganna í ljósi þeirrar meginreglu að baki ákvæðum 6. þáttar laga nr. 91/1991 að úrlausnaratriði, hvort sem það varða</w:t>
      </w:r>
      <w:r>
        <w:rPr>
          <w:color w:val="000000"/>
          <w:shd w:val="clear" w:color="auto" w:fill="FFFFFF"/>
        </w:rPr>
        <w:t>ði</w:t>
      </w:r>
      <w:r w:rsidRPr="00090EB6">
        <w:rPr>
          <w:color w:val="000000"/>
          <w:shd w:val="clear" w:color="auto" w:fill="FFFFFF"/>
        </w:rPr>
        <w:t xml:space="preserve"> efni máls eða form, g</w:t>
      </w:r>
      <w:r>
        <w:rPr>
          <w:color w:val="000000"/>
          <w:shd w:val="clear" w:color="auto" w:fill="FFFFFF"/>
        </w:rPr>
        <w:t>æ</w:t>
      </w:r>
      <w:r w:rsidRPr="00090EB6">
        <w:rPr>
          <w:color w:val="000000"/>
          <w:shd w:val="clear" w:color="auto" w:fill="FFFFFF"/>
        </w:rPr>
        <w:t>ti ekki komið til meðferðar á þremur dómstigum nema í því tilviki að Hæstiréttur h</w:t>
      </w:r>
      <w:r>
        <w:rPr>
          <w:color w:val="000000"/>
          <w:shd w:val="clear" w:color="auto" w:fill="FFFFFF"/>
        </w:rPr>
        <w:t>efði</w:t>
      </w:r>
      <w:r w:rsidRPr="00090EB6">
        <w:rPr>
          <w:color w:val="000000"/>
          <w:shd w:val="clear" w:color="auto" w:fill="FFFFFF"/>
        </w:rPr>
        <w:t xml:space="preserve"> veitt leyfi til slíkrar meðferðar, sbr. 2. mgr. 167. gr. og 175. gr. sömu laga. Að þessu gættu </w:t>
      </w:r>
      <w:r>
        <w:rPr>
          <w:color w:val="000000"/>
          <w:shd w:val="clear" w:color="auto" w:fill="FFFFFF"/>
        </w:rPr>
        <w:t>taldi Hæstiréttur</w:t>
      </w:r>
      <w:r w:rsidRPr="00090EB6">
        <w:rPr>
          <w:color w:val="000000"/>
          <w:shd w:val="clear" w:color="auto" w:fill="FFFFFF"/>
        </w:rPr>
        <w:t xml:space="preserve"> að skýra </w:t>
      </w:r>
      <w:r>
        <w:rPr>
          <w:color w:val="000000"/>
          <w:shd w:val="clear" w:color="auto" w:fill="FFFFFF"/>
        </w:rPr>
        <w:t>yrði áðurnefndan a</w:t>
      </w:r>
      <w:r w:rsidR="00407611">
        <w:rPr>
          <w:color w:val="000000"/>
          <w:shd w:val="clear" w:color="auto" w:fill="FFFFFF"/>
        </w:rPr>
        <w:t>-</w:t>
      </w:r>
      <w:r w:rsidRPr="00090EB6">
        <w:rPr>
          <w:color w:val="000000"/>
          <w:shd w:val="clear" w:color="auto" w:fill="FFFFFF"/>
        </w:rPr>
        <w:t>lið 1. mgr. 167. gr. laganna eftir orðanna hljóðan og þá á þann hátt að úrskurður Landsréttar g</w:t>
      </w:r>
      <w:r>
        <w:rPr>
          <w:color w:val="000000"/>
          <w:shd w:val="clear" w:color="auto" w:fill="FFFFFF"/>
        </w:rPr>
        <w:t>æ</w:t>
      </w:r>
      <w:r w:rsidRPr="00090EB6">
        <w:rPr>
          <w:color w:val="000000"/>
          <w:shd w:val="clear" w:color="auto" w:fill="FFFFFF"/>
        </w:rPr>
        <w:t>ti sætt kæru til Hæstaréttar ef þar he</w:t>
      </w:r>
      <w:r>
        <w:rPr>
          <w:color w:val="000000"/>
          <w:shd w:val="clear" w:color="auto" w:fill="FFFFFF"/>
        </w:rPr>
        <w:t>fði</w:t>
      </w:r>
      <w:r w:rsidRPr="00090EB6">
        <w:rPr>
          <w:color w:val="000000"/>
          <w:shd w:val="clear" w:color="auto" w:fill="FFFFFF"/>
        </w:rPr>
        <w:t xml:space="preserve"> verið tekin ákvörðun um að vísa máli frá héraðsdómi, sem ekki hefur fyrr verið gert, en á hinn bóginn ekki ef þar hef</w:t>
      </w:r>
      <w:r>
        <w:rPr>
          <w:color w:val="000000"/>
          <w:shd w:val="clear" w:color="auto" w:fill="FFFFFF"/>
        </w:rPr>
        <w:t>ði</w:t>
      </w:r>
      <w:r w:rsidRPr="00090EB6">
        <w:rPr>
          <w:color w:val="000000"/>
          <w:shd w:val="clear" w:color="auto" w:fill="FFFFFF"/>
        </w:rPr>
        <w:t xml:space="preserve"> verið staðfestur ú</w:t>
      </w:r>
      <w:r>
        <w:rPr>
          <w:color w:val="000000"/>
          <w:shd w:val="clear" w:color="auto" w:fill="FFFFFF"/>
        </w:rPr>
        <w:t>rskurður héraðsdóms um frávísun</w:t>
      </w:r>
      <w:r w:rsidRPr="00090EB6">
        <w:rPr>
          <w:color w:val="000000"/>
          <w:shd w:val="clear" w:color="auto" w:fill="FFFFFF"/>
        </w:rPr>
        <w:t xml:space="preserve">. Hæstiréttur </w:t>
      </w:r>
      <w:r>
        <w:rPr>
          <w:color w:val="000000"/>
          <w:shd w:val="clear" w:color="auto" w:fill="FFFFFF"/>
        </w:rPr>
        <w:t>taldi því að</w:t>
      </w:r>
      <w:r w:rsidRPr="00090EB6">
        <w:rPr>
          <w:color w:val="000000"/>
          <w:shd w:val="clear" w:color="auto" w:fill="FFFFFF"/>
        </w:rPr>
        <w:t xml:space="preserve"> heimild br</w:t>
      </w:r>
      <w:r>
        <w:rPr>
          <w:color w:val="000000"/>
          <w:shd w:val="clear" w:color="auto" w:fill="FFFFFF"/>
        </w:rPr>
        <w:t>y</w:t>
      </w:r>
      <w:r w:rsidRPr="00090EB6">
        <w:rPr>
          <w:color w:val="000000"/>
          <w:shd w:val="clear" w:color="auto" w:fill="FFFFFF"/>
        </w:rPr>
        <w:t>sti til að kæra þessa úrskurði Landsréttar og vísaði málunum frá Hæstarétti.</w:t>
      </w:r>
      <w:r>
        <w:rPr>
          <w:sz w:val="32"/>
        </w:rPr>
        <w:t xml:space="preserve"> </w:t>
      </w:r>
    </w:p>
    <w:p w14:paraId="2C314029" w14:textId="3BB3F0BA" w:rsidR="001264B7" w:rsidRDefault="001264B7" w:rsidP="00407611">
      <w:r>
        <w:t xml:space="preserve">Með hliðsjón af niðurstöðu Hæstaréttar þykir rétt að breyta ákvæðinu til samræmis við niðurstöðu Hæstaréttar fremur en að kveða með skýrari hætti á um það í ákvæðinu að heimilt sé að skjóta dómsúrlausn Landsréttar um staðfestingu á frávísunarúrskurði héraðsdóms til Hæstaréttar. </w:t>
      </w:r>
    </w:p>
    <w:p w14:paraId="78771F09" w14:textId="39E4AE55" w:rsidR="001264B7" w:rsidRDefault="001264B7" w:rsidP="00407611">
      <w:r>
        <w:lastRenderedPageBreak/>
        <w:t>Breytingin sem lögð er til í c</w:t>
      </w:r>
      <w:r w:rsidR="00407611">
        <w:t>-</w:t>
      </w:r>
      <w:r>
        <w:t>lið á d</w:t>
      </w:r>
      <w:r w:rsidR="00407611">
        <w:t>-</w:t>
      </w:r>
      <w:r>
        <w:t>lið 1. mgr. 167. gr. er til komin vegna breytingarinnar í a</w:t>
      </w:r>
      <w:r w:rsidR="0028362D">
        <w:t>-</w:t>
      </w:r>
      <w:r>
        <w:t>lið og er henni ætlað að taka af öll tvímæli um að aðeins úrskurðir um réttarfarssekt fyrir Landsrétti sæti kæru til Hæstaréttar en ekki dómar þar sem réttarfarssekt er ákveðin en samkvæmt dómaframkvæmd Hæstaréttar sæta slíkar niðurstöður um réttarfarssekt í dómi áfrýjun en ekki kæru, s</w:t>
      </w:r>
      <w:r w:rsidR="0028362D">
        <w:t>br.</w:t>
      </w:r>
      <w:r>
        <w:t xml:space="preserve"> dóm Hæstaréttar 12. mars 2012 í máli nr. 103/2012. </w:t>
      </w:r>
    </w:p>
    <w:p w14:paraId="0CEE9AAD" w14:textId="77777777" w:rsidR="001264B7" w:rsidRDefault="001264B7" w:rsidP="001264B7">
      <w:pPr>
        <w:ind w:firstLine="0"/>
        <w:rPr>
          <w:sz w:val="24"/>
          <w:szCs w:val="24"/>
        </w:rPr>
      </w:pPr>
      <w:r>
        <w:rPr>
          <w:sz w:val="24"/>
          <w:szCs w:val="24"/>
        </w:rPr>
        <w:tab/>
      </w:r>
    </w:p>
    <w:p w14:paraId="38B0A2CF" w14:textId="77777777" w:rsidR="001264B7" w:rsidRDefault="001264B7" w:rsidP="0028362D">
      <w:pPr>
        <w:pStyle w:val="Greinarnmer"/>
      </w:pPr>
      <w:r>
        <w:t>Um 10. gr.</w:t>
      </w:r>
    </w:p>
    <w:p w14:paraId="6B62AF5F" w14:textId="20E11B04" w:rsidR="001264B7" w:rsidRDefault="001264B7" w:rsidP="0028362D">
      <w:r>
        <w:t>Með breytingum á 168. gr. laganna er stefnt að því að einfalda skjalaframlagningu í kærumálum til Hæstaréttar þannig að í stað þess að senda Hæstarétti annars vegar beiðni um leyfi til að kæra dómsathöfn Landsréttar og hins vegar kæru nægi að beiðni um leyfi til kæru og rökstuðningur fyrir henni komi fram í sama skjali og kæran sjálf. Breytingunni er ætlað að vera til einföldunar og hægðarauka fyrir þann sem vill leita eftir kæruleyfi Hæstaréttar.</w:t>
      </w:r>
    </w:p>
    <w:p w14:paraId="76D639F9" w14:textId="77777777" w:rsidR="0028362D" w:rsidRDefault="0028362D" w:rsidP="001264B7">
      <w:pPr>
        <w:rPr>
          <w:sz w:val="24"/>
          <w:szCs w:val="24"/>
        </w:rPr>
      </w:pPr>
    </w:p>
    <w:p w14:paraId="43EEB6FD" w14:textId="77777777" w:rsidR="001264B7" w:rsidRDefault="001264B7" w:rsidP="0028362D">
      <w:pPr>
        <w:pStyle w:val="Greinarnmer"/>
      </w:pPr>
      <w:r>
        <w:t>Um 11. gr.</w:t>
      </w:r>
    </w:p>
    <w:p w14:paraId="37EEDBE8" w14:textId="4744F6BE" w:rsidR="001264B7" w:rsidRDefault="001264B7" w:rsidP="0028362D">
      <w:r>
        <w:t>Um einfalda orðalagsbreytingu er að ræða til að taka af öll tvímæli um að í c</w:t>
      </w:r>
      <w:r w:rsidR="0028362D">
        <w:t>-</w:t>
      </w:r>
      <w:r>
        <w:t xml:space="preserve">lið 1. mgr. 169. gr. sé átt við kröfu um breytingu á hinni kærðu dómsathöfn. </w:t>
      </w:r>
    </w:p>
    <w:p w14:paraId="61771E82" w14:textId="77777777" w:rsidR="001264B7" w:rsidRDefault="001264B7" w:rsidP="001264B7">
      <w:pPr>
        <w:rPr>
          <w:sz w:val="24"/>
          <w:szCs w:val="24"/>
        </w:rPr>
      </w:pPr>
    </w:p>
    <w:p w14:paraId="31DA4927" w14:textId="77777777" w:rsidR="001264B7" w:rsidRDefault="001264B7" w:rsidP="0028362D">
      <w:pPr>
        <w:pStyle w:val="Greinarnmer"/>
      </w:pPr>
      <w:r>
        <w:t>Um 12. gr.</w:t>
      </w:r>
    </w:p>
    <w:p w14:paraId="1E353489" w14:textId="608CDF12" w:rsidR="001264B7" w:rsidRDefault="001264B7" w:rsidP="0028362D">
      <w:r>
        <w:t>Þær breytingar sem lagðar eru til í a</w:t>
      </w:r>
      <w:r w:rsidR="0028362D">
        <w:t>-</w:t>
      </w:r>
      <w:r>
        <w:t>, b</w:t>
      </w:r>
      <w:r w:rsidR="0028362D">
        <w:t>-</w:t>
      </w:r>
      <w:r>
        <w:t xml:space="preserve"> og d</w:t>
      </w:r>
      <w:r w:rsidR="0028362D">
        <w:t>-</w:t>
      </w:r>
      <w:r>
        <w:t xml:space="preserve">lið eru til komnar af sömu ástæðu og fjallað er um í athugasemdum um </w:t>
      </w:r>
      <w:r w:rsidR="007D270C">
        <w:t>10</w:t>
      </w:r>
      <w:r>
        <w:t xml:space="preserve">. gr. frumvarpsins, það er að einfalda skjalaframlagningu í kærumálum til Hæstaréttar þannig að beiðni um kæruleyfi og kæran skjálf komi fram í einu skjali. </w:t>
      </w:r>
    </w:p>
    <w:p w14:paraId="7A2D3DAA" w14:textId="09CB3BF4" w:rsidR="001264B7" w:rsidRDefault="001264B7" w:rsidP="0028362D">
      <w:r>
        <w:t>Sú breyting sem lögð er til í c</w:t>
      </w:r>
      <w:r w:rsidR="0028362D">
        <w:t>-</w:t>
      </w:r>
      <w:r>
        <w:t xml:space="preserve">lið tekur mið af því að fimm dómarar dæma nú í öllum kærumálum í Hæstarrétti og því þörf á að Hæstiréttur fái afhent sex eintak af málsgögnum í kærumálum. </w:t>
      </w:r>
    </w:p>
    <w:p w14:paraId="34A3910E" w14:textId="77777777" w:rsidR="001264B7" w:rsidRDefault="001264B7" w:rsidP="001264B7">
      <w:pPr>
        <w:ind w:firstLine="0"/>
        <w:rPr>
          <w:sz w:val="24"/>
          <w:szCs w:val="24"/>
        </w:rPr>
      </w:pPr>
    </w:p>
    <w:p w14:paraId="020087F4" w14:textId="77777777" w:rsidR="001264B7" w:rsidRDefault="001264B7" w:rsidP="0028362D">
      <w:pPr>
        <w:pStyle w:val="Greinarnmer"/>
      </w:pPr>
      <w:r>
        <w:t>Um 13. gr.</w:t>
      </w:r>
    </w:p>
    <w:p w14:paraId="696C4227" w14:textId="77777777" w:rsidR="001264B7" w:rsidRDefault="001264B7" w:rsidP="0028362D">
      <w:r>
        <w:t xml:space="preserve">Sú breyting sem lögð er til miðar að því að samræma það tímamark þegar Hæstiréttur og Landsréttur geta lagt dóm eða úrskurð á kæruefni í einkamálum og sakamálum og Hæstiréttur ákveðið hvort kæra í einkamáli verði tekin til meðferðar, sbr. einnig 6. gr. frumvarpsins og 1. mgr. 195. gr. og 1. mgr. 214. gr. laga um meðferð sakamála. Af breytingunni leiðir að Hæstiréttur getur ákveðið hvort kæra verði tekin til meðferðar </w:t>
      </w:r>
      <w:r>
        <w:rPr>
          <w:color w:val="242424"/>
          <w:shd w:val="clear" w:color="auto" w:fill="FFFFFF"/>
        </w:rPr>
        <w:t xml:space="preserve"> </w:t>
      </w:r>
      <w:r w:rsidRPr="00D55842">
        <w:t>og eft</w:t>
      </w:r>
      <w:r>
        <w:t>ir atvikum lagt dóm á kæruefnið þegar greinargerð varnaraðila hefur borist jafnvel þótt hann hafi ekki nýtt allan þann frest sem hann fékk til að skila greinargerð. Breytingin er þannig til þess fallin að stytta málsmeðferðartíma í kærumálum þegar varnaraðili nýtir ekki frest sinn að fullu.</w:t>
      </w:r>
    </w:p>
    <w:p w14:paraId="7932B9F1" w14:textId="77777777" w:rsidR="001264B7" w:rsidRDefault="001264B7" w:rsidP="001264B7">
      <w:pPr>
        <w:ind w:firstLine="0"/>
        <w:jc w:val="center"/>
        <w:rPr>
          <w:sz w:val="24"/>
          <w:szCs w:val="24"/>
        </w:rPr>
      </w:pPr>
    </w:p>
    <w:p w14:paraId="2A145959" w14:textId="77777777" w:rsidR="001264B7" w:rsidRDefault="001264B7" w:rsidP="0028362D">
      <w:pPr>
        <w:pStyle w:val="Greinarnmer"/>
      </w:pPr>
      <w:r>
        <w:t>Um 14. gr.</w:t>
      </w:r>
    </w:p>
    <w:p w14:paraId="69B47C7A" w14:textId="55643451" w:rsidR="001264B7" w:rsidRDefault="001264B7" w:rsidP="0028362D">
      <w:r>
        <w:t>Með a</w:t>
      </w:r>
      <w:r w:rsidR="0028362D">
        <w:t>-</w:t>
      </w:r>
      <w:r>
        <w:t>lið ákvæðisins er ætlunin að lögfesta þá framkvæmd sem Hæstiréttur hefur þegar tekið upp við afgreiðslu beiðna um leyfi til áfrýjunar, að í tilkynningu til málsaðila um synjun á beiðni komi fram ástæður fyrir synjuninni. Eftir sem áður þykir ekki þörf á að Hæstiréttur rökstyðji sérstaklega þegar hann samþykkir að veita leyfi til áfrýjunar.</w:t>
      </w:r>
    </w:p>
    <w:p w14:paraId="4C1849A8" w14:textId="7700853B" w:rsidR="001264B7" w:rsidRDefault="001264B7" w:rsidP="0028362D">
      <w:r>
        <w:t>Sú breyting sem lögð er til í b</w:t>
      </w:r>
      <w:r w:rsidR="0028362D">
        <w:t xml:space="preserve">- </w:t>
      </w:r>
      <w:r>
        <w:t>og c</w:t>
      </w:r>
      <w:r w:rsidR="0028362D">
        <w:t>-</w:t>
      </w:r>
      <w:r>
        <w:t xml:space="preserve">liðum ákvæðisins er ætlað að einfalda tilkynningar um lyktir máls í Hæstarétti til héraðsdómara, Landsréttar og málsaðila. Einfaldara, fljótlegra og handhægara þykir að Hæstiréttur sjái sjálfur um tilkynningar til héraðsdómara og málsaðila. Hins vegar þykir ástæðulaust að Hæstiréttur sendi héraðsdómara og þeim sem hafa látið málið </w:t>
      </w:r>
      <w:r>
        <w:lastRenderedPageBreak/>
        <w:t>til sín taka fyrir réttindum endurrit af dóminum enda eru dómar réttarins jafnharðan birtir á heimasíðu réttarins.</w:t>
      </w:r>
    </w:p>
    <w:p w14:paraId="5ACE9D1A" w14:textId="77777777" w:rsidR="001264B7" w:rsidRDefault="001264B7" w:rsidP="001264B7">
      <w:pPr>
        <w:rPr>
          <w:sz w:val="24"/>
          <w:szCs w:val="24"/>
        </w:rPr>
      </w:pPr>
    </w:p>
    <w:p w14:paraId="436DDDF0" w14:textId="77777777" w:rsidR="001264B7" w:rsidRDefault="001264B7" w:rsidP="0028362D">
      <w:pPr>
        <w:pStyle w:val="Greinarnmer"/>
      </w:pPr>
      <w:r>
        <w:t>Um 15. gr.</w:t>
      </w:r>
    </w:p>
    <w:p w14:paraId="68E824D0" w14:textId="77777777" w:rsidR="001264B7" w:rsidRDefault="001264B7" w:rsidP="0028362D">
      <w:r>
        <w:t xml:space="preserve">Lögð er til sú breyting á 1. mgr. 176. gr. að tekið verði fram í lagatextanum að Hæstirétti verði heimilt að takmarka leyfi til áfrýjunar við tiltekin atriði máls. Þó rétturinn hafi talið sér heimilt að takmarka leyfi með þessu móti er rétt að taka þetta beinlínis fram. Þetta samræmist vel því hlutverki Hæstaréttar að vera fordæmisgefandi dómstóll. Samkvæmt þessu getur Hæstiréttur tekið til endurskoðunar þá þætti máls sem falla að þeim skilyrðum sem sett eru fyrir veitingu leyfis til áfrýjunar í 1. mgr. 176. gr. og stendur þá niðurstaða Landsréttar um önnur atriði máls óhögguð. Breytingin er í samræmi við ákvæði 2. mgr. greinar 30-4 í norsku einkamálalögunum sem heimilar Hæstarétti Noregs að takmarka samþykki fyrir málskoti til réttarins við einstaka kröfur og einstakar ástæður fyrir málskoti. </w:t>
      </w:r>
    </w:p>
    <w:p w14:paraId="2CD93D98" w14:textId="77777777" w:rsidR="001264B7" w:rsidRDefault="001264B7" w:rsidP="001264B7">
      <w:pPr>
        <w:rPr>
          <w:sz w:val="24"/>
          <w:szCs w:val="24"/>
        </w:rPr>
      </w:pPr>
    </w:p>
    <w:p w14:paraId="251CB7A1" w14:textId="77777777" w:rsidR="001264B7" w:rsidRDefault="001264B7" w:rsidP="0028362D">
      <w:pPr>
        <w:pStyle w:val="Greinarnmer"/>
      </w:pPr>
      <w:r>
        <w:t>Um 16. gr.</w:t>
      </w:r>
    </w:p>
    <w:p w14:paraId="59BD52EF" w14:textId="77777777" w:rsidR="001264B7" w:rsidRDefault="001264B7" w:rsidP="0028362D">
      <w:r>
        <w:t xml:space="preserve">Lögð er til sambærileg breyting á 2. mgr. 8. gr. laga um meðferð sakamála og lagt er til í 1. gr. að verði gerð á 2. mgr. 7. gr. einkamálalaga. Vísað er til athugasemda við þá grein. </w:t>
      </w:r>
    </w:p>
    <w:p w14:paraId="4F23848C" w14:textId="77777777" w:rsidR="001264B7" w:rsidRDefault="001264B7" w:rsidP="001264B7">
      <w:pPr>
        <w:ind w:firstLine="0"/>
        <w:jc w:val="center"/>
        <w:rPr>
          <w:sz w:val="24"/>
          <w:szCs w:val="24"/>
        </w:rPr>
      </w:pPr>
    </w:p>
    <w:p w14:paraId="20A0D404" w14:textId="77777777" w:rsidR="001264B7" w:rsidRDefault="001264B7" w:rsidP="0028362D">
      <w:pPr>
        <w:pStyle w:val="Greinarnmer"/>
      </w:pPr>
      <w:r>
        <w:t>Um 17. gr.</w:t>
      </w:r>
    </w:p>
    <w:p w14:paraId="54F2592C" w14:textId="06A0DBF9" w:rsidR="001264B7" w:rsidRDefault="001264B7" w:rsidP="0028362D">
      <w:r>
        <w:t xml:space="preserve">Lögð er til sambærileg breyting á 1. mgr. 11. gr. laga um meðferð sakamála og lagt er til í 2. gr. að verði gerð á 1. mgr. 9. gr. einkamálalaga. Vísað er til athugasemda við þá grein. </w:t>
      </w:r>
    </w:p>
    <w:p w14:paraId="642398A0" w14:textId="77777777" w:rsidR="0028362D" w:rsidRDefault="0028362D" w:rsidP="0028362D"/>
    <w:p w14:paraId="7053BDE8" w14:textId="77777777" w:rsidR="001264B7" w:rsidRDefault="001264B7" w:rsidP="00F67AC7">
      <w:pPr>
        <w:pStyle w:val="Greinarnmer"/>
      </w:pPr>
      <w:r>
        <w:t>Um 18. gr.</w:t>
      </w:r>
    </w:p>
    <w:p w14:paraId="57A94DB6" w14:textId="77777777" w:rsidR="001264B7" w:rsidRDefault="001264B7" w:rsidP="00F67AC7">
      <w:r>
        <w:t xml:space="preserve">Lögð er til sambærileg breyting á 2. málsl. 1. mgr. 13. gr. laga um meðferð sakamála og lagt er til í 3. gr. að verði gerð á 1. mgr. 11. gr. laga um meðferð einkamála. Vísað er til athugasemda við þá grein. </w:t>
      </w:r>
    </w:p>
    <w:p w14:paraId="151736A1" w14:textId="77777777" w:rsidR="001264B7" w:rsidRDefault="001264B7" w:rsidP="001264B7">
      <w:pPr>
        <w:rPr>
          <w:sz w:val="24"/>
          <w:szCs w:val="24"/>
        </w:rPr>
      </w:pPr>
    </w:p>
    <w:p w14:paraId="36978D77" w14:textId="77777777" w:rsidR="001264B7" w:rsidRDefault="001264B7" w:rsidP="00F67AC7">
      <w:pPr>
        <w:pStyle w:val="Greinarnmer"/>
      </w:pPr>
      <w:r>
        <w:t>Um 19. gr.</w:t>
      </w:r>
    </w:p>
    <w:p w14:paraId="6F1AD2F0" w14:textId="5543A49F" w:rsidR="001264B7" w:rsidRDefault="001264B7" w:rsidP="00F67AC7">
      <w:r>
        <w:t>Lögð er til sambærileg breyting á 16. gr. laga um meðferð sakamála og lagt er til í b-, c- og d-liðum 4. gr. að verði gerð á 1</w:t>
      </w:r>
      <w:r w:rsidR="00DD5287">
        <w:t>4</w:t>
      </w:r>
      <w:r>
        <w:t xml:space="preserve">. gr. laga um meðferð einkamála. Vísað er til athugasemda við þá grein. </w:t>
      </w:r>
    </w:p>
    <w:p w14:paraId="731B30AE" w14:textId="77777777" w:rsidR="001264B7" w:rsidRDefault="001264B7" w:rsidP="001264B7">
      <w:pPr>
        <w:rPr>
          <w:sz w:val="24"/>
          <w:szCs w:val="24"/>
        </w:rPr>
      </w:pPr>
    </w:p>
    <w:p w14:paraId="752767D6" w14:textId="77777777" w:rsidR="001264B7" w:rsidRDefault="001264B7" w:rsidP="00F67AC7">
      <w:pPr>
        <w:pStyle w:val="Greinarnmer"/>
      </w:pPr>
      <w:r>
        <w:t>Um 20. gr.</w:t>
      </w:r>
    </w:p>
    <w:p w14:paraId="03C77ADA" w14:textId="77777777" w:rsidR="001264B7" w:rsidRDefault="001264B7" w:rsidP="00F67AC7">
      <w:r>
        <w:t>Breytingu á 2. málsl. 4. gr. 21. gr. laganna er ætlað að taka af tvímæli um það hlutverk ríkissaksóknara að taka ákvörðun um kæru til Hæstaréttar en það fyrirkomulag leiðir af því hlutverki ríkissaksóknara að taka ákvörðun um áfrýjun héraðsdóms til Landsréttar, sbr. 1. málsl. 4. mgr. 21. gr. laganna og því fyrirkomulagi sem mælt er fyrir um í 4. mgr. 25. gr. laganna að ríkissaksóknari sæki mál fyrir Landsrétti og Hæstarétti. Ekki er hins vegar haggað við því fyrirkomulagi að ríkissaksóknari taki ákvörðun um kæru til Landsréttar í þeim málum sem hann hefur höfðað. Sama regla gilti fyrir gildistöku laga nr. 49/2016 um ákvörðun um kæru á úrskurðum héraðsdóms til Hæstaréttar.</w:t>
      </w:r>
    </w:p>
    <w:p w14:paraId="16C0A549" w14:textId="77777777" w:rsidR="001264B7" w:rsidRDefault="001264B7" w:rsidP="001264B7">
      <w:pPr>
        <w:rPr>
          <w:sz w:val="24"/>
          <w:szCs w:val="24"/>
        </w:rPr>
      </w:pPr>
    </w:p>
    <w:p w14:paraId="77919BD0" w14:textId="77777777" w:rsidR="001264B7" w:rsidRDefault="001264B7" w:rsidP="00F67AC7">
      <w:pPr>
        <w:pStyle w:val="Greinarnmer"/>
      </w:pPr>
      <w:r>
        <w:t>Um 21. gr.</w:t>
      </w:r>
    </w:p>
    <w:p w14:paraId="2813608B" w14:textId="0D0B0121" w:rsidR="001264B7" w:rsidRDefault="001264B7" w:rsidP="00441C17">
      <w:r>
        <w:t xml:space="preserve">Að tillögu ríkissaksóknara er lögð til breyting á </w:t>
      </w:r>
      <w:r w:rsidR="00766A41">
        <w:t xml:space="preserve">3. mgr. 23. gr. laganna í því skyni að </w:t>
      </w:r>
      <w:r w:rsidR="00273655">
        <w:t>eyða öllum</w:t>
      </w:r>
      <w:r w:rsidR="00045FD3">
        <w:t xml:space="preserve"> vafa um, að þegar héraðssaksóknari rannsakar brot sem </w:t>
      </w:r>
      <w:r w:rsidR="00273655">
        <w:t>falla undir ákæruvald hans</w:t>
      </w:r>
      <w:r w:rsidR="00045FD3">
        <w:t xml:space="preserve">, geti hann jafnframt ákært fyrir önnur tengd brot sem í ljós koma við rannsókn, þótt hann fari alla </w:t>
      </w:r>
      <w:r w:rsidR="00045FD3">
        <w:lastRenderedPageBreak/>
        <w:t>jafna ekki með ákæruvald í þeim</w:t>
      </w:r>
      <w:r w:rsidR="00273655">
        <w:t xml:space="preserve"> brotaflokki</w:t>
      </w:r>
      <w:r w:rsidR="00045FD3">
        <w:t>. Ef héraðssaksóknari kýs að höfða ekki mál vegna slíks fylgibrots getur lögreglustjóri í viðkomandi umdæmi höfðað mál vegna þess. Þessi breyting er raunar í samræmi við skýringar við 2. gr. laga nr. 47/2015 sem færðu ákvæðið í núverandi mynd, en orðalag þess er þrengra en þær skýringar gefa til kynna að hafi staðið</w:t>
      </w:r>
      <w:r w:rsidR="00273655">
        <w:t xml:space="preserve"> til</w:t>
      </w:r>
      <w:r w:rsidR="00045FD3">
        <w:t xml:space="preserve">. </w:t>
      </w:r>
    </w:p>
    <w:p w14:paraId="0A6B7038" w14:textId="77777777" w:rsidR="001264B7" w:rsidRDefault="001264B7" w:rsidP="001264B7">
      <w:pPr>
        <w:rPr>
          <w:sz w:val="24"/>
          <w:szCs w:val="24"/>
        </w:rPr>
      </w:pPr>
    </w:p>
    <w:p w14:paraId="56BCBEE7" w14:textId="77777777" w:rsidR="001264B7" w:rsidRDefault="001264B7" w:rsidP="00F67AC7">
      <w:pPr>
        <w:pStyle w:val="Greinarnmer"/>
      </w:pPr>
      <w:r>
        <w:t>Um 22. gr.</w:t>
      </w:r>
    </w:p>
    <w:p w14:paraId="21F4845A" w14:textId="77777777" w:rsidR="001264B7" w:rsidRDefault="001264B7" w:rsidP="00F67AC7">
      <w:r>
        <w:t>Tilefni þeirra breytinga sem lagðar eru til á 1. og 3. mgr. 97. gr. eru vandkvæði sem upp hafa komið í tilvikum þar sem ákærði situr í gæsluvarðhaldi þegar dómur er kveðinn upp í héraði eða Landsrétti þess efnis að dómfelldi skuli sæta óskilorðsbundinni fangelsisvist. Ákvæðinu er ætlað að koma í veg fyrir að sú staða skapist eftir uppkvaðningu fangelsisdóma vegna alvarlegra brota, sem geta sætt áfrýjun, að óvissa verði um heimild fyrir áframhaldandi gæsluvarðhaldi dómfellda.</w:t>
      </w:r>
    </w:p>
    <w:p w14:paraId="3C8641C5" w14:textId="411C199C" w:rsidR="001264B7" w:rsidRDefault="001264B7" w:rsidP="00F67AC7">
      <w:r>
        <w:t xml:space="preserve">Í 3. mgr. 97. gr. laganna er kveðið á um að gæsluvarðhaldi ljúki þegar héraðsdómur hefur verið kveðinn upp í málinu. Héraðsdómari getur þó eftir kröfu ákæranda  úrskurðað að gæsluvarðhald </w:t>
      </w:r>
      <w:r w:rsidRPr="00AD400C">
        <w:t>skuli haldast meðan á áfrýjunarfresti skv. 199. gr. stendur, svo og meðan mál er til meðferðar fyrir æðri dómi uns endanlegur dómur er upp kveðinn</w:t>
      </w:r>
      <w:r>
        <w:t xml:space="preserve">. Í 1. mgr. 97. gr. laganna, sem fjallar um hámarkslengd þess gæsluvarðhalds sem heimilt er að úrskurða mann í hverju sinni, er meðal annars vísað til 3. mgr. greinarinnar.  Ekki er hins vegar kveðið á um í lögunum hvort sama eigi við þegar dómur Landsréttar er kveðinn upp.  Lagt er til að í stað tilvísunar í 1. mgr. 97. gr. til 3. mgr. 97. gr. verði sú sérstaka heimild til að marka gæsluvaldi lengri tíma en fjórar vikur í senn sem fram kemur í ákvæðinu færð yfir í 1. mgr. </w:t>
      </w:r>
      <w:r w:rsidR="00293CC6">
        <w:t xml:space="preserve">Jafnframt verði </w:t>
      </w:r>
      <w:r>
        <w:t>aukið við hana með þeim hætti að heimildin taki einnig til þess að kveða á um gæsluvarðhald meðan standi á fresti til að leita leyfis Hæstaréttar til að áfrýja dómi Landsréttar skv. 217. gr. laganna.</w:t>
      </w:r>
    </w:p>
    <w:p w14:paraId="0595EA94" w14:textId="77777777" w:rsidR="001264B7" w:rsidRDefault="001264B7" w:rsidP="00F67AC7">
      <w:r>
        <w:t xml:space="preserve">Þá er jafnframt lagt til að 3. mgr. 97. gr. verði breytt þannig að ekki verði kveðið á um það að gæsluvarðhaldi ljúki fortakslaust þegar héraðsdómur hefur verið kveðinn upp í máli. Í stað þess verði kveðið á um að gæsluvarðhaldi ljúki með endanlegum dómi eða ef ákærði er sýknaður eða dæmd refsing er vægari en óskilorðsbundið fangelsi. Með endanlegum dómi er ekki aðeins átt við dóm Hæstaréttar heldur einnig héraðsdóm ef dómfelldi lýsir því yfir að hann uni dómi eða áfrýjunarfrestur rennur út eða dóm Landsréttar ef dómfelldi lýsir því yfir að hann uni dómi eða frestur til að óska eftir áfrýjunarleyfi til Hæstaréttar rennur út. Breytingarnar á 97. gr. munu hafa það í för með sér að ef ákærði situr í gæsluvarðhaldi þegar héraðsdómur eða dómur Landsréttar um óskilorðsbundna fangelsisrefsingu ákærða er kveðinn upp og gæsluvarðhaldinu hefur verið markaður tími fram yfir dómsuppsögudag þá lýkur gæsluvarðhaldinu ekki sjálfkrafa við dómsuppsöguna nema dómfelldi lýsi því yfir að hann uni dómi. Uni dómfelldi óskilorðsbundnum fangelsisdómi er mögulegt að honum verði gert að hefja afplánun dómsins þegar í stað.  Standi svo á að ákærði er dæmdur til óskilorðsbundinnar fangelsisvistar og hann lýsir ekki yfir að hann uni dómi verður ekki þörf á að færa hann þegar í stað fyrir héraðsdómara og krefjast áframhaldandi gæsluvarðhalds. Þess skal þó getið að gert er ráð fyrir að gæsluvarðhald falli niður ef ákærði hefur verið sýknaður eða dæmd refsing er vægari en óskilorðsbundið fangelsi. </w:t>
      </w:r>
    </w:p>
    <w:p w14:paraId="6354D23B" w14:textId="04D593E0" w:rsidR="001264B7" w:rsidRDefault="001264B7" w:rsidP="00F67AC7">
      <w:r>
        <w:t xml:space="preserve">Það skal áréttað ef ákærði sætir gæsluvarðhaldi eftir að dómur hefur fallið án þess að til áfrýjunar komi ber í samræmi við niðurstöðu þess dóms að draga gæsluvarðhaldið </w:t>
      </w:r>
      <w:r w:rsidR="005B2BAA">
        <w:t xml:space="preserve">frá </w:t>
      </w:r>
      <w:r>
        <w:t xml:space="preserve">eftir að dómurinn gekk í samræmi við 76. gr. almennra hegningarlaga, nr. 19/1940.  </w:t>
      </w:r>
    </w:p>
    <w:p w14:paraId="4812108D" w14:textId="77777777" w:rsidR="001264B7" w:rsidRDefault="001264B7" w:rsidP="001264B7">
      <w:pPr>
        <w:ind w:firstLine="0"/>
        <w:jc w:val="center"/>
        <w:rPr>
          <w:sz w:val="24"/>
          <w:szCs w:val="24"/>
        </w:rPr>
      </w:pPr>
    </w:p>
    <w:p w14:paraId="7811D95F" w14:textId="77777777" w:rsidR="001264B7" w:rsidRDefault="001264B7" w:rsidP="00F67AC7">
      <w:pPr>
        <w:pStyle w:val="Greinarnmer"/>
      </w:pPr>
      <w:r>
        <w:t>Um 23. gr.</w:t>
      </w:r>
    </w:p>
    <w:p w14:paraId="5FCCFDC8" w14:textId="790912FA" w:rsidR="001264B7" w:rsidRDefault="00293CC6" w:rsidP="00293CC6">
      <w:r>
        <w:lastRenderedPageBreak/>
        <w:t xml:space="preserve">Með ákvæðinu er felld út skylda vitna í sakamálum að gefa upp heimili sitt og látið nægja að þau geri grein fyrir nafni og kennitölu. Þá er lagt til að lögreglumenn gefi einungis upp nafn og lögreglunúmer. Sú breyting er í </w:t>
      </w:r>
      <w:r w:rsidR="001264B7">
        <w:t xml:space="preserve">samræmi við þá framkvæmd sem tíðkast hefur hjá flestum dómurum og miðar að því að vernda lögreglumenn, sem oft þurfa að koma fyrir dóm starfa sinna vegna, fyrir mögulegu ónæði og jafnvel ógn við öryggi þeirra og fjölskyldna þeirra. </w:t>
      </w:r>
    </w:p>
    <w:p w14:paraId="5630CDA0" w14:textId="77777777" w:rsidR="001264B7" w:rsidRDefault="001264B7" w:rsidP="001264B7">
      <w:pPr>
        <w:ind w:firstLine="0"/>
        <w:jc w:val="center"/>
        <w:rPr>
          <w:sz w:val="24"/>
          <w:szCs w:val="24"/>
        </w:rPr>
      </w:pPr>
    </w:p>
    <w:p w14:paraId="3D61E5E1" w14:textId="6D1B41DA" w:rsidR="002F2BF1" w:rsidRDefault="002F2BF1" w:rsidP="002F2BF1">
      <w:pPr>
        <w:pStyle w:val="Greinarnmer"/>
      </w:pPr>
      <w:r>
        <w:t>Um 24. gr.</w:t>
      </w:r>
    </w:p>
    <w:p w14:paraId="048B47BF" w14:textId="14796CC7" w:rsidR="00045FD3" w:rsidRPr="00045FD3" w:rsidRDefault="00045FD3" w:rsidP="00045FD3">
      <w:r>
        <w:t xml:space="preserve">Með þessu ákvæði er lögð til einföld breyting á meðferð kærumála í sakamálum fyrir Landsrétti sem felur í sér skref í átt að rafrænni málsmeðferð. Þannig er lagt til að í stað þess að kveða á um það í 1. mgr. 194. gr. sml. að héraðsdómur sendi gögn kærumáls til Landsréttar í fjórum eintökum, þá verði kveðið um að héraðsdómur sendi gögnin á því formi eða </w:t>
      </w:r>
      <w:r w:rsidR="002671F2">
        <w:t xml:space="preserve">í þeim </w:t>
      </w:r>
      <w:r>
        <w:t xml:space="preserve">fjölda eintaka sem Landsréttur ákveður. </w:t>
      </w:r>
      <w:r w:rsidR="005B7677">
        <w:t>Með því að gera</w:t>
      </w:r>
      <w:r>
        <w:t xml:space="preserve"> ákvæðið hlutlaust gagnvart sendingarmáta </w:t>
      </w:r>
      <w:r w:rsidR="005B7677">
        <w:t xml:space="preserve">á þennan hátt þá getur Landsréttur ákveðið að héraðsdómur sendi gögn kærumáls rafrænt </w:t>
      </w:r>
      <w:r w:rsidR="002671F2">
        <w:t>að því gefnu að</w:t>
      </w:r>
      <w:r w:rsidR="005B7677">
        <w:t xml:space="preserve"> öryggi gagnasendinganna</w:t>
      </w:r>
      <w:r w:rsidR="002671F2">
        <w:t xml:space="preserve"> sé tryggt</w:t>
      </w:r>
      <w:r w:rsidR="005B7677">
        <w:t xml:space="preserve">. </w:t>
      </w:r>
      <w:r>
        <w:t xml:space="preserve"> </w:t>
      </w:r>
    </w:p>
    <w:p w14:paraId="3AC503A7" w14:textId="77777777" w:rsidR="00045FD3" w:rsidRPr="00045FD3" w:rsidRDefault="00045FD3" w:rsidP="00045FD3"/>
    <w:p w14:paraId="294D6983" w14:textId="6B99BD27" w:rsidR="001264B7" w:rsidRDefault="001264B7" w:rsidP="00F67AC7">
      <w:pPr>
        <w:pStyle w:val="Greinarnmer"/>
      </w:pPr>
      <w:r>
        <w:t>Um 2</w:t>
      </w:r>
      <w:r w:rsidR="002F2BF1">
        <w:t>5</w:t>
      </w:r>
      <w:r>
        <w:t>. gr.</w:t>
      </w:r>
    </w:p>
    <w:p w14:paraId="19D5A022" w14:textId="77777777" w:rsidR="001264B7" w:rsidRDefault="001264B7" w:rsidP="00F67AC7">
      <w:r>
        <w:t xml:space="preserve">Sú breyting sem lögð er til á 2. mgr. 202 gr. laganna er af sama toga og lagt er til í 8. gr. að verði gerðar á 1. mgr. 156. gr. laga um meðferð einkamála og vísast til athugasemda við 8. gr. um tilefni breytinganna.  </w:t>
      </w:r>
    </w:p>
    <w:p w14:paraId="336CEE27" w14:textId="4B8C0FA4" w:rsidR="001264B7" w:rsidRDefault="001264B7" w:rsidP="00F67AC7">
      <w:r>
        <w:t>Nánar tiltekið er í a</w:t>
      </w:r>
      <w:r w:rsidR="00F67AC7">
        <w:t>-</w:t>
      </w:r>
      <w:r>
        <w:t xml:space="preserve">lið lagt til að myndupptökur af framburði í héraði teljist ekki til málsgagna í sakamálum heldur aðeins hljóðupptökur. Þegar framburður er tekin upp í hljóði og mynd telst hljóðupptakan hluti af málsgögnum. </w:t>
      </w:r>
    </w:p>
    <w:p w14:paraId="74F911AD" w14:textId="6685660D" w:rsidR="001264B7" w:rsidRDefault="001264B7" w:rsidP="00F67AC7">
      <w:r>
        <w:t>Rétt þykir að kveða sérstaklega á um í 2. mgr. 202. gr. að ríkissaksóknari skuli afhenda verjanda málsgögn, sbr. b</w:t>
      </w:r>
      <w:r w:rsidR="004945CC">
        <w:t>-</w:t>
      </w:r>
      <w:r>
        <w:t xml:space="preserve">lið greinarinnar. </w:t>
      </w:r>
    </w:p>
    <w:p w14:paraId="12280CF1" w14:textId="519D9F87" w:rsidR="001264B7" w:rsidRDefault="001264B7" w:rsidP="00F67AC7">
      <w:r>
        <w:t>Í c</w:t>
      </w:r>
      <w:r w:rsidR="00F67AC7">
        <w:t>-</w:t>
      </w:r>
      <w:r>
        <w:t>lið er lögð til sams konar breyting og á 1. mgr. 156. gr. laga um meðferð einkamála, sbr. b</w:t>
      </w:r>
      <w:r w:rsidR="00F67AC7">
        <w:t>-</w:t>
      </w:r>
      <w:r>
        <w:t xml:space="preserve">lið </w:t>
      </w:r>
      <w:r w:rsidR="00144629">
        <w:t>8</w:t>
      </w:r>
      <w:r>
        <w:t xml:space="preserve">. gr. frumvarpsins en hún felur í sér að lögð er á héraðsdómstól sú skylda að afhenda Landsrétti hljóð- og myndupptökur af munnlegum framburði í héraði í málinu, enda lagt til að myndupptökurnar verði samkvæmt framansögðu ekki hluti af málsgögnum sem ríkissaksóknara ber að afhenda Landsrétti. </w:t>
      </w:r>
    </w:p>
    <w:p w14:paraId="25852D07" w14:textId="77777777" w:rsidR="001264B7" w:rsidRDefault="001264B7" w:rsidP="001264B7">
      <w:pPr>
        <w:rPr>
          <w:sz w:val="24"/>
          <w:szCs w:val="24"/>
        </w:rPr>
      </w:pPr>
    </w:p>
    <w:p w14:paraId="011D3738" w14:textId="1A7127F7" w:rsidR="001264B7" w:rsidRDefault="001264B7" w:rsidP="00F67AC7">
      <w:pPr>
        <w:pStyle w:val="Greinarnmer"/>
      </w:pPr>
      <w:r>
        <w:t>Um 2</w:t>
      </w:r>
      <w:r w:rsidR="002F2BF1">
        <w:t>6</w:t>
      </w:r>
      <w:r>
        <w:t>. gr.</w:t>
      </w:r>
    </w:p>
    <w:p w14:paraId="58DC125E" w14:textId="77777777" w:rsidR="001264B7" w:rsidRDefault="001264B7" w:rsidP="00F67AC7">
      <w:r>
        <w:t xml:space="preserve"> Lögð er til sambærileg breyting á 1. mgr. 211. gr. laganna og lagt er til í 9. gr. að verði gerð á 1. mgr. 167. gr. laga um meðferð einkamála en tilefnið er að öllu leyti það sama. Vísað er til athugasemda við þá grein. </w:t>
      </w:r>
    </w:p>
    <w:p w14:paraId="0DB994BE" w14:textId="77777777" w:rsidR="001264B7" w:rsidRDefault="001264B7" w:rsidP="001264B7">
      <w:pPr>
        <w:rPr>
          <w:sz w:val="24"/>
          <w:szCs w:val="24"/>
        </w:rPr>
      </w:pPr>
    </w:p>
    <w:p w14:paraId="238BEDE1" w14:textId="1F9EBF42" w:rsidR="001264B7" w:rsidRDefault="001264B7" w:rsidP="00F67AC7">
      <w:pPr>
        <w:pStyle w:val="Greinarnmer"/>
      </w:pPr>
      <w:r>
        <w:t>Um 2</w:t>
      </w:r>
      <w:r w:rsidR="002F2BF1">
        <w:t>7</w:t>
      </w:r>
      <w:r>
        <w:t xml:space="preserve">. gr. </w:t>
      </w:r>
    </w:p>
    <w:p w14:paraId="4A3194B3" w14:textId="77777777" w:rsidR="001264B7" w:rsidRDefault="001264B7" w:rsidP="00F67AC7">
      <w:r>
        <w:t xml:space="preserve">Um er að ræða einfalda leiðréttingu á tilvísun til lagaákvæðis en í 3. mgr. 212. gr. er nú ranglega vísað til ákvæðis 200. gr. laganna um meðferð á beiðni til Landsréttar um áfrýjunarleyfi en réttara er að vísa til ákvæðis 216. gr. um meðferð á beiðni til Hæstaréttar um áfrýjunarleyfi. </w:t>
      </w:r>
    </w:p>
    <w:p w14:paraId="6B226733" w14:textId="77777777" w:rsidR="001264B7" w:rsidRDefault="001264B7" w:rsidP="001264B7">
      <w:pPr>
        <w:rPr>
          <w:sz w:val="24"/>
          <w:szCs w:val="24"/>
        </w:rPr>
      </w:pPr>
    </w:p>
    <w:p w14:paraId="21DDF701" w14:textId="7E1B0A6D" w:rsidR="001264B7" w:rsidRDefault="001264B7" w:rsidP="00F67AC7">
      <w:pPr>
        <w:pStyle w:val="Greinarnmer"/>
      </w:pPr>
      <w:r>
        <w:t>Um 2</w:t>
      </w:r>
      <w:r w:rsidR="002F2BF1">
        <w:t>8</w:t>
      </w:r>
      <w:r>
        <w:t>. gr.</w:t>
      </w:r>
    </w:p>
    <w:p w14:paraId="5B59B55B" w14:textId="2F416AB3" w:rsidR="001264B7" w:rsidRDefault="001264B7" w:rsidP="00F67AC7">
      <w:r>
        <w:t>Lögð er til sambærileg breyting á 3. málsl. 1. mgr. 213. gr. laganna og lagt er til í c</w:t>
      </w:r>
      <w:r w:rsidR="00F67AC7">
        <w:t>-</w:t>
      </w:r>
      <w:r>
        <w:t xml:space="preserve">lið 12. gr. frumvarpsins að verði gerð á 2. mgr. 171. gr. laga um meðferð einkamála en tilefnið er að öllu leyti það sama. Vísað er til athugasemda við þá grein. </w:t>
      </w:r>
    </w:p>
    <w:p w14:paraId="1B8F55A7" w14:textId="77777777" w:rsidR="001264B7" w:rsidRDefault="001264B7" w:rsidP="001264B7">
      <w:pPr>
        <w:rPr>
          <w:sz w:val="24"/>
          <w:szCs w:val="24"/>
        </w:rPr>
      </w:pPr>
    </w:p>
    <w:p w14:paraId="64D5A93A" w14:textId="6B727488" w:rsidR="001264B7" w:rsidRDefault="001264B7" w:rsidP="00F67AC7">
      <w:pPr>
        <w:pStyle w:val="Greinarnmer"/>
      </w:pPr>
      <w:r>
        <w:lastRenderedPageBreak/>
        <w:t>Um 2</w:t>
      </w:r>
      <w:r w:rsidR="002F2BF1">
        <w:t>9</w:t>
      </w:r>
      <w:r>
        <w:t>. gr.</w:t>
      </w:r>
    </w:p>
    <w:p w14:paraId="73CA13CC" w14:textId="62731848" w:rsidR="001264B7" w:rsidRDefault="001264B7" w:rsidP="00F67AC7">
      <w:r>
        <w:t>Lögð er til sambærileg breyting á 3. mgr. 214. gr. laganna og lagt er til í b</w:t>
      </w:r>
      <w:r w:rsidR="00F67AC7">
        <w:t xml:space="preserve">- </w:t>
      </w:r>
      <w:r>
        <w:t>og c</w:t>
      </w:r>
      <w:r w:rsidR="00F67AC7">
        <w:t>-</w:t>
      </w:r>
      <w:r>
        <w:t xml:space="preserve">lið 14. gr. frumvarpsins að verði gerð á 4. mgr. 174. gr. laga um meðferð einkamála en tilefnið er að öllu leyti það sama. Vísað er til athugasemda við þá grein. </w:t>
      </w:r>
    </w:p>
    <w:p w14:paraId="2A66715F" w14:textId="77777777" w:rsidR="001264B7" w:rsidRDefault="001264B7" w:rsidP="001264B7">
      <w:pPr>
        <w:ind w:firstLine="0"/>
        <w:jc w:val="center"/>
        <w:rPr>
          <w:sz w:val="24"/>
          <w:szCs w:val="24"/>
        </w:rPr>
      </w:pPr>
    </w:p>
    <w:p w14:paraId="37181185" w14:textId="6356CA74" w:rsidR="001264B7" w:rsidRDefault="001264B7" w:rsidP="00F67AC7">
      <w:pPr>
        <w:pStyle w:val="Greinarnmer"/>
      </w:pPr>
      <w:r>
        <w:t xml:space="preserve">Um </w:t>
      </w:r>
      <w:r w:rsidR="002F2BF1">
        <w:t>30</w:t>
      </w:r>
      <w:r>
        <w:t>. gr.</w:t>
      </w:r>
    </w:p>
    <w:p w14:paraId="3164E426" w14:textId="77777777" w:rsidR="001264B7" w:rsidRDefault="001264B7" w:rsidP="00F67AC7">
      <w:r>
        <w:t xml:space="preserve">Lögð er til sambærileg efnisbreyting á 1. málsl. 4. mgr. 215. gr. laganna og lagt er til í 15. gr. frumvarpsins að verði gerð á 1. mgr. 176. gr. laga um meðferð einkamála en tilefnið er að öllu leyti það sama. Vísað er til athugasemda við þá grein. </w:t>
      </w:r>
    </w:p>
    <w:p w14:paraId="06914E90" w14:textId="77777777" w:rsidR="001264B7" w:rsidRDefault="001264B7" w:rsidP="001264B7">
      <w:pPr>
        <w:rPr>
          <w:sz w:val="24"/>
          <w:szCs w:val="24"/>
        </w:rPr>
      </w:pPr>
    </w:p>
    <w:p w14:paraId="0F7FAC1A" w14:textId="493BB3F8" w:rsidR="001264B7" w:rsidRDefault="001264B7" w:rsidP="00F67AC7">
      <w:pPr>
        <w:pStyle w:val="Greinarnmer"/>
      </w:pPr>
      <w:r>
        <w:t>Um 3</w:t>
      </w:r>
      <w:r w:rsidR="002F2BF1">
        <w:t>1</w:t>
      </w:r>
      <w:r>
        <w:t>. gr.</w:t>
      </w:r>
    </w:p>
    <w:p w14:paraId="2FFA275B" w14:textId="77777777" w:rsidR="001264B7" w:rsidRDefault="001264B7" w:rsidP="00F67AC7">
      <w:r w:rsidRPr="00933507">
        <w:t xml:space="preserve">Ákvæðið er nú samhljóða 197. gr. sem </w:t>
      </w:r>
      <w:r>
        <w:t>fjallar um</w:t>
      </w:r>
      <w:r w:rsidRPr="00933507">
        <w:t xml:space="preserve"> áfrýjun á dómum héraðsdóms til Landsréttar</w:t>
      </w:r>
      <w:r>
        <w:t>,</w:t>
      </w:r>
      <w:r w:rsidRPr="00933507">
        <w:t xml:space="preserve"> sem að meginstefnu gerist án þess að veita þurfi áfrýjunarleyfi. Til þess að áfrýja dómi Landsréttar til Hæstaréttar þarf í öllum tilvikum leyfi og því verður tengingin á milli ákvæða 215. gr. og 216. gr., sbr. 1. mgr. 198. gr., ekki sú hin sama og á milli 197. gr. og 1. mgr. 198. gr. Því er lagt til að tilvísun til 1. </w:t>
      </w:r>
      <w:r>
        <w:t>m</w:t>
      </w:r>
      <w:r w:rsidRPr="00933507">
        <w:t xml:space="preserve">gr. 198. </w:t>
      </w:r>
      <w:r>
        <w:t>g</w:t>
      </w:r>
      <w:r w:rsidRPr="00933507">
        <w:t xml:space="preserve">r. </w:t>
      </w:r>
      <w:r>
        <w:t xml:space="preserve">í </w:t>
      </w:r>
      <w:r w:rsidRPr="00933507">
        <w:t xml:space="preserve">1. </w:t>
      </w:r>
      <w:r>
        <w:t>o</w:t>
      </w:r>
      <w:r w:rsidRPr="00933507">
        <w:t xml:space="preserve">g 2. </w:t>
      </w:r>
      <w:r>
        <w:t>mgr</w:t>
      </w:r>
      <w:r w:rsidRPr="00933507">
        <w:t xml:space="preserve">. 216. </w:t>
      </w:r>
      <w:r>
        <w:t>g</w:t>
      </w:r>
      <w:r w:rsidRPr="00933507">
        <w:t>r.</w:t>
      </w:r>
      <w:r>
        <w:t xml:space="preserve"> laganna falli brott.</w:t>
      </w:r>
    </w:p>
    <w:p w14:paraId="2AC49398" w14:textId="77777777" w:rsidR="001264B7" w:rsidRDefault="001264B7" w:rsidP="001264B7">
      <w:pPr>
        <w:rPr>
          <w:sz w:val="24"/>
          <w:szCs w:val="24"/>
        </w:rPr>
      </w:pPr>
    </w:p>
    <w:p w14:paraId="525EF746" w14:textId="6C80A3D7" w:rsidR="001264B7" w:rsidRDefault="001264B7" w:rsidP="00F67AC7">
      <w:pPr>
        <w:pStyle w:val="Greinarnmer"/>
      </w:pPr>
      <w:r>
        <w:t>Um 3</w:t>
      </w:r>
      <w:r w:rsidR="002F2BF1">
        <w:t>2</w:t>
      </w:r>
      <w:r>
        <w:t>. gr.</w:t>
      </w:r>
    </w:p>
    <w:p w14:paraId="20411618" w14:textId="77777777" w:rsidR="001264B7" w:rsidRDefault="001264B7" w:rsidP="00F67AC7">
      <w:r>
        <w:t xml:space="preserve">Lagðar eru til orðalagsbreytingar á 217. gr. sem ætlað er að samræma orðalag og gera ákvæðið skýrara. </w:t>
      </w:r>
    </w:p>
    <w:p w14:paraId="7BF94C24" w14:textId="77777777" w:rsidR="001264B7" w:rsidRDefault="001264B7" w:rsidP="001264B7">
      <w:pPr>
        <w:rPr>
          <w:sz w:val="24"/>
          <w:szCs w:val="24"/>
        </w:rPr>
      </w:pPr>
    </w:p>
    <w:p w14:paraId="25EAEE7A" w14:textId="5E42DA8A" w:rsidR="001264B7" w:rsidRPr="00F67AC7" w:rsidRDefault="001264B7" w:rsidP="00F67AC7">
      <w:pPr>
        <w:pStyle w:val="Greinarnmer"/>
      </w:pPr>
      <w:r w:rsidRPr="00F67AC7">
        <w:t>Um 3</w:t>
      </w:r>
      <w:r w:rsidR="002F2BF1">
        <w:t>3</w:t>
      </w:r>
      <w:r w:rsidRPr="00F67AC7">
        <w:t>. gr.</w:t>
      </w:r>
    </w:p>
    <w:p w14:paraId="40CB794A" w14:textId="77777777" w:rsidR="001264B7" w:rsidRPr="00823AEE" w:rsidRDefault="001264B7" w:rsidP="00F67AC7">
      <w:r w:rsidRPr="00823AEE">
        <w:t>Sú breyting sem lögð er til á orðalagi 1. mgr. 218. gr. tekur mið af því að ekki er heimilt að áfrýja dómi héraðsdóms í sakamáli beint til Hæstaréttar og því fer betur á að í stað orðsins „héraðsdómi“ komi „dómi Landsréttar“.</w:t>
      </w:r>
    </w:p>
    <w:p w14:paraId="58F8E3D9" w14:textId="77777777" w:rsidR="001264B7" w:rsidRDefault="001264B7" w:rsidP="001264B7">
      <w:pPr>
        <w:rPr>
          <w:sz w:val="22"/>
          <w:szCs w:val="24"/>
        </w:rPr>
      </w:pPr>
    </w:p>
    <w:p w14:paraId="5F49DF1C" w14:textId="4B52167E" w:rsidR="001264B7" w:rsidRDefault="001264B7" w:rsidP="00F67AC7">
      <w:pPr>
        <w:pStyle w:val="Greinarnmer"/>
      </w:pPr>
      <w:r w:rsidRPr="00823AEE">
        <w:t>Um 3</w:t>
      </w:r>
      <w:r w:rsidR="002F2BF1">
        <w:t>4</w:t>
      </w:r>
      <w:r w:rsidRPr="00823AEE">
        <w:t>. gr.</w:t>
      </w:r>
    </w:p>
    <w:p w14:paraId="300128DD" w14:textId="77777777" w:rsidR="001264B7" w:rsidRDefault="001264B7" w:rsidP="00F67AC7">
      <w:r w:rsidRPr="00823AEE">
        <w:t>Sú breyting sem lögð er til á orðalagi 1. mgr. 21</w:t>
      </w:r>
      <w:r>
        <w:t>9</w:t>
      </w:r>
      <w:r w:rsidRPr="00823AEE">
        <w:t>. gr. tekur mið af því að ekki er heimilt að áfrýja dómi héraðsdóms í sakamáli beint til Hæstaréttar</w:t>
      </w:r>
      <w:r>
        <w:t>.</w:t>
      </w:r>
    </w:p>
    <w:p w14:paraId="37896B25" w14:textId="77777777" w:rsidR="001264B7" w:rsidRDefault="001264B7" w:rsidP="001264B7">
      <w:pPr>
        <w:rPr>
          <w:sz w:val="24"/>
          <w:szCs w:val="24"/>
        </w:rPr>
      </w:pPr>
    </w:p>
    <w:p w14:paraId="2DE04182" w14:textId="3926D976" w:rsidR="001264B7" w:rsidRDefault="001264B7" w:rsidP="00F67AC7">
      <w:pPr>
        <w:pStyle w:val="Greinarnmer"/>
      </w:pPr>
      <w:r>
        <w:t>Um 3</w:t>
      </w:r>
      <w:r w:rsidR="002F2BF1">
        <w:t>5</w:t>
      </w:r>
      <w:r>
        <w:t>. gr.</w:t>
      </w:r>
    </w:p>
    <w:p w14:paraId="0F3DF49E" w14:textId="77777777" w:rsidR="001264B7" w:rsidRDefault="001264B7" w:rsidP="00F67AC7">
      <w:pPr>
        <w:rPr>
          <w:shd w:val="clear" w:color="auto" w:fill="FFFFFF"/>
        </w:rPr>
      </w:pPr>
      <w:r>
        <w:rPr>
          <w:shd w:val="clear" w:color="auto" w:fill="FFFFFF"/>
        </w:rPr>
        <w:t xml:space="preserve">Um er að ræða nauðsynlega lagfæringu á orðalagi 3. mgr. 237. gr. þar sem Landsréttur kveður upp úrskurði en ekki dóma í kærumálum gagnstætt því sem Hæstiréttur gerði fyrir gildistöku laga nr. 49/2016. </w:t>
      </w:r>
    </w:p>
    <w:p w14:paraId="56DE0373" w14:textId="77777777" w:rsidR="001264B7" w:rsidRDefault="001264B7" w:rsidP="001264B7">
      <w:pPr>
        <w:rPr>
          <w:color w:val="242424"/>
          <w:sz w:val="24"/>
          <w:szCs w:val="24"/>
          <w:shd w:val="clear" w:color="auto" w:fill="FFFFFF"/>
        </w:rPr>
      </w:pPr>
    </w:p>
    <w:p w14:paraId="1E373982" w14:textId="095A580D" w:rsidR="001264B7" w:rsidRDefault="001264B7" w:rsidP="00F67AC7">
      <w:pPr>
        <w:pStyle w:val="Greinarnmer"/>
        <w:rPr>
          <w:shd w:val="clear" w:color="auto" w:fill="FFFFFF"/>
        </w:rPr>
      </w:pPr>
      <w:r>
        <w:rPr>
          <w:shd w:val="clear" w:color="auto" w:fill="FFFFFF"/>
        </w:rPr>
        <w:t>Um 3</w:t>
      </w:r>
      <w:r w:rsidR="002F2BF1">
        <w:rPr>
          <w:shd w:val="clear" w:color="auto" w:fill="FFFFFF"/>
        </w:rPr>
        <w:t>6</w:t>
      </w:r>
      <w:r>
        <w:rPr>
          <w:shd w:val="clear" w:color="auto" w:fill="FFFFFF"/>
        </w:rPr>
        <w:t xml:space="preserve">. gr. </w:t>
      </w:r>
    </w:p>
    <w:p w14:paraId="47A5E4D3" w14:textId="77777777" w:rsidR="001264B7" w:rsidRDefault="001264B7" w:rsidP="00F67AC7">
      <w:r>
        <w:t>Um er að ræða nauðsynlega viðbót við 238. gr. laganna en sú breyting sem lögð er til á greininni er í samræmi við 3. mgr. 237. gr. sem fjallar um kærumálskostnað í málum fyrir Landsrétti. Síðarnefnda ákvæðinu var beitt með lögjöfnun um kærumálskostnað fyrir Hæstarétti í dómi réttarins 30. maí 2018 í máli nr. 14/2018. Breytingin er í samræmi við niðurstöðu þess dóms.</w:t>
      </w:r>
    </w:p>
    <w:p w14:paraId="4248601F" w14:textId="77777777" w:rsidR="001264B7" w:rsidRDefault="001264B7" w:rsidP="001264B7">
      <w:pPr>
        <w:rPr>
          <w:sz w:val="24"/>
          <w:szCs w:val="24"/>
        </w:rPr>
      </w:pPr>
    </w:p>
    <w:p w14:paraId="25240129" w14:textId="6E0BC3A7" w:rsidR="001264B7" w:rsidRDefault="001264B7" w:rsidP="00F67AC7">
      <w:pPr>
        <w:pStyle w:val="Greinarnmer"/>
      </w:pPr>
      <w:r>
        <w:t>Um 3</w:t>
      </w:r>
      <w:r w:rsidR="002F2BF1">
        <w:t>7</w:t>
      </w:r>
      <w:r>
        <w:t>. gr.</w:t>
      </w:r>
    </w:p>
    <w:p w14:paraId="714D3F42" w14:textId="77777777" w:rsidR="001264B7" w:rsidRDefault="001264B7" w:rsidP="00F67AC7">
      <w:r>
        <w:t xml:space="preserve">Breytingunni á 1. tölul. 3. mgr. 1. gr. laga um aukatekjur ríkissjóðs er ætlað að taka af tvímæli um að gjald sé tekið fyrir kæru til Hæstaréttar þegar um beina kæruheimild er að ræða </w:t>
      </w:r>
      <w:r>
        <w:lastRenderedPageBreak/>
        <w:t xml:space="preserve">en í þeim tilvikum sem lög mæla fyrir um að óska þurfi eftir leyfi Hæstaréttar til kæru sé greitt fyrir beiðni um kæruleyfi, hvort sem kæruleyfi er veitt eða ekki en ekki greitt viðbótargjald fyrir kæru, enda er gert ráð fyrir því í 10. gr. frumvarpsins að beiðni um kæruleyfi til Hæstaréttar og kæra skuli koma fram í einu skjali. </w:t>
      </w:r>
    </w:p>
    <w:p w14:paraId="3B80BE1D" w14:textId="2C88D94C" w:rsidR="001264B7" w:rsidRDefault="001264B7" w:rsidP="00F67AC7">
      <w:r>
        <w:t xml:space="preserve">Breytingunni á 2. tölul. 3. mgr. 1. gr. laganna er ætlað að taka af tvímæli um að gjald sé tekið fyrir að leggja fram beiðni um leyfi Hæstaréttar til áfrýjunar einkamáls hvort </w:t>
      </w:r>
      <w:r w:rsidR="003B05B9">
        <w:t xml:space="preserve">sem </w:t>
      </w:r>
      <w:r>
        <w:t>slíkt leyfi er veitt eða ekki. Framsetning slíkrar beiðni kallar á sömu málsmeðferð í Hæstarétti hver sem niðurstaðan verður. Sé beiðni um áfrýjunarleyfi samþykkt skal greiða viðbótargjald fyrir útgáfu áfrýjunarstefnu samkvæmt 3. tölul. 3. mgr. 1. gr. laganna.</w:t>
      </w:r>
    </w:p>
    <w:p w14:paraId="550A312E" w14:textId="77777777" w:rsidR="001264B7" w:rsidRDefault="001264B7" w:rsidP="001264B7">
      <w:pPr>
        <w:ind w:firstLine="0"/>
        <w:jc w:val="center"/>
        <w:rPr>
          <w:sz w:val="24"/>
          <w:szCs w:val="24"/>
        </w:rPr>
      </w:pPr>
    </w:p>
    <w:p w14:paraId="3BB1FABF" w14:textId="79382F06" w:rsidR="001264B7" w:rsidRPr="00823AEE" w:rsidRDefault="001264B7" w:rsidP="00F67AC7">
      <w:pPr>
        <w:pStyle w:val="Greinarnmer"/>
      </w:pPr>
      <w:r>
        <w:t>Um 3</w:t>
      </w:r>
      <w:r w:rsidR="002F2BF1">
        <w:t>8</w:t>
      </w:r>
      <w:r>
        <w:t>. gr.</w:t>
      </w:r>
    </w:p>
    <w:p w14:paraId="35ED4203" w14:textId="77777777" w:rsidR="001264B7" w:rsidRDefault="001264B7" w:rsidP="00F67AC7">
      <w:r w:rsidRPr="004C27FE">
        <w:t xml:space="preserve">Þegar </w:t>
      </w:r>
      <w:r>
        <w:t xml:space="preserve">gerðar voru þær </w:t>
      </w:r>
      <w:r w:rsidRPr="004C27FE">
        <w:t>br</w:t>
      </w:r>
      <w:r>
        <w:t xml:space="preserve">eytingar á 2. gr. laga um meðferð einkamála með 1. gr. laga nr. 49/2016 að meginreglan yrði sú að heimilt væri að kveðja einn sérfróðan meðdómsmann til setu í dómi í héraði í stað tveggja áður, var ekki hugað sérstaklega að því að taka til endurskoðunar sérregluna um sérfróða meðdómsmenn í 1. mgr. 54. gr. barnaverndarlaga eins og henni var breytt með 27. gr. laga nr. 80/2011. Það sem greindi ákvæðið um meðdómsmenn í 1. mgr. 54. barnaverndarlaga frá almennu heimildinni í 2. gr. laga um meðferð einkamála, eins og það var fyrir gildistöku laga nr. 49/2016, var að í fyrrnefnda ákvæðinu var kveðið á um skyldu til að kveðja til sérfróða meðdómsmenn en það síðara var orðað sem heimildarákvæði. Í 1. mgr. 54. gr. barnaverndarlaga er aðeins talað um meðdómsmenn en ekki mælt fyrir um fjölda þeirra enda óþarft þar sem gert var ráð fyrir því í almenna ákvæðinu í 2. gr. laga um meðferð einkamála að meðdómsmenn væru tveir. </w:t>
      </w:r>
    </w:p>
    <w:p w14:paraId="6A0A48A6" w14:textId="77777777" w:rsidR="001264B7" w:rsidRDefault="001264B7" w:rsidP="00F67AC7">
      <w:r>
        <w:t>Nokkur réttaróvissa hefur af framangreindum ástæðum skapast um fjölda meðdómsmanna í barnaverndarmálum eftir að almenna reglan í 2. gr. laga um meðferð einkamála er orðin sú að kveðja skuli til setu í dómi í héraði einn sérfróðan meðdómsmann. Með breytingunni er ætlunin að greiða úr þessari réttaróvissu. Svo virðist sem tilefni þess að ákvæði 1. mgr. 54. gr. barnaverndarlaga var breytt með 27. gr. laga nr. 80/2011 hafi fyrst og fremst verið að tryggja að sérþekkingar nyti við í dómi í málum í þessum málaflokki en ekki endilega að tryggja að þeir yrðu fleiri en einn. Til marks um þetta eru athugasemdir í greinargerð í frumvarpi sem varð að lögum nr. 80/2011 um að ekki þætti rétt að kvika frá því að þörf væri sérfræðiþekkingar til að kveða upp efnisdóm í barnaverndarmáli. Orðalagið „sérfróða meðdómsmenn“ virðist þannig til komið af þeirri ástæðu einni að almenna reglan í 2. gr. laga um meðferð einkamála gerði þá ráð fyrir tveimur meðdómsmönnum.</w:t>
      </w:r>
      <w:r w:rsidRPr="00AA3EED">
        <w:t xml:space="preserve"> </w:t>
      </w:r>
    </w:p>
    <w:p w14:paraId="27920729" w14:textId="77777777" w:rsidR="001264B7" w:rsidRDefault="001264B7" w:rsidP="00F67AC7">
      <w:r>
        <w:t xml:space="preserve">Að frágenginni skyldu til þess að kveðja til meðdómsmann í málum samkvæmt 29. gr. og 2. mgr. 34. gr. barnaverndarlaga þykja ekki sérstök rök fyrir að hafa aðra tilhögun á fjölda og kvaðningu sérfróðra meðdómsmanna í slíkum málum en öðrum málum þar sem bornar eru fram málsástæður sem dómari telur sérkunnáttu þörf til að leysa úr í dómi. </w:t>
      </w:r>
    </w:p>
    <w:p w14:paraId="2829773A" w14:textId="77777777" w:rsidR="001264B7" w:rsidRDefault="001264B7" w:rsidP="001264B7">
      <w:pPr>
        <w:rPr>
          <w:sz w:val="24"/>
          <w:szCs w:val="24"/>
        </w:rPr>
      </w:pPr>
    </w:p>
    <w:p w14:paraId="1275527E" w14:textId="2683038B" w:rsidR="001264B7" w:rsidRDefault="001264B7" w:rsidP="00F67AC7">
      <w:pPr>
        <w:pStyle w:val="Greinarnmer"/>
      </w:pPr>
      <w:r>
        <w:t>Um 3</w:t>
      </w:r>
      <w:r w:rsidR="002F2BF1">
        <w:t>9</w:t>
      </w:r>
      <w:r>
        <w:t>. gr.</w:t>
      </w:r>
    </w:p>
    <w:p w14:paraId="39EA6A30" w14:textId="524C41B6" w:rsidR="001264B7" w:rsidRDefault="001264B7" w:rsidP="00F67AC7">
      <w:r>
        <w:t xml:space="preserve">Breytingunni er ætlað að gera kæruheimild til Landsréttar og Hæstaréttar í málum samkvæmt lögum nr. 85/2011 um nálgunarbann og brottvísun af heimili, skýrari og gleggri og í betra samræmi við aðrar kæruheimildir til Hæstaréttar í málum sem rekin eru á grundvelli laga um meðferð sakamála. Dómur Hæstaréttar frá 11. janúar 2019 í máli nr. 1/2019 gefur tilefni til að gera umrædda breytingu á 3. mgr. 15. gr. laganna. </w:t>
      </w:r>
    </w:p>
    <w:p w14:paraId="5281CF50" w14:textId="3564C6D1" w:rsidR="002F2BF1" w:rsidRDefault="002F2BF1" w:rsidP="00F67AC7"/>
    <w:p w14:paraId="43C103EF" w14:textId="131524CA" w:rsidR="002F2BF1" w:rsidRDefault="002F2BF1" w:rsidP="002F2BF1">
      <w:pPr>
        <w:pStyle w:val="Greinarnmer"/>
      </w:pPr>
      <w:r>
        <w:t>Um 40. gr.</w:t>
      </w:r>
    </w:p>
    <w:p w14:paraId="3414486D" w14:textId="12B92BDB" w:rsidR="00CF13B3" w:rsidRDefault="00CF13B3" w:rsidP="00CF13B3">
      <w:r>
        <w:lastRenderedPageBreak/>
        <w:t xml:space="preserve">Hér er lagt til að stjórn dómstólasýslunnar verði falið að setja reglur um birtingu dóma og úrskurða allra dómstólanna. Samkvæmt gildandi lögum er hlutverk dómstólasýslunnar að hafa umsjón með útgáfu dóma og úrskurða héraðsdómstólanna og setja reglur um útgáfuna. Um útgáfu dóma Hæstaréttar og Landsréttar fer aftur á móti eftir ákvörðun þeirra dómstóla að höfðu samráði við dómstólasýsluna. Rétt er að samræmdar reglur gildi um birtingu dóma og er </w:t>
      </w:r>
      <w:r w:rsidR="00702F57">
        <w:t xml:space="preserve">því lagt til </w:t>
      </w:r>
      <w:r>
        <w:t xml:space="preserve">hér að stjórn dómstólasýslunnar verði falið að setja reglur um birtingu dóma á öllum dómstigum. Áréttað er í þessu felast engar frekari efnislegar breytingar á </w:t>
      </w:r>
      <w:r w:rsidR="00702F57">
        <w:t xml:space="preserve">gildandi </w:t>
      </w:r>
      <w:r>
        <w:t>reglum um birtingu eða birtingarhátt dóma</w:t>
      </w:r>
      <w:r w:rsidR="00702F57">
        <w:t>,</w:t>
      </w:r>
      <w:r>
        <w:t xml:space="preserve">, svo sem um hvaða </w:t>
      </w:r>
      <w:r w:rsidR="00702F57">
        <w:t>dómar og úrskurðir skuli birtir,</w:t>
      </w:r>
      <w:r>
        <w:t xml:space="preserve"> nafnleynd aðila o.s.frv.</w:t>
      </w:r>
    </w:p>
    <w:p w14:paraId="762BFEB6" w14:textId="77777777" w:rsidR="002F2BF1" w:rsidRDefault="002F2BF1" w:rsidP="00F67AC7"/>
    <w:p w14:paraId="7244DE5E" w14:textId="165087AD" w:rsidR="002F2BF1" w:rsidRDefault="002F2BF1" w:rsidP="002F2BF1">
      <w:pPr>
        <w:pStyle w:val="Greinarnmer"/>
      </w:pPr>
      <w:bookmarkStart w:id="5" w:name="_Hlk536790769"/>
      <w:r>
        <w:t>Um 41. gr.</w:t>
      </w:r>
    </w:p>
    <w:p w14:paraId="5713A546" w14:textId="2D51E0CF" w:rsidR="002F2BF1" w:rsidRDefault="00CF13B3" w:rsidP="002F2BF1">
      <w:bookmarkStart w:id="6" w:name="_Hlk100971"/>
      <w:r>
        <w:t xml:space="preserve">Þessi breyting </w:t>
      </w:r>
      <w:r w:rsidR="00702F57">
        <w:t>leiðir</w:t>
      </w:r>
      <w:r>
        <w:t xml:space="preserve"> af þeirri breytingu sem lögð er til með 40. gr. frumvarpsins og vísast til skýringa við það ákvæði.</w:t>
      </w:r>
    </w:p>
    <w:bookmarkEnd w:id="5"/>
    <w:bookmarkEnd w:id="6"/>
    <w:p w14:paraId="70F8990A" w14:textId="77777777" w:rsidR="001264B7" w:rsidRDefault="001264B7" w:rsidP="001264B7">
      <w:pPr>
        <w:ind w:firstLine="0"/>
        <w:rPr>
          <w:sz w:val="24"/>
          <w:szCs w:val="24"/>
        </w:rPr>
      </w:pPr>
    </w:p>
    <w:p w14:paraId="7570D587" w14:textId="0B901CF5" w:rsidR="001264B7" w:rsidRDefault="001264B7" w:rsidP="00F67AC7">
      <w:pPr>
        <w:pStyle w:val="Greinarnmer"/>
      </w:pPr>
      <w:r>
        <w:t xml:space="preserve">Um </w:t>
      </w:r>
      <w:r w:rsidR="002F2BF1">
        <w:t>42</w:t>
      </w:r>
      <w:r>
        <w:t>. gr.</w:t>
      </w:r>
    </w:p>
    <w:p w14:paraId="04BC85B2" w14:textId="77777777" w:rsidR="001264B7" w:rsidRPr="008A4049" w:rsidRDefault="001264B7" w:rsidP="00F67AC7">
      <w:r>
        <w:t xml:space="preserve">Breytingin er til samræmis við samsvarandi ákvæði í 34. gr. laga um dómstóla en það ákvæði mælir fyrir um að þegar enginn dómari við héraðsdómstól fullnægir sérstökum hæfisskilyrðum til að fara með mál kveði dómstjóri í einu lagi upp úrskurð um að þeir víki allir sæti í því. Sömu aðstæður geta komið upp í Landsrétti og fyrir héraðsdómstól hvað það varðar að allri dómarar réttarins teljist vanhæfir. Að óbreyttum lögum þarf hver dómari við Landsrétt að úrskurða um hæfi sitt og þar sem úrskurður Landsréttar um að dómari víki sæti sætir kæru til Hæstaréttar kann að taka óralangan tíma að leysa til fullnustu úr um hæfi allra dómara Landsréttar þótt þeir séu augljóslega allir vanhæfir af sömu ástæðu. Fyrirsjáanlegt er að slík aðstaða getur komið upp í Landsrétti og er breytingunni ætlað að leysa úr þessari óþægilegu aðstöðu á sama hátt og gert hefur verið í héraði. Komi til þess að allir dómarar Landréttar teljist vanhæfir virkjast það ferli sem þegar er til staðar í 2. mgr. 25. gr., það er að ráðherra skal þá skipa varadómara í dóminn að tillögu nefndar sem starfar skv. III. kafla laganna. </w:t>
      </w:r>
    </w:p>
    <w:p w14:paraId="3E66E1D8" w14:textId="4A7602FD" w:rsidR="00041C95" w:rsidRDefault="00041C95" w:rsidP="001264B7"/>
    <w:p w14:paraId="68E6A7A1" w14:textId="0339D256" w:rsidR="002F2BF1" w:rsidRDefault="002F2BF1" w:rsidP="002F2BF1">
      <w:pPr>
        <w:pStyle w:val="Greinarnmer"/>
      </w:pPr>
      <w:r>
        <w:t>Um 43. gr.</w:t>
      </w:r>
    </w:p>
    <w:p w14:paraId="3E7C52B5" w14:textId="1C09358F" w:rsidR="00CF13B3" w:rsidRDefault="00CF13B3" w:rsidP="00CF13B3">
      <w:bookmarkStart w:id="7" w:name="_Hlk188803"/>
      <w:r>
        <w:t xml:space="preserve">Þessi breyting </w:t>
      </w:r>
      <w:r w:rsidR="00702F57">
        <w:t>leiðir</w:t>
      </w:r>
      <w:r>
        <w:t xml:space="preserve"> af þeirri breytingu sem lögð er til með 40. gr. frumvarpsins og vísast til skýringa við það ákvæði.</w:t>
      </w:r>
    </w:p>
    <w:bookmarkEnd w:id="7"/>
    <w:p w14:paraId="2C5D7BBA" w14:textId="565F64AF" w:rsidR="002F2BF1" w:rsidRDefault="002F2BF1" w:rsidP="001264B7"/>
    <w:p w14:paraId="422B10D1" w14:textId="1D61F3DC" w:rsidR="00456C38" w:rsidRPr="00306EEF" w:rsidRDefault="00456C38" w:rsidP="00456C38">
      <w:pPr>
        <w:pStyle w:val="Greinarnmer"/>
      </w:pPr>
      <w:r>
        <w:t>Um 44. gr.</w:t>
      </w:r>
    </w:p>
    <w:p w14:paraId="15D020F1" w14:textId="53F0080B" w:rsidR="00932064" w:rsidRDefault="00932064" w:rsidP="00932064">
      <w:r>
        <w:t xml:space="preserve">Þessi breyting </w:t>
      </w:r>
      <w:r w:rsidR="00702F57">
        <w:t>leiðir</w:t>
      </w:r>
      <w:r>
        <w:t xml:space="preserve"> af þeirri breytingu sem lögð er til með 40. gr. frumvarpsins og vísast til skýringa við það ákvæði. </w:t>
      </w:r>
    </w:p>
    <w:p w14:paraId="093108F5" w14:textId="155916E6" w:rsidR="00456C38" w:rsidRDefault="00456C38" w:rsidP="00456C38"/>
    <w:p w14:paraId="32CEBA86" w14:textId="6297978C" w:rsidR="00456C38" w:rsidRPr="00306EEF" w:rsidRDefault="00456C38" w:rsidP="00456C38">
      <w:pPr>
        <w:pStyle w:val="Greinarnmer"/>
      </w:pPr>
      <w:r>
        <w:t>Um 45. gr.</w:t>
      </w:r>
    </w:p>
    <w:p w14:paraId="3FD66A1E" w14:textId="3B00E9EF" w:rsidR="00456C38" w:rsidRDefault="00702F57" w:rsidP="00456C38">
      <w:r>
        <w:t>Ákvæðið þarfnast ekki skýringa.</w:t>
      </w:r>
    </w:p>
    <w:p w14:paraId="24A67700" w14:textId="77777777" w:rsidR="00456C38" w:rsidRPr="001264B7" w:rsidRDefault="00456C38" w:rsidP="001264B7"/>
    <w:sectPr w:rsidR="00456C38" w:rsidRPr="001264B7" w:rsidSect="00947F0E">
      <w:headerReference w:type="default" r:id="rId8"/>
      <w:headerReference w:type="first" r:id="rId9"/>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D7981" w14:textId="77777777" w:rsidR="00F8443F" w:rsidRDefault="00F8443F" w:rsidP="006258D7">
      <w:r>
        <w:separator/>
      </w:r>
    </w:p>
  </w:endnote>
  <w:endnote w:type="continuationSeparator" w:id="0">
    <w:p w14:paraId="66791439" w14:textId="77777777" w:rsidR="00F8443F" w:rsidRDefault="00F8443F" w:rsidP="0062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A43BB" w14:textId="77777777" w:rsidR="00F8443F" w:rsidRDefault="00F8443F" w:rsidP="005B4CD6">
      <w:pPr>
        <w:ind w:firstLine="0"/>
      </w:pPr>
      <w:r>
        <w:separator/>
      </w:r>
    </w:p>
  </w:footnote>
  <w:footnote w:type="continuationSeparator" w:id="0">
    <w:p w14:paraId="09F90B1C" w14:textId="77777777" w:rsidR="00F8443F" w:rsidRDefault="00F8443F" w:rsidP="00625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74DC8" w14:textId="2189B53F" w:rsidR="00CA5BD3" w:rsidRDefault="00CA5BD3" w:rsidP="006258D7">
    <w:pPr>
      <w:pStyle w:val="Header"/>
      <w:tabs>
        <w:tab w:val="clear" w:pos="4536"/>
        <w:tab w:val="clear" w:pos="9072"/>
        <w:tab w:val="center" w:pos="3969"/>
        <w:tab w:val="right" w:pos="7797"/>
      </w:tabs>
    </w:pPr>
    <w:r>
      <w:tab/>
    </w:r>
    <w:r>
      <w:fldChar w:fldCharType="begin"/>
    </w:r>
    <w:r>
      <w:instrText>PAGE   \* MERGEFORMAT</w:instrText>
    </w:r>
    <w:r>
      <w:fldChar w:fldCharType="separate"/>
    </w:r>
    <w:r w:rsidR="008948A7">
      <w:rPr>
        <w:noProof/>
      </w:rPr>
      <w:t>19</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8948A7">
      <w:rPr>
        <w:b/>
        <w:i/>
        <w:noProof/>
        <w:color w:val="7F7F7F"/>
        <w:sz w:val="24"/>
        <w:szCs w:val="24"/>
      </w:rPr>
      <w:t>6. febrúar 2019</w:t>
    </w:r>
    <w:r>
      <w:rPr>
        <w:b/>
        <w:i/>
        <w:color w:val="7F7F7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65478" w14:textId="23D67E53" w:rsidR="00CA5BD3" w:rsidRDefault="00CA5BD3" w:rsidP="00655EE3">
    <w:pPr>
      <w:pStyle w:val="Header"/>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8948A7">
      <w:rPr>
        <w:b/>
        <w:i/>
        <w:noProof/>
        <w:color w:val="7F7F7F"/>
        <w:sz w:val="24"/>
        <w:szCs w:val="24"/>
      </w:rPr>
      <w:t>6. febrúar 2019</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B618E"/>
    <w:multiLevelType w:val="hybridMultilevel"/>
    <w:tmpl w:val="8E4ED6EC"/>
    <w:lvl w:ilvl="0" w:tplc="040F0019">
      <w:start w:val="1"/>
      <w:numFmt w:val="lowerLetter"/>
      <w:lvlText w:val="%1."/>
      <w:lvlJc w:val="left"/>
      <w:pPr>
        <w:ind w:left="644" w:hanging="360"/>
      </w:p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 w15:restartNumberingAfterBreak="0">
    <w:nsid w:val="12AF037A"/>
    <w:multiLevelType w:val="hybridMultilevel"/>
    <w:tmpl w:val="2F08D336"/>
    <w:lvl w:ilvl="0" w:tplc="040F0019">
      <w:start w:val="1"/>
      <w:numFmt w:val="lowerLetter"/>
      <w:lvlText w:val="%1."/>
      <w:lvlJc w:val="left"/>
      <w:pPr>
        <w:ind w:left="644" w:hanging="360"/>
      </w:p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2" w15:restartNumberingAfterBreak="0">
    <w:nsid w:val="12F0386C"/>
    <w:multiLevelType w:val="hybridMultilevel"/>
    <w:tmpl w:val="9EEEB1E0"/>
    <w:lvl w:ilvl="0" w:tplc="040F0019">
      <w:start w:val="1"/>
      <w:numFmt w:val="lowerLetter"/>
      <w:lvlText w:val="%1."/>
      <w:lvlJc w:val="left"/>
      <w:pPr>
        <w:ind w:left="644" w:hanging="360"/>
      </w:p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3" w15:restartNumberingAfterBreak="0">
    <w:nsid w:val="152D1BC9"/>
    <w:multiLevelType w:val="hybridMultilevel"/>
    <w:tmpl w:val="38D6F8DA"/>
    <w:lvl w:ilvl="0" w:tplc="040F0019">
      <w:start w:val="1"/>
      <w:numFmt w:val="lowerLetter"/>
      <w:lvlText w:val="%1."/>
      <w:lvlJc w:val="left"/>
      <w:pPr>
        <w:ind w:left="644" w:hanging="360"/>
      </w:p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4"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5"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6"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7" w15:restartNumberingAfterBreak="0">
    <w:nsid w:val="399A01EA"/>
    <w:multiLevelType w:val="hybridMultilevel"/>
    <w:tmpl w:val="5448CF26"/>
    <w:lvl w:ilvl="0" w:tplc="040F0019">
      <w:start w:val="1"/>
      <w:numFmt w:val="lowerLetter"/>
      <w:lvlText w:val="%1."/>
      <w:lvlJc w:val="left"/>
      <w:pPr>
        <w:ind w:left="644" w:hanging="360"/>
      </w:p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8" w15:restartNumberingAfterBreak="0">
    <w:nsid w:val="40EF4C27"/>
    <w:multiLevelType w:val="hybridMultilevel"/>
    <w:tmpl w:val="A1466764"/>
    <w:lvl w:ilvl="0" w:tplc="040F0019">
      <w:start w:val="1"/>
      <w:numFmt w:val="lowerLetter"/>
      <w:lvlText w:val="%1."/>
      <w:lvlJc w:val="left"/>
      <w:pPr>
        <w:ind w:left="644" w:hanging="360"/>
      </w:p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9"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0" w15:restartNumberingAfterBreak="0">
    <w:nsid w:val="43F01FA4"/>
    <w:multiLevelType w:val="hybridMultilevel"/>
    <w:tmpl w:val="12B8819E"/>
    <w:lvl w:ilvl="0" w:tplc="040F0019">
      <w:start w:val="1"/>
      <w:numFmt w:val="lowerLetter"/>
      <w:lvlText w:val="%1."/>
      <w:lvlJc w:val="left"/>
      <w:pPr>
        <w:ind w:left="644" w:hanging="360"/>
      </w:p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1" w15:restartNumberingAfterBreak="0">
    <w:nsid w:val="5C5E4DBC"/>
    <w:multiLevelType w:val="hybridMultilevel"/>
    <w:tmpl w:val="5448CF26"/>
    <w:lvl w:ilvl="0" w:tplc="040F0019">
      <w:start w:val="1"/>
      <w:numFmt w:val="lowerLetter"/>
      <w:lvlText w:val="%1."/>
      <w:lvlJc w:val="left"/>
      <w:pPr>
        <w:ind w:left="644" w:hanging="360"/>
      </w:p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2" w15:restartNumberingAfterBreak="0">
    <w:nsid w:val="5DF41F35"/>
    <w:multiLevelType w:val="hybridMultilevel"/>
    <w:tmpl w:val="E24C08A6"/>
    <w:lvl w:ilvl="0" w:tplc="040F0019">
      <w:start w:val="1"/>
      <w:numFmt w:val="lowerLetter"/>
      <w:lvlText w:val="%1."/>
      <w:lvlJc w:val="left"/>
      <w:pPr>
        <w:ind w:left="644" w:hanging="360"/>
      </w:p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3"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14" w15:restartNumberingAfterBreak="0">
    <w:nsid w:val="722E265D"/>
    <w:multiLevelType w:val="hybridMultilevel"/>
    <w:tmpl w:val="FA2C0AC8"/>
    <w:lvl w:ilvl="0" w:tplc="040F0019">
      <w:start w:val="1"/>
      <w:numFmt w:val="lowerLetter"/>
      <w:lvlText w:val="%1."/>
      <w:lvlJc w:val="left"/>
      <w:pPr>
        <w:ind w:left="644" w:hanging="360"/>
      </w:p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5" w15:restartNumberingAfterBreak="0">
    <w:nsid w:val="76E3432C"/>
    <w:multiLevelType w:val="hybridMultilevel"/>
    <w:tmpl w:val="794E291E"/>
    <w:lvl w:ilvl="0" w:tplc="040F0019">
      <w:start w:val="1"/>
      <w:numFmt w:val="lowerLetter"/>
      <w:lvlText w:val="%1."/>
      <w:lvlJc w:val="left"/>
      <w:pPr>
        <w:ind w:left="644" w:hanging="360"/>
      </w:p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num w:numId="1">
    <w:abstractNumId w:val="13"/>
  </w:num>
  <w:num w:numId="2">
    <w:abstractNumId w:val="5"/>
  </w:num>
  <w:num w:numId="3">
    <w:abstractNumId w:val="4"/>
  </w:num>
  <w:num w:numId="4">
    <w:abstractNumId w:val="9"/>
  </w:num>
  <w:num w:numId="5">
    <w:abstractNumId w:val="6"/>
  </w:num>
  <w:num w:numId="6">
    <w:abstractNumId w:val="3"/>
  </w:num>
  <w:num w:numId="7">
    <w:abstractNumId w:val="8"/>
  </w:num>
  <w:num w:numId="8">
    <w:abstractNumId w:val="15"/>
  </w:num>
  <w:num w:numId="9">
    <w:abstractNumId w:val="10"/>
  </w:num>
  <w:num w:numId="10">
    <w:abstractNumId w:val="2"/>
  </w:num>
  <w:num w:numId="11">
    <w:abstractNumId w:val="12"/>
  </w:num>
  <w:num w:numId="12">
    <w:abstractNumId w:val="14"/>
  </w:num>
  <w:num w:numId="13">
    <w:abstractNumId w:val="0"/>
  </w:num>
  <w:num w:numId="14">
    <w:abstractNumId w:val="7"/>
  </w:num>
  <w:num w:numId="15">
    <w:abstractNumId w:val="1"/>
  </w:num>
  <w:num w:numId="1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removeDateAndTime/>
  <w:proofState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bC0NLI0NLYwMjY3NTRX0lEKTi0uzszPAykwNqgFAEmtK5YtAAAA"/>
  </w:docVars>
  <w:rsids>
    <w:rsidRoot w:val="00C35574"/>
    <w:rsid w:val="0000780C"/>
    <w:rsid w:val="00012B9D"/>
    <w:rsid w:val="000144C0"/>
    <w:rsid w:val="000145B6"/>
    <w:rsid w:val="00015AAF"/>
    <w:rsid w:val="000257AD"/>
    <w:rsid w:val="000300CD"/>
    <w:rsid w:val="00030C42"/>
    <w:rsid w:val="00040D3A"/>
    <w:rsid w:val="00041C95"/>
    <w:rsid w:val="00044B47"/>
    <w:rsid w:val="00045FD3"/>
    <w:rsid w:val="00055B22"/>
    <w:rsid w:val="000611F6"/>
    <w:rsid w:val="000613ED"/>
    <w:rsid w:val="000640EA"/>
    <w:rsid w:val="00066989"/>
    <w:rsid w:val="00075EEE"/>
    <w:rsid w:val="00085306"/>
    <w:rsid w:val="000865F6"/>
    <w:rsid w:val="00092183"/>
    <w:rsid w:val="000948E8"/>
    <w:rsid w:val="000A7848"/>
    <w:rsid w:val="000B1FD8"/>
    <w:rsid w:val="000B350F"/>
    <w:rsid w:val="000B62ED"/>
    <w:rsid w:val="000D0BC1"/>
    <w:rsid w:val="000D185C"/>
    <w:rsid w:val="000D40D8"/>
    <w:rsid w:val="000D7492"/>
    <w:rsid w:val="000D7C69"/>
    <w:rsid w:val="000E16E7"/>
    <w:rsid w:val="000F46B1"/>
    <w:rsid w:val="00103461"/>
    <w:rsid w:val="00112A1B"/>
    <w:rsid w:val="00117680"/>
    <w:rsid w:val="00122EE4"/>
    <w:rsid w:val="001264B7"/>
    <w:rsid w:val="00132E7E"/>
    <w:rsid w:val="001371CD"/>
    <w:rsid w:val="0014269D"/>
    <w:rsid w:val="0014448F"/>
    <w:rsid w:val="00144629"/>
    <w:rsid w:val="00155341"/>
    <w:rsid w:val="0015772E"/>
    <w:rsid w:val="00162785"/>
    <w:rsid w:val="00163BE7"/>
    <w:rsid w:val="001642EA"/>
    <w:rsid w:val="00172B67"/>
    <w:rsid w:val="00172F75"/>
    <w:rsid w:val="00181038"/>
    <w:rsid w:val="00190454"/>
    <w:rsid w:val="001B27AB"/>
    <w:rsid w:val="001C0CF1"/>
    <w:rsid w:val="001C2F40"/>
    <w:rsid w:val="001C7CA0"/>
    <w:rsid w:val="001D1994"/>
    <w:rsid w:val="001D24E9"/>
    <w:rsid w:val="001D6B2A"/>
    <w:rsid w:val="001E1CC7"/>
    <w:rsid w:val="001F6A53"/>
    <w:rsid w:val="00200DAD"/>
    <w:rsid w:val="00201CB4"/>
    <w:rsid w:val="00205DA0"/>
    <w:rsid w:val="002063AE"/>
    <w:rsid w:val="00206D87"/>
    <w:rsid w:val="00207E5E"/>
    <w:rsid w:val="002120A3"/>
    <w:rsid w:val="00213675"/>
    <w:rsid w:val="0022006D"/>
    <w:rsid w:val="00221250"/>
    <w:rsid w:val="002224E3"/>
    <w:rsid w:val="00224331"/>
    <w:rsid w:val="00224DD5"/>
    <w:rsid w:val="0023087A"/>
    <w:rsid w:val="002405E0"/>
    <w:rsid w:val="002435BC"/>
    <w:rsid w:val="00244554"/>
    <w:rsid w:val="0025524E"/>
    <w:rsid w:val="00257485"/>
    <w:rsid w:val="00260FE0"/>
    <w:rsid w:val="002671F2"/>
    <w:rsid w:val="00270A34"/>
    <w:rsid w:val="00270D31"/>
    <w:rsid w:val="00271E03"/>
    <w:rsid w:val="00273655"/>
    <w:rsid w:val="0028036B"/>
    <w:rsid w:val="0028362D"/>
    <w:rsid w:val="00286C48"/>
    <w:rsid w:val="0029224D"/>
    <w:rsid w:val="00293CC6"/>
    <w:rsid w:val="00293FEE"/>
    <w:rsid w:val="00294802"/>
    <w:rsid w:val="00294B5A"/>
    <w:rsid w:val="00295935"/>
    <w:rsid w:val="0029759A"/>
    <w:rsid w:val="002A03EF"/>
    <w:rsid w:val="002A71A1"/>
    <w:rsid w:val="002B3385"/>
    <w:rsid w:val="002D034E"/>
    <w:rsid w:val="002D0842"/>
    <w:rsid w:val="002D222F"/>
    <w:rsid w:val="002D340A"/>
    <w:rsid w:val="002E2DFF"/>
    <w:rsid w:val="002E3986"/>
    <w:rsid w:val="002E6827"/>
    <w:rsid w:val="002E7193"/>
    <w:rsid w:val="002F1414"/>
    <w:rsid w:val="002F2BF1"/>
    <w:rsid w:val="002F3AFA"/>
    <w:rsid w:val="00301AD4"/>
    <w:rsid w:val="00302B69"/>
    <w:rsid w:val="00307C86"/>
    <w:rsid w:val="00316C99"/>
    <w:rsid w:val="00320D5B"/>
    <w:rsid w:val="00322F35"/>
    <w:rsid w:val="00335852"/>
    <w:rsid w:val="00340036"/>
    <w:rsid w:val="00352760"/>
    <w:rsid w:val="00354502"/>
    <w:rsid w:val="00365019"/>
    <w:rsid w:val="003674A3"/>
    <w:rsid w:val="0037047F"/>
    <w:rsid w:val="00381ECF"/>
    <w:rsid w:val="00385BCD"/>
    <w:rsid w:val="003917F4"/>
    <w:rsid w:val="00392F06"/>
    <w:rsid w:val="003A5DAF"/>
    <w:rsid w:val="003B05B9"/>
    <w:rsid w:val="003B2CCB"/>
    <w:rsid w:val="003B68AB"/>
    <w:rsid w:val="003C3D67"/>
    <w:rsid w:val="003C3F63"/>
    <w:rsid w:val="003C52EB"/>
    <w:rsid w:val="003C733D"/>
    <w:rsid w:val="003D291C"/>
    <w:rsid w:val="003D7F67"/>
    <w:rsid w:val="003E0C51"/>
    <w:rsid w:val="003F26B3"/>
    <w:rsid w:val="003F29A9"/>
    <w:rsid w:val="003F2D2A"/>
    <w:rsid w:val="003F5B37"/>
    <w:rsid w:val="003F7AE3"/>
    <w:rsid w:val="00405EF7"/>
    <w:rsid w:val="00406DBD"/>
    <w:rsid w:val="00407611"/>
    <w:rsid w:val="00410233"/>
    <w:rsid w:val="00413A95"/>
    <w:rsid w:val="00416C8D"/>
    <w:rsid w:val="00431C52"/>
    <w:rsid w:val="00436458"/>
    <w:rsid w:val="00441B2E"/>
    <w:rsid w:val="00441C17"/>
    <w:rsid w:val="004463C0"/>
    <w:rsid w:val="00455E9B"/>
    <w:rsid w:val="00456C38"/>
    <w:rsid w:val="00463905"/>
    <w:rsid w:val="0046426F"/>
    <w:rsid w:val="00474F5A"/>
    <w:rsid w:val="00475F84"/>
    <w:rsid w:val="00476B1F"/>
    <w:rsid w:val="00482ABB"/>
    <w:rsid w:val="00487F33"/>
    <w:rsid w:val="0049001D"/>
    <w:rsid w:val="00490F1B"/>
    <w:rsid w:val="00491DCB"/>
    <w:rsid w:val="004945CC"/>
    <w:rsid w:val="0049517D"/>
    <w:rsid w:val="0049606B"/>
    <w:rsid w:val="004970E9"/>
    <w:rsid w:val="004A1A0E"/>
    <w:rsid w:val="004A3973"/>
    <w:rsid w:val="004A7F7D"/>
    <w:rsid w:val="004B0377"/>
    <w:rsid w:val="004B2036"/>
    <w:rsid w:val="004B3534"/>
    <w:rsid w:val="004B3D9B"/>
    <w:rsid w:val="004B60D5"/>
    <w:rsid w:val="004B6660"/>
    <w:rsid w:val="004B716E"/>
    <w:rsid w:val="004C476E"/>
    <w:rsid w:val="004C4D11"/>
    <w:rsid w:val="004C568E"/>
    <w:rsid w:val="004D252C"/>
    <w:rsid w:val="004D2CDB"/>
    <w:rsid w:val="004D531E"/>
    <w:rsid w:val="004D6912"/>
    <w:rsid w:val="004F37F2"/>
    <w:rsid w:val="0050458D"/>
    <w:rsid w:val="00505245"/>
    <w:rsid w:val="00507601"/>
    <w:rsid w:val="0051231B"/>
    <w:rsid w:val="00514E5B"/>
    <w:rsid w:val="00516BE4"/>
    <w:rsid w:val="005206E5"/>
    <w:rsid w:val="005217F5"/>
    <w:rsid w:val="005221E6"/>
    <w:rsid w:val="00523A4F"/>
    <w:rsid w:val="005375B7"/>
    <w:rsid w:val="005377DC"/>
    <w:rsid w:val="00546821"/>
    <w:rsid w:val="00556079"/>
    <w:rsid w:val="00562944"/>
    <w:rsid w:val="00563ABA"/>
    <w:rsid w:val="00564348"/>
    <w:rsid w:val="00577A43"/>
    <w:rsid w:val="00584231"/>
    <w:rsid w:val="00597F5B"/>
    <w:rsid w:val="005A1447"/>
    <w:rsid w:val="005A3C8A"/>
    <w:rsid w:val="005B0FE6"/>
    <w:rsid w:val="005B2BAA"/>
    <w:rsid w:val="005B4CD6"/>
    <w:rsid w:val="005B52A0"/>
    <w:rsid w:val="005B56E5"/>
    <w:rsid w:val="005B5D1F"/>
    <w:rsid w:val="005B7677"/>
    <w:rsid w:val="005C1426"/>
    <w:rsid w:val="005C5A0A"/>
    <w:rsid w:val="005C7B3C"/>
    <w:rsid w:val="005D025D"/>
    <w:rsid w:val="005D7634"/>
    <w:rsid w:val="005D7863"/>
    <w:rsid w:val="005F1B7F"/>
    <w:rsid w:val="006008B2"/>
    <w:rsid w:val="00611FA2"/>
    <w:rsid w:val="006166F5"/>
    <w:rsid w:val="006258D7"/>
    <w:rsid w:val="006265E1"/>
    <w:rsid w:val="00634EB2"/>
    <w:rsid w:val="006502B1"/>
    <w:rsid w:val="00652C9A"/>
    <w:rsid w:val="00653285"/>
    <w:rsid w:val="00655AEA"/>
    <w:rsid w:val="00655EE3"/>
    <w:rsid w:val="0066044E"/>
    <w:rsid w:val="0066420A"/>
    <w:rsid w:val="00664B3A"/>
    <w:rsid w:val="0066624D"/>
    <w:rsid w:val="00667257"/>
    <w:rsid w:val="0067464B"/>
    <w:rsid w:val="00677C18"/>
    <w:rsid w:val="0068101F"/>
    <w:rsid w:val="00681D28"/>
    <w:rsid w:val="00686F09"/>
    <w:rsid w:val="006A006F"/>
    <w:rsid w:val="006A255E"/>
    <w:rsid w:val="006B6B37"/>
    <w:rsid w:val="006C179E"/>
    <w:rsid w:val="006C4088"/>
    <w:rsid w:val="006D1425"/>
    <w:rsid w:val="006D4F55"/>
    <w:rsid w:val="006D637E"/>
    <w:rsid w:val="006E3522"/>
    <w:rsid w:val="006F069F"/>
    <w:rsid w:val="006F4043"/>
    <w:rsid w:val="006F4D1E"/>
    <w:rsid w:val="006F74FF"/>
    <w:rsid w:val="00702F57"/>
    <w:rsid w:val="00703FFA"/>
    <w:rsid w:val="00706572"/>
    <w:rsid w:val="00707D37"/>
    <w:rsid w:val="007176DC"/>
    <w:rsid w:val="007226F8"/>
    <w:rsid w:val="00722A2C"/>
    <w:rsid w:val="00735451"/>
    <w:rsid w:val="007424B6"/>
    <w:rsid w:val="00742895"/>
    <w:rsid w:val="00743B20"/>
    <w:rsid w:val="00752110"/>
    <w:rsid w:val="007554D5"/>
    <w:rsid w:val="007555E3"/>
    <w:rsid w:val="007619B5"/>
    <w:rsid w:val="00762170"/>
    <w:rsid w:val="0076290C"/>
    <w:rsid w:val="00766A41"/>
    <w:rsid w:val="007671A9"/>
    <w:rsid w:val="0077339A"/>
    <w:rsid w:val="007819B5"/>
    <w:rsid w:val="00781F3A"/>
    <w:rsid w:val="00782BD8"/>
    <w:rsid w:val="007A08F8"/>
    <w:rsid w:val="007A5526"/>
    <w:rsid w:val="007A5B7B"/>
    <w:rsid w:val="007A6CF8"/>
    <w:rsid w:val="007B3373"/>
    <w:rsid w:val="007B513C"/>
    <w:rsid w:val="007C0A55"/>
    <w:rsid w:val="007D270C"/>
    <w:rsid w:val="007D4338"/>
    <w:rsid w:val="007D4C77"/>
    <w:rsid w:val="007E75AD"/>
    <w:rsid w:val="007F08E1"/>
    <w:rsid w:val="007F62E0"/>
    <w:rsid w:val="0080021F"/>
    <w:rsid w:val="00802C69"/>
    <w:rsid w:val="00823513"/>
    <w:rsid w:val="00823C27"/>
    <w:rsid w:val="00827CD0"/>
    <w:rsid w:val="00834B93"/>
    <w:rsid w:val="00836245"/>
    <w:rsid w:val="008429B5"/>
    <w:rsid w:val="00844C76"/>
    <w:rsid w:val="00845FBA"/>
    <w:rsid w:val="00850371"/>
    <w:rsid w:val="00851C15"/>
    <w:rsid w:val="00852033"/>
    <w:rsid w:val="00852FF3"/>
    <w:rsid w:val="008577B7"/>
    <w:rsid w:val="00873485"/>
    <w:rsid w:val="008760BB"/>
    <w:rsid w:val="008948A7"/>
    <w:rsid w:val="00895423"/>
    <w:rsid w:val="008A3F0F"/>
    <w:rsid w:val="008B4752"/>
    <w:rsid w:val="008C3B44"/>
    <w:rsid w:val="008D0068"/>
    <w:rsid w:val="008D17DC"/>
    <w:rsid w:val="008E04FE"/>
    <w:rsid w:val="008E5A2D"/>
    <w:rsid w:val="008E6937"/>
    <w:rsid w:val="008F22FA"/>
    <w:rsid w:val="008F267D"/>
    <w:rsid w:val="008F3CF7"/>
    <w:rsid w:val="008F4685"/>
    <w:rsid w:val="009042A5"/>
    <w:rsid w:val="009070EA"/>
    <w:rsid w:val="00913A2C"/>
    <w:rsid w:val="00921584"/>
    <w:rsid w:val="00927D61"/>
    <w:rsid w:val="009314EB"/>
    <w:rsid w:val="00932064"/>
    <w:rsid w:val="00933E46"/>
    <w:rsid w:val="00940A5D"/>
    <w:rsid w:val="00943B67"/>
    <w:rsid w:val="00947F0E"/>
    <w:rsid w:val="00965992"/>
    <w:rsid w:val="00972446"/>
    <w:rsid w:val="00973674"/>
    <w:rsid w:val="00973AB0"/>
    <w:rsid w:val="00975383"/>
    <w:rsid w:val="00975557"/>
    <w:rsid w:val="00995085"/>
    <w:rsid w:val="00995733"/>
    <w:rsid w:val="0099759D"/>
    <w:rsid w:val="009A0E19"/>
    <w:rsid w:val="009A203F"/>
    <w:rsid w:val="009A375A"/>
    <w:rsid w:val="009A57CC"/>
    <w:rsid w:val="009A5A02"/>
    <w:rsid w:val="009B2DF3"/>
    <w:rsid w:val="009B7040"/>
    <w:rsid w:val="009D7399"/>
    <w:rsid w:val="009E3B56"/>
    <w:rsid w:val="009E51FF"/>
    <w:rsid w:val="009F3034"/>
    <w:rsid w:val="009F59DB"/>
    <w:rsid w:val="00A00706"/>
    <w:rsid w:val="00A036A5"/>
    <w:rsid w:val="00A10AE9"/>
    <w:rsid w:val="00A11BF6"/>
    <w:rsid w:val="00A13179"/>
    <w:rsid w:val="00A20791"/>
    <w:rsid w:val="00A2280D"/>
    <w:rsid w:val="00A24367"/>
    <w:rsid w:val="00A26F19"/>
    <w:rsid w:val="00A35490"/>
    <w:rsid w:val="00A366EA"/>
    <w:rsid w:val="00A425DE"/>
    <w:rsid w:val="00A453B0"/>
    <w:rsid w:val="00A5380D"/>
    <w:rsid w:val="00A612A8"/>
    <w:rsid w:val="00A64560"/>
    <w:rsid w:val="00A65D94"/>
    <w:rsid w:val="00A71BF8"/>
    <w:rsid w:val="00A74357"/>
    <w:rsid w:val="00A81C43"/>
    <w:rsid w:val="00A84C9D"/>
    <w:rsid w:val="00A86463"/>
    <w:rsid w:val="00A87348"/>
    <w:rsid w:val="00A90212"/>
    <w:rsid w:val="00A9112F"/>
    <w:rsid w:val="00A91509"/>
    <w:rsid w:val="00A92A28"/>
    <w:rsid w:val="00A95A82"/>
    <w:rsid w:val="00A96034"/>
    <w:rsid w:val="00AA2AFE"/>
    <w:rsid w:val="00AA5CFA"/>
    <w:rsid w:val="00AB02AA"/>
    <w:rsid w:val="00AB1AC8"/>
    <w:rsid w:val="00AB4DB6"/>
    <w:rsid w:val="00AC1165"/>
    <w:rsid w:val="00AC7C2A"/>
    <w:rsid w:val="00AD0879"/>
    <w:rsid w:val="00AD37DD"/>
    <w:rsid w:val="00AE0C4F"/>
    <w:rsid w:val="00AE3BB8"/>
    <w:rsid w:val="00AE68A8"/>
    <w:rsid w:val="00AE6D46"/>
    <w:rsid w:val="00AF562C"/>
    <w:rsid w:val="00AF581E"/>
    <w:rsid w:val="00B02802"/>
    <w:rsid w:val="00B15402"/>
    <w:rsid w:val="00B203DC"/>
    <w:rsid w:val="00B210BF"/>
    <w:rsid w:val="00B2259B"/>
    <w:rsid w:val="00B237E9"/>
    <w:rsid w:val="00B24492"/>
    <w:rsid w:val="00B254F5"/>
    <w:rsid w:val="00B258D1"/>
    <w:rsid w:val="00B31857"/>
    <w:rsid w:val="00B3467D"/>
    <w:rsid w:val="00B34CF2"/>
    <w:rsid w:val="00B40B87"/>
    <w:rsid w:val="00B456BE"/>
    <w:rsid w:val="00B51A8E"/>
    <w:rsid w:val="00B533EF"/>
    <w:rsid w:val="00B54B79"/>
    <w:rsid w:val="00B56947"/>
    <w:rsid w:val="00B6275C"/>
    <w:rsid w:val="00B6450A"/>
    <w:rsid w:val="00B72A8C"/>
    <w:rsid w:val="00B80DA5"/>
    <w:rsid w:val="00B817DB"/>
    <w:rsid w:val="00B84B61"/>
    <w:rsid w:val="00B925D0"/>
    <w:rsid w:val="00BB1B7E"/>
    <w:rsid w:val="00BB517B"/>
    <w:rsid w:val="00BB6FC7"/>
    <w:rsid w:val="00BB7CC6"/>
    <w:rsid w:val="00BC3809"/>
    <w:rsid w:val="00BC7767"/>
    <w:rsid w:val="00BD1882"/>
    <w:rsid w:val="00BF1459"/>
    <w:rsid w:val="00BF2C1E"/>
    <w:rsid w:val="00BF3D23"/>
    <w:rsid w:val="00BF790A"/>
    <w:rsid w:val="00C00384"/>
    <w:rsid w:val="00C034EE"/>
    <w:rsid w:val="00C10BF5"/>
    <w:rsid w:val="00C11044"/>
    <w:rsid w:val="00C110FF"/>
    <w:rsid w:val="00C15F39"/>
    <w:rsid w:val="00C24DF7"/>
    <w:rsid w:val="00C32D34"/>
    <w:rsid w:val="00C34A72"/>
    <w:rsid w:val="00C350BA"/>
    <w:rsid w:val="00C35172"/>
    <w:rsid w:val="00C35574"/>
    <w:rsid w:val="00C3580C"/>
    <w:rsid w:val="00C36086"/>
    <w:rsid w:val="00C41BB5"/>
    <w:rsid w:val="00C4412A"/>
    <w:rsid w:val="00C456EC"/>
    <w:rsid w:val="00C46572"/>
    <w:rsid w:val="00C542D4"/>
    <w:rsid w:val="00C62F93"/>
    <w:rsid w:val="00C708A6"/>
    <w:rsid w:val="00C744CB"/>
    <w:rsid w:val="00C75E6C"/>
    <w:rsid w:val="00C777D5"/>
    <w:rsid w:val="00C801FE"/>
    <w:rsid w:val="00C977D7"/>
    <w:rsid w:val="00CA31D0"/>
    <w:rsid w:val="00CA5BD3"/>
    <w:rsid w:val="00CA7D0D"/>
    <w:rsid w:val="00CB6A0E"/>
    <w:rsid w:val="00CC042E"/>
    <w:rsid w:val="00CC7ED2"/>
    <w:rsid w:val="00CD54BE"/>
    <w:rsid w:val="00CE21F9"/>
    <w:rsid w:val="00CE45D1"/>
    <w:rsid w:val="00CF13B3"/>
    <w:rsid w:val="00CF49BC"/>
    <w:rsid w:val="00D03D8F"/>
    <w:rsid w:val="00D0740D"/>
    <w:rsid w:val="00D144EE"/>
    <w:rsid w:val="00D14D24"/>
    <w:rsid w:val="00D205B5"/>
    <w:rsid w:val="00D20BE2"/>
    <w:rsid w:val="00D210BF"/>
    <w:rsid w:val="00D21403"/>
    <w:rsid w:val="00D2255A"/>
    <w:rsid w:val="00D25E73"/>
    <w:rsid w:val="00D337AE"/>
    <w:rsid w:val="00D340ED"/>
    <w:rsid w:val="00D435A8"/>
    <w:rsid w:val="00D45F78"/>
    <w:rsid w:val="00D512A4"/>
    <w:rsid w:val="00D5679C"/>
    <w:rsid w:val="00D57684"/>
    <w:rsid w:val="00D71CCF"/>
    <w:rsid w:val="00D85E5E"/>
    <w:rsid w:val="00D86C0F"/>
    <w:rsid w:val="00D930E5"/>
    <w:rsid w:val="00DB1833"/>
    <w:rsid w:val="00DB31A5"/>
    <w:rsid w:val="00DB3503"/>
    <w:rsid w:val="00DB4120"/>
    <w:rsid w:val="00DB65F0"/>
    <w:rsid w:val="00DC329B"/>
    <w:rsid w:val="00DD096F"/>
    <w:rsid w:val="00DD1C7F"/>
    <w:rsid w:val="00DD303D"/>
    <w:rsid w:val="00DD5287"/>
    <w:rsid w:val="00DE2003"/>
    <w:rsid w:val="00DE39D4"/>
    <w:rsid w:val="00DF029D"/>
    <w:rsid w:val="00DF187A"/>
    <w:rsid w:val="00DF28DC"/>
    <w:rsid w:val="00DF42F6"/>
    <w:rsid w:val="00DF51A8"/>
    <w:rsid w:val="00E04A59"/>
    <w:rsid w:val="00E054BF"/>
    <w:rsid w:val="00E1020E"/>
    <w:rsid w:val="00E11B67"/>
    <w:rsid w:val="00E129E6"/>
    <w:rsid w:val="00E179F3"/>
    <w:rsid w:val="00E2013D"/>
    <w:rsid w:val="00E20AF7"/>
    <w:rsid w:val="00E255CC"/>
    <w:rsid w:val="00E26D32"/>
    <w:rsid w:val="00E27DA9"/>
    <w:rsid w:val="00E3056C"/>
    <w:rsid w:val="00E31F4E"/>
    <w:rsid w:val="00E40108"/>
    <w:rsid w:val="00E4058D"/>
    <w:rsid w:val="00E42C89"/>
    <w:rsid w:val="00E45CB1"/>
    <w:rsid w:val="00E50441"/>
    <w:rsid w:val="00E51B59"/>
    <w:rsid w:val="00E52E51"/>
    <w:rsid w:val="00E53EB0"/>
    <w:rsid w:val="00E541E6"/>
    <w:rsid w:val="00E57BF5"/>
    <w:rsid w:val="00E60ECA"/>
    <w:rsid w:val="00E61D77"/>
    <w:rsid w:val="00E63D85"/>
    <w:rsid w:val="00E66265"/>
    <w:rsid w:val="00E80368"/>
    <w:rsid w:val="00E90C6A"/>
    <w:rsid w:val="00E91B85"/>
    <w:rsid w:val="00EA4BBC"/>
    <w:rsid w:val="00EB12F6"/>
    <w:rsid w:val="00EB3C39"/>
    <w:rsid w:val="00EB7316"/>
    <w:rsid w:val="00ED1890"/>
    <w:rsid w:val="00ED1A9E"/>
    <w:rsid w:val="00ED5A82"/>
    <w:rsid w:val="00ED69A0"/>
    <w:rsid w:val="00EE4C00"/>
    <w:rsid w:val="00EF0A83"/>
    <w:rsid w:val="00EF23D1"/>
    <w:rsid w:val="00EF3B10"/>
    <w:rsid w:val="00EF590F"/>
    <w:rsid w:val="00EF5975"/>
    <w:rsid w:val="00EF776B"/>
    <w:rsid w:val="00F05EAA"/>
    <w:rsid w:val="00F1595E"/>
    <w:rsid w:val="00F20C78"/>
    <w:rsid w:val="00F347E0"/>
    <w:rsid w:val="00F35443"/>
    <w:rsid w:val="00F513A9"/>
    <w:rsid w:val="00F54C9A"/>
    <w:rsid w:val="00F579D2"/>
    <w:rsid w:val="00F6649C"/>
    <w:rsid w:val="00F67AC7"/>
    <w:rsid w:val="00F73AE4"/>
    <w:rsid w:val="00F73BCC"/>
    <w:rsid w:val="00F81CBB"/>
    <w:rsid w:val="00F84172"/>
    <w:rsid w:val="00F8443F"/>
    <w:rsid w:val="00F87310"/>
    <w:rsid w:val="00F93D28"/>
    <w:rsid w:val="00F947BF"/>
    <w:rsid w:val="00F9528D"/>
    <w:rsid w:val="00F96F78"/>
    <w:rsid w:val="00F97FE1"/>
    <w:rsid w:val="00FA4A71"/>
    <w:rsid w:val="00FA6084"/>
    <w:rsid w:val="00FB27F8"/>
    <w:rsid w:val="00FB7BB9"/>
    <w:rsid w:val="00FC40BB"/>
    <w:rsid w:val="00FC4622"/>
    <w:rsid w:val="00FD1366"/>
    <w:rsid w:val="00FE0B7A"/>
    <w:rsid w:val="00FE6047"/>
    <w:rsid w:val="00FF0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E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338"/>
    <w:pPr>
      <w:ind w:firstLine="284"/>
      <w:jc w:val="both"/>
    </w:pPr>
    <w:rPr>
      <w:rFonts w:ascii="Times New Roman" w:hAnsi="Times New Roman"/>
      <w:sz w:val="21"/>
      <w:szCs w:val="22"/>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mija">
    <w:name w:val="Normal/miðjað"/>
    <w:basedOn w:val="Normal"/>
    <w:qFormat/>
    <w:rsid w:val="007A08F8"/>
    <w:pPr>
      <w:ind w:firstLine="0"/>
      <w:jc w:val="center"/>
    </w:pPr>
  </w:style>
  <w:style w:type="paragraph" w:styleId="NoSpacing">
    <w:name w:val="No Spacing"/>
    <w:uiPriority w:val="1"/>
    <w:qFormat/>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Normal"/>
    <w:next w:val="Normal"/>
    <w:qFormat/>
    <w:rsid w:val="007A08F8"/>
    <w:pPr>
      <w:pBdr>
        <w:bottom w:val="single" w:sz="4" w:space="1" w:color="auto"/>
      </w:pBdr>
      <w:spacing w:before="120"/>
      <w:ind w:left="3402" w:right="3402" w:firstLine="0"/>
    </w:pPr>
  </w:style>
  <w:style w:type="paragraph" w:customStyle="1" w:styleId="Millifyrirsgn2">
    <w:name w:val="Millifyrirsögn 2"/>
    <w:basedOn w:val="Normal"/>
    <w:next w:val="Normal"/>
    <w:qFormat/>
    <w:rsid w:val="00117680"/>
    <w:pPr>
      <w:ind w:firstLine="0"/>
    </w:pPr>
    <w:rPr>
      <w:i/>
    </w:rPr>
  </w:style>
  <w:style w:type="paragraph" w:customStyle="1" w:styleId="Millifyrirsgn1">
    <w:name w:val="Millifyrirsögn 1"/>
    <w:basedOn w:val="Normal"/>
    <w:next w:val="Normal"/>
    <w:qFormat/>
    <w:rsid w:val="00117680"/>
    <w:pPr>
      <w:ind w:firstLine="0"/>
    </w:pPr>
    <w:rPr>
      <w:b/>
    </w:rPr>
  </w:style>
  <w:style w:type="paragraph" w:customStyle="1" w:styleId="Fyrirsgn-fylgiskjl">
    <w:name w:val="Fyrirsögn - fylgiskjöl"/>
    <w:basedOn w:val="Normal"/>
    <w:next w:val="Normal"/>
    <w:qFormat/>
    <w:rsid w:val="00322F35"/>
    <w:pPr>
      <w:ind w:firstLine="0"/>
      <w:jc w:val="left"/>
    </w:pPr>
    <w:rPr>
      <w:b/>
      <w:u w:val="single"/>
    </w:rPr>
  </w:style>
  <w:style w:type="paragraph" w:customStyle="1" w:styleId="Fyrirsgn-athugasemdir">
    <w:name w:val="Fyrirsögn - athugasemdir"/>
    <w:basedOn w:val="Normal"/>
    <w:next w:val="Normal"/>
    <w:qFormat/>
    <w:rsid w:val="00C35574"/>
    <w:pPr>
      <w:ind w:firstLine="0"/>
      <w:jc w:val="center"/>
    </w:pPr>
    <w:rPr>
      <w:spacing w:val="44"/>
    </w:rPr>
  </w:style>
  <w:style w:type="paragraph" w:customStyle="1" w:styleId="Fyrirsgn-skjalategund">
    <w:name w:val="Fyrirsögn - skjalategund"/>
    <w:basedOn w:val="Normal"/>
    <w:next w:val="Normal"/>
    <w:qFormat/>
    <w:rsid w:val="007A08F8"/>
    <w:pPr>
      <w:spacing w:before="720" w:after="360"/>
      <w:ind w:firstLine="0"/>
      <w:jc w:val="center"/>
    </w:pPr>
    <w:rPr>
      <w:b/>
      <w:sz w:val="38"/>
    </w:rPr>
  </w:style>
  <w:style w:type="paragraph" w:customStyle="1" w:styleId="Fyrirsgn-undirfyrirsgn">
    <w:name w:val="Fyrirsögn - undirfyrirsögn"/>
    <w:basedOn w:val="Normal"/>
    <w:next w:val="Normal"/>
    <w:qFormat/>
    <w:rsid w:val="007A08F8"/>
    <w:pPr>
      <w:ind w:firstLine="0"/>
      <w:jc w:val="center"/>
    </w:pPr>
    <w:rPr>
      <w:b/>
      <w:sz w:val="24"/>
    </w:rPr>
  </w:style>
  <w:style w:type="paragraph" w:styleId="Header">
    <w:name w:val="header"/>
    <w:basedOn w:val="Normal"/>
    <w:link w:val="HeaderChar"/>
    <w:uiPriority w:val="99"/>
    <w:unhideWhenUsed/>
    <w:rsid w:val="006258D7"/>
    <w:pPr>
      <w:tabs>
        <w:tab w:val="center" w:pos="4536"/>
        <w:tab w:val="right" w:pos="9072"/>
      </w:tabs>
    </w:pPr>
  </w:style>
  <w:style w:type="paragraph" w:customStyle="1" w:styleId="Greinarnmer">
    <w:name w:val="Greinarnúmer"/>
    <w:basedOn w:val="Normal"/>
    <w:next w:val="Normal"/>
    <w:qFormat/>
    <w:rsid w:val="00895423"/>
    <w:pPr>
      <w:ind w:firstLine="0"/>
      <w:jc w:val="center"/>
    </w:pPr>
  </w:style>
  <w:style w:type="paragraph" w:customStyle="1" w:styleId="Greinarfyrirsgn">
    <w:name w:val="Greinarfyrirsögn"/>
    <w:basedOn w:val="Normal"/>
    <w:next w:val="Normal"/>
    <w:qFormat/>
    <w:rsid w:val="00895423"/>
    <w:pPr>
      <w:ind w:firstLine="0"/>
      <w:jc w:val="center"/>
    </w:pPr>
    <w:rPr>
      <w:i/>
    </w:rPr>
  </w:style>
  <w:style w:type="paragraph" w:customStyle="1" w:styleId="Kaflafyrirsgn">
    <w:name w:val="Kaflafyrirsögn"/>
    <w:basedOn w:val="Normal"/>
    <w:next w:val="Normal"/>
    <w:qFormat/>
    <w:rsid w:val="00895423"/>
    <w:pPr>
      <w:ind w:firstLine="0"/>
      <w:jc w:val="center"/>
    </w:pPr>
    <w:rPr>
      <w:b/>
    </w:rPr>
  </w:style>
  <w:style w:type="paragraph" w:customStyle="1" w:styleId="Kaflanmer">
    <w:name w:val="Kaflanúmer"/>
    <w:basedOn w:val="Normal"/>
    <w:next w:val="Normal"/>
    <w:qFormat/>
    <w:rsid w:val="00895423"/>
    <w:pPr>
      <w:ind w:firstLine="0"/>
      <w:jc w:val="center"/>
    </w:pPr>
    <w:rPr>
      <w:caps/>
    </w:rPr>
  </w:style>
  <w:style w:type="character" w:customStyle="1" w:styleId="HeaderChar">
    <w:name w:val="Header Char"/>
    <w:link w:val="Header"/>
    <w:uiPriority w:val="99"/>
    <w:rsid w:val="006258D7"/>
    <w:rPr>
      <w:rFonts w:ascii="Times New Roman" w:hAnsi="Times New Roman"/>
      <w:sz w:val="21"/>
      <w:szCs w:val="22"/>
      <w:lang w:eastAsia="en-US"/>
    </w:rPr>
  </w:style>
  <w:style w:type="paragraph" w:styleId="Footer">
    <w:name w:val="footer"/>
    <w:basedOn w:val="Normal"/>
    <w:link w:val="FooterChar"/>
    <w:uiPriority w:val="99"/>
    <w:unhideWhenUsed/>
    <w:rsid w:val="006258D7"/>
    <w:pPr>
      <w:tabs>
        <w:tab w:val="center" w:pos="4536"/>
        <w:tab w:val="right" w:pos="9072"/>
      </w:tabs>
    </w:pPr>
  </w:style>
  <w:style w:type="character" w:customStyle="1" w:styleId="FooterChar">
    <w:name w:val="Footer Char"/>
    <w:link w:val="Footer"/>
    <w:uiPriority w:val="99"/>
    <w:rsid w:val="006258D7"/>
    <w:rPr>
      <w:rFonts w:ascii="Times New Roman" w:hAnsi="Times New Roman"/>
      <w:sz w:val="21"/>
      <w:szCs w:val="22"/>
      <w:lang w:eastAsia="en-US"/>
    </w:rPr>
  </w:style>
  <w:style w:type="character" w:styleId="Hyperlink">
    <w:name w:val="Hyperlink"/>
    <w:basedOn w:val="DefaultParagraphFont"/>
    <w:uiPriority w:val="99"/>
    <w:unhideWhenUsed/>
    <w:rsid w:val="00D512A4"/>
  </w:style>
  <w:style w:type="paragraph" w:styleId="FootnoteText">
    <w:name w:val="footnote text"/>
    <w:basedOn w:val="Normal"/>
    <w:link w:val="FootnoteTextChar"/>
    <w:semiHidden/>
    <w:unhideWhenUsed/>
    <w:rsid w:val="005B4CD6"/>
    <w:pPr>
      <w:ind w:left="284" w:hanging="284"/>
    </w:pPr>
    <w:rPr>
      <w:sz w:val="18"/>
      <w:szCs w:val="20"/>
    </w:rPr>
  </w:style>
  <w:style w:type="character" w:customStyle="1" w:styleId="FootnoteTextChar">
    <w:name w:val="Footnote Text Char"/>
    <w:link w:val="FootnoteText"/>
    <w:uiPriority w:val="99"/>
    <w:semiHidden/>
    <w:rsid w:val="005B4CD6"/>
    <w:rPr>
      <w:rFonts w:ascii="Times New Roman" w:hAnsi="Times New Roman"/>
      <w:sz w:val="18"/>
      <w:lang w:eastAsia="en-US"/>
    </w:rPr>
  </w:style>
  <w:style w:type="character" w:styleId="FootnoteReference">
    <w:name w:val="footnote reference"/>
    <w:semiHidden/>
    <w:unhideWhenUsed/>
    <w:rsid w:val="005B4CD6"/>
    <w:rPr>
      <w:vertAlign w:val="superscript"/>
    </w:rPr>
  </w:style>
  <w:style w:type="numbering" w:customStyle="1" w:styleId="Althingi---">
    <w:name w:val="Althingi - - -"/>
    <w:uiPriority w:val="99"/>
    <w:rsid w:val="00995085"/>
    <w:pPr>
      <w:numPr>
        <w:numId w:val="1"/>
      </w:numPr>
    </w:pPr>
  </w:style>
  <w:style w:type="numbering" w:customStyle="1" w:styleId="Althingi">
    <w:name w:val="Althingi • • •"/>
    <w:uiPriority w:val="99"/>
    <w:rsid w:val="00995085"/>
    <w:pPr>
      <w:numPr>
        <w:numId w:val="2"/>
      </w:numPr>
    </w:pPr>
  </w:style>
  <w:style w:type="numbering" w:customStyle="1" w:styleId="Althingi1-a-1-a">
    <w:name w:val="Althingi 1 - a - 1 -a"/>
    <w:uiPriority w:val="99"/>
    <w:rsid w:val="00A10AE9"/>
    <w:pPr>
      <w:numPr>
        <w:numId w:val="3"/>
      </w:numPr>
    </w:pPr>
  </w:style>
  <w:style w:type="numbering" w:customStyle="1" w:styleId="Althingia-1-a-1">
    <w:name w:val="Althingi a - 1 - a - 1"/>
    <w:uiPriority w:val="99"/>
    <w:rsid w:val="00A10AE9"/>
    <w:pPr>
      <w:numPr>
        <w:numId w:val="4"/>
      </w:numPr>
    </w:pPr>
  </w:style>
  <w:style w:type="numbering" w:customStyle="1" w:styleId="Althingii-1-i-1">
    <w:name w:val="Althingi i - 1 - i - 1"/>
    <w:uiPriority w:val="99"/>
    <w:rsid w:val="00A10AE9"/>
    <w:pPr>
      <w:numPr>
        <w:numId w:val="5"/>
      </w:numPr>
    </w:pPr>
  </w:style>
  <w:style w:type="paragraph" w:customStyle="1" w:styleId="Nmeringsskjalsmls">
    <w:name w:val="Númer þings/skjals/máls"/>
    <w:basedOn w:val="Normal"/>
    <w:next w:val="Normal"/>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DefaultParagraphFont"/>
    <w:rsid w:val="00441B2E"/>
  </w:style>
  <w:style w:type="paragraph" w:styleId="BalloonText">
    <w:name w:val="Balloon Text"/>
    <w:basedOn w:val="Normal"/>
    <w:link w:val="BalloonTextChar"/>
    <w:uiPriority w:val="99"/>
    <w:semiHidden/>
    <w:unhideWhenUsed/>
    <w:rsid w:val="00CA7D0D"/>
    <w:rPr>
      <w:rFonts w:ascii="Tahoma" w:hAnsi="Tahoma" w:cs="Tahoma"/>
      <w:sz w:val="16"/>
      <w:szCs w:val="16"/>
    </w:rPr>
  </w:style>
  <w:style w:type="character" w:customStyle="1" w:styleId="BalloonTextChar">
    <w:name w:val="Balloon Text Char"/>
    <w:basedOn w:val="DefaultParagraphFont"/>
    <w:link w:val="BalloonText"/>
    <w:uiPriority w:val="99"/>
    <w:semiHidden/>
    <w:rsid w:val="00CA7D0D"/>
    <w:rPr>
      <w:rFonts w:ascii="Tahoma" w:hAnsi="Tahoma" w:cs="Tahoma"/>
      <w:sz w:val="16"/>
      <w:szCs w:val="16"/>
      <w:lang w:val="is-IS"/>
    </w:rPr>
  </w:style>
  <w:style w:type="paragraph" w:styleId="ListParagraph">
    <w:name w:val="List Paragraph"/>
    <w:basedOn w:val="Normal"/>
    <w:uiPriority w:val="34"/>
    <w:unhideWhenUsed/>
    <w:qFormat/>
    <w:rsid w:val="003C3D67"/>
    <w:pPr>
      <w:ind w:left="720"/>
      <w:contextualSpacing/>
    </w:pPr>
  </w:style>
  <w:style w:type="paragraph" w:styleId="NormalWeb">
    <w:name w:val="Normal (Web)"/>
    <w:basedOn w:val="Normal"/>
    <w:uiPriority w:val="99"/>
    <w:semiHidden/>
    <w:unhideWhenUsed/>
    <w:rsid w:val="00E054BF"/>
    <w:pPr>
      <w:spacing w:before="100" w:beforeAutospacing="1" w:after="100" w:afterAutospacing="1"/>
      <w:ind w:firstLine="0"/>
      <w:jc w:val="left"/>
    </w:pPr>
    <w:rPr>
      <w:rFonts w:eastAsia="Times New Roman"/>
      <w:sz w:val="24"/>
      <w:szCs w:val="24"/>
      <w:lang w:val="en-US"/>
    </w:rPr>
  </w:style>
  <w:style w:type="character" w:styleId="Emphasis">
    <w:name w:val="Emphasis"/>
    <w:basedOn w:val="DefaultParagraphFont"/>
    <w:uiPriority w:val="20"/>
    <w:qFormat/>
    <w:rsid w:val="00AE0C4F"/>
    <w:rPr>
      <w:i/>
      <w:iCs/>
    </w:rPr>
  </w:style>
  <w:style w:type="character" w:styleId="CommentReference">
    <w:name w:val="annotation reference"/>
    <w:basedOn w:val="DefaultParagraphFont"/>
    <w:uiPriority w:val="99"/>
    <w:semiHidden/>
    <w:unhideWhenUsed/>
    <w:rsid w:val="00075EEE"/>
    <w:rPr>
      <w:sz w:val="16"/>
      <w:szCs w:val="16"/>
    </w:rPr>
  </w:style>
  <w:style w:type="paragraph" w:styleId="CommentText">
    <w:name w:val="annotation text"/>
    <w:basedOn w:val="Normal"/>
    <w:link w:val="CommentTextChar"/>
    <w:uiPriority w:val="99"/>
    <w:semiHidden/>
    <w:unhideWhenUsed/>
    <w:rsid w:val="00075EEE"/>
    <w:rPr>
      <w:sz w:val="20"/>
      <w:szCs w:val="20"/>
    </w:rPr>
  </w:style>
  <w:style w:type="character" w:customStyle="1" w:styleId="CommentTextChar">
    <w:name w:val="Comment Text Char"/>
    <w:basedOn w:val="DefaultParagraphFont"/>
    <w:link w:val="CommentText"/>
    <w:uiPriority w:val="99"/>
    <w:semiHidden/>
    <w:rsid w:val="00075EEE"/>
    <w:rPr>
      <w:rFonts w:ascii="Times New Roman" w:hAnsi="Times New Roman"/>
      <w:lang w:val="is-IS"/>
    </w:rPr>
  </w:style>
  <w:style w:type="paragraph" w:styleId="CommentSubject">
    <w:name w:val="annotation subject"/>
    <w:basedOn w:val="CommentText"/>
    <w:next w:val="CommentText"/>
    <w:link w:val="CommentSubjectChar"/>
    <w:uiPriority w:val="99"/>
    <w:semiHidden/>
    <w:unhideWhenUsed/>
    <w:rsid w:val="004B0377"/>
    <w:rPr>
      <w:b/>
      <w:bCs/>
    </w:rPr>
  </w:style>
  <w:style w:type="character" w:customStyle="1" w:styleId="CommentSubjectChar">
    <w:name w:val="Comment Subject Char"/>
    <w:basedOn w:val="CommentTextChar"/>
    <w:link w:val="CommentSubject"/>
    <w:uiPriority w:val="99"/>
    <w:semiHidden/>
    <w:rsid w:val="004B0377"/>
    <w:rPr>
      <w:rFonts w:ascii="Times New Roman" w:hAnsi="Times New Roman"/>
      <w:b/>
      <w:bCs/>
      <w:lang w:val="is-IS"/>
    </w:rPr>
  </w:style>
  <w:style w:type="paragraph" w:customStyle="1" w:styleId="Frrherra">
    <w:name w:val="Frá ...ráðherra."/>
    <w:basedOn w:val="Normal"/>
    <w:next w:val="Normal"/>
    <w:qFormat/>
    <w:rsid w:val="001264B7"/>
    <w:pPr>
      <w:ind w:firstLine="0"/>
      <w:jc w:val="center"/>
    </w:pPr>
    <w:rPr>
      <w:rFonts w:eastAsiaTheme="minorHAnsi" w:cstheme="minorBidi"/>
    </w:rPr>
  </w:style>
  <w:style w:type="paragraph" w:customStyle="1" w:styleId="Fyrirsgn-greinarger">
    <w:name w:val="Fyrirsögn - greinargerð"/>
    <w:basedOn w:val="Normal"/>
    <w:next w:val="Normal"/>
    <w:qFormat/>
    <w:rsid w:val="001264B7"/>
    <w:pPr>
      <w:ind w:firstLine="0"/>
      <w:jc w:val="center"/>
      <w:outlineLvl w:val="0"/>
    </w:pPr>
    <w:rPr>
      <w:rFonts w:eastAsiaTheme="minorHAnsi" w:cstheme="minorBidi"/>
      <w:spacing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294533251">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53335045">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1666476657">
      <w:bodyDiv w:val="1"/>
      <w:marLeft w:val="0"/>
      <w:marRight w:val="0"/>
      <w:marTop w:val="0"/>
      <w:marBottom w:val="0"/>
      <w:divBdr>
        <w:top w:val="none" w:sz="0" w:space="0" w:color="auto"/>
        <w:left w:val="none" w:sz="0" w:space="0" w:color="auto"/>
        <w:bottom w:val="none" w:sz="0" w:space="0" w:color="auto"/>
        <w:right w:val="none" w:sz="0" w:space="0" w:color="auto"/>
      </w:divBdr>
    </w:div>
    <w:div w:id="19078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3E0DD-1742-4179-9333-475133DBC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7815</Words>
  <Characters>44552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2019-02-05T15:20:00Z</dcterms:created>
  <dcterms:modified xsi:type="dcterms:W3CDTF">2019-02-06T10:21:00Z</dcterms:modified>
</cp:coreProperties>
</file>