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D763F" w14:textId="77777777" w:rsidR="00406FF7" w:rsidRDefault="00406FF7" w:rsidP="00C673F8">
      <w:pPr>
        <w:jc w:val="both"/>
        <w:rPr>
          <w:b/>
        </w:rPr>
      </w:pPr>
    </w:p>
    <w:p w14:paraId="4E270AF4" w14:textId="2C43854C" w:rsidR="00406FF7" w:rsidRPr="00406FF7" w:rsidRDefault="00406FF7" w:rsidP="00C673F8">
      <w:pPr>
        <w:jc w:val="both"/>
        <w:rPr>
          <w:b/>
        </w:rPr>
      </w:pPr>
      <w:r w:rsidRPr="00406FF7">
        <w:rPr>
          <w:b/>
        </w:rPr>
        <w:t xml:space="preserve">Samráðsgátt stjórnvalda </w:t>
      </w:r>
    </w:p>
    <w:p w14:paraId="77B4F265" w14:textId="77777777" w:rsidR="00406FF7" w:rsidRDefault="00406FF7" w:rsidP="00C673F8">
      <w:pPr>
        <w:jc w:val="both"/>
        <w:rPr>
          <w:b/>
          <w:bCs/>
          <w:sz w:val="28"/>
          <w:szCs w:val="28"/>
        </w:rPr>
      </w:pPr>
    </w:p>
    <w:p w14:paraId="0B979EAF" w14:textId="323C7E44" w:rsidR="00406FF7" w:rsidRPr="00406FF7" w:rsidRDefault="00406FF7" w:rsidP="00406FF7">
      <w:pPr>
        <w:jc w:val="right"/>
      </w:pPr>
      <w:r w:rsidRPr="00406FF7">
        <w:t xml:space="preserve">Reykjavík, </w:t>
      </w:r>
      <w:r w:rsidR="00DE2F32">
        <w:t>4</w:t>
      </w:r>
      <w:r w:rsidR="008457B7">
        <w:t xml:space="preserve">. </w:t>
      </w:r>
      <w:r w:rsidR="00F00AF5">
        <w:t xml:space="preserve">mars </w:t>
      </w:r>
      <w:r w:rsidR="008457B7">
        <w:t>2024</w:t>
      </w:r>
    </w:p>
    <w:p w14:paraId="418EB1C4" w14:textId="77777777" w:rsidR="00406FF7" w:rsidRDefault="00406FF7" w:rsidP="00C673F8">
      <w:pPr>
        <w:jc w:val="both"/>
        <w:rPr>
          <w:b/>
          <w:bCs/>
          <w:sz w:val="28"/>
          <w:szCs w:val="28"/>
        </w:rPr>
      </w:pPr>
    </w:p>
    <w:p w14:paraId="7CE6471E" w14:textId="38F19849" w:rsidR="007A605D" w:rsidRPr="00406FF7" w:rsidRDefault="00406FF7" w:rsidP="00C673F8">
      <w:pPr>
        <w:jc w:val="both"/>
        <w:rPr>
          <w:b/>
        </w:rPr>
      </w:pPr>
      <w:r w:rsidRPr="00406FF7">
        <w:rPr>
          <w:b/>
        </w:rPr>
        <w:t xml:space="preserve">Efni: Umsögn </w:t>
      </w:r>
      <w:r w:rsidR="00CA6F58">
        <w:rPr>
          <w:b/>
        </w:rPr>
        <w:t>Nasdaq Iceland um áformaskjal, mál nr. S-45/2024, breytingar á lögum nr. 129/1997 (fjárfestingarheimildir lífeyrissjóða)</w:t>
      </w:r>
    </w:p>
    <w:p w14:paraId="6651870E" w14:textId="30FD7CD4" w:rsidR="00406FF7" w:rsidRDefault="00F00AF5" w:rsidP="00406FF7">
      <w:pPr>
        <w:jc w:val="both"/>
      </w:pPr>
      <w:r w:rsidRPr="00F00AF5">
        <w:t>Nasdaq Iceland (Kauphöllin) þakkar fyrir tækifæri</w:t>
      </w:r>
      <w:r w:rsidR="00990EE0">
        <w:t>ð</w:t>
      </w:r>
      <w:r w:rsidRPr="00F00AF5">
        <w:t xml:space="preserve"> til að koma á framfæri sjónarmiðum sínum </w:t>
      </w:r>
      <w:r w:rsidR="00B24BC3">
        <w:t>við</w:t>
      </w:r>
      <w:r w:rsidR="00743E54">
        <w:t xml:space="preserve"> </w:t>
      </w:r>
      <w:r w:rsidR="00CA6F58">
        <w:t xml:space="preserve">áformaskjal stjórnvalda í máli nr. S-45/2024. sem snýr að </w:t>
      </w:r>
      <w:proofErr w:type="spellStart"/>
      <w:r w:rsidR="00CA6F58">
        <w:t>rýmkun</w:t>
      </w:r>
      <w:proofErr w:type="spellEnd"/>
      <w:r w:rsidR="00CA6F58">
        <w:t xml:space="preserve"> heimilda lífeyrissjóða til að fjárfesta í hlutafélögum eða sjóðum sem eru ekki í viðskiptum á skipulegum markaði og sem hafa það að </w:t>
      </w:r>
      <w:r w:rsidR="00CA6F58" w:rsidRPr="00CA6F58">
        <w:t>meginstarfsemin að fjárfesta í íbúðarhúsnæði sem ætlað er til langtímaleigu til einstaklinga til fastrar búsetu</w:t>
      </w:r>
      <w:r w:rsidR="00CA6F58">
        <w:t>.</w:t>
      </w:r>
    </w:p>
    <w:p w14:paraId="7487FD20" w14:textId="05CC413E" w:rsidR="001C13F9" w:rsidRDefault="00CA6F58" w:rsidP="00406FF7">
      <w:pPr>
        <w:jc w:val="both"/>
      </w:pPr>
      <w:r>
        <w:t xml:space="preserve">Kauphöllin telur að svo stöddu ekki ástæðu til að gera athugasemd við áformaskjalið. </w:t>
      </w:r>
      <w:r w:rsidR="001C13F9">
        <w:t xml:space="preserve">Um er að ræða afmarkaða útvíkkun á fjárfestingarheimildum lífeyrissjóða, m.a. á þeim grunni að lífeyrissjóðum er nú þegar heimilt að fjárfesta með beinum hætti í fasteignum. Eins og rakið er í áformaskjalinu hentar það lífeyrissjóðum ekki endilega að vera beinir eigendur fasteigna, þar sem þeir þyrftu sjálfir að vera leigusalar og sinna þeirri þjónustu sem því fylgir með tilheyrandi rekstrarkostnaði. Það má því segja að um sé að ræða nýja, og mögulega skilvirkari, útfærslu á fjárfestingarheimild sem nú þegar er til staðar. </w:t>
      </w:r>
    </w:p>
    <w:p w14:paraId="39762A36" w14:textId="029447E0" w:rsidR="0027307F" w:rsidRDefault="001C13F9" w:rsidP="00406FF7">
      <w:pPr>
        <w:jc w:val="both"/>
      </w:pPr>
      <w:r>
        <w:t xml:space="preserve">Að því sögðu hvetur Kauphöllin lífeyrissjóði til að huga vel að þeirri fjárfestavernd sem </w:t>
      </w:r>
      <w:r w:rsidR="00605A24">
        <w:t xml:space="preserve">fæst með </w:t>
      </w:r>
      <w:r>
        <w:t xml:space="preserve">töku til viðskipta, óháð </w:t>
      </w:r>
      <w:r w:rsidR="00DE2F32">
        <w:t>útfærslu fjárfestingarheimilda</w:t>
      </w:r>
      <w:r>
        <w:t>.</w:t>
      </w:r>
      <w:r w:rsidR="00605A24">
        <w:t xml:space="preserve"> </w:t>
      </w:r>
      <w:r w:rsidR="00565079">
        <w:t>Ferlið við töku til viðskipta (skráningarferlið) er ítarlegt og felur í sér umfangsmikla rýni ráðgjafa, Kauphallarinnar, fjárfesta og eftir atvikum Fjármálaeftirlits Seðlabankans á starfsemi viðkomandi útgefanda, stjórnarháttum, ferlum</w:t>
      </w:r>
      <w:r w:rsidR="00DE2F32">
        <w:t xml:space="preserve"> og</w:t>
      </w:r>
      <w:r w:rsidR="00565079">
        <w:t xml:space="preserve"> helstu áhættum. Jafnvel þó skráning eigi sér í einhverjum tilfellum stað eftir fjárfestingu lífeyrissjóða liggur yfirleitt fyrir við þá fjárfestingu að til skráningar muni koma </w:t>
      </w:r>
      <w:r w:rsidR="0027307F">
        <w:t xml:space="preserve">síðar </w:t>
      </w:r>
      <w:r w:rsidR="00565079">
        <w:t xml:space="preserve">og því ljóst að viðkomandi útgefandi muni </w:t>
      </w:r>
      <w:r w:rsidR="0027307F">
        <w:t xml:space="preserve">í náinni framtíð </w:t>
      </w:r>
      <w:r w:rsidR="00565079">
        <w:t xml:space="preserve">þurfa að uppfylla kröfur markaðarins, sem skapar mikið aðhald. </w:t>
      </w:r>
    </w:p>
    <w:p w14:paraId="1306882E" w14:textId="43A66BEB" w:rsidR="00CA6F58" w:rsidRDefault="00DE2F32" w:rsidP="0027307F">
      <w:pPr>
        <w:jc w:val="both"/>
      </w:pPr>
      <w:r>
        <w:t xml:space="preserve">Möguleikinn á seljanleika getur svo skipt enn meira máli, þegar fram líða stundir. </w:t>
      </w:r>
      <w:r w:rsidR="0027307F">
        <w:t xml:space="preserve">Jafnvel þó fjárfestingar í íbúðarhúsnæði sem ætlað er til langtímaleigu til einstaklinga </w:t>
      </w:r>
      <w:r>
        <w:t>til</w:t>
      </w:r>
      <w:r w:rsidR="0027307F">
        <w:t xml:space="preserve"> fastrar búsetu </w:t>
      </w:r>
      <w:r>
        <w:t>geti</w:t>
      </w:r>
      <w:r w:rsidR="0027307F">
        <w:t xml:space="preserve"> í eðli sínu </w:t>
      </w:r>
      <w:r>
        <w:t xml:space="preserve">talist </w:t>
      </w:r>
      <w:r w:rsidR="0027307F">
        <w:t>langtímafjárfesting getur taka til viðskipta engu að síður skapað mikilvægan seljanleika. Aðstæður geta breyst mjög óvænt og möguleikinn á því að losa sig úr fjárfestingu vegna nýrra upplýsinga eða breytinga á afstöðu hlýtur alltaf að vera lykilatriði fyrir lífeyrissjóði með ríka umboðsskyldu. Taka til viðskipta stuðlar að gagnsæi</w:t>
      </w:r>
      <w:r>
        <w:t xml:space="preserve"> og</w:t>
      </w:r>
      <w:r w:rsidR="0027307F">
        <w:t xml:space="preserve"> jöfnu aðgengi fjárfesta að upplýsingum og </w:t>
      </w:r>
      <w:r>
        <w:t xml:space="preserve">býr til </w:t>
      </w:r>
      <w:r w:rsidR="0027307F">
        <w:t xml:space="preserve">vettvang til að eiga slík viðskipti. </w:t>
      </w:r>
    </w:p>
    <w:p w14:paraId="0222FE4E" w14:textId="0E8A5D3F" w:rsidR="0002432C" w:rsidRDefault="007A3AE8" w:rsidP="0002432C">
      <w:pPr>
        <w:jc w:val="both"/>
      </w:pPr>
      <w:r>
        <w:t xml:space="preserve">Í umsögn Landssamtaka lífeyrissjóða (LL) við áformaskjalið eru stjórnvöld hvött til þess að gera áðurnefndar breytingar á fjárfestingarheimildum lífeyrissjóða með sem almennustum hætti. Er </w:t>
      </w:r>
      <w:r w:rsidR="0002432C">
        <w:t xml:space="preserve">m.a. </w:t>
      </w:r>
      <w:r>
        <w:t xml:space="preserve">lagt til að heimild til fjárfestinga verði almennari hvað varðar starfsemi viðkomandi félaga eða sjóði um sameiginlega fjárfestingu. </w:t>
      </w:r>
      <w:r w:rsidR="0002432C">
        <w:t>Kauphöllin fagnar því að rýnt verði með almennari hætti í fjárfestingarheimildir lífeyrissjóða</w:t>
      </w:r>
      <w:r w:rsidR="00F52D37">
        <w:t xml:space="preserve">. Lífeyrissjóðir eru ábyrgir fyrir því að fjárfesta bróðurparti sparnaðar landsmanna og því getur skipt miklu máli fyrir </w:t>
      </w:r>
      <w:r w:rsidR="0002432C">
        <w:t>uppbyggingu innlends fjármálamarkaðar</w:t>
      </w:r>
      <w:r w:rsidR="00F52D37">
        <w:t xml:space="preserve"> og</w:t>
      </w:r>
      <w:r w:rsidR="0002432C">
        <w:t xml:space="preserve"> blómlegt atvinnulíf </w:t>
      </w:r>
      <w:r w:rsidR="00F52D37">
        <w:t xml:space="preserve">í hvaða farveg þeim sparnaði er beint. </w:t>
      </w:r>
      <w:r w:rsidR="00605A24">
        <w:t xml:space="preserve">Kauphöllin hvetur því til þess að frekari endurskoðun á fjárfestingarheimildum lífeyrissjóða en lagt er upp með í áformaskjalinu verði gerð að sjálfstæðu máli svo hægt verði að greina allt umhverfið </w:t>
      </w:r>
      <w:r w:rsidR="00DE2F32">
        <w:t xml:space="preserve">og áhrif mögulegra breytinga </w:t>
      </w:r>
      <w:r w:rsidR="00605A24">
        <w:t>með heildstæðari hætti.</w:t>
      </w:r>
    </w:p>
    <w:p w14:paraId="2984E8A0" w14:textId="68926369" w:rsidR="00F00AF5" w:rsidRPr="00071628" w:rsidRDefault="00DC0D55" w:rsidP="00406FF7">
      <w:pPr>
        <w:jc w:val="both"/>
      </w:pPr>
      <w:r w:rsidRPr="00DC0D55">
        <w:lastRenderedPageBreak/>
        <w:t>Kauphöllin er fús til frekari umræðu og samstarfs um ofangreint mál.</w:t>
      </w:r>
    </w:p>
    <w:p w14:paraId="60B71B85" w14:textId="77777777" w:rsidR="00406FF7" w:rsidRPr="00071628" w:rsidRDefault="00406FF7" w:rsidP="00406FF7">
      <w:pPr>
        <w:jc w:val="both"/>
      </w:pPr>
    </w:p>
    <w:p w14:paraId="6BA7ABAF" w14:textId="77777777" w:rsidR="00406FF7" w:rsidRPr="00071628" w:rsidRDefault="00406FF7" w:rsidP="00406FF7">
      <w:pPr>
        <w:jc w:val="both"/>
      </w:pPr>
      <w:r w:rsidRPr="00071628">
        <w:t>Virðingarfyllst,</w:t>
      </w:r>
    </w:p>
    <w:p w14:paraId="1A7247C5" w14:textId="77777777" w:rsidR="00406FF7" w:rsidRDefault="00406FF7" w:rsidP="00406FF7">
      <w:pPr>
        <w:jc w:val="both"/>
        <w:rPr>
          <w:sz w:val="28"/>
          <w:szCs w:val="28"/>
        </w:rPr>
      </w:pPr>
      <w:r>
        <w:rPr>
          <w:noProof/>
          <w:sz w:val="28"/>
          <w:szCs w:val="28"/>
        </w:rPr>
        <w:drawing>
          <wp:inline distT="0" distB="0" distL="0" distR="0" wp14:anchorId="431E5176" wp14:editId="7D27E166">
            <wp:extent cx="1208405" cy="466725"/>
            <wp:effectExtent l="0" t="0" r="0" b="9525"/>
            <wp:docPr id="2" name="Picture 2" descr="ÁSK undirsk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ÁSK undirskrif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8405" cy="466725"/>
                    </a:xfrm>
                    <a:prstGeom prst="rect">
                      <a:avLst/>
                    </a:prstGeom>
                    <a:noFill/>
                    <a:ln>
                      <a:noFill/>
                    </a:ln>
                  </pic:spPr>
                </pic:pic>
              </a:graphicData>
            </a:graphic>
          </wp:inline>
        </w:drawing>
      </w:r>
    </w:p>
    <w:p w14:paraId="2D381953" w14:textId="77777777" w:rsidR="00406FF7" w:rsidRPr="00071628" w:rsidRDefault="00406FF7" w:rsidP="00406FF7">
      <w:pPr>
        <w:jc w:val="both"/>
      </w:pPr>
      <w:r w:rsidRPr="00071628">
        <w:t xml:space="preserve">Árnína Steinunn Kristjánsdóttir, </w:t>
      </w:r>
    </w:p>
    <w:p w14:paraId="5C3046F0" w14:textId="77777777" w:rsidR="00406FF7" w:rsidRDefault="00406FF7" w:rsidP="00406FF7">
      <w:pPr>
        <w:jc w:val="both"/>
      </w:pPr>
      <w:r w:rsidRPr="00071628">
        <w:t xml:space="preserve">yfirlögfræðingur Nasdaq á Íslandi. </w:t>
      </w:r>
    </w:p>
    <w:p w14:paraId="1F2B9721" w14:textId="77777777" w:rsidR="00406FF7" w:rsidRDefault="00406FF7" w:rsidP="00FB1882">
      <w:pPr>
        <w:jc w:val="both"/>
      </w:pPr>
    </w:p>
    <w:sectPr w:rsidR="00406FF7">
      <w:headerReference w:type="default" r:id="rId9"/>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CDF81" w14:textId="77777777" w:rsidR="003F39F0" w:rsidRDefault="003F39F0" w:rsidP="003635F9">
      <w:pPr>
        <w:spacing w:after="0" w:line="240" w:lineRule="auto"/>
      </w:pPr>
      <w:r>
        <w:separator/>
      </w:r>
    </w:p>
  </w:endnote>
  <w:endnote w:type="continuationSeparator" w:id="0">
    <w:p w14:paraId="2FBCF568" w14:textId="77777777" w:rsidR="003F39F0" w:rsidRDefault="003F39F0" w:rsidP="00363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0B42" w14:textId="2E76635C" w:rsidR="00C82F21" w:rsidRDefault="000E7D25">
    <w:pPr>
      <w:pStyle w:val="Footer"/>
    </w:pPr>
    <w:r>
      <w:rPr>
        <w:noProof/>
      </w:rPr>
      <mc:AlternateContent>
        <mc:Choice Requires="wps">
          <w:drawing>
            <wp:anchor distT="0" distB="0" distL="0" distR="0" simplePos="0" relativeHeight="251660288" behindDoc="0" locked="0" layoutInCell="1" allowOverlap="1" wp14:anchorId="0ECE9BD6" wp14:editId="0C267849">
              <wp:simplePos x="635" y="635"/>
              <wp:positionH relativeFrom="page">
                <wp:align>center</wp:align>
              </wp:positionH>
              <wp:positionV relativeFrom="page">
                <wp:align>bottom</wp:align>
              </wp:positionV>
              <wp:extent cx="443865" cy="443865"/>
              <wp:effectExtent l="0" t="0" r="12700" b="0"/>
              <wp:wrapNone/>
              <wp:docPr id="294304774" name="Text Box 2" descr="General Communication: This content contains non-sensitive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B2D22E" w14:textId="17362B2B" w:rsidR="000E7D25" w:rsidRPr="000E7D25" w:rsidRDefault="000E7D25" w:rsidP="000E7D25">
                          <w:pPr>
                            <w:spacing w:after="0"/>
                            <w:rPr>
                              <w:rFonts w:ascii="Calibri" w:eastAsia="Calibri" w:hAnsi="Calibri" w:cs="Calibri"/>
                              <w:noProof/>
                              <w:color w:val="000000"/>
                              <w:sz w:val="24"/>
                              <w:szCs w:val="24"/>
                            </w:rPr>
                          </w:pPr>
                          <w:r w:rsidRPr="000E7D25">
                            <w:rPr>
                              <w:rFonts w:ascii="Calibri" w:eastAsia="Calibri" w:hAnsi="Calibri" w:cs="Calibri"/>
                              <w:noProof/>
                              <w:color w:val="000000"/>
                              <w:sz w:val="24"/>
                              <w:szCs w:val="24"/>
                            </w:rPr>
                            <w:t>General Communication: This content contains non-sensitive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CE9BD6" id="_x0000_t202" coordsize="21600,21600" o:spt="202" path="m,l,21600r21600,l21600,xe">
              <v:stroke joinstyle="miter"/>
              <v:path gradientshapeok="t" o:connecttype="rect"/>
            </v:shapetype>
            <v:shape id="Text Box 2" o:spid="_x0000_s1026" type="#_x0000_t202" alt="General Communication: This content contains non-sensitive information"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0B2D22E" w14:textId="17362B2B" w:rsidR="000E7D25" w:rsidRPr="000E7D25" w:rsidRDefault="000E7D25" w:rsidP="000E7D25">
                    <w:pPr>
                      <w:spacing w:after="0"/>
                      <w:rPr>
                        <w:rFonts w:ascii="Calibri" w:eastAsia="Calibri" w:hAnsi="Calibri" w:cs="Calibri"/>
                        <w:noProof/>
                        <w:color w:val="000000"/>
                        <w:sz w:val="24"/>
                        <w:szCs w:val="24"/>
                      </w:rPr>
                    </w:pPr>
                    <w:r w:rsidRPr="000E7D25">
                      <w:rPr>
                        <w:rFonts w:ascii="Calibri" w:eastAsia="Calibri" w:hAnsi="Calibri" w:cs="Calibri"/>
                        <w:noProof/>
                        <w:color w:val="000000"/>
                        <w:sz w:val="24"/>
                        <w:szCs w:val="24"/>
                      </w:rPr>
                      <w:t>General Communication: This content contains non-sensitive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A15F" w14:textId="6CF8809E" w:rsidR="00C82F21" w:rsidRDefault="000E7D25">
    <w:pPr>
      <w:pStyle w:val="Footer"/>
    </w:pPr>
    <w:r>
      <w:rPr>
        <w:noProof/>
      </w:rPr>
      <mc:AlternateContent>
        <mc:Choice Requires="wps">
          <w:drawing>
            <wp:anchor distT="0" distB="0" distL="0" distR="0" simplePos="0" relativeHeight="251661312" behindDoc="0" locked="0" layoutInCell="1" allowOverlap="1" wp14:anchorId="146B22F7" wp14:editId="71168328">
              <wp:simplePos x="914400" y="10074303"/>
              <wp:positionH relativeFrom="page">
                <wp:align>center</wp:align>
              </wp:positionH>
              <wp:positionV relativeFrom="page">
                <wp:align>bottom</wp:align>
              </wp:positionV>
              <wp:extent cx="443865" cy="443865"/>
              <wp:effectExtent l="0" t="0" r="12700" b="0"/>
              <wp:wrapNone/>
              <wp:docPr id="825889003" name="Text Box 3" descr="General Communication: This content contains non-sensitive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80302F" w14:textId="5FC55CB4" w:rsidR="000E7D25" w:rsidRPr="000E7D25" w:rsidRDefault="000E7D25" w:rsidP="000E7D25">
                          <w:pPr>
                            <w:spacing w:after="0"/>
                            <w:rPr>
                              <w:rFonts w:ascii="Calibri" w:eastAsia="Calibri" w:hAnsi="Calibri" w:cs="Calibri"/>
                              <w:noProof/>
                              <w:color w:val="000000"/>
                              <w:sz w:val="24"/>
                              <w:szCs w:val="24"/>
                            </w:rPr>
                          </w:pPr>
                          <w:r w:rsidRPr="000E7D25">
                            <w:rPr>
                              <w:rFonts w:ascii="Calibri" w:eastAsia="Calibri" w:hAnsi="Calibri" w:cs="Calibri"/>
                              <w:noProof/>
                              <w:color w:val="000000"/>
                              <w:sz w:val="24"/>
                              <w:szCs w:val="24"/>
                            </w:rPr>
                            <w:t>General Communication: This content contains non-sensitive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6B22F7" id="_x0000_t202" coordsize="21600,21600" o:spt="202" path="m,l,21600r21600,l21600,xe">
              <v:stroke joinstyle="miter"/>
              <v:path gradientshapeok="t" o:connecttype="rect"/>
            </v:shapetype>
            <v:shape id="Text Box 3" o:spid="_x0000_s1027" type="#_x0000_t202" alt="General Communication: This content contains non-sensitive information"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B80302F" w14:textId="5FC55CB4" w:rsidR="000E7D25" w:rsidRPr="000E7D25" w:rsidRDefault="000E7D25" w:rsidP="000E7D25">
                    <w:pPr>
                      <w:spacing w:after="0"/>
                      <w:rPr>
                        <w:rFonts w:ascii="Calibri" w:eastAsia="Calibri" w:hAnsi="Calibri" w:cs="Calibri"/>
                        <w:noProof/>
                        <w:color w:val="000000"/>
                        <w:sz w:val="24"/>
                        <w:szCs w:val="24"/>
                      </w:rPr>
                    </w:pPr>
                    <w:r w:rsidRPr="000E7D25">
                      <w:rPr>
                        <w:rFonts w:ascii="Calibri" w:eastAsia="Calibri" w:hAnsi="Calibri" w:cs="Calibri"/>
                        <w:noProof/>
                        <w:color w:val="000000"/>
                        <w:sz w:val="24"/>
                        <w:szCs w:val="24"/>
                      </w:rPr>
                      <w:t>General Communication: This content contains non-sensitive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B83B7" w14:textId="28128560" w:rsidR="00C82F21" w:rsidRDefault="000E7D25">
    <w:pPr>
      <w:pStyle w:val="Footer"/>
    </w:pPr>
    <w:r>
      <w:rPr>
        <w:noProof/>
      </w:rPr>
      <mc:AlternateContent>
        <mc:Choice Requires="wps">
          <w:drawing>
            <wp:anchor distT="0" distB="0" distL="0" distR="0" simplePos="0" relativeHeight="251659264" behindDoc="0" locked="0" layoutInCell="1" allowOverlap="1" wp14:anchorId="69937104" wp14:editId="0741F1E6">
              <wp:simplePos x="635" y="635"/>
              <wp:positionH relativeFrom="page">
                <wp:align>center</wp:align>
              </wp:positionH>
              <wp:positionV relativeFrom="page">
                <wp:align>bottom</wp:align>
              </wp:positionV>
              <wp:extent cx="443865" cy="443865"/>
              <wp:effectExtent l="0" t="0" r="12700" b="0"/>
              <wp:wrapNone/>
              <wp:docPr id="1670443588" name="Text Box 1" descr="General Communication: This content contains non-sensitive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7F806E" w14:textId="1F6EFA84" w:rsidR="000E7D25" w:rsidRPr="000E7D25" w:rsidRDefault="000E7D25" w:rsidP="000E7D25">
                          <w:pPr>
                            <w:spacing w:after="0"/>
                            <w:rPr>
                              <w:rFonts w:ascii="Calibri" w:eastAsia="Calibri" w:hAnsi="Calibri" w:cs="Calibri"/>
                              <w:noProof/>
                              <w:color w:val="000000"/>
                              <w:sz w:val="24"/>
                              <w:szCs w:val="24"/>
                            </w:rPr>
                          </w:pPr>
                          <w:r w:rsidRPr="000E7D25">
                            <w:rPr>
                              <w:rFonts w:ascii="Calibri" w:eastAsia="Calibri" w:hAnsi="Calibri" w:cs="Calibri"/>
                              <w:noProof/>
                              <w:color w:val="000000"/>
                              <w:sz w:val="24"/>
                              <w:szCs w:val="24"/>
                            </w:rPr>
                            <w:t>General Communication: This content contains non-sensitive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937104" id="_x0000_t202" coordsize="21600,21600" o:spt="202" path="m,l,21600r21600,l21600,xe">
              <v:stroke joinstyle="miter"/>
              <v:path gradientshapeok="t" o:connecttype="rect"/>
            </v:shapetype>
            <v:shape id="Text Box 1" o:spid="_x0000_s1028" type="#_x0000_t202" alt="General Communication: This content contains non-sensitive information"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D7F806E" w14:textId="1F6EFA84" w:rsidR="000E7D25" w:rsidRPr="000E7D25" w:rsidRDefault="000E7D25" w:rsidP="000E7D25">
                    <w:pPr>
                      <w:spacing w:after="0"/>
                      <w:rPr>
                        <w:rFonts w:ascii="Calibri" w:eastAsia="Calibri" w:hAnsi="Calibri" w:cs="Calibri"/>
                        <w:noProof/>
                        <w:color w:val="000000"/>
                        <w:sz w:val="24"/>
                        <w:szCs w:val="24"/>
                      </w:rPr>
                    </w:pPr>
                    <w:r w:rsidRPr="000E7D25">
                      <w:rPr>
                        <w:rFonts w:ascii="Calibri" w:eastAsia="Calibri" w:hAnsi="Calibri" w:cs="Calibri"/>
                        <w:noProof/>
                        <w:color w:val="000000"/>
                        <w:sz w:val="24"/>
                        <w:szCs w:val="24"/>
                      </w:rPr>
                      <w:t>General Communication: This content contains non-sensitive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BE21E" w14:textId="77777777" w:rsidR="003F39F0" w:rsidRDefault="003F39F0" w:rsidP="003635F9">
      <w:pPr>
        <w:spacing w:after="0" w:line="240" w:lineRule="auto"/>
      </w:pPr>
      <w:r>
        <w:separator/>
      </w:r>
    </w:p>
  </w:footnote>
  <w:footnote w:type="continuationSeparator" w:id="0">
    <w:p w14:paraId="2B2D1D8B" w14:textId="77777777" w:rsidR="003F39F0" w:rsidRDefault="003F39F0" w:rsidP="00363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0767" w14:textId="4560E24E" w:rsidR="001272D0" w:rsidRDefault="001272D0">
    <w:pPr>
      <w:pStyle w:val="Header"/>
    </w:pPr>
    <w:r>
      <w:rPr>
        <w:noProof/>
      </w:rPr>
      <w:drawing>
        <wp:anchor distT="0" distB="0" distL="114300" distR="114300" simplePos="0" relativeHeight="251658240" behindDoc="0" locked="0" layoutInCell="1" allowOverlap="1" wp14:anchorId="30D6B616" wp14:editId="4C496972">
          <wp:simplePos x="0" y="0"/>
          <wp:positionH relativeFrom="margin">
            <wp:align>right</wp:align>
          </wp:positionH>
          <wp:positionV relativeFrom="paragraph">
            <wp:posOffset>-147093</wp:posOffset>
          </wp:positionV>
          <wp:extent cx="1303020" cy="3651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365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43.35pt;height:43.35pt;visibility:visible;mso-wrap-style:square" o:bullet="t">
        <v:imagedata r:id="rId1" o:title=""/>
      </v:shape>
    </w:pict>
  </w:numPicBullet>
  <w:numPicBullet w:numPicBulletId="1">
    <w:pict>
      <v:shape id="Picture 3" o:spid="_x0000_i1039" type="#_x0000_t75" style="width:14.35pt;height:14.35pt;visibility:visible;mso-wrap-style:square" o:bullet="t">
        <v:imagedata r:id="rId2" o:title=""/>
      </v:shape>
    </w:pict>
  </w:numPicBullet>
  <w:abstractNum w:abstractNumId="0" w15:restartNumberingAfterBreak="0">
    <w:nsid w:val="14943585"/>
    <w:multiLevelType w:val="hybridMultilevel"/>
    <w:tmpl w:val="2BB2A67C"/>
    <w:lvl w:ilvl="0" w:tplc="040F000F">
      <w:start w:val="1"/>
      <w:numFmt w:val="decimal"/>
      <w:lvlText w:val="%1."/>
      <w:lvlJc w:val="left"/>
      <w:pPr>
        <w:ind w:left="1083" w:hanging="360"/>
      </w:pPr>
    </w:lvl>
    <w:lvl w:ilvl="1" w:tplc="040F0019" w:tentative="1">
      <w:start w:val="1"/>
      <w:numFmt w:val="lowerLetter"/>
      <w:lvlText w:val="%2."/>
      <w:lvlJc w:val="left"/>
      <w:pPr>
        <w:ind w:left="1803" w:hanging="360"/>
      </w:pPr>
    </w:lvl>
    <w:lvl w:ilvl="2" w:tplc="040F001B" w:tentative="1">
      <w:start w:val="1"/>
      <w:numFmt w:val="lowerRoman"/>
      <w:lvlText w:val="%3."/>
      <w:lvlJc w:val="right"/>
      <w:pPr>
        <w:ind w:left="2523" w:hanging="180"/>
      </w:pPr>
    </w:lvl>
    <w:lvl w:ilvl="3" w:tplc="040F000F" w:tentative="1">
      <w:start w:val="1"/>
      <w:numFmt w:val="decimal"/>
      <w:lvlText w:val="%4."/>
      <w:lvlJc w:val="left"/>
      <w:pPr>
        <w:ind w:left="3243" w:hanging="360"/>
      </w:pPr>
    </w:lvl>
    <w:lvl w:ilvl="4" w:tplc="040F0019" w:tentative="1">
      <w:start w:val="1"/>
      <w:numFmt w:val="lowerLetter"/>
      <w:lvlText w:val="%5."/>
      <w:lvlJc w:val="left"/>
      <w:pPr>
        <w:ind w:left="3963" w:hanging="360"/>
      </w:pPr>
    </w:lvl>
    <w:lvl w:ilvl="5" w:tplc="040F001B" w:tentative="1">
      <w:start w:val="1"/>
      <w:numFmt w:val="lowerRoman"/>
      <w:lvlText w:val="%6."/>
      <w:lvlJc w:val="right"/>
      <w:pPr>
        <w:ind w:left="4683" w:hanging="180"/>
      </w:pPr>
    </w:lvl>
    <w:lvl w:ilvl="6" w:tplc="040F000F" w:tentative="1">
      <w:start w:val="1"/>
      <w:numFmt w:val="decimal"/>
      <w:lvlText w:val="%7."/>
      <w:lvlJc w:val="left"/>
      <w:pPr>
        <w:ind w:left="5403" w:hanging="360"/>
      </w:pPr>
    </w:lvl>
    <w:lvl w:ilvl="7" w:tplc="040F0019" w:tentative="1">
      <w:start w:val="1"/>
      <w:numFmt w:val="lowerLetter"/>
      <w:lvlText w:val="%8."/>
      <w:lvlJc w:val="left"/>
      <w:pPr>
        <w:ind w:left="6123" w:hanging="360"/>
      </w:pPr>
    </w:lvl>
    <w:lvl w:ilvl="8" w:tplc="040F001B" w:tentative="1">
      <w:start w:val="1"/>
      <w:numFmt w:val="lowerRoman"/>
      <w:lvlText w:val="%9."/>
      <w:lvlJc w:val="right"/>
      <w:pPr>
        <w:ind w:left="6843" w:hanging="180"/>
      </w:pPr>
    </w:lvl>
  </w:abstractNum>
  <w:abstractNum w:abstractNumId="1" w15:restartNumberingAfterBreak="0">
    <w:nsid w:val="36912A45"/>
    <w:multiLevelType w:val="hybridMultilevel"/>
    <w:tmpl w:val="AB5A1740"/>
    <w:lvl w:ilvl="0" w:tplc="76F40DF0">
      <w:start w:val="1"/>
      <w:numFmt w:val="bullet"/>
      <w:lvlText w:val=""/>
      <w:lvlPicBulletId w:val="0"/>
      <w:lvlJc w:val="left"/>
      <w:pPr>
        <w:tabs>
          <w:tab w:val="num" w:pos="720"/>
        </w:tabs>
        <w:ind w:left="720" w:hanging="360"/>
      </w:pPr>
      <w:rPr>
        <w:rFonts w:ascii="Symbol" w:hAnsi="Symbol" w:hint="default"/>
      </w:rPr>
    </w:lvl>
    <w:lvl w:ilvl="1" w:tplc="206877A8" w:tentative="1">
      <w:start w:val="1"/>
      <w:numFmt w:val="bullet"/>
      <w:lvlText w:val=""/>
      <w:lvlJc w:val="left"/>
      <w:pPr>
        <w:tabs>
          <w:tab w:val="num" w:pos="1440"/>
        </w:tabs>
        <w:ind w:left="1440" w:hanging="360"/>
      </w:pPr>
      <w:rPr>
        <w:rFonts w:ascii="Symbol" w:hAnsi="Symbol" w:hint="default"/>
      </w:rPr>
    </w:lvl>
    <w:lvl w:ilvl="2" w:tplc="F7CAB4C0" w:tentative="1">
      <w:start w:val="1"/>
      <w:numFmt w:val="bullet"/>
      <w:lvlText w:val=""/>
      <w:lvlJc w:val="left"/>
      <w:pPr>
        <w:tabs>
          <w:tab w:val="num" w:pos="2160"/>
        </w:tabs>
        <w:ind w:left="2160" w:hanging="360"/>
      </w:pPr>
      <w:rPr>
        <w:rFonts w:ascii="Symbol" w:hAnsi="Symbol" w:hint="default"/>
      </w:rPr>
    </w:lvl>
    <w:lvl w:ilvl="3" w:tplc="D2EE931A" w:tentative="1">
      <w:start w:val="1"/>
      <w:numFmt w:val="bullet"/>
      <w:lvlText w:val=""/>
      <w:lvlJc w:val="left"/>
      <w:pPr>
        <w:tabs>
          <w:tab w:val="num" w:pos="2880"/>
        </w:tabs>
        <w:ind w:left="2880" w:hanging="360"/>
      </w:pPr>
      <w:rPr>
        <w:rFonts w:ascii="Symbol" w:hAnsi="Symbol" w:hint="default"/>
      </w:rPr>
    </w:lvl>
    <w:lvl w:ilvl="4" w:tplc="EA1E1FB0" w:tentative="1">
      <w:start w:val="1"/>
      <w:numFmt w:val="bullet"/>
      <w:lvlText w:val=""/>
      <w:lvlJc w:val="left"/>
      <w:pPr>
        <w:tabs>
          <w:tab w:val="num" w:pos="3600"/>
        </w:tabs>
        <w:ind w:left="3600" w:hanging="360"/>
      </w:pPr>
      <w:rPr>
        <w:rFonts w:ascii="Symbol" w:hAnsi="Symbol" w:hint="default"/>
      </w:rPr>
    </w:lvl>
    <w:lvl w:ilvl="5" w:tplc="FE76B5B8" w:tentative="1">
      <w:start w:val="1"/>
      <w:numFmt w:val="bullet"/>
      <w:lvlText w:val=""/>
      <w:lvlJc w:val="left"/>
      <w:pPr>
        <w:tabs>
          <w:tab w:val="num" w:pos="4320"/>
        </w:tabs>
        <w:ind w:left="4320" w:hanging="360"/>
      </w:pPr>
      <w:rPr>
        <w:rFonts w:ascii="Symbol" w:hAnsi="Symbol" w:hint="default"/>
      </w:rPr>
    </w:lvl>
    <w:lvl w:ilvl="6" w:tplc="FB047302" w:tentative="1">
      <w:start w:val="1"/>
      <w:numFmt w:val="bullet"/>
      <w:lvlText w:val=""/>
      <w:lvlJc w:val="left"/>
      <w:pPr>
        <w:tabs>
          <w:tab w:val="num" w:pos="5040"/>
        </w:tabs>
        <w:ind w:left="5040" w:hanging="360"/>
      </w:pPr>
      <w:rPr>
        <w:rFonts w:ascii="Symbol" w:hAnsi="Symbol" w:hint="default"/>
      </w:rPr>
    </w:lvl>
    <w:lvl w:ilvl="7" w:tplc="7CAEC158" w:tentative="1">
      <w:start w:val="1"/>
      <w:numFmt w:val="bullet"/>
      <w:lvlText w:val=""/>
      <w:lvlJc w:val="left"/>
      <w:pPr>
        <w:tabs>
          <w:tab w:val="num" w:pos="5760"/>
        </w:tabs>
        <w:ind w:left="5760" w:hanging="360"/>
      </w:pPr>
      <w:rPr>
        <w:rFonts w:ascii="Symbol" w:hAnsi="Symbol" w:hint="default"/>
      </w:rPr>
    </w:lvl>
    <w:lvl w:ilvl="8" w:tplc="DD84C4D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D2D1510"/>
    <w:multiLevelType w:val="hybridMultilevel"/>
    <w:tmpl w:val="93A24AF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4127474C"/>
    <w:multiLevelType w:val="hybridMultilevel"/>
    <w:tmpl w:val="34EEDEDA"/>
    <w:lvl w:ilvl="0" w:tplc="A3C40416">
      <w:numFmt w:val="bullet"/>
      <w:lvlText w:val="•"/>
      <w:lvlJc w:val="left"/>
      <w:pPr>
        <w:ind w:left="720" w:hanging="360"/>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510D2482"/>
    <w:multiLevelType w:val="hybridMultilevel"/>
    <w:tmpl w:val="E200D640"/>
    <w:lvl w:ilvl="0" w:tplc="040F0019">
      <w:start w:val="1"/>
      <w:numFmt w:val="lowerLetter"/>
      <w:lvlText w:val="%1."/>
      <w:lvlJc w:val="left"/>
      <w:pPr>
        <w:ind w:left="1283" w:hanging="360"/>
      </w:pPr>
    </w:lvl>
    <w:lvl w:ilvl="1" w:tplc="040F001B">
      <w:start w:val="1"/>
      <w:numFmt w:val="lowerRoman"/>
      <w:lvlText w:val="%2."/>
      <w:lvlJc w:val="right"/>
      <w:pPr>
        <w:ind w:left="2003" w:hanging="360"/>
      </w:pPr>
    </w:lvl>
    <w:lvl w:ilvl="2" w:tplc="040F001B" w:tentative="1">
      <w:start w:val="1"/>
      <w:numFmt w:val="lowerRoman"/>
      <w:lvlText w:val="%3."/>
      <w:lvlJc w:val="right"/>
      <w:pPr>
        <w:ind w:left="2723" w:hanging="180"/>
      </w:pPr>
    </w:lvl>
    <w:lvl w:ilvl="3" w:tplc="040F000F" w:tentative="1">
      <w:start w:val="1"/>
      <w:numFmt w:val="decimal"/>
      <w:lvlText w:val="%4."/>
      <w:lvlJc w:val="left"/>
      <w:pPr>
        <w:ind w:left="3443" w:hanging="360"/>
      </w:pPr>
    </w:lvl>
    <w:lvl w:ilvl="4" w:tplc="040F0019" w:tentative="1">
      <w:start w:val="1"/>
      <w:numFmt w:val="lowerLetter"/>
      <w:lvlText w:val="%5."/>
      <w:lvlJc w:val="left"/>
      <w:pPr>
        <w:ind w:left="4163" w:hanging="360"/>
      </w:pPr>
    </w:lvl>
    <w:lvl w:ilvl="5" w:tplc="040F001B" w:tentative="1">
      <w:start w:val="1"/>
      <w:numFmt w:val="lowerRoman"/>
      <w:lvlText w:val="%6."/>
      <w:lvlJc w:val="right"/>
      <w:pPr>
        <w:ind w:left="4883" w:hanging="180"/>
      </w:pPr>
    </w:lvl>
    <w:lvl w:ilvl="6" w:tplc="040F000F" w:tentative="1">
      <w:start w:val="1"/>
      <w:numFmt w:val="decimal"/>
      <w:lvlText w:val="%7."/>
      <w:lvlJc w:val="left"/>
      <w:pPr>
        <w:ind w:left="5603" w:hanging="360"/>
      </w:pPr>
    </w:lvl>
    <w:lvl w:ilvl="7" w:tplc="040F0019" w:tentative="1">
      <w:start w:val="1"/>
      <w:numFmt w:val="lowerLetter"/>
      <w:lvlText w:val="%8."/>
      <w:lvlJc w:val="left"/>
      <w:pPr>
        <w:ind w:left="6323" w:hanging="360"/>
      </w:pPr>
    </w:lvl>
    <w:lvl w:ilvl="8" w:tplc="040F001B" w:tentative="1">
      <w:start w:val="1"/>
      <w:numFmt w:val="lowerRoman"/>
      <w:lvlText w:val="%9."/>
      <w:lvlJc w:val="right"/>
      <w:pPr>
        <w:ind w:left="7043" w:hanging="180"/>
      </w:pPr>
    </w:lvl>
  </w:abstractNum>
  <w:abstractNum w:abstractNumId="5" w15:restartNumberingAfterBreak="0">
    <w:nsid w:val="54092346"/>
    <w:multiLevelType w:val="hybridMultilevel"/>
    <w:tmpl w:val="D92AC088"/>
    <w:lvl w:ilvl="0" w:tplc="95985CD4">
      <w:start w:val="1"/>
      <w:numFmt w:val="bullet"/>
      <w:lvlText w:val=""/>
      <w:lvlPicBulletId w:val="1"/>
      <w:lvlJc w:val="left"/>
      <w:pPr>
        <w:tabs>
          <w:tab w:val="num" w:pos="720"/>
        </w:tabs>
        <w:ind w:left="720" w:hanging="360"/>
      </w:pPr>
      <w:rPr>
        <w:rFonts w:ascii="Symbol" w:hAnsi="Symbol" w:hint="default"/>
      </w:rPr>
    </w:lvl>
    <w:lvl w:ilvl="1" w:tplc="9E7EE1E0" w:tentative="1">
      <w:start w:val="1"/>
      <w:numFmt w:val="bullet"/>
      <w:lvlText w:val=""/>
      <w:lvlJc w:val="left"/>
      <w:pPr>
        <w:tabs>
          <w:tab w:val="num" w:pos="1440"/>
        </w:tabs>
        <w:ind w:left="1440" w:hanging="360"/>
      </w:pPr>
      <w:rPr>
        <w:rFonts w:ascii="Symbol" w:hAnsi="Symbol" w:hint="default"/>
      </w:rPr>
    </w:lvl>
    <w:lvl w:ilvl="2" w:tplc="E504531A" w:tentative="1">
      <w:start w:val="1"/>
      <w:numFmt w:val="bullet"/>
      <w:lvlText w:val=""/>
      <w:lvlJc w:val="left"/>
      <w:pPr>
        <w:tabs>
          <w:tab w:val="num" w:pos="2160"/>
        </w:tabs>
        <w:ind w:left="2160" w:hanging="360"/>
      </w:pPr>
      <w:rPr>
        <w:rFonts w:ascii="Symbol" w:hAnsi="Symbol" w:hint="default"/>
      </w:rPr>
    </w:lvl>
    <w:lvl w:ilvl="3" w:tplc="99640444" w:tentative="1">
      <w:start w:val="1"/>
      <w:numFmt w:val="bullet"/>
      <w:lvlText w:val=""/>
      <w:lvlJc w:val="left"/>
      <w:pPr>
        <w:tabs>
          <w:tab w:val="num" w:pos="2880"/>
        </w:tabs>
        <w:ind w:left="2880" w:hanging="360"/>
      </w:pPr>
      <w:rPr>
        <w:rFonts w:ascii="Symbol" w:hAnsi="Symbol" w:hint="default"/>
      </w:rPr>
    </w:lvl>
    <w:lvl w:ilvl="4" w:tplc="07547720" w:tentative="1">
      <w:start w:val="1"/>
      <w:numFmt w:val="bullet"/>
      <w:lvlText w:val=""/>
      <w:lvlJc w:val="left"/>
      <w:pPr>
        <w:tabs>
          <w:tab w:val="num" w:pos="3600"/>
        </w:tabs>
        <w:ind w:left="3600" w:hanging="360"/>
      </w:pPr>
      <w:rPr>
        <w:rFonts w:ascii="Symbol" w:hAnsi="Symbol" w:hint="default"/>
      </w:rPr>
    </w:lvl>
    <w:lvl w:ilvl="5" w:tplc="72F00426" w:tentative="1">
      <w:start w:val="1"/>
      <w:numFmt w:val="bullet"/>
      <w:lvlText w:val=""/>
      <w:lvlJc w:val="left"/>
      <w:pPr>
        <w:tabs>
          <w:tab w:val="num" w:pos="4320"/>
        </w:tabs>
        <w:ind w:left="4320" w:hanging="360"/>
      </w:pPr>
      <w:rPr>
        <w:rFonts w:ascii="Symbol" w:hAnsi="Symbol" w:hint="default"/>
      </w:rPr>
    </w:lvl>
    <w:lvl w:ilvl="6" w:tplc="9548986C" w:tentative="1">
      <w:start w:val="1"/>
      <w:numFmt w:val="bullet"/>
      <w:lvlText w:val=""/>
      <w:lvlJc w:val="left"/>
      <w:pPr>
        <w:tabs>
          <w:tab w:val="num" w:pos="5040"/>
        </w:tabs>
        <w:ind w:left="5040" w:hanging="360"/>
      </w:pPr>
      <w:rPr>
        <w:rFonts w:ascii="Symbol" w:hAnsi="Symbol" w:hint="default"/>
      </w:rPr>
    </w:lvl>
    <w:lvl w:ilvl="7" w:tplc="F18880BA" w:tentative="1">
      <w:start w:val="1"/>
      <w:numFmt w:val="bullet"/>
      <w:lvlText w:val=""/>
      <w:lvlJc w:val="left"/>
      <w:pPr>
        <w:tabs>
          <w:tab w:val="num" w:pos="5760"/>
        </w:tabs>
        <w:ind w:left="5760" w:hanging="360"/>
      </w:pPr>
      <w:rPr>
        <w:rFonts w:ascii="Symbol" w:hAnsi="Symbol" w:hint="default"/>
      </w:rPr>
    </w:lvl>
    <w:lvl w:ilvl="8" w:tplc="CE30B5C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B2D4C0C"/>
    <w:multiLevelType w:val="hybridMultilevel"/>
    <w:tmpl w:val="553A2CD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605576561">
    <w:abstractNumId w:val="1"/>
  </w:num>
  <w:num w:numId="2" w16cid:durableId="1621764098">
    <w:abstractNumId w:val="4"/>
  </w:num>
  <w:num w:numId="3" w16cid:durableId="843401405">
    <w:abstractNumId w:val="5"/>
  </w:num>
  <w:num w:numId="4" w16cid:durableId="498933037">
    <w:abstractNumId w:val="0"/>
  </w:num>
  <w:num w:numId="5" w16cid:durableId="1643464403">
    <w:abstractNumId w:val="2"/>
  </w:num>
  <w:num w:numId="6" w16cid:durableId="940181200">
    <w:abstractNumId w:val="6"/>
  </w:num>
  <w:num w:numId="7" w16cid:durableId="1226599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5D"/>
    <w:rsid w:val="00023B61"/>
    <w:rsid w:val="0002432C"/>
    <w:rsid w:val="00085F3F"/>
    <w:rsid w:val="000A5150"/>
    <w:rsid w:val="000B5FED"/>
    <w:rsid w:val="000C4165"/>
    <w:rsid w:val="000D2123"/>
    <w:rsid w:val="000D4BF3"/>
    <w:rsid w:val="000E7D25"/>
    <w:rsid w:val="000F731F"/>
    <w:rsid w:val="001272D0"/>
    <w:rsid w:val="00132893"/>
    <w:rsid w:val="00133DD6"/>
    <w:rsid w:val="00155446"/>
    <w:rsid w:val="001C13F9"/>
    <w:rsid w:val="001C17B2"/>
    <w:rsid w:val="001C3E8A"/>
    <w:rsid w:val="001F0DCB"/>
    <w:rsid w:val="001F20E2"/>
    <w:rsid w:val="001F7005"/>
    <w:rsid w:val="00263500"/>
    <w:rsid w:val="00267F99"/>
    <w:rsid w:val="0027307F"/>
    <w:rsid w:val="002E67F2"/>
    <w:rsid w:val="002F38C3"/>
    <w:rsid w:val="002F3C8E"/>
    <w:rsid w:val="003127E0"/>
    <w:rsid w:val="003143D0"/>
    <w:rsid w:val="003403C0"/>
    <w:rsid w:val="00354926"/>
    <w:rsid w:val="003635F9"/>
    <w:rsid w:val="0037441B"/>
    <w:rsid w:val="00381E7A"/>
    <w:rsid w:val="003833BD"/>
    <w:rsid w:val="003843AB"/>
    <w:rsid w:val="003A7C8C"/>
    <w:rsid w:val="003B17C2"/>
    <w:rsid w:val="003D4A0C"/>
    <w:rsid w:val="003F39F0"/>
    <w:rsid w:val="004064C7"/>
    <w:rsid w:val="00406FF7"/>
    <w:rsid w:val="0044401B"/>
    <w:rsid w:val="00472C2B"/>
    <w:rsid w:val="004A635F"/>
    <w:rsid w:val="004B4B5A"/>
    <w:rsid w:val="004B72EB"/>
    <w:rsid w:val="004C187A"/>
    <w:rsid w:val="004E0A0E"/>
    <w:rsid w:val="004F4DE5"/>
    <w:rsid w:val="005131FD"/>
    <w:rsid w:val="005601C2"/>
    <w:rsid w:val="00565079"/>
    <w:rsid w:val="00571C10"/>
    <w:rsid w:val="005877F7"/>
    <w:rsid w:val="005927D4"/>
    <w:rsid w:val="005936CD"/>
    <w:rsid w:val="00605A24"/>
    <w:rsid w:val="006075C6"/>
    <w:rsid w:val="00615107"/>
    <w:rsid w:val="00644B93"/>
    <w:rsid w:val="00646FAE"/>
    <w:rsid w:val="0067151F"/>
    <w:rsid w:val="00674135"/>
    <w:rsid w:val="006745F4"/>
    <w:rsid w:val="00675EE9"/>
    <w:rsid w:val="006863E1"/>
    <w:rsid w:val="006A0CCC"/>
    <w:rsid w:val="006A363D"/>
    <w:rsid w:val="006C3488"/>
    <w:rsid w:val="006C78CA"/>
    <w:rsid w:val="006E1711"/>
    <w:rsid w:val="006F5046"/>
    <w:rsid w:val="00706033"/>
    <w:rsid w:val="00715BE0"/>
    <w:rsid w:val="00724618"/>
    <w:rsid w:val="00741803"/>
    <w:rsid w:val="00743E54"/>
    <w:rsid w:val="0076718E"/>
    <w:rsid w:val="00787ED7"/>
    <w:rsid w:val="00797E68"/>
    <w:rsid w:val="007A0EAB"/>
    <w:rsid w:val="007A3AE8"/>
    <w:rsid w:val="007A605D"/>
    <w:rsid w:val="007B5C36"/>
    <w:rsid w:val="007C060B"/>
    <w:rsid w:val="007C2C0F"/>
    <w:rsid w:val="007E4425"/>
    <w:rsid w:val="007F02FD"/>
    <w:rsid w:val="008007DE"/>
    <w:rsid w:val="00800B57"/>
    <w:rsid w:val="00814FD6"/>
    <w:rsid w:val="00816FEE"/>
    <w:rsid w:val="008229D1"/>
    <w:rsid w:val="00840EDC"/>
    <w:rsid w:val="008457B7"/>
    <w:rsid w:val="00856A2D"/>
    <w:rsid w:val="008644CB"/>
    <w:rsid w:val="00893801"/>
    <w:rsid w:val="00897F9B"/>
    <w:rsid w:val="008A0F3B"/>
    <w:rsid w:val="008F10B2"/>
    <w:rsid w:val="008F3936"/>
    <w:rsid w:val="009030F7"/>
    <w:rsid w:val="00910EEB"/>
    <w:rsid w:val="009136E6"/>
    <w:rsid w:val="009235FD"/>
    <w:rsid w:val="009261D6"/>
    <w:rsid w:val="00932638"/>
    <w:rsid w:val="0096765D"/>
    <w:rsid w:val="00977E26"/>
    <w:rsid w:val="00990EE0"/>
    <w:rsid w:val="00995F55"/>
    <w:rsid w:val="00997BB4"/>
    <w:rsid w:val="009A095A"/>
    <w:rsid w:val="009F7D72"/>
    <w:rsid w:val="00A1236E"/>
    <w:rsid w:val="00A40A4B"/>
    <w:rsid w:val="00A42A4F"/>
    <w:rsid w:val="00A6314E"/>
    <w:rsid w:val="00A65B16"/>
    <w:rsid w:val="00A72DDD"/>
    <w:rsid w:val="00A7491F"/>
    <w:rsid w:val="00A84F8D"/>
    <w:rsid w:val="00AC10F8"/>
    <w:rsid w:val="00AF6762"/>
    <w:rsid w:val="00AF7B6F"/>
    <w:rsid w:val="00B0425F"/>
    <w:rsid w:val="00B12762"/>
    <w:rsid w:val="00B24BC3"/>
    <w:rsid w:val="00B47149"/>
    <w:rsid w:val="00B6217B"/>
    <w:rsid w:val="00B71FA5"/>
    <w:rsid w:val="00B9545F"/>
    <w:rsid w:val="00BD5344"/>
    <w:rsid w:val="00BE307F"/>
    <w:rsid w:val="00BF46C3"/>
    <w:rsid w:val="00C07AB2"/>
    <w:rsid w:val="00C07E1F"/>
    <w:rsid w:val="00C57069"/>
    <w:rsid w:val="00C60696"/>
    <w:rsid w:val="00C673F8"/>
    <w:rsid w:val="00C82F21"/>
    <w:rsid w:val="00C904B2"/>
    <w:rsid w:val="00CA6F58"/>
    <w:rsid w:val="00CA7E15"/>
    <w:rsid w:val="00CE0364"/>
    <w:rsid w:val="00CE0E1C"/>
    <w:rsid w:val="00CF5694"/>
    <w:rsid w:val="00CF67A5"/>
    <w:rsid w:val="00D0368A"/>
    <w:rsid w:val="00D14E78"/>
    <w:rsid w:val="00D23769"/>
    <w:rsid w:val="00D737F7"/>
    <w:rsid w:val="00DA4D98"/>
    <w:rsid w:val="00DB3958"/>
    <w:rsid w:val="00DC0D55"/>
    <w:rsid w:val="00DE2F32"/>
    <w:rsid w:val="00E06047"/>
    <w:rsid w:val="00E20E93"/>
    <w:rsid w:val="00E32629"/>
    <w:rsid w:val="00E329B4"/>
    <w:rsid w:val="00E34F8A"/>
    <w:rsid w:val="00E51C30"/>
    <w:rsid w:val="00E71A63"/>
    <w:rsid w:val="00E72D1C"/>
    <w:rsid w:val="00E73D5A"/>
    <w:rsid w:val="00E74A1C"/>
    <w:rsid w:val="00E85A04"/>
    <w:rsid w:val="00E865D7"/>
    <w:rsid w:val="00E9517C"/>
    <w:rsid w:val="00EA7567"/>
    <w:rsid w:val="00EC7DEA"/>
    <w:rsid w:val="00ED1646"/>
    <w:rsid w:val="00ED5D40"/>
    <w:rsid w:val="00EE0DB7"/>
    <w:rsid w:val="00EF1C3F"/>
    <w:rsid w:val="00F00AF5"/>
    <w:rsid w:val="00F225B0"/>
    <w:rsid w:val="00F23DE9"/>
    <w:rsid w:val="00F26D04"/>
    <w:rsid w:val="00F33ECD"/>
    <w:rsid w:val="00F41C3A"/>
    <w:rsid w:val="00F4378C"/>
    <w:rsid w:val="00F52D37"/>
    <w:rsid w:val="00F92D69"/>
    <w:rsid w:val="00F97338"/>
    <w:rsid w:val="00FB1882"/>
    <w:rsid w:val="00FE70E9"/>
    <w:rsid w:val="096A0B5E"/>
    <w:rsid w:val="1A1701BF"/>
    <w:rsid w:val="3585700A"/>
    <w:rsid w:val="47A295D8"/>
    <w:rsid w:val="57157A77"/>
    <w:rsid w:val="5D085C7F"/>
    <w:rsid w:val="5F64545B"/>
    <w:rsid w:val="792947F1"/>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2"/>
    </o:shapelayout>
  </w:shapeDefaults>
  <w:decimalSymbol w:val=","/>
  <w:listSeparator w:val=";"/>
  <w14:docId w14:val="0B945387"/>
  <w15:chartTrackingRefBased/>
  <w15:docId w15:val="{E393F521-A526-4340-BD7B-8DE9C9C7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517C"/>
    <w:rPr>
      <w:sz w:val="16"/>
      <w:szCs w:val="16"/>
    </w:rPr>
  </w:style>
  <w:style w:type="paragraph" w:styleId="CommentText">
    <w:name w:val="annotation text"/>
    <w:basedOn w:val="Normal"/>
    <w:link w:val="CommentTextChar"/>
    <w:uiPriority w:val="99"/>
    <w:unhideWhenUsed/>
    <w:rsid w:val="00E9517C"/>
    <w:pPr>
      <w:spacing w:line="240" w:lineRule="auto"/>
    </w:pPr>
    <w:rPr>
      <w:sz w:val="20"/>
      <w:szCs w:val="20"/>
    </w:rPr>
  </w:style>
  <w:style w:type="character" w:customStyle="1" w:styleId="CommentTextChar">
    <w:name w:val="Comment Text Char"/>
    <w:basedOn w:val="DefaultParagraphFont"/>
    <w:link w:val="CommentText"/>
    <w:uiPriority w:val="99"/>
    <w:rsid w:val="00E9517C"/>
    <w:rPr>
      <w:sz w:val="20"/>
      <w:szCs w:val="20"/>
    </w:rPr>
  </w:style>
  <w:style w:type="paragraph" w:styleId="CommentSubject">
    <w:name w:val="annotation subject"/>
    <w:basedOn w:val="CommentText"/>
    <w:next w:val="CommentText"/>
    <w:link w:val="CommentSubjectChar"/>
    <w:uiPriority w:val="99"/>
    <w:semiHidden/>
    <w:unhideWhenUsed/>
    <w:rsid w:val="00E9517C"/>
    <w:rPr>
      <w:b/>
      <w:bCs/>
    </w:rPr>
  </w:style>
  <w:style w:type="character" w:customStyle="1" w:styleId="CommentSubjectChar">
    <w:name w:val="Comment Subject Char"/>
    <w:basedOn w:val="CommentTextChar"/>
    <w:link w:val="CommentSubject"/>
    <w:uiPriority w:val="99"/>
    <w:semiHidden/>
    <w:rsid w:val="00E9517C"/>
    <w:rPr>
      <w:b/>
      <w:bCs/>
      <w:sz w:val="20"/>
      <w:szCs w:val="20"/>
    </w:rPr>
  </w:style>
  <w:style w:type="paragraph" w:styleId="FootnoteText">
    <w:name w:val="footnote text"/>
    <w:basedOn w:val="Normal"/>
    <w:link w:val="FootnoteTextChar"/>
    <w:uiPriority w:val="99"/>
    <w:semiHidden/>
    <w:unhideWhenUsed/>
    <w:rsid w:val="00E73D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3D5A"/>
    <w:rPr>
      <w:sz w:val="20"/>
      <w:szCs w:val="20"/>
    </w:rPr>
  </w:style>
  <w:style w:type="character" w:styleId="FootnoteReference">
    <w:name w:val="footnote reference"/>
    <w:basedOn w:val="DefaultParagraphFont"/>
    <w:uiPriority w:val="99"/>
    <w:semiHidden/>
    <w:unhideWhenUsed/>
    <w:rsid w:val="00E73D5A"/>
    <w:rPr>
      <w:vertAlign w:val="superscript"/>
    </w:rPr>
  </w:style>
  <w:style w:type="table" w:styleId="TableGrid">
    <w:name w:val="Table Grid"/>
    <w:basedOn w:val="TableNormal"/>
    <w:uiPriority w:val="39"/>
    <w:rsid w:val="00B95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545F"/>
    <w:pPr>
      <w:ind w:left="720"/>
      <w:contextualSpacing/>
    </w:pPr>
  </w:style>
  <w:style w:type="paragraph" w:styleId="Header">
    <w:name w:val="header"/>
    <w:basedOn w:val="Normal"/>
    <w:link w:val="HeaderChar"/>
    <w:uiPriority w:val="99"/>
    <w:unhideWhenUsed/>
    <w:rsid w:val="001272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2D0"/>
  </w:style>
  <w:style w:type="paragraph" w:styleId="Footer">
    <w:name w:val="footer"/>
    <w:basedOn w:val="Normal"/>
    <w:link w:val="FooterChar"/>
    <w:uiPriority w:val="99"/>
    <w:unhideWhenUsed/>
    <w:rsid w:val="001272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2D0"/>
  </w:style>
  <w:style w:type="paragraph" w:styleId="Revision">
    <w:name w:val="Revision"/>
    <w:hidden/>
    <w:uiPriority w:val="99"/>
    <w:semiHidden/>
    <w:rsid w:val="00E060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637842">
      <w:bodyDiv w:val="1"/>
      <w:marLeft w:val="0"/>
      <w:marRight w:val="0"/>
      <w:marTop w:val="0"/>
      <w:marBottom w:val="0"/>
      <w:divBdr>
        <w:top w:val="none" w:sz="0" w:space="0" w:color="auto"/>
        <w:left w:val="none" w:sz="0" w:space="0" w:color="auto"/>
        <w:bottom w:val="none" w:sz="0" w:space="0" w:color="auto"/>
        <w:right w:val="none" w:sz="0" w:space="0" w:color="auto"/>
      </w:divBdr>
    </w:div>
    <w:div w:id="185768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333AB-BF81-479A-936A-20020FD15F5A}">
  <ds:schemaRefs>
    <ds:schemaRef ds:uri="http://schemas.openxmlformats.org/officeDocument/2006/bibliography"/>
  </ds:schemaRefs>
</ds:datastoreItem>
</file>

<file path=docMetadata/LabelInfo.xml><?xml version="1.0" encoding="utf-8"?>
<clbl:labelList xmlns:clbl="http://schemas.microsoft.com/office/2020/mipLabelMetadata">
  <clbl:label id="{8cdcc433-81ff-4bfc-bf18-2805dcbc8217}" enabled="1" method="Privileged" siteId="{d0b75e95-684a-45e3-8d2d-53fa2a6a513f}" contentBits="2" removed="0"/>
</clbl:labelList>
</file>

<file path=docProps/app.xml><?xml version="1.0" encoding="utf-8"?>
<Properties xmlns="http://schemas.openxmlformats.org/officeDocument/2006/extended-properties" xmlns:vt="http://schemas.openxmlformats.org/officeDocument/2006/docPropsVTypes">
  <Template>Normal.dotm</Template>
  <TotalTime>434</TotalTime>
  <Pages>2</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Baldur Thorlacius</dc:creator>
  <cp:keywords/>
  <dc:description/>
  <cp:lastModifiedBy>Árnína Steinunn Kristjánsdóttir</cp:lastModifiedBy>
  <cp:revision>9</cp:revision>
  <cp:lastPrinted>2023-01-10T13:05:00Z</cp:lastPrinted>
  <dcterms:created xsi:type="dcterms:W3CDTF">2024-02-29T16:53:00Z</dcterms:created>
  <dcterms:modified xsi:type="dcterms:W3CDTF">2024-03-04T18:44:00Z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6390f244,118abc06,313a10eb</vt:lpwstr>
  </property>
  <property fmtid="{D5CDD505-2E9C-101B-9397-08002B2CF9AE}" pid="3" name="ClassificationContentMarkingFooterFontProps">
    <vt:lpwstr>#000000,12,Calibri</vt:lpwstr>
  </property>
  <property fmtid="{D5CDD505-2E9C-101B-9397-08002B2CF9AE}" pid="4" name="ClassificationContentMarkingFooterText">
    <vt:lpwstr>General Communication: This content contains non-sensitive information</vt:lpwstr>
  </property>
</Properties>
</file>