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3ED7E3F6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1EE379" w14:textId="77777777" w:rsidR="00883508" w:rsidRPr="00E34B4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5FF04119" wp14:editId="1EFE4F06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96768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6FD0F870" w14:textId="77777777" w:rsidR="00883508" w:rsidRPr="00E34B42" w:rsidRDefault="00883508" w:rsidP="00DA27F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4B3B9884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B513732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497659618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BF6967" w14:textId="3631DC4B" w:rsidR="00135B40" w:rsidRPr="00E34B42" w:rsidRDefault="00AC01EA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á ýmsum lögum á </w:t>
                </w:r>
                <w:proofErr w:type="spellStart"/>
                <w:r>
                  <w:rPr>
                    <w:rFonts w:ascii="Times New Roman" w:hAnsi="Times New Roman" w:cs="Times New Roman"/>
                    <w:lang w:val="is-IS"/>
                  </w:rPr>
                  <w:t>vátryggingamarkaði</w:t>
                </w:r>
                <w:proofErr w:type="spellEnd"/>
                <w:r>
                  <w:rPr>
                    <w:rFonts w:ascii="Times New Roman" w:hAnsi="Times New Roman" w:cs="Times New Roman"/>
                    <w:lang w:val="is-IS"/>
                  </w:rPr>
                  <w:t xml:space="preserve"> (hæfis- og hæfniskilyrði, atkvæðisréttur, réttarstaða við ógjaldfærnimeðferð, búsetuskilyrði o.fl.)</w:t>
                </w:r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249DB">
                  <w:rPr>
                    <w:rFonts w:ascii="Times New Roman" w:hAnsi="Times New Roman" w:cs="Times New Roman"/>
                    <w:lang w:val="is-IS"/>
                  </w:rPr>
                  <w:t>– FJR20070035</w:t>
                </w:r>
              </w:p>
            </w:tc>
          </w:sdtContent>
        </w:sdt>
      </w:tr>
      <w:tr w:rsidR="00E34B42" w:rsidRPr="00E34B42" w14:paraId="67470F23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856E2C9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89198637" w:edGrp="everyone" w:colFirst="1" w:colLast="1"/>
            <w:permEnd w:id="1497659618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84702E6" w14:textId="62F3B422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C01EA">
                  <w:rPr>
                    <w:rFonts w:ascii="Times New Roman" w:hAnsi="Times New Roman" w:cs="Times New Roman"/>
                    <w:lang w:val="is-IS"/>
                  </w:rPr>
                  <w:t>Fjármála- og efnahagsráðuneytið / Hjörleifur Gíslason</w:t>
                </w:r>
              </w:p>
            </w:tc>
          </w:sdtContent>
        </w:sdt>
      </w:tr>
      <w:tr w:rsidR="00E34B42" w:rsidRPr="00E34B42" w14:paraId="69744F9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2C1CACE6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76313774" w:edGrp="everyone" w:colFirst="1" w:colLast="1"/>
            <w:permEnd w:id="1589198637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6321BEB5" w14:textId="7CBFFD69" w:rsidR="00135B40" w:rsidRPr="00E34B42" w:rsidRDefault="002900F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EA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209E06B7" w14:textId="6552EF9D" w:rsidR="00135B40" w:rsidRPr="00E34B42" w:rsidRDefault="002900F7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1EA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47D80DD9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ED5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38559597" w:edGrp="everyone" w:colFirst="1" w:colLast="1"/>
            <w:permEnd w:id="376313774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8BBCD4" w14:textId="7F8B0954" w:rsidR="00135B40" w:rsidRPr="00E34B42" w:rsidRDefault="000D7FA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20</w:t>
                </w:r>
                <w:r w:rsidR="00AC01EA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október</w:t>
                </w:r>
                <w:r w:rsidR="00AC01EA">
                  <w:rPr>
                    <w:rFonts w:ascii="Times New Roman" w:hAnsi="Times New Roman" w:cs="Times New Roman"/>
                    <w:lang w:val="is-IS"/>
                  </w:rPr>
                  <w:t xml:space="preserve"> 2020</w:t>
                </w:r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tc>
          </w:sdtContent>
        </w:sdt>
      </w:tr>
      <w:permEnd w:id="238559597"/>
    </w:tbl>
    <w:p w14:paraId="469808FC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24240C5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19D8C81" w14:textId="77777777" w:rsidR="00263F72" w:rsidRPr="00E34B42" w:rsidRDefault="00F93B5C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4461F9C5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74844091" w:edGrp="everyone" w:displacedByCustomXml="prev"/>
              <w:p w14:paraId="15FAAA38" w14:textId="18B5A939" w:rsidR="00FD2097" w:rsidRDefault="00133146" w:rsidP="00A92F9D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5B0A5E51" w14:textId="054C3378" w:rsidR="00AC01EA" w:rsidRPr="000249DB" w:rsidRDefault="00AC01EA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Á undanförnum árum hefur Evrópusambandið (ESB) 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 xml:space="preserve">farið í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viðamiklar breytingar á löggjöf á sviði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vátryggingamarkaðar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hyperlink r:id="rId9" w:history="1">
                  <w:r w:rsidRPr="00B6555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Tilskipun 2009/138/EB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um stofnun og </w:t>
                </w:r>
                <w:r w:rsidR="00B6555D">
                  <w:rPr>
                    <w:rFonts w:ascii="Times New Roman" w:hAnsi="Times New Roman" w:cs="Times New Roman"/>
                    <w:lang w:val="is-IS"/>
                  </w:rPr>
                  <w:t xml:space="preserve">rekstur fyrirtækja á sviði </w:t>
                </w:r>
                <w:proofErr w:type="spellStart"/>
                <w:r w:rsidR="00B6555D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B6555D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proofErr w:type="spellStart"/>
                <w:r w:rsidR="00B6555D">
                  <w:rPr>
                    <w:rFonts w:ascii="Times New Roman" w:hAnsi="Times New Roman" w:cs="Times New Roman"/>
                    <w:lang w:val="is-IS"/>
                  </w:rPr>
                  <w:t>endurtrygginga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(</w:t>
                </w:r>
                <w:proofErr w:type="spellStart"/>
                <w:r w:rsidRPr="00B6555D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Solvency</w:t>
                </w:r>
                <w:proofErr w:type="spellEnd"/>
                <w:r w:rsidRPr="00B6555D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 xml:space="preserve"> II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), tók gildi þann 1. janúar 2016 innan ESB. Þá tók </w:t>
                </w:r>
                <w:hyperlink r:id="rId10" w:history="1">
                  <w:r w:rsidRPr="00B6555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tilskipun 2016/97/ESB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um dreifingu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(</w:t>
                </w:r>
                <w:r w:rsidRPr="00B6555D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IDD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) gildi innan ESB þann 22. febrúar 2016. Breytingar hafa einnig verið gerðar á lagaumgjörð fjármálasamsteypa með </w:t>
                </w:r>
                <w:hyperlink r:id="rId11" w:history="1">
                  <w:r w:rsidRPr="00B6555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tilskipunum 2010/78/ESB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(</w:t>
                </w:r>
                <w:proofErr w:type="spellStart"/>
                <w:r w:rsidRPr="00B6555D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Omnibus</w:t>
                </w:r>
                <w:proofErr w:type="spellEnd"/>
                <w:r w:rsidRPr="00B6555D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 xml:space="preserve"> I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) og </w:t>
                </w:r>
                <w:hyperlink r:id="rId12" w:history="1">
                  <w:r w:rsidRPr="00B6555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2011/89/ESB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(</w:t>
                </w:r>
                <w:r w:rsidRPr="00B6555D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FICOD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).</w:t>
                </w:r>
              </w:p>
              <w:p w14:paraId="515B2337" w14:textId="4160C81C" w:rsidR="00AC01EA" w:rsidRPr="00C219E4" w:rsidRDefault="00AC01EA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Tilskipanir ESB hafa verið innleiddar hér á landi með </w:t>
                </w:r>
                <w:hyperlink r:id="rId13" w:history="1">
                  <w:r w:rsidRPr="00B6555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 xml:space="preserve">lögum um </w:t>
                  </w:r>
                  <w:proofErr w:type="spellStart"/>
                  <w:r w:rsidRPr="00B6555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vátryggingastarfsemi</w:t>
                  </w:r>
                  <w:proofErr w:type="spellEnd"/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, nr. 100/2016, </w:t>
                </w:r>
                <w:hyperlink r:id="rId14" w:history="1">
                  <w:r w:rsidRPr="00B6555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 xml:space="preserve">lögum um dreifingu </w:t>
                  </w:r>
                  <w:proofErr w:type="spellStart"/>
                  <w:r w:rsidRPr="00B6555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vátrygginga</w:t>
                  </w:r>
                  <w:proofErr w:type="spellEnd"/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, nr. 62/2019, </w:t>
                </w:r>
                <w:hyperlink r:id="rId15" w:history="1">
                  <w:r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 xml:space="preserve">breytingum á lögum um um </w:t>
                  </w:r>
                  <w:proofErr w:type="spellStart"/>
                  <w:r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vátryggingasamninga</w:t>
                  </w:r>
                  <w:proofErr w:type="spellEnd"/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, nr. 30/2004, og </w:t>
                </w:r>
                <w:hyperlink r:id="rId16" w:history="1">
                  <w:r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lögum um viðbótareftirlit með fjármálasamsteypum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, nr. 61/2019. 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>Áformað f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rumvarp leggur meðal annars til breytingar á framangreindum </w:t>
                </w:r>
                <w:r w:rsidR="00AB3981">
                  <w:rPr>
                    <w:rFonts w:ascii="Times New Roman" w:hAnsi="Times New Roman" w:cs="Times New Roman"/>
                    <w:lang w:val="is-IS"/>
                  </w:rPr>
                  <w:t>lögum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má að meginstefnu til rekja tilurð þess til þriggja eftirfarandi þátta:</w:t>
                </w:r>
              </w:p>
              <w:p w14:paraId="1055FFB3" w14:textId="77777777" w:rsidR="00AC01EA" w:rsidRPr="000249DB" w:rsidRDefault="00AC01EA" w:rsidP="00AC01EA">
                <w:pPr>
                  <w:pStyle w:val="ListParagraph"/>
                  <w:numPr>
                    <w:ilvl w:val="0"/>
                    <w:numId w:val="22"/>
                  </w:numPr>
                  <w:jc w:val="both"/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Ábendingar Fjármálaeftirlitsins um nauðsynlegar lagfæringar á lögum.</w:t>
                </w:r>
              </w:p>
              <w:p w14:paraId="67C5071C" w14:textId="28879AA6" w:rsidR="006B5850" w:rsidRPr="00C219E4" w:rsidRDefault="00AC01EA" w:rsidP="00C219E4">
                <w:pPr>
                  <w:spacing w:after="120"/>
                  <w:jc w:val="both"/>
                  <w:rPr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Nokkur reynsla er komin á framkvæmd nýlegra laga á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vátryggingamarkaði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hefur </w:t>
                </w:r>
                <w:r w:rsidR="00106F18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jármálaeftirlit</w:t>
                </w:r>
                <w:r w:rsidR="00106F18">
                  <w:rPr>
                    <w:rFonts w:ascii="Times New Roman" w:hAnsi="Times New Roman" w:cs="Times New Roman"/>
                    <w:lang w:val="is-IS"/>
                  </w:rPr>
                  <w:t xml:space="preserve"> Seðlabanka Íslands (</w:t>
                </w:r>
                <w:r w:rsidR="00106F18" w:rsidRPr="00106F18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Fjármálaeftirlitið</w:t>
                </w:r>
                <w:r w:rsidR="00106F18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greint atriði sem nauðsynlegt þykir að taka til endurskoðunar. Fyrst og fremst er um að ræða tæknilegar breytingar á lögum sem </w:t>
                </w:r>
                <w:r w:rsidR="000C149F">
                  <w:rPr>
                    <w:rFonts w:ascii="Times New Roman" w:hAnsi="Times New Roman" w:cs="Times New Roman"/>
                    <w:lang w:val="is-IS"/>
                  </w:rPr>
                  <w:t xml:space="preserve">eru til þess fallnar að koma í veg fyrir vafatilvik.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Þá þykir nauðsynlegt að samræma </w:t>
                </w:r>
                <w:r w:rsidR="006B5850" w:rsidRPr="000249DB">
                  <w:rPr>
                    <w:rFonts w:ascii="Times New Roman" w:hAnsi="Times New Roman" w:cs="Times New Roman"/>
                    <w:lang w:val="is-IS"/>
                  </w:rPr>
                  <w:t xml:space="preserve">hugtakanotkun og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orðalag ýmissa lagaákvæða við samkynja ákvæði í öðrum lögum á fjármálamarkaði. Á þetta til dæmis við um ákvæði í lögum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lögum um dreifingu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sem fjalla um stjórn, hæfi og hæfni. </w:t>
                </w:r>
                <w:r w:rsidR="00AB3981">
                  <w:rPr>
                    <w:rFonts w:ascii="Times New Roman" w:hAnsi="Times New Roman" w:cs="Times New Roman"/>
                    <w:lang w:val="is-IS"/>
                  </w:rPr>
                  <w:t xml:space="preserve">Hvað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samræmda orðanotkun </w:t>
                </w:r>
                <w:r w:rsidR="00AB3981">
                  <w:rPr>
                    <w:rFonts w:ascii="Times New Roman" w:hAnsi="Times New Roman" w:cs="Times New Roman"/>
                    <w:lang w:val="is-IS"/>
                  </w:rPr>
                  <w:t xml:space="preserve">varðar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er um að ræða tilvik þar sem sömu kröfur gilda samkvæmt Evrópureglum á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vátryggingamarkaði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öðrum mörkuðum fjármálaþjónustu og eðlilegt 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 xml:space="preserve">þykir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að það endurspeglist í mismundi lögum á fjármálamarkaði til að koma í veg fyrir ranga túlkun eða vafatilvik. Á grundvelli tillagna Fjármálaeftirlitsins eru í frumvarpinu lagðar til ýmsar breytingar á lögum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, lögum um dreifingu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lögum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vátryggingarsamninga</w:t>
                </w:r>
                <w:proofErr w:type="spellEnd"/>
                <w:r w:rsidRPr="000249DB">
                  <w:rPr>
                    <w:lang w:val="is-IS"/>
                  </w:rPr>
                  <w:t>.</w:t>
                </w:r>
              </w:p>
              <w:p w14:paraId="415A8BD9" w14:textId="77777777" w:rsidR="006B5850" w:rsidRPr="000249DB" w:rsidRDefault="006B5850" w:rsidP="000249DB">
                <w:pPr>
                  <w:pStyle w:val="ListParagraph"/>
                  <w:numPr>
                    <w:ilvl w:val="0"/>
                    <w:numId w:val="22"/>
                  </w:numPr>
                  <w:jc w:val="both"/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Breytingar á lögum til að bregðast við athugasemdum ESA.</w:t>
                </w:r>
              </w:p>
              <w:p w14:paraId="49B3E4DD" w14:textId="77777777" w:rsidR="006B5850" w:rsidRPr="000249DB" w:rsidRDefault="006B5850" w:rsidP="000249DB">
                <w:pPr>
                  <w:pStyle w:val="ListParagraph"/>
                  <w:numPr>
                    <w:ilvl w:val="1"/>
                    <w:numId w:val="22"/>
                  </w:numPr>
                  <w:ind w:left="0" w:firstLine="0"/>
                  <w:jc w:val="both"/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Atkvæðisréttur vegna virks eignarhlutar.</w:t>
                </w:r>
              </w:p>
              <w:p w14:paraId="18714A6D" w14:textId="3C609C2C" w:rsidR="006B5850" w:rsidRPr="00C219E4" w:rsidRDefault="006B5850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Með bréfi, dags. 24. janúar 2018, óskaði </w:t>
                </w:r>
                <w:r w:rsidR="002900F7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bookmarkStart w:id="0" w:name="_GoBack"/>
                <w:bookmarkEnd w:id="0"/>
                <w:r w:rsidR="00FF619E">
                  <w:rPr>
                    <w:rFonts w:ascii="Times New Roman" w:hAnsi="Times New Roman" w:cs="Times New Roman"/>
                    <w:lang w:val="is-IS"/>
                  </w:rPr>
                  <w:t>ftirlitsstofnun EFTA (</w:t>
                </w:r>
                <w:r w:rsidRPr="00FF619E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ESA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eftir upplýsingum um innleiðingu 2. mgr. 24. gr. tilskipunar 2009/138/EB. Í kjölfar nokkurra samskipta við ESA tilkynnti ráðuneytið með bréfi, dags. 8. mars 2019, að til stæði að leggja fram frumvarp til breytinga á lögum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að tryggja rétta innleiðingu ákvæðisins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 xml:space="preserve">. Ákvæði sem ætlað er að koma til móts við athugasemdir ESA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er að finna í </w:t>
                </w:r>
                <w:r w:rsidR="00AB3981">
                  <w:rPr>
                    <w:rFonts w:ascii="Times New Roman" w:hAnsi="Times New Roman" w:cs="Times New Roman"/>
                    <w:lang w:val="is-IS"/>
                  </w:rPr>
                  <w:t xml:space="preserve">áformuðu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frumvarpi.</w:t>
                </w:r>
              </w:p>
              <w:p w14:paraId="4D41036D" w14:textId="77777777" w:rsidR="006B5850" w:rsidRPr="000249DB" w:rsidRDefault="006B5850" w:rsidP="000249DB">
                <w:pPr>
                  <w:pStyle w:val="ListParagraph"/>
                  <w:numPr>
                    <w:ilvl w:val="1"/>
                    <w:numId w:val="22"/>
                  </w:numPr>
                  <w:ind w:left="0" w:firstLine="0"/>
                  <w:jc w:val="both"/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 xml:space="preserve">Réttarstaða við endurskipulagningu og slit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vátryggingafélags</w:t>
                </w:r>
                <w:proofErr w:type="spellEnd"/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.</w:t>
                </w:r>
              </w:p>
              <w:p w14:paraId="2CEB9442" w14:textId="4DCF4428" w:rsidR="006B5850" w:rsidRPr="00C219E4" w:rsidRDefault="006B5850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Með bréfi, dags. 24. janúar 2018, óskaði ESA eftir upplýsingum um innleiðingu 1. mgr. 289. gr. tilskipunar 2009/138/EB. Í kjölfar nokkurra samskipta við ESA tilkynnti ráðuneytið með bréfi, dags. 8.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mars 2019, að til stæði að leggja fram frumvarp til breytinga á lögum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að tryggja rétta innleiðingu þess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 xml:space="preserve">. Ákvæði sem ætlað er að koma til móts við athugasemdir ESA </w:t>
                </w:r>
                <w:r w:rsidR="00FF619E" w:rsidRPr="000249DB">
                  <w:rPr>
                    <w:rFonts w:ascii="Times New Roman" w:hAnsi="Times New Roman" w:cs="Times New Roman"/>
                    <w:lang w:val="is-IS"/>
                  </w:rPr>
                  <w:t xml:space="preserve">er að finna í 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 xml:space="preserve">áformuðu </w:t>
                </w:r>
                <w:r w:rsidR="00FF619E" w:rsidRPr="000249DB">
                  <w:rPr>
                    <w:rFonts w:ascii="Times New Roman" w:hAnsi="Times New Roman" w:cs="Times New Roman"/>
                    <w:lang w:val="is-IS"/>
                  </w:rPr>
                  <w:t>frumvarpi.</w:t>
                </w:r>
              </w:p>
              <w:p w14:paraId="64A37CDE" w14:textId="77777777" w:rsidR="006B5850" w:rsidRPr="000249DB" w:rsidRDefault="006B5850" w:rsidP="006B5850">
                <w:pPr>
                  <w:pStyle w:val="ListParagraph"/>
                  <w:numPr>
                    <w:ilvl w:val="1"/>
                    <w:numId w:val="22"/>
                  </w:numPr>
                  <w:ind w:left="0" w:firstLine="0"/>
                  <w:jc w:val="both"/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 xml:space="preserve"> Búsetuskilyrði.</w:t>
                </w:r>
              </w:p>
              <w:p w14:paraId="65125AAB" w14:textId="33A22917" w:rsidR="006B5850" w:rsidRPr="00C219E4" w:rsidRDefault="006B5850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ESA hefur síðustu ár haft til skoðunar búsetuskilyrði stjórnarmanna og framkvæmdastjóra félaga í íslenskum lögum. Til að bregðast við athugasemdum ESA voru með </w:t>
                </w:r>
                <w:hyperlink r:id="rId17" w:history="1">
                  <w:r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 xml:space="preserve">lögum </w:t>
                  </w:r>
                  <w:r w:rsidR="00D47EC5"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um breytingu á lögum um hlutafélög, lögum um einkahlutafélög og lögum um sjálfseignastofnanir sem stunda atvinnurekstur (einföldun, búsetuskilyrði)</w:t>
                  </w:r>
                </w:hyperlink>
                <w:r w:rsidR="00D47EC5" w:rsidRPr="000249DB"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nr. 25/2017</w:t>
                </w:r>
                <w:r w:rsidR="00D47EC5" w:rsidRPr="000249DB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fellt brott skilyrði um búsetu ríkisborgara ríkja sem eru aðilar að Evrópska efnahagssvæðinu eða stofnsamningi Fríverslunarsamtaka Evrópu og Færeyinga í </w:t>
                </w:r>
                <w:r w:rsidR="00D47EC5" w:rsidRPr="000249DB">
                  <w:rPr>
                    <w:rFonts w:ascii="Times New Roman" w:hAnsi="Times New Roman" w:cs="Times New Roman"/>
                    <w:lang w:val="is-IS"/>
                  </w:rPr>
                  <w:t xml:space="preserve">nefndum lögum. Með </w:t>
                </w:r>
                <w:hyperlink r:id="rId18" w:history="1">
                  <w:r w:rsidR="00D47EC5"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lögum um breytingu á lögum um fjárfestingu erlendra aðila í atvinnurekstri (búsetuskilyrði)</w:t>
                  </w:r>
                </w:hyperlink>
                <w:r w:rsidR="00D47EC5" w:rsidRPr="000249DB">
                  <w:rPr>
                    <w:rFonts w:ascii="Times New Roman" w:hAnsi="Times New Roman" w:cs="Times New Roman"/>
                    <w:lang w:val="is-IS"/>
                  </w:rPr>
                  <w:t>, nr. 138/2019, voru gerðar hliðstæðar breytingar á þeim lögum til að bregðast við athugasemdum ESA.</w:t>
                </w:r>
              </w:p>
              <w:p w14:paraId="2E03A465" w14:textId="3D776441" w:rsidR="006B5850" w:rsidRPr="00C219E4" w:rsidRDefault="00D47EC5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Eftir standa svipuð búsetuskilyrði, og áður giltu í framangreindum lögum, í 5. </w:t>
                </w:r>
                <w:r w:rsidR="00EC20A5" w:rsidRPr="000249DB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gr. 40. </w:t>
                </w:r>
                <w:r w:rsidR="00EC20A5" w:rsidRPr="000249DB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r. laga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1. </w:t>
                </w:r>
                <w:r w:rsidR="00EC20A5" w:rsidRPr="000249DB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gr. 52. </w:t>
                </w:r>
                <w:r w:rsidR="00EC20A5" w:rsidRPr="000249DB"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r. laga um fjármálafyrirtæki. Í </w:t>
                </w:r>
                <w:r w:rsidR="00AB3981">
                  <w:rPr>
                    <w:rFonts w:ascii="Times New Roman" w:hAnsi="Times New Roman" w:cs="Times New Roman"/>
                    <w:lang w:val="is-IS"/>
                  </w:rPr>
                  <w:t xml:space="preserve">áformuðu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frumvarpi verða lagðar til breytingar á </w:t>
                </w:r>
                <w:r w:rsidR="00EC20A5" w:rsidRPr="000249DB">
                  <w:rPr>
                    <w:rFonts w:ascii="Times New Roman" w:hAnsi="Times New Roman" w:cs="Times New Roman"/>
                    <w:lang w:val="is-IS"/>
                  </w:rPr>
                  <w:t>búsetuskilyrðum í þeim lögum.</w:t>
                </w:r>
              </w:p>
              <w:p w14:paraId="082DE5BA" w14:textId="77777777" w:rsidR="00EC20A5" w:rsidRPr="000249DB" w:rsidRDefault="00EC20A5" w:rsidP="00EC20A5">
                <w:pPr>
                  <w:pStyle w:val="ListParagraph"/>
                  <w:numPr>
                    <w:ilvl w:val="0"/>
                    <w:numId w:val="22"/>
                  </w:numPr>
                  <w:jc w:val="both"/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Eftirlitsheimildir evrópsku eftirlitsstofnananna vegna viðbótareftirlits með fjármálasamsteypum.</w:t>
                </w:r>
              </w:p>
              <w:p w14:paraId="63D2D308" w14:textId="73B622F9" w:rsidR="00EC20A5" w:rsidRPr="00C219E4" w:rsidRDefault="00EC20A5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Lög um viðbótareftirlit með fjármálasamsteypum, nr. 61/2017, tóku gildi 21. júní 2017. Lögin tóku upp ákvæði </w:t>
                </w:r>
                <w:hyperlink r:id="rId19" w:history="1">
                  <w:r w:rsidRPr="00AB3981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tilskipunar 2002/87/EB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um viðbótareftirlit með lánastofnunum,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vátryggingafélögum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verðbréfafyrirtækjum sem eru hluti af fjármálasamsteypu, með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áorðnum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breytingum samkvæmt tilskipun 2011/89/ESB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 xml:space="preserve"> og tilskipun 2010/78/ESB að hluta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2F3CBFF3" w14:textId="4CA13948" w:rsidR="00EC20A5" w:rsidRPr="00C219E4" w:rsidRDefault="00EC20A5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>Tilskipun 2010/78/ESB að því er varðar valdsvið evrópsku eftirlitsstofnananna breytti ýmsum tilskipunum ESB á þann veg að eftirlitsheimildir (valdheimildir) stofnananna, þ.e. Evrópsku bankaeftirlitsstofnunarinnar (</w:t>
                </w:r>
                <w:r w:rsidRPr="00AB3981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EBA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), Evrópsku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>- og lífeyrissjóðaeftirlitsstofnunarinnar (</w:t>
                </w:r>
                <w:r w:rsidRPr="00AB3981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EIOPA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) og Evrópsku verðbréfamarkaðsstofnunarinnar (</w:t>
                </w:r>
                <w:r w:rsidRPr="00AB3981">
                  <w:rPr>
                    <w:rFonts w:ascii="Times New Roman" w:hAnsi="Times New Roman" w:cs="Times New Roman"/>
                    <w:b/>
                    <w:bCs/>
                    <w:lang w:val="is-IS"/>
                  </w:rPr>
                  <w:t>ESMA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), voru færðar inn í viðkomandi Evrópugerðir á sviði fjármálaþjónustu. Í tilviki fjármálasamsteypa voru eftirlitsheimildir færðar inn í tilskipun 2002/87/EB. Unnið hefur verið að því undanfarin ár að lögfesta eftirlitsheimildir tilskipunar 2010/78/ESB í viðeigandi lög á fjármálamarkaði.   </w:t>
                </w:r>
              </w:p>
              <w:p w14:paraId="0C29BB50" w14:textId="3B55534D" w:rsidR="00AC01EA" w:rsidRPr="00C219E4" w:rsidRDefault="00EC20A5" w:rsidP="00C219E4">
                <w:pPr>
                  <w:spacing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Hluti af þeim breytingum sem kveðið er á um í tilskipun 2010/78/ESB var ekki innleiddur með lögum um viðbótareftirlit með fjármálasamsteypum. Ástæða þess var sú að frumvarpið var til meðferðar á Alþingi á sama tíma og frumvarp sem varð að </w:t>
                </w:r>
                <w:hyperlink r:id="rId20" w:history="1">
                  <w:r w:rsidRPr="00106F18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lögum um evrópskt eftirlitskerfi á fjármálamarkaði</w:t>
                  </w:r>
                </w:hyperlink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, nr. 24/2017, en þau lög tóku upp stofnanaumgjörð hins evrópska eftirlitskerfis. Með </w:t>
                </w:r>
                <w:r w:rsidR="004C66CA">
                  <w:rPr>
                    <w:rFonts w:ascii="Times New Roman" w:hAnsi="Times New Roman" w:cs="Times New Roman"/>
                    <w:lang w:val="is-IS"/>
                  </w:rPr>
                  <w:t xml:space="preserve">áformuðu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frumvarpi er ætlunin að ljúka innleiðingu á tilskipun 2002/87/EB með því að lögfesta þau afmörkuðu ákvæði tilskipunar 2010/78/ESB sem ekki hafa verið innleidd hér á landi.</w:t>
                </w:r>
              </w:p>
              <w:p w14:paraId="4D252615" w14:textId="77777777" w:rsidR="00EC20A5" w:rsidRDefault="00D148DB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4C60F1CC" w14:textId="7F794133" w:rsidR="00FD2097" w:rsidRPr="000249DB" w:rsidRDefault="00EC20A5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Í áformuðu frumvarpi verða lagðar til ýmsar breytingar á lögum á sviði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vátryggingamarkaðar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bankamarkaðar. Breytingunum er ýmist ætlað að innleiða viðeigandi ákvæði í Evrópugerðum</w:t>
                </w:r>
                <w:r w:rsidR="001924F1" w:rsidRPr="000249DB">
                  <w:rPr>
                    <w:rFonts w:ascii="Times New Roman" w:hAnsi="Times New Roman" w:cs="Times New Roman"/>
                    <w:lang w:val="is-IS"/>
                  </w:rPr>
                  <w:t>, eftir atvikum í kjölfar ábendinga ESA,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eða lagfæra orðalag í lögum þannig að það endurspegli betur efnistök Evrópugerða og tryggi innra samræmi við aðra löggjöf á fjármálamarkaði. Þrátt fyrir að </w:t>
                </w:r>
                <w:r w:rsidR="00106F18">
                  <w:rPr>
                    <w:rFonts w:ascii="Times New Roman" w:hAnsi="Times New Roman" w:cs="Times New Roman"/>
                    <w:lang w:val="is-IS"/>
                  </w:rPr>
                  <w:t xml:space="preserve">áformað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frumvarp hafi að geyma ákvæði sem fela ekki í sér beina innleiðingu á ákvæðum Evrópugerða þá taka allar breytingar þess mið af 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 xml:space="preserve">efni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Evrópu</w:t>
                </w:r>
                <w:r w:rsidR="00106F18">
                  <w:rPr>
                    <w:rFonts w:ascii="Times New Roman" w:hAnsi="Times New Roman" w:cs="Times New Roman"/>
                    <w:lang w:val="is-IS"/>
                  </w:rPr>
                  <w:t>gerð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D148DB" w:rsidRPr="000249D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AE2B321" w14:textId="77777777" w:rsidR="00EC20A5" w:rsidRDefault="007822E4" w:rsidP="00BA5089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3E28F594" w14:textId="2191D29A" w:rsidR="00CA3381" w:rsidRPr="00EC20A5" w:rsidRDefault="001924F1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Nauðsynlegt þykir að samræma hugtakanotkun og orðalag ýmissa lagaákvæða við samkynja ákvæði í öðrum lögum á fjármálamarkaði. Þá endurspeglar </w:t>
                </w:r>
                <w:r w:rsidR="00106F18">
                  <w:rPr>
                    <w:rFonts w:ascii="Times New Roman" w:hAnsi="Times New Roman" w:cs="Times New Roman"/>
                    <w:bCs/>
                    <w:lang w:val="is-IS"/>
                  </w:rPr>
                  <w:t>umrædd löggjöf</w:t>
                </w:r>
                <w:r w:rsidR="00EC20A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hluta til </w:t>
                </w:r>
                <w:r w:rsidR="00EC20A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ekki ákvæði nefndra </w:t>
                </w:r>
                <w:r w:rsidRPr="000249DB">
                  <w:rPr>
                    <w:rFonts w:ascii="Times New Roman" w:hAnsi="Times New Roman" w:cs="Times New Roman"/>
                    <w:bCs/>
                    <w:lang w:val="is-IS"/>
                  </w:rPr>
                  <w:t>Evrópugerða</w:t>
                </w:r>
                <w:r w:rsidR="00EC20A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>, sem teknar hafa verið upp í EES-samninginn</w:t>
                </w:r>
                <w:r w:rsidR="00FF619E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96210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eins og </w:t>
                </w:r>
                <w:r w:rsidR="00106F1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meðal annars má </w:t>
                </w:r>
                <w:r w:rsidRPr="000249DB">
                  <w:rPr>
                    <w:rFonts w:ascii="Times New Roman" w:hAnsi="Times New Roman" w:cs="Times New Roman"/>
                    <w:bCs/>
                    <w:lang w:val="is-IS"/>
                  </w:rPr>
                  <w:t>ráða</w:t>
                </w:r>
                <w:r w:rsidR="0096210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af </w:t>
                </w:r>
                <w:r w:rsidR="00FF619E">
                  <w:rPr>
                    <w:rFonts w:ascii="Times New Roman" w:hAnsi="Times New Roman" w:cs="Times New Roman"/>
                    <w:bCs/>
                    <w:lang w:val="is-IS"/>
                  </w:rPr>
                  <w:t>athugasemdum</w:t>
                </w:r>
                <w:r w:rsidR="0096210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ESA </w:t>
                </w:r>
                <w:r w:rsidR="00106F18">
                  <w:rPr>
                    <w:rFonts w:ascii="Times New Roman" w:hAnsi="Times New Roman" w:cs="Times New Roman"/>
                    <w:bCs/>
                    <w:lang w:val="is-IS"/>
                  </w:rPr>
                  <w:t>vegna</w:t>
                </w:r>
                <w:r w:rsidR="0096210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innleiðing</w:t>
                </w:r>
                <w:r w:rsidR="00106F18">
                  <w:rPr>
                    <w:rFonts w:ascii="Times New Roman" w:hAnsi="Times New Roman" w:cs="Times New Roman"/>
                    <w:bCs/>
                    <w:lang w:val="is-IS"/>
                  </w:rPr>
                  <w:t>ar</w:t>
                </w:r>
                <w:r w:rsidR="0096210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ákvæðum tilskipunar 2009/138/EB</w:t>
                </w:r>
                <w:r w:rsidR="00EC20A5" w:rsidRPr="000249DB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704B91" w:rsidRPr="00EC20A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C5037E" w:rsidRPr="00EC20A5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874844091" w:displacedByCustomXml="prev"/>
        </w:tc>
      </w:tr>
      <w:tr w:rsidR="00E34B42" w:rsidRPr="00E34B42" w14:paraId="0F56D73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DB7CD95" w14:textId="77777777" w:rsidR="00263F72" w:rsidRPr="00E34B42" w:rsidRDefault="00263F7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4DF86AEA" w14:textId="77777777" w:rsidTr="005E6791">
        <w:trPr>
          <w:trHeight w:val="747"/>
        </w:trPr>
        <w:tc>
          <w:tcPr>
            <w:tcW w:w="9288" w:type="dxa"/>
          </w:tcPr>
          <w:permStart w:id="179708904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18B768F" w14:textId="3BB43F9D" w:rsidR="006C6EA3" w:rsidRDefault="00645781" w:rsidP="00BA5089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0CF93352" w14:textId="25C09560" w:rsidR="001924F1" w:rsidRPr="001924F1" w:rsidRDefault="001924F1" w:rsidP="00C219E4">
                <w:pPr>
                  <w:pStyle w:val="ListParagraph"/>
                  <w:spacing w:before="60" w:after="120"/>
                  <w:ind w:left="0"/>
                  <w:contextualSpacing w:val="0"/>
                  <w:jc w:val="both"/>
                  <w:rPr>
                    <w:lang w:val="is-IS"/>
                  </w:rPr>
                </w:pPr>
                <w:r w:rsidRPr="004A7C47"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hyperlink r:id="rId21" w:history="1">
                  <w:r w:rsidRPr="00855827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sáttmála Framsóknarflokks, Sjálfstæðisflokks og Vinstrihreyfingarinnar – græns framboðs um ríkisstjórnarsamstarf og eflingu Alþingis</w:t>
                  </w:r>
                </w:hyperlink>
                <w:r w:rsidRPr="004A7C47">
                  <w:rPr>
                    <w:rFonts w:ascii="Times New Roman" w:hAnsi="Times New Roman" w:cs="Times New Roman"/>
                    <w:lang w:val="is-IS"/>
                  </w:rPr>
                  <w:t xml:space="preserve"> kemur fram að fjármálakerfið eigi að vera traust og þjóna </w:t>
                </w:r>
                <w:r w:rsidRPr="004A7C47">
                  <w:rPr>
                    <w:rFonts w:ascii="Times New Roman" w:hAnsi="Times New Roman" w:cs="Times New Roman"/>
                    <w:lang w:val="is-IS"/>
                  </w:rPr>
                  <w:lastRenderedPageBreak/>
                  <w:t>samfélaginu á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4A7C47">
                  <w:rPr>
                    <w:rFonts w:ascii="Times New Roman" w:hAnsi="Times New Roman" w:cs="Times New Roman"/>
                    <w:lang w:val="is-IS"/>
                  </w:rPr>
                  <w:t>hagkvæman og sanngjarnan hátt. Meginmarkmið málefnasviðsins er að auka alþjóðlega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4A7C47">
                  <w:rPr>
                    <w:rFonts w:ascii="Times New Roman" w:hAnsi="Times New Roman" w:cs="Times New Roman"/>
                    <w:lang w:val="is-IS"/>
                  </w:rPr>
                  <w:t>samkeppnishæfni atvinnulífs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789EB004" w14:textId="77777777" w:rsidR="001924F1" w:rsidRDefault="00187E36" w:rsidP="00645781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44052C63" w14:textId="3D918FF5" w:rsidR="001924F1" w:rsidRPr="001924F1" w:rsidRDefault="001924F1" w:rsidP="00C219E4">
                <w:pPr>
                  <w:pStyle w:val="Default"/>
                  <w:spacing w:before="60" w:after="120"/>
                  <w:jc w:val="both"/>
                  <w:rPr>
                    <w:rFonts w:ascii="Times New Roman" w:hAnsi="Times New Roman" w:cs="Times New Roman"/>
                  </w:rPr>
                </w:pPr>
                <w:r w:rsidRPr="001924F1">
                  <w:rPr>
                    <w:rFonts w:ascii="Times New Roman" w:hAnsi="Times New Roman" w:cs="Times New Roman"/>
                    <w:sz w:val="22"/>
                    <w:szCs w:val="22"/>
                  </w:rPr>
                  <w:t>Markmið</w:t>
                </w:r>
                <w:r w:rsidR="00F067AC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lagasetning</w:t>
                </w:r>
                <w:r w:rsidR="00106F18">
                  <w:rPr>
                    <w:rFonts w:ascii="Times New Roman" w:hAnsi="Times New Roman" w:cs="Times New Roman"/>
                    <w:sz w:val="22"/>
                    <w:szCs w:val="22"/>
                  </w:rPr>
                  <w:t>ar</w:t>
                </w:r>
                <w:r w:rsidRPr="001924F1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er að samræma þær reglur sem gilda hér á landi við þær sem gilda á Evrópska efnahagssvæðinu og/eða á öðrum sviðum fjármálamarkaðar, enda er þannig best gætt að hagsmunum markaðarins og fjárfesta. Þá er markmiðið að stuðla að skilvirkri framkvæmd EES-samningsins. </w:t>
                </w:r>
              </w:p>
              <w:p w14:paraId="2E4FFF0D" w14:textId="682F4609" w:rsidR="00CA3381" w:rsidRPr="001924F1" w:rsidRDefault="002900F7" w:rsidP="001924F1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sdtContent>
          </w:sdt>
        </w:tc>
      </w:tr>
      <w:permEnd w:id="1797089042"/>
      <w:tr w:rsidR="00E34B42" w:rsidRPr="00E34B42" w14:paraId="4FA3CFB7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E2A8101" w14:textId="77777777" w:rsidR="00263F72" w:rsidRPr="00E34B42" w:rsidRDefault="00E832C9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E34B42" w14:paraId="0A8463BC" w14:textId="77777777" w:rsidTr="00FD2097">
        <w:trPr>
          <w:trHeight w:val="826"/>
        </w:trPr>
        <w:tc>
          <w:tcPr>
            <w:tcW w:w="9288" w:type="dxa"/>
          </w:tcPr>
          <w:permStart w:id="1304644844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128E221" w14:textId="77777777" w:rsidR="00F067AC" w:rsidRDefault="004978E5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</w:p>
              <w:p w14:paraId="7C8CD56C" w14:textId="56847672" w:rsidR="00F067AC" w:rsidRDefault="00F067AC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E80FDE">
                  <w:rPr>
                    <w:rFonts w:ascii="Times New Roman" w:hAnsi="Times New Roman" w:cs="Times New Roman"/>
                    <w:lang w:val="is-IS"/>
                  </w:rPr>
                  <w:t>Mikilvægt er að lagaumgjörð fjármálamarkaða sé sem vönduðust og í samræmi við það sem gerist annars staðar í Evrópu. Verði ekkert aðhafst mun það hafa áhrif á stöðu Íslands og íslenskra fyrirtækja á alþjóðlegum fjármálamörkuðum auk þess að brjóta gegn alþjóðlegum skuldbindingum Íslands á grundvelli EES-samning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Pr="00E80FDE">
                  <w:rPr>
                    <w:rFonts w:ascii="Times New Roman" w:hAnsi="Times New Roman" w:cs="Times New Roman"/>
                    <w:lang w:val="is-IS"/>
                  </w:rPr>
                  <w:t>ins.</w:t>
                </w:r>
                <w:r w:rsidRPr="00A7741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Pr="00F067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Það er mat ESA að innleiðing tilskipunar 2009/138/EB og búsetuskilyrðum í lögum um </w:t>
                </w:r>
                <w:proofErr w:type="spellStart"/>
                <w:r w:rsidRPr="00F067AC">
                  <w:rPr>
                    <w:rFonts w:ascii="Times New Roman" w:hAnsi="Times New Roman" w:cs="Times New Roman"/>
                    <w:bCs/>
                    <w:lang w:val="is-IS"/>
                  </w:rPr>
                  <w:t>vátryggingastarfsemi</w:t>
                </w:r>
                <w:proofErr w:type="spellEnd"/>
                <w:r w:rsidRPr="00F067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lögum um fjármálafyrirtæki sé ábótavant og stofnunin gæti höfðað mál á hendur íslenska ríkinu vegna þess.</w:t>
                </w:r>
              </w:p>
              <w:p w14:paraId="5A647CD7" w14:textId="712706FA" w:rsidR="00FD2097" w:rsidRPr="000F5B90" w:rsidRDefault="00F067AC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F067AC">
                  <w:rPr>
                    <w:rFonts w:ascii="Times New Roman" w:hAnsi="Times New Roman" w:cs="Times New Roman"/>
                    <w:lang w:val="is-IS"/>
                  </w:rPr>
                  <w:t xml:space="preserve">Ef ekkert er aðhafst mun ESA telja innleiðingu tilskipunar 2009/138/EB ábótavant og stofnunin gæti höfðað mál á hendur íslenska ríkinu vegna þess. Jafnframt er líklegt að búsetuskilyrði í lögum um fjármálafyrirtæki og lögum um </w:t>
                </w:r>
                <w:proofErr w:type="spellStart"/>
                <w:r w:rsidRPr="00F067AC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F067AC">
                  <w:rPr>
                    <w:rFonts w:ascii="Times New Roman" w:hAnsi="Times New Roman" w:cs="Times New Roman"/>
                    <w:lang w:val="is-IS"/>
                  </w:rPr>
                  <w:t xml:space="preserve"> yrðu talin brjóta í bága við skuldbindingar Íslands samkvæmt EES-samningnum.</w:t>
                </w:r>
              </w:p>
              <w:p w14:paraId="5C162A62" w14:textId="2D61A278" w:rsidR="00FD2097" w:rsidRDefault="004978E5" w:rsidP="000249DB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15A2A818" w14:textId="1AF2C5AA" w:rsidR="00F067AC" w:rsidRPr="00F067AC" w:rsidRDefault="00F067AC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F067AC">
                  <w:rPr>
                    <w:rFonts w:ascii="Times New Roman" w:hAnsi="Times New Roman" w:cs="Times New Roman"/>
                    <w:lang w:val="is-IS"/>
                  </w:rPr>
                  <w:t xml:space="preserve">Eingöngu lagasetning kemur til greina. </w:t>
                </w:r>
              </w:p>
              <w:p w14:paraId="3C26897E" w14:textId="77777777" w:rsidR="00DD2183" w:rsidRDefault="0047580A" w:rsidP="00BA5089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5964C91E" w14:textId="3921A79B" w:rsidR="00CA3381" w:rsidRPr="00DD2183" w:rsidRDefault="00DD2183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Breytingar á ýmsum lögum á </w:t>
                </w:r>
                <w:proofErr w:type="spellStart"/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>vátryggingamarkaði</w:t>
                </w:r>
                <w:proofErr w:type="spellEnd"/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bankamarkaði.</w:t>
                </w:r>
              </w:p>
            </w:sdtContent>
          </w:sdt>
        </w:tc>
      </w:tr>
      <w:permEnd w:id="1304644844"/>
      <w:tr w:rsidR="00E34B42" w:rsidRPr="00E34B42" w14:paraId="67FAC685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3F2E2FD" w14:textId="77777777" w:rsidR="000D6E33" w:rsidRPr="00E34B42" w:rsidRDefault="000D6E33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2A54E0" w14:paraId="2228717F" w14:textId="77777777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555883652" w:edGrp="everyone" w:displacedByCustomXml="prev"/>
              <w:p w14:paraId="1A9EC884" w14:textId="31676545" w:rsidR="000D6E3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66A4CE32" w14:textId="144C8964" w:rsidR="00DD2183" w:rsidRPr="00DD2183" w:rsidRDefault="00DD2183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Lagt er til að nauðsynlegar breytingar verði gerðar á lögum um </w:t>
                </w:r>
                <w:proofErr w:type="spellStart"/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>vátryggingastarfsemi</w:t>
                </w:r>
                <w:proofErr w:type="spellEnd"/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nr. 100/2016, lögum um dreifingu </w:t>
                </w:r>
                <w:proofErr w:type="spellStart"/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>vátrygginga</w:t>
                </w:r>
                <w:proofErr w:type="spellEnd"/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>, nr. 62/201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9</w:t>
                </w:r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lögum um </w:t>
                </w:r>
                <w:proofErr w:type="spellStart"/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>vátrygginga</w:t>
                </w:r>
                <w:r w:rsidR="00106F18"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>samninga</w:t>
                </w:r>
                <w:proofErr w:type="spellEnd"/>
                <w:r w:rsidRPr="00DD218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, nr. 30/2004, lögum um viðbótareftirlit með fjármálasamsteypum, nr. 61/2017 og lögum um fjármálafyrirtæki, nr. 161/2002. </w:t>
                </w:r>
              </w:p>
              <w:p w14:paraId="0D96F597" w14:textId="77777777" w:rsidR="00DD2183" w:rsidRDefault="000D6E33" w:rsidP="00BA5089">
                <w:pPr>
                  <w:pStyle w:val="ListParagraph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2583C0D9" w14:textId="23B95550" w:rsidR="00DD2183" w:rsidRPr="000249DB" w:rsidRDefault="00DD2183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Í áformuðu frumvarpi verða lagðar til ýmsar breytingar á lögum á sviði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vátryggingamarkaðar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banka-markaðar. Helstu breytingar frá gildandi lögum verða eftirfarandi:</w:t>
                </w:r>
              </w:p>
              <w:p w14:paraId="218EED0D" w14:textId="77777777" w:rsidR="00DD2183" w:rsidRPr="000249DB" w:rsidRDefault="00DD2183" w:rsidP="00DD2183">
                <w:pPr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 xml:space="preserve">Breytingar á lögum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vátryggingastarfsemi</w:t>
                </w:r>
                <w:proofErr w:type="spellEnd"/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.</w:t>
                </w:r>
              </w:p>
              <w:p w14:paraId="503876CC" w14:textId="3EEEB7AC" w:rsidR="00DD2183" w:rsidRPr="000249DB" w:rsidRDefault="00DD2183" w:rsidP="00DD2183">
                <w:pPr>
                  <w:pStyle w:val="ListParagraph"/>
                  <w:numPr>
                    <w:ilvl w:val="0"/>
                    <w:numId w:val="23"/>
                  </w:num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Lagt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að fyrirmæli um hvernig atkvæðisréttur í félagi skuli ákvarðaður verði bætt við ákvæði laganna sem fjallar um skilyrði fyrir starfsleyfi. Atkvæðisrétturinn hefur þýðingu við mat á virkum eignarhlut í félagi og skal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vátryggingafélag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veita Fjármálaeftirlitinu upplýsingar um eigendur og umfang eignarhlutarins.</w:t>
                </w:r>
              </w:p>
              <w:p w14:paraId="213259D6" w14:textId="3365A6FF" w:rsidR="00DD2183" w:rsidRPr="000249DB" w:rsidRDefault="00DD2183" w:rsidP="00DD2183">
                <w:pPr>
                  <w:pStyle w:val="ListParagraph"/>
                  <w:numPr>
                    <w:ilvl w:val="0"/>
                    <w:numId w:val="23"/>
                  </w:num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Lagt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að ríkisborgarar ríkja sem eru aðilar að EES-samningnum eða stofnsamningi Fríverslunarsamtaka Evrópu verði undanþegnir búsetuskilyrðum til stjórnarmanna og framkvæmdastjóra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vátryggingafélaga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23AD3C8A" w14:textId="6D7A2CFC" w:rsidR="00DD2183" w:rsidRPr="000249DB" w:rsidRDefault="00DD2183" w:rsidP="00DD2183">
                <w:pPr>
                  <w:pStyle w:val="ListParagraph"/>
                  <w:numPr>
                    <w:ilvl w:val="0"/>
                    <w:numId w:val="23"/>
                  </w:num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Lagt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að tekið verði fram í lögum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að áhrif endurskipulagningar, slita eða gjaldþrotaskipta á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vátryggingafélagi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eða búi þess á réttindi og skyldur aðila að skipulegum verðbréfamarkaði ráðist af lögum þess ríkis sem um markaðinn gilda.</w:t>
                </w:r>
              </w:p>
              <w:p w14:paraId="47F82CC9" w14:textId="22BC7469" w:rsidR="00DD2183" w:rsidRPr="000249DB" w:rsidRDefault="00DD2183" w:rsidP="00DD2183">
                <w:pPr>
                  <w:pStyle w:val="ListParagraph"/>
                  <w:numPr>
                    <w:ilvl w:val="0"/>
                    <w:numId w:val="23"/>
                  </w:num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Lagt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að við lögin bætist ný skilgreining á hugtakinu „samstarf“ sem er efnislega samhljóða skilgreiningu hugtaksins í lögum um fjármálafyrirtæki. Skilgreiningin hefur meðal annars þýðingu við mat á hæfi- og hæfnisskilyrðum. </w:t>
                </w:r>
              </w:p>
              <w:p w14:paraId="16DAECC5" w14:textId="02FC5B97" w:rsidR="00DD2183" w:rsidRPr="000249DB" w:rsidRDefault="00DD2183" w:rsidP="00DD2183">
                <w:pPr>
                  <w:pStyle w:val="ListParagraph"/>
                  <w:numPr>
                    <w:ilvl w:val="0"/>
                    <w:numId w:val="23"/>
                  </w:num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Lagt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að hugtakinu „forstjóri“ verði skipt út fyrir hugtakið „framkvæmdastjóri“ til samræmis við önnur lög á fjármálamarkaði.</w:t>
                </w:r>
              </w:p>
              <w:p w14:paraId="2059EC3D" w14:textId="146BA666" w:rsidR="00DD2183" w:rsidRDefault="00DD2183" w:rsidP="00C219E4">
                <w:pPr>
                  <w:pStyle w:val="ListParagraph"/>
                  <w:numPr>
                    <w:ilvl w:val="0"/>
                    <w:numId w:val="23"/>
                  </w:numPr>
                  <w:spacing w:after="120"/>
                  <w:ind w:left="641" w:hanging="357"/>
                  <w:jc w:val="both"/>
                </w:pPr>
                <w:r w:rsidRPr="00B269D3">
                  <w:rPr>
                    <w:rFonts w:ascii="Times New Roman" w:hAnsi="Times New Roman" w:cs="Times New Roman"/>
                    <w:lang w:val="is-IS"/>
                  </w:rPr>
                  <w:t xml:space="preserve">Lagðar </w:t>
                </w:r>
                <w:r w:rsidR="00B269D3" w:rsidRPr="00B269D3">
                  <w:rPr>
                    <w:rFonts w:ascii="Times New Roman" w:hAnsi="Times New Roman" w:cs="Times New Roman"/>
                    <w:lang w:val="is-IS"/>
                  </w:rPr>
                  <w:t>verða</w:t>
                </w:r>
                <w:r w:rsidRPr="00B269D3">
                  <w:rPr>
                    <w:rFonts w:ascii="Times New Roman" w:hAnsi="Times New Roman" w:cs="Times New Roman"/>
                    <w:lang w:val="is-IS"/>
                  </w:rPr>
                  <w:t xml:space="preserve"> til orðalagsbreytingar á ákvæðum VII. kafla laganna sem fjalla um stjórn, áhættustýringu og innra eftirlit. Breytingunum er ætlað að samræma orðalag við sambærilega ákvæði í öðrum lögum á fjármálamarkaði.</w:t>
                </w:r>
              </w:p>
              <w:p w14:paraId="66FF980E" w14:textId="77777777" w:rsidR="00DD2183" w:rsidRPr="000249DB" w:rsidRDefault="00DD2183" w:rsidP="00DD2183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 xml:space="preserve">Breytingar á lögum um dreifingu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vátrygginga</w:t>
                </w:r>
                <w:proofErr w:type="spellEnd"/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.</w:t>
                </w:r>
              </w:p>
              <w:p w14:paraId="22E646F6" w14:textId="628B72DA" w:rsidR="00DD2183" w:rsidRPr="000249DB" w:rsidRDefault="00DD2183" w:rsidP="00DD2183">
                <w:pPr>
                  <w:pStyle w:val="ListParagraph"/>
                  <w:numPr>
                    <w:ilvl w:val="0"/>
                    <w:numId w:val="24"/>
                  </w:num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Lagt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að aukið verði við upplýsingar sem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vátryggingafélög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skulu veita Fjármálaeftirlitinu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vátryggingaumboðsmenn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og aðila sem dreifa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vátryggingu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sem aukaafurð. Fjármálaeftirlitið skal skrá upplýsingarnar.</w:t>
                </w:r>
              </w:p>
              <w:p w14:paraId="2D3C399A" w14:textId="5222375F" w:rsidR="00DD2183" w:rsidRPr="000D7FA0" w:rsidRDefault="00DD2183" w:rsidP="00C219E4">
                <w:pPr>
                  <w:pStyle w:val="ListParagraph"/>
                  <w:numPr>
                    <w:ilvl w:val="0"/>
                    <w:numId w:val="24"/>
                  </w:numPr>
                  <w:spacing w:after="120"/>
                  <w:ind w:left="641" w:hanging="357"/>
                  <w:jc w:val="both"/>
                </w:pPr>
                <w:r w:rsidRPr="00B269D3">
                  <w:rPr>
                    <w:rFonts w:ascii="Times New Roman" w:hAnsi="Times New Roman" w:cs="Times New Roman"/>
                    <w:lang w:val="is-IS"/>
                  </w:rPr>
                  <w:t xml:space="preserve">Lagðar </w:t>
                </w:r>
                <w:r w:rsidR="00B269D3" w:rsidRPr="00B269D3">
                  <w:rPr>
                    <w:rFonts w:ascii="Times New Roman" w:hAnsi="Times New Roman" w:cs="Times New Roman"/>
                    <w:lang w:val="is-IS"/>
                  </w:rPr>
                  <w:t>verða</w:t>
                </w:r>
                <w:r w:rsidRPr="00B269D3">
                  <w:rPr>
                    <w:rFonts w:ascii="Times New Roman" w:hAnsi="Times New Roman" w:cs="Times New Roman"/>
                    <w:lang w:val="is-IS"/>
                  </w:rPr>
                  <w:t xml:space="preserve"> til sambærilegar orðalagsbreytingar á hæfis- og hæfniskilyrðum laganna og lagðar eru til með frumvarpinu á lögum um </w:t>
                </w:r>
                <w:proofErr w:type="spellStart"/>
                <w:r w:rsidRPr="00B269D3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B269D3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5B31EEB" w14:textId="4AD73799" w:rsidR="000D7FA0" w:rsidRPr="000D7FA0" w:rsidRDefault="000D7FA0" w:rsidP="000D7FA0">
                <w:pPr>
                  <w:pStyle w:val="ListParagraph"/>
                  <w:numPr>
                    <w:ilvl w:val="0"/>
                    <w:numId w:val="24"/>
                  </w:numPr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0D7FA0">
                  <w:rPr>
                    <w:rFonts w:ascii="Times New Roman" w:hAnsi="Times New Roman" w:cs="Times New Roman"/>
                  </w:rPr>
                  <w:t>Lagt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er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til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X.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kafla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laganna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sem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fjallar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um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stofnun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útibúa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og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frjálst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flæði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þjónustu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gildi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ekki um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vátryggingarumboðsmenn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Rétt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þykir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að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ákvæði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X.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kafla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laganna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einskorðist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við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starfsleyfi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og/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eða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skráningu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aðila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í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heimaríki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en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vátryggingaumboðsmenn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starfa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ekki á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grundvelli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starfsleyfis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frá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0D7FA0">
                  <w:rPr>
                    <w:rFonts w:ascii="Times New Roman" w:hAnsi="Times New Roman" w:cs="Times New Roman"/>
                  </w:rPr>
                  <w:t>Fjármálaeftirlitinu</w:t>
                </w:r>
                <w:proofErr w:type="spellEnd"/>
                <w:r w:rsidRPr="000D7FA0">
                  <w:rPr>
                    <w:rFonts w:ascii="Times New Roman" w:hAnsi="Times New Roman" w:cs="Times New Roman"/>
                  </w:rPr>
                  <w:t xml:space="preserve">. </w:t>
                </w:r>
              </w:p>
              <w:p w14:paraId="0F75A5DD" w14:textId="77777777" w:rsidR="00DD2183" w:rsidRPr="000249DB" w:rsidRDefault="00DD2183" w:rsidP="00DD2183">
                <w:pPr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i/>
                    <w:iCs/>
                    <w:lang w:val="is-IS"/>
                  </w:rPr>
                  <w:t>Breytingar á öðrum lögum.</w:t>
                </w:r>
              </w:p>
              <w:p w14:paraId="5F52780A" w14:textId="3E8E1721" w:rsidR="00DD2183" w:rsidRPr="000249DB" w:rsidRDefault="00DD2183" w:rsidP="00DD2183">
                <w:pPr>
                  <w:pStyle w:val="ListParagraph"/>
                  <w:numPr>
                    <w:ilvl w:val="0"/>
                    <w:numId w:val="25"/>
                  </w:numPr>
                  <w:jc w:val="both"/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Lagðar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verða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samskonar breytingar á búsetuskilyrðum í lögum um fjármálafyrirtæki og lagðar eru til á lögum um </w:t>
                </w:r>
                <w:proofErr w:type="spellStart"/>
                <w:r w:rsidRPr="000249DB">
                  <w:rPr>
                    <w:rFonts w:ascii="Times New Roman" w:hAnsi="Times New Roman" w:cs="Times New Roman"/>
                    <w:lang w:val="is-IS"/>
                  </w:rPr>
                  <w:t>vátryggingastarfsemi</w:t>
                </w:r>
                <w:proofErr w:type="spellEnd"/>
                <w:r w:rsidRPr="000249DB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87F2E84" w14:textId="12B642FA" w:rsidR="000D6E33" w:rsidRPr="00C219E4" w:rsidRDefault="00DD2183" w:rsidP="00C219E4">
                <w:pPr>
                  <w:pStyle w:val="ListParagraph"/>
                  <w:numPr>
                    <w:ilvl w:val="0"/>
                    <w:numId w:val="25"/>
                  </w:numPr>
                  <w:spacing w:after="120"/>
                  <w:ind w:left="641" w:hanging="357"/>
                  <w:jc w:val="both"/>
                  <w:rPr>
                    <w:rFonts w:ascii="Times New Roman" w:hAnsi="Times New Roman" w:cs="Times New Roman"/>
                    <w:i/>
                    <w:iCs/>
                    <w:lang w:val="is-IS"/>
                  </w:rPr>
                </w:pP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Lagðar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verða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til breytingar á lögum um viðbótareftirlit með fjármálasamsteypum. Breytingunum er fyrst og fremst ætlað að lögfesta eftirlitsheimildir evrópsku eftirlitsstofnanna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Á meðal annarra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 xml:space="preserve">áformaðra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breytinga er tillaga að breyttri skilgreiningu 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>hugtak</w:t>
                </w:r>
                <w:r w:rsidR="00B269D3">
                  <w:rPr>
                    <w:rFonts w:ascii="Times New Roman" w:hAnsi="Times New Roman" w:cs="Times New Roman"/>
                    <w:lang w:val="is-IS"/>
                  </w:rPr>
                  <w:t>inu</w:t>
                </w:r>
                <w:r w:rsidRPr="000249DB">
                  <w:rPr>
                    <w:rFonts w:ascii="Times New Roman" w:hAnsi="Times New Roman" w:cs="Times New Roman"/>
                    <w:lang w:val="is-IS"/>
                  </w:rPr>
                  <w:t xml:space="preserve"> eftirlitsskyldur aðili.</w:t>
                </w:r>
              </w:p>
              <w:permEnd w:id="555883652" w:displacedByCustomXml="next"/>
            </w:sdtContent>
          </w:sdt>
        </w:tc>
      </w:tr>
      <w:tr w:rsidR="00E34B42" w:rsidRPr="002A54E0" w14:paraId="281F3AC3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496CC10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E34B42" w14:paraId="125D000D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448479436" w:edGrp="everyone" w:displacedByCustomXml="prev"/>
              <w:p w14:paraId="6C0B624E" w14:textId="77777777" w:rsidR="004207AC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</w:p>
              <w:p w14:paraId="511E001D" w14:textId="09709152" w:rsidR="009941D2" w:rsidRPr="004207AC" w:rsidRDefault="004207AC" w:rsidP="00C219E4">
                <w:pPr>
                  <w:spacing w:before="60" w:after="1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4207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Fyrirhugaðar breytingar á lögum varða skuldbindingar Íslands samkvæmt EES-samningnum og eru til þess fallnar að íslenska ríkið uppfylli betur </w:t>
                </w:r>
                <w:proofErr w:type="spellStart"/>
                <w:r w:rsidRPr="004207AC">
                  <w:rPr>
                    <w:rFonts w:ascii="Times New Roman" w:hAnsi="Times New Roman" w:cs="Times New Roman"/>
                    <w:bCs/>
                    <w:lang w:val="is-IS"/>
                  </w:rPr>
                  <w:t>þjóðréttarlegar</w:t>
                </w:r>
                <w:proofErr w:type="spellEnd"/>
                <w:r w:rsidRPr="004207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skuldbindingar sínar. </w:t>
                </w:r>
                <w:r w:rsidR="00E67F09" w:rsidRPr="004207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0C33308E" w14:textId="77777777" w:rsidR="004207AC" w:rsidRDefault="002B70B7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</w:p>
              <w:p w14:paraId="06F737FF" w14:textId="69C39988" w:rsidR="009941D2" w:rsidRPr="004207AC" w:rsidRDefault="004207AC" w:rsidP="00C219E4">
                <w:pPr>
                  <w:spacing w:before="60" w:after="1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Já</w:t>
                </w:r>
                <w:r w:rsidRPr="004207AC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E67F09" w:rsidRPr="004207A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0B3B1A69" w14:textId="77777777" w:rsidR="004207AC" w:rsidRDefault="00D62AAC" w:rsidP="00BA5089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552BF4D9" w14:textId="3AB8C49F" w:rsidR="00CA3381" w:rsidRPr="004207AC" w:rsidRDefault="004207AC" w:rsidP="00C219E4">
                <w:pPr>
                  <w:spacing w:before="60" w:after="1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207AC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4207A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4207AC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448479436" w:displacedByCustomXml="next"/>
            </w:sdtContent>
          </w:sdt>
        </w:tc>
      </w:tr>
      <w:tr w:rsidR="00E34B42" w:rsidRPr="00E34B42" w14:paraId="328827C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4D7B6B0" w14:textId="77777777" w:rsidR="00311838" w:rsidRPr="00E34B42" w:rsidRDefault="0013710B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2E42B514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2094358667" w:edGrp="everyone" w:displacedByCustomXml="prev"/>
              <w:p w14:paraId="603C3D79" w14:textId="77777777" w:rsidR="004207AC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2C69B1DD" w14:textId="1B12535D" w:rsidR="009941D2" w:rsidRPr="004207AC" w:rsidRDefault="004207AC" w:rsidP="00C219E4">
                <w:pPr>
                  <w:spacing w:before="60" w:after="1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Neytendur, fyrirtæki á fjármála- og </w:t>
                </w:r>
                <w:proofErr w:type="spellStart"/>
                <w:r w:rsidRPr="008736D2">
                  <w:rPr>
                    <w:rFonts w:ascii="Times New Roman" w:hAnsi="Times New Roman" w:cs="Times New Roman"/>
                    <w:lang w:val="is-IS"/>
                  </w:rPr>
                  <w:t>vátryggingamarkaði</w:t>
                </w:r>
                <w:proofErr w:type="spellEnd"/>
                <w:r w:rsidRPr="008736D2">
                  <w:rPr>
                    <w:rFonts w:ascii="Times New Roman" w:hAnsi="Times New Roman" w:cs="Times New Roman"/>
                    <w:lang w:val="is-IS"/>
                  </w:rPr>
                  <w:t xml:space="preserve"> og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Pr="008736D2">
                  <w:rPr>
                    <w:rFonts w:ascii="Times New Roman" w:hAnsi="Times New Roman" w:cs="Times New Roman"/>
                    <w:lang w:val="is-IS"/>
                  </w:rPr>
                  <w:t>jármálaeftirlitið.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608A3AB6" w14:textId="77777777" w:rsidR="004207AC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</w:p>
              <w:p w14:paraId="6DD93F34" w14:textId="503092DC" w:rsidR="009941D2" w:rsidRPr="00D135BF" w:rsidRDefault="004207AC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425A9884" w14:textId="727EF250" w:rsidR="009941D2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0B22D297" w14:textId="2D54E582" w:rsidR="004207AC" w:rsidRPr="00D135BF" w:rsidRDefault="00D135BF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Drög að lagafrumvarpi hafa verið samin </w:t>
                </w:r>
                <w:r w:rsidR="004207AC"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 samstarfi við Fjármálaeftirlitið. </w:t>
                </w: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>Þá hefur ráðuneytið átt samráð við Eftirlitsstof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</w:t>
                </w: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un EFTA vegna þeirra ákvæða sem tengjast ábendingum stofnunarinnar. </w:t>
                </w:r>
                <w:r w:rsidR="004207AC"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 </w:t>
                </w:r>
              </w:p>
              <w:p w14:paraId="6130B6D7" w14:textId="77777777" w:rsidR="00D135BF" w:rsidRDefault="002B70B7" w:rsidP="00BA5089">
                <w:pPr>
                  <w:pStyle w:val="ListParagraph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2899C5B7" w14:textId="31E11D9E" w:rsidR="00CA3381" w:rsidRPr="00D135BF" w:rsidRDefault="00D135BF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</w:t>
                </w: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>forma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ð er</w:t>
                </w: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eiga óformlegt samráð við Samtök fjármálafyrirtækja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og Eftirlitsstofnun EFTA. Þá er ráðgert að birta drög að frumvarpi</w:t>
                </w: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samráðsgátt stjórnvalda.</w:t>
                </w:r>
                <w:r w:rsidR="00BA4BB1" w:rsidRPr="00D135B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2094358667" w:displacedByCustomXml="next"/>
            </w:sdtContent>
          </w:sdt>
        </w:tc>
      </w:tr>
      <w:tr w:rsidR="00E34B42" w:rsidRPr="00E34B42" w14:paraId="65C21E39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50299190" w14:textId="77777777" w:rsidR="00311838" w:rsidRPr="00E34B42" w:rsidRDefault="003821A7" w:rsidP="003821A7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37A79F03" w14:textId="77777777" w:rsidTr="007414CB">
        <w:trPr>
          <w:trHeight w:val="283"/>
        </w:trPr>
        <w:tc>
          <w:tcPr>
            <w:tcW w:w="9288" w:type="dxa"/>
          </w:tcPr>
          <w:permStart w:id="662859130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BB5FF45" w14:textId="77777777" w:rsidR="005C603E" w:rsidRDefault="003821A7" w:rsidP="00BA1F90">
                <w:pPr>
                  <w:pStyle w:val="ListParagraph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630E5389" w14:textId="432B2073" w:rsidR="00F93B5C" w:rsidRPr="005C603E" w:rsidRDefault="005C603E" w:rsidP="005C603E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proofErr w:type="spellStart"/>
                <w:r w:rsidRPr="005C603E">
                  <w:rPr>
                    <w:rFonts w:ascii="Times New Roman" w:hAnsi="Times New Roman" w:cs="Times New Roman"/>
                    <w:lang w:val="is-IS"/>
                  </w:rPr>
                  <w:t>Rýmkun</w:t>
                </w:r>
                <w:proofErr w:type="spellEnd"/>
                <w:r w:rsidRPr="005C603E">
                  <w:rPr>
                    <w:rFonts w:ascii="Times New Roman" w:hAnsi="Times New Roman" w:cs="Times New Roman"/>
                    <w:lang w:val="is-IS"/>
                  </w:rPr>
                  <w:t xml:space="preserve"> á búsetuskilyrðum til stjórnarmanna og framkvæmdastjóra </w:t>
                </w:r>
                <w:proofErr w:type="spellStart"/>
                <w:r w:rsidRPr="005C603E">
                  <w:rPr>
                    <w:rFonts w:ascii="Times New Roman" w:hAnsi="Times New Roman" w:cs="Times New Roman"/>
                    <w:lang w:val="is-IS"/>
                  </w:rPr>
                  <w:t>vátryggingafélaga</w:t>
                </w:r>
                <w:proofErr w:type="spellEnd"/>
                <w:r w:rsidRPr="005C603E">
                  <w:rPr>
                    <w:rFonts w:ascii="Times New Roman" w:hAnsi="Times New Roman" w:cs="Times New Roman"/>
                    <w:lang w:val="is-IS"/>
                  </w:rPr>
                  <w:t xml:space="preserve"> og fjármálafyrirtækja gæti gagnast </w:t>
                </w:r>
                <w:proofErr w:type="spellStart"/>
                <w:r w:rsidRPr="005C603E">
                  <w:rPr>
                    <w:rFonts w:ascii="Times New Roman" w:hAnsi="Times New Roman" w:cs="Times New Roman"/>
                    <w:lang w:val="is-IS"/>
                  </w:rPr>
                  <w:t>vátryggingafélögum</w:t>
                </w:r>
                <w:proofErr w:type="spellEnd"/>
                <w:r w:rsidRPr="005C603E">
                  <w:rPr>
                    <w:rFonts w:ascii="Times New Roman" w:hAnsi="Times New Roman" w:cs="Times New Roman"/>
                    <w:lang w:val="is-IS"/>
                  </w:rPr>
                  <w:t xml:space="preserve"> og fjármálafyrirtækjum og fækkað undanþáguumsóknum til Fjármálaeftirlitsins. Aðrar breytingar samkvæmt áformuðu frumvarpi eru fyrst </w:t>
                </w:r>
                <w:r w:rsidRPr="005C603E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og fremst tæknilegar breytingar á löggjöf á sviði </w:t>
                </w:r>
                <w:proofErr w:type="spellStart"/>
                <w:r w:rsidRPr="005C603E">
                  <w:rPr>
                    <w:rFonts w:ascii="Times New Roman" w:hAnsi="Times New Roman" w:cs="Times New Roman"/>
                    <w:lang w:val="is-IS"/>
                  </w:rPr>
                  <w:t>vátryggingamarkaðar</w:t>
                </w:r>
                <w:proofErr w:type="spellEnd"/>
                <w:r w:rsidRPr="005C603E">
                  <w:rPr>
                    <w:rFonts w:ascii="Times New Roman" w:hAnsi="Times New Roman" w:cs="Times New Roman"/>
                    <w:lang w:val="is-IS"/>
                  </w:rPr>
                  <w:t xml:space="preserve">. Breytingarnar auka skýrleika og eru til þess fallnar að koma í veg fyrir vafatilvik. Þær hafa því jákvæð áhrif á starfsemi Fjármálaeftirlitsins sem fer með framkvæmd þeirra laga sem um ræðir. Þá hefur vönduð lagaumgjörð á sviði </w:t>
                </w:r>
                <w:proofErr w:type="spellStart"/>
                <w:r w:rsidRPr="005C603E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Pr="005C603E">
                  <w:rPr>
                    <w:rFonts w:ascii="Times New Roman" w:hAnsi="Times New Roman" w:cs="Times New Roman"/>
                    <w:lang w:val="is-IS"/>
                  </w:rPr>
                  <w:t xml:space="preserve"> jákvæð áhrif á þau fyrirtæki og aðila sem</w:t>
                </w:r>
                <w:r w:rsidR="00FF619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F619E" w:rsidRPr="005C603E">
                  <w:rPr>
                    <w:rFonts w:ascii="Times New Roman" w:hAnsi="Times New Roman" w:cs="Times New Roman"/>
                    <w:lang w:val="is-IS"/>
                  </w:rPr>
                  <w:t>starfa</w:t>
                </w:r>
                <w:r w:rsidRPr="005C603E">
                  <w:rPr>
                    <w:rFonts w:ascii="Times New Roman" w:hAnsi="Times New Roman" w:cs="Times New Roman"/>
                    <w:lang w:val="is-IS"/>
                  </w:rPr>
                  <w:t xml:space="preserve"> á markaðnum. </w:t>
                </w:r>
              </w:p>
            </w:sdtContent>
          </w:sdt>
        </w:tc>
      </w:tr>
      <w:permEnd w:id="662859130"/>
      <w:tr w:rsidR="00E34B42" w:rsidRPr="00E34B42" w14:paraId="7CDBA8A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48C13AD" w14:textId="77777777" w:rsidR="00311838" w:rsidRPr="00E34B42" w:rsidRDefault="008A2C75" w:rsidP="008A2C75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Næstu skref, innleiðing</w:t>
            </w:r>
          </w:p>
        </w:tc>
      </w:tr>
      <w:tr w:rsidR="00E34B42" w:rsidRPr="002A54E0" w14:paraId="270B6B53" w14:textId="77777777" w:rsidTr="00FD2097">
        <w:trPr>
          <w:trHeight w:val="826"/>
        </w:trPr>
        <w:tc>
          <w:tcPr>
            <w:tcW w:w="9288" w:type="dxa"/>
          </w:tcPr>
          <w:permStart w:id="19844378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0A51BD1" w14:textId="77777777" w:rsidR="00D135BF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14:paraId="11E27347" w14:textId="5AA6F2DF" w:rsidR="009941D2" w:rsidRPr="00D135BF" w:rsidRDefault="00D135BF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Já. Áformað er að leggja fram </w:t>
                </w:r>
                <w:r w:rsidR="00FF619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 Alþingi </w:t>
                </w: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>frumvarp til laga í nóvember 2020.</w:t>
                </w:r>
              </w:p>
              <w:p w14:paraId="376D2576" w14:textId="75A1EC18" w:rsidR="009941D2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5FEB4855" w14:textId="584A6AE8" w:rsidR="00D135BF" w:rsidRPr="00D135BF" w:rsidRDefault="00D135BF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Ekki er gert ráð fyrir að þörf sé </w:t>
                </w:r>
                <w:r w:rsidR="00FF619E">
                  <w:rPr>
                    <w:rFonts w:ascii="Times New Roman" w:hAnsi="Times New Roman" w:cs="Times New Roman"/>
                    <w:bCs/>
                    <w:lang w:val="is-IS"/>
                  </w:rPr>
                  <w:t>á</w:t>
                </w: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aðlögunartíma.</w:t>
                </w:r>
              </w:p>
              <w:p w14:paraId="58A63FAD" w14:textId="77777777" w:rsidR="00D135BF" w:rsidRDefault="00133146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14:paraId="71430252" w14:textId="1CA6D9C5" w:rsidR="009941D2" w:rsidRPr="00D135BF" w:rsidRDefault="00D135BF" w:rsidP="00C219E4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  <w:r w:rsidR="00E67F09" w:rsidRPr="00D135B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32BCF78E" w14:textId="47FD17C8" w:rsidR="00645781" w:rsidRDefault="00645781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53863CDB" w14:textId="2CAF3AFE" w:rsidR="00D135BF" w:rsidRPr="00D135BF" w:rsidRDefault="00D135BF" w:rsidP="00C219E4">
                <w:pPr>
                  <w:spacing w:before="60" w:after="1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</w:p>
              <w:p w14:paraId="43374747" w14:textId="77777777" w:rsidR="00D135BF" w:rsidRDefault="00941142" w:rsidP="00BA5089">
                <w:pPr>
                  <w:pStyle w:val="ListParagraph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1671CE7E" w14:textId="10BFC4D5" w:rsidR="009941D2" w:rsidRPr="00D135BF" w:rsidRDefault="00D135BF" w:rsidP="00C219E4">
                <w:pPr>
                  <w:spacing w:before="60" w:after="1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135BF">
                  <w:rPr>
                    <w:rFonts w:ascii="Times New Roman" w:hAnsi="Times New Roman" w:cs="Times New Roman"/>
                    <w:bCs/>
                    <w:lang w:val="is-IS"/>
                  </w:rPr>
                  <w:t>Á ekki við.</w:t>
                </w:r>
                <w:r w:rsidR="00E67F09" w:rsidRPr="00D135BF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permEnd w:id="198443781"/>
      <w:tr w:rsidR="00E34B42" w:rsidRPr="00E34B42" w14:paraId="1F006C04" w14:textId="77777777" w:rsidTr="00744E3E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7C2127CA" w14:textId="77777777" w:rsidR="00E34B42" w:rsidRPr="00E34B42" w:rsidRDefault="00E34B42" w:rsidP="00744E3E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002642551" w:edGrp="everyone" w:colFirst="0" w:colLast="0"/>
      <w:tr w:rsidR="00E34B42" w:rsidRPr="00E34B42" w14:paraId="2774350F" w14:textId="77777777" w:rsidTr="00744E3E">
        <w:trPr>
          <w:trHeight w:val="300"/>
        </w:trPr>
        <w:tc>
          <w:tcPr>
            <w:tcW w:w="9288" w:type="dxa"/>
          </w:tcPr>
          <w:p w14:paraId="6E3CA433" w14:textId="77777777" w:rsidR="00E34B42" w:rsidRPr="00E34B42" w:rsidRDefault="002900F7" w:rsidP="00744E3E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002642551"/>
      <w:tr w:rsidR="00E34B42" w:rsidRPr="00E34B42" w14:paraId="7D07A1CB" w14:textId="77777777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30245618" w14:textId="77777777" w:rsidR="00000C39" w:rsidRPr="00E34B42" w:rsidRDefault="00E34B42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79698E51" w14:textId="77777777" w:rsidTr="007414CB">
        <w:trPr>
          <w:trHeight w:val="300"/>
        </w:trPr>
        <w:tc>
          <w:tcPr>
            <w:tcW w:w="9288" w:type="dxa"/>
          </w:tcPr>
          <w:permStart w:id="672952014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28D6E91A" w14:textId="77777777" w:rsidR="00E34B42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57B943C4" w14:textId="77777777" w:rsidR="00000C39" w:rsidRPr="00E34B42" w:rsidRDefault="00E34B42" w:rsidP="00EA460C">
                <w:pPr>
                  <w:pStyle w:val="ListParagraph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</w:tc>
      </w:tr>
      <w:permEnd w:id="672952014"/>
    </w:tbl>
    <w:p w14:paraId="6185AAA4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9E05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563E0735" w14:textId="77777777" w:rsidR="0092759D" w:rsidRDefault="0092759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D9F14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5F7CA5D8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6516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5DA59D23" w14:textId="77777777" w:rsidR="0092759D" w:rsidRDefault="0092759D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FE0"/>
    <w:multiLevelType w:val="hybridMultilevel"/>
    <w:tmpl w:val="4AE225A6"/>
    <w:lvl w:ilvl="0" w:tplc="1000000F">
      <w:start w:val="1"/>
      <w:numFmt w:val="decimal"/>
      <w:lvlText w:val="%1."/>
      <w:lvlJc w:val="left"/>
      <w:pPr>
        <w:ind w:left="644" w:hanging="360"/>
      </w:p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E0A8D"/>
    <w:multiLevelType w:val="hybridMultilevel"/>
    <w:tmpl w:val="0624114A"/>
    <w:lvl w:ilvl="0" w:tplc="A34E86A6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5531072"/>
    <w:multiLevelType w:val="multilevel"/>
    <w:tmpl w:val="040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A4009"/>
    <w:multiLevelType w:val="hybridMultilevel"/>
    <w:tmpl w:val="4AE225A6"/>
    <w:lvl w:ilvl="0" w:tplc="1000000F">
      <w:start w:val="1"/>
      <w:numFmt w:val="decimal"/>
      <w:lvlText w:val="%1."/>
      <w:lvlJc w:val="left"/>
      <w:pPr>
        <w:ind w:left="644" w:hanging="360"/>
      </w:p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3"/>
  </w:num>
  <w:num w:numId="5">
    <w:abstractNumId w:val="19"/>
  </w:num>
  <w:num w:numId="6">
    <w:abstractNumId w:val="12"/>
  </w:num>
  <w:num w:numId="7">
    <w:abstractNumId w:val="10"/>
  </w:num>
  <w:num w:numId="8">
    <w:abstractNumId w:val="7"/>
  </w:num>
  <w:num w:numId="9">
    <w:abstractNumId w:val="14"/>
  </w:num>
  <w:num w:numId="10">
    <w:abstractNumId w:val="16"/>
  </w:num>
  <w:num w:numId="11">
    <w:abstractNumId w:val="21"/>
  </w:num>
  <w:num w:numId="12">
    <w:abstractNumId w:val="22"/>
  </w:num>
  <w:num w:numId="13">
    <w:abstractNumId w:val="4"/>
  </w:num>
  <w:num w:numId="14">
    <w:abstractNumId w:val="5"/>
  </w:num>
  <w:num w:numId="15">
    <w:abstractNumId w:val="24"/>
  </w:num>
  <w:num w:numId="16">
    <w:abstractNumId w:val="0"/>
  </w:num>
  <w:num w:numId="17">
    <w:abstractNumId w:val="8"/>
  </w:num>
  <w:num w:numId="18">
    <w:abstractNumId w:val="18"/>
  </w:num>
  <w:num w:numId="19">
    <w:abstractNumId w:val="15"/>
  </w:num>
  <w:num w:numId="20">
    <w:abstractNumId w:val="6"/>
  </w:num>
  <w:num w:numId="21">
    <w:abstractNumId w:val="11"/>
  </w:num>
  <w:num w:numId="22">
    <w:abstractNumId w:val="9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249DB"/>
    <w:rsid w:val="00043E61"/>
    <w:rsid w:val="00050DAE"/>
    <w:rsid w:val="00051DC6"/>
    <w:rsid w:val="00063E97"/>
    <w:rsid w:val="00081ED8"/>
    <w:rsid w:val="000829E4"/>
    <w:rsid w:val="0008494B"/>
    <w:rsid w:val="00096B1D"/>
    <w:rsid w:val="000A7176"/>
    <w:rsid w:val="000C149F"/>
    <w:rsid w:val="000C58BD"/>
    <w:rsid w:val="000D3E75"/>
    <w:rsid w:val="000D6E33"/>
    <w:rsid w:val="000D7FA0"/>
    <w:rsid w:val="000E1312"/>
    <w:rsid w:val="000E34DF"/>
    <w:rsid w:val="000F5B90"/>
    <w:rsid w:val="00100138"/>
    <w:rsid w:val="00106F18"/>
    <w:rsid w:val="0012646E"/>
    <w:rsid w:val="00126525"/>
    <w:rsid w:val="00133146"/>
    <w:rsid w:val="00135B40"/>
    <w:rsid w:val="0013710B"/>
    <w:rsid w:val="00143B7A"/>
    <w:rsid w:val="00176943"/>
    <w:rsid w:val="00187E36"/>
    <w:rsid w:val="001924F1"/>
    <w:rsid w:val="001928E6"/>
    <w:rsid w:val="001972B9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D26"/>
    <w:rsid w:val="00263F72"/>
    <w:rsid w:val="0026420F"/>
    <w:rsid w:val="002666DE"/>
    <w:rsid w:val="002704D7"/>
    <w:rsid w:val="00281D86"/>
    <w:rsid w:val="002900F7"/>
    <w:rsid w:val="002A4788"/>
    <w:rsid w:val="002A54E0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21A7"/>
    <w:rsid w:val="003A1821"/>
    <w:rsid w:val="003B784E"/>
    <w:rsid w:val="003D01BF"/>
    <w:rsid w:val="003D1515"/>
    <w:rsid w:val="003E270A"/>
    <w:rsid w:val="003E611E"/>
    <w:rsid w:val="00403139"/>
    <w:rsid w:val="004207AC"/>
    <w:rsid w:val="0043227F"/>
    <w:rsid w:val="00441AD0"/>
    <w:rsid w:val="00450029"/>
    <w:rsid w:val="0047580A"/>
    <w:rsid w:val="00480BB0"/>
    <w:rsid w:val="004978E5"/>
    <w:rsid w:val="004A515F"/>
    <w:rsid w:val="004C66CA"/>
    <w:rsid w:val="004E0322"/>
    <w:rsid w:val="004E4F53"/>
    <w:rsid w:val="004F0024"/>
    <w:rsid w:val="004F142F"/>
    <w:rsid w:val="004F1C38"/>
    <w:rsid w:val="004F5331"/>
    <w:rsid w:val="00532D45"/>
    <w:rsid w:val="00535EC4"/>
    <w:rsid w:val="005641B1"/>
    <w:rsid w:val="00564856"/>
    <w:rsid w:val="00592E19"/>
    <w:rsid w:val="005B46C8"/>
    <w:rsid w:val="005C123A"/>
    <w:rsid w:val="005C1678"/>
    <w:rsid w:val="005C5DEB"/>
    <w:rsid w:val="005C603E"/>
    <w:rsid w:val="005E51EA"/>
    <w:rsid w:val="005E6791"/>
    <w:rsid w:val="00614066"/>
    <w:rsid w:val="00614FAD"/>
    <w:rsid w:val="00631C8F"/>
    <w:rsid w:val="00645781"/>
    <w:rsid w:val="00670F44"/>
    <w:rsid w:val="00676A80"/>
    <w:rsid w:val="00683957"/>
    <w:rsid w:val="00694183"/>
    <w:rsid w:val="006960C1"/>
    <w:rsid w:val="00697B19"/>
    <w:rsid w:val="006B5850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62105"/>
    <w:rsid w:val="00993115"/>
    <w:rsid w:val="00994012"/>
    <w:rsid w:val="009941D2"/>
    <w:rsid w:val="009B7A52"/>
    <w:rsid w:val="009C1771"/>
    <w:rsid w:val="009C2DA3"/>
    <w:rsid w:val="009C3565"/>
    <w:rsid w:val="009F226F"/>
    <w:rsid w:val="009F64EA"/>
    <w:rsid w:val="00A30C51"/>
    <w:rsid w:val="00A51298"/>
    <w:rsid w:val="00A6722A"/>
    <w:rsid w:val="00A77160"/>
    <w:rsid w:val="00A92F9D"/>
    <w:rsid w:val="00AA2EFD"/>
    <w:rsid w:val="00AB3981"/>
    <w:rsid w:val="00AB6474"/>
    <w:rsid w:val="00AB7771"/>
    <w:rsid w:val="00AB7B39"/>
    <w:rsid w:val="00AB7DCB"/>
    <w:rsid w:val="00AC01EA"/>
    <w:rsid w:val="00AC1AE9"/>
    <w:rsid w:val="00AC47A3"/>
    <w:rsid w:val="00AE50E5"/>
    <w:rsid w:val="00B01FF3"/>
    <w:rsid w:val="00B269D3"/>
    <w:rsid w:val="00B339AF"/>
    <w:rsid w:val="00B3771A"/>
    <w:rsid w:val="00B50990"/>
    <w:rsid w:val="00B65214"/>
    <w:rsid w:val="00B6555D"/>
    <w:rsid w:val="00B863E2"/>
    <w:rsid w:val="00BA1F90"/>
    <w:rsid w:val="00BA4BB1"/>
    <w:rsid w:val="00BA5089"/>
    <w:rsid w:val="00BB2B30"/>
    <w:rsid w:val="00BE1D1C"/>
    <w:rsid w:val="00BF3B4A"/>
    <w:rsid w:val="00BF5ACD"/>
    <w:rsid w:val="00C10C94"/>
    <w:rsid w:val="00C171B2"/>
    <w:rsid w:val="00C209C4"/>
    <w:rsid w:val="00C219E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C774F"/>
    <w:rsid w:val="00CD60E4"/>
    <w:rsid w:val="00CE190D"/>
    <w:rsid w:val="00CF477F"/>
    <w:rsid w:val="00D03E7A"/>
    <w:rsid w:val="00D0424B"/>
    <w:rsid w:val="00D121DE"/>
    <w:rsid w:val="00D135BF"/>
    <w:rsid w:val="00D148DB"/>
    <w:rsid w:val="00D23EAD"/>
    <w:rsid w:val="00D30286"/>
    <w:rsid w:val="00D46483"/>
    <w:rsid w:val="00D47EC5"/>
    <w:rsid w:val="00D503AC"/>
    <w:rsid w:val="00D62AAC"/>
    <w:rsid w:val="00D62CC3"/>
    <w:rsid w:val="00D63ED7"/>
    <w:rsid w:val="00D87B33"/>
    <w:rsid w:val="00D913A8"/>
    <w:rsid w:val="00DA4633"/>
    <w:rsid w:val="00DB645F"/>
    <w:rsid w:val="00DC4A56"/>
    <w:rsid w:val="00DD2183"/>
    <w:rsid w:val="00DD7EA1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A460C"/>
    <w:rsid w:val="00EC20A5"/>
    <w:rsid w:val="00F067AC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619E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6BFBB6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4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lthingi.is/lagas/150b/2016100.html" TargetMode="External"/><Relationship Id="rId18" Type="http://schemas.openxmlformats.org/officeDocument/2006/relationships/hyperlink" Target="https://www.althingi.is/altext/stjt/2019.13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jornarradid.is/lisalib/getfile.aspx?itemid=a5aa63d9-d5b4-11e7-9422-005056bc530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PDF/?uri=CELEX:32011L0089&amp;from=EN" TargetMode="External"/><Relationship Id="rId17" Type="http://schemas.openxmlformats.org/officeDocument/2006/relationships/hyperlink" Target="https://www.althingi.is/altext/stjt/2017.02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lthingi.is/lagas/150b/2017061.html" TargetMode="External"/><Relationship Id="rId20" Type="http://schemas.openxmlformats.org/officeDocument/2006/relationships/hyperlink" Target="https://www.althingi.is/lagas/150b/201702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fta.int/sites/default/files/documents/legal-texts/eea/other-legal-documents/solr/translated-legal-acts/icelandic/i32010L0078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althingi.is/altext/stjt/2019.06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fta.int/sites/default/files/documents/legal-texts/eea/other-legal-documents/solr/translated-legal-acts/icelandic/i32016L0097.pdf" TargetMode="External"/><Relationship Id="rId19" Type="http://schemas.openxmlformats.org/officeDocument/2006/relationships/hyperlink" Target="https://www.efta.int/sites/default/files/documents/legal-texts/eea/other-legal-documents/solr/translated-legal-acts/icelandic/i32002L00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fta.int/sites/default/files/documents/legal-texts/eea/other-legal-documents/solr/translated-legal-acts/icelandic/i32009L0138.pdf" TargetMode="External"/><Relationship Id="rId14" Type="http://schemas.openxmlformats.org/officeDocument/2006/relationships/hyperlink" Target="https://www.althingi.is/lagas/nuna/2019062.html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03A7-E38A-494A-862B-4EC7B699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Hjörleifur Gíslason</cp:lastModifiedBy>
  <cp:revision>3</cp:revision>
  <cp:lastPrinted>2020-07-15T14:17:00Z</cp:lastPrinted>
  <dcterms:created xsi:type="dcterms:W3CDTF">2020-10-20T14:52:00Z</dcterms:created>
  <dcterms:modified xsi:type="dcterms:W3CDTF">2020-10-20T15:02:00Z</dcterms:modified>
</cp:coreProperties>
</file>