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531D" w14:textId="77777777" w:rsidR="00695B8A" w:rsidRPr="00641165" w:rsidRDefault="00695B8A" w:rsidP="008F51F5">
      <w:pPr>
        <w:pStyle w:val="Heading1"/>
      </w:pPr>
      <w:r w:rsidRPr="00641165">
        <w:t>REGLUGERÐ</w:t>
      </w:r>
    </w:p>
    <w:p w14:paraId="579F6463" w14:textId="4F27060D" w:rsidR="00695B8A" w:rsidRPr="00285874" w:rsidRDefault="00234940" w:rsidP="00285874">
      <w:pPr>
        <w:pStyle w:val="Heading2"/>
      </w:pPr>
      <w:r w:rsidRPr="00285874">
        <w:t xml:space="preserve">um </w:t>
      </w:r>
      <w:r w:rsidR="007A4907">
        <w:t xml:space="preserve">breytingar á reglugerðum vegna reglugerðar um </w:t>
      </w:r>
      <w:r w:rsidR="007A4907" w:rsidRPr="007A4907">
        <w:t>skoðanakerfi fyrir öruggan rekstur ekjufarþegaskipa og háhraðfarþegafa</w:t>
      </w:r>
      <w:r w:rsidR="00E74485">
        <w:t>ra</w:t>
      </w:r>
      <w:r w:rsidR="007A4907" w:rsidRPr="007A4907">
        <w:t xml:space="preserve"> í áætlunarferðum</w:t>
      </w:r>
    </w:p>
    <w:p w14:paraId="40BE4CDD" w14:textId="3C18C0D3" w:rsidR="00695B8A" w:rsidRDefault="00695B8A" w:rsidP="007A4907">
      <w:pPr>
        <w:pStyle w:val="Greinarnmer"/>
        <w:numPr>
          <w:ilvl w:val="0"/>
          <w:numId w:val="0"/>
        </w:numPr>
        <w:jc w:val="both"/>
      </w:pPr>
    </w:p>
    <w:p w14:paraId="3A652346" w14:textId="47E47B5A" w:rsidR="007A4907" w:rsidRPr="004A4455" w:rsidRDefault="007A4907" w:rsidP="007A4907">
      <w:pPr>
        <w:pStyle w:val="Heading3"/>
      </w:pPr>
      <w:r>
        <w:t>I</w:t>
      </w:r>
      <w:r w:rsidRPr="004A4455">
        <w:t xml:space="preserve">. </w:t>
      </w:r>
      <w:r>
        <w:t>KAFLI</w:t>
      </w:r>
    </w:p>
    <w:p w14:paraId="43D23D1F" w14:textId="77777777" w:rsidR="007A4907" w:rsidRPr="007A4907" w:rsidRDefault="007A4907" w:rsidP="007A4907">
      <w:pPr>
        <w:pStyle w:val="Heading4"/>
      </w:pPr>
      <w:r>
        <w:t>Reglugerð um hafnarríkiseftirlit nr. 816/2011</w:t>
      </w:r>
    </w:p>
    <w:p w14:paraId="6AAB4958" w14:textId="3E4A2090" w:rsidR="007A4907" w:rsidRPr="007A4907" w:rsidRDefault="007A4907" w:rsidP="007A4907">
      <w:pPr>
        <w:pStyle w:val="Greinarnmer"/>
        <w:numPr>
          <w:ilvl w:val="0"/>
          <w:numId w:val="8"/>
        </w:numPr>
      </w:pPr>
    </w:p>
    <w:p w14:paraId="5F979F36" w14:textId="08679C90" w:rsidR="00CE72A8" w:rsidRDefault="0016076C" w:rsidP="00CE72A8">
      <w:pPr>
        <w:rPr>
          <w:lang w:eastAsia="en-GB"/>
        </w:rPr>
      </w:pPr>
      <w:r>
        <w:rPr>
          <w:lang w:eastAsia="en-GB"/>
        </w:rPr>
        <w:t>Við 2. gr. reglugerðarinnar bætast þrír nýjir töluliðir, svohljóðandi:</w:t>
      </w:r>
    </w:p>
    <w:p w14:paraId="29F1B12B" w14:textId="77777777" w:rsidR="0016076C" w:rsidRDefault="0016076C" w:rsidP="0016076C">
      <w:pPr>
        <w:pStyle w:val="ListParagraph"/>
        <w:numPr>
          <w:ilvl w:val="0"/>
          <w:numId w:val="10"/>
        </w:numPr>
      </w:pPr>
      <w:r w:rsidRPr="0016076C">
        <w:rPr>
          <w:i/>
        </w:rPr>
        <w:t>Ekjufarþegaskip</w:t>
      </w:r>
      <w:r>
        <w:t>: skip sem er útbúið þannig að hægt er að aka ökutækjum eða járnbrautarvögnum beint um borð og frá borði og getur flutt fleiri en tólf farþega,</w:t>
      </w:r>
    </w:p>
    <w:p w14:paraId="49C4C8DB" w14:textId="77777777" w:rsidR="00C65FF1" w:rsidRDefault="0016076C" w:rsidP="0016076C">
      <w:pPr>
        <w:pStyle w:val="ListParagraph"/>
        <w:numPr>
          <w:ilvl w:val="0"/>
          <w:numId w:val="10"/>
        </w:numPr>
      </w:pPr>
      <w:r>
        <w:t xml:space="preserve"> </w:t>
      </w:r>
      <w:r>
        <w:rPr>
          <w:i/>
        </w:rPr>
        <w:t>H</w:t>
      </w:r>
      <w:r w:rsidRPr="0016076C">
        <w:rPr>
          <w:i/>
        </w:rPr>
        <w:t>áhraðafarþegafar</w:t>
      </w:r>
      <w:r>
        <w:t>: far eins og það er skilgreint í reglu 1 í X. kafla SOLAS 74 og getur flutt fleiri en tólf farþega,</w:t>
      </w:r>
    </w:p>
    <w:p w14:paraId="7F91FC51" w14:textId="77777777" w:rsidR="00C65FF1" w:rsidRDefault="0016076C" w:rsidP="00C65FF1">
      <w:pPr>
        <w:pStyle w:val="ListParagraph"/>
        <w:numPr>
          <w:ilvl w:val="0"/>
          <w:numId w:val="10"/>
        </w:numPr>
      </w:pPr>
      <w:r>
        <w:t xml:space="preserve"> </w:t>
      </w:r>
      <w:r w:rsidR="00C65FF1" w:rsidRPr="00C65FF1">
        <w:rPr>
          <w:i/>
        </w:rPr>
        <w:t>áætlunarferðir</w:t>
      </w:r>
      <w:r>
        <w:t xml:space="preserve">: siglingar ekjufarþegaskipa eða háhraðafarþegafara milli tveggja eða fleiri hafna eða siglingar til og frá sömu höfn án viðkomu á öðrum stöðum, annaðhvort: </w:t>
      </w:r>
    </w:p>
    <w:p w14:paraId="2528EDF5" w14:textId="2E3DA37A" w:rsidR="00C65FF1" w:rsidRDefault="0016076C" w:rsidP="00C65FF1">
      <w:pPr>
        <w:pStyle w:val="ListParagraph"/>
        <w:numPr>
          <w:ilvl w:val="0"/>
          <w:numId w:val="11"/>
        </w:numPr>
      </w:pPr>
      <w:r>
        <w:t xml:space="preserve">samkvæmt birtri áætlun, eða </w:t>
      </w:r>
    </w:p>
    <w:p w14:paraId="09EDE5A1" w14:textId="2780FA10" w:rsidR="0016076C" w:rsidRPr="00CE72A8" w:rsidRDefault="0016076C" w:rsidP="00C65FF1">
      <w:pPr>
        <w:pStyle w:val="ListParagraph"/>
        <w:numPr>
          <w:ilvl w:val="0"/>
          <w:numId w:val="11"/>
        </w:numPr>
      </w:pPr>
      <w:r>
        <w:t>með svo reglulegum eða tíðum ferðum að telja má að um reglubundnar ferðir sé að ræða.</w:t>
      </w:r>
    </w:p>
    <w:p w14:paraId="56C3CE28" w14:textId="7359426F" w:rsidR="00CE72A8" w:rsidRDefault="00CE72A8" w:rsidP="00CE72A8">
      <w:pPr>
        <w:pStyle w:val="Greinarnmer"/>
      </w:pPr>
    </w:p>
    <w:p w14:paraId="4256A299" w14:textId="765DCD5D" w:rsidR="00C65FF1" w:rsidRDefault="00C65FF1" w:rsidP="00C65FF1">
      <w:pPr>
        <w:rPr>
          <w:lang w:eastAsia="en-GB"/>
        </w:rPr>
      </w:pPr>
      <w:r>
        <w:rPr>
          <w:lang w:eastAsia="en-GB"/>
        </w:rPr>
        <w:t>Við 1. mgr. 3. gr. reglugerðarinnar bætist nýr undirliður, svohljóðandi:</w:t>
      </w:r>
    </w:p>
    <w:p w14:paraId="0AAEF7B6" w14:textId="6EED5682" w:rsidR="00C65FF1" w:rsidRPr="00C65FF1" w:rsidRDefault="00C65FF1" w:rsidP="00C65FF1">
      <w:pPr>
        <w:rPr>
          <w:lang w:eastAsia="en-GB"/>
        </w:rPr>
      </w:pPr>
      <w:r>
        <w:t>Þessi reglugerð gildir einnig um skoðanir á ekjufarþegaskipum og háhraðafarþegaförum sem framkvæmdar eru utan hafnar eða akkerislægis meðan á áætlunarferð stendur, í samræmi við 14. gr. a.</w:t>
      </w:r>
    </w:p>
    <w:p w14:paraId="10A99F70" w14:textId="1A0600CC" w:rsidR="00695B8A" w:rsidRDefault="00695B8A" w:rsidP="00E70B1A">
      <w:pPr>
        <w:pStyle w:val="Greinarnmer"/>
      </w:pPr>
    </w:p>
    <w:p w14:paraId="4699963B" w14:textId="66C34C18" w:rsidR="00233958" w:rsidRDefault="00C65FF1" w:rsidP="00627912">
      <w:pPr>
        <w:ind w:firstLine="426"/>
      </w:pPr>
      <w:r>
        <w:t>Inngangsliður 13. gr reglugerðarinnar orðist svo:</w:t>
      </w:r>
    </w:p>
    <w:p w14:paraId="0D252CA7" w14:textId="31E3B975" w:rsidR="00695B8A" w:rsidRDefault="00C65FF1" w:rsidP="00C65FF1">
      <w:pPr>
        <w:ind w:firstLine="426"/>
      </w:pPr>
      <w:r>
        <w:t>Samgöngustofa skal tryggja að skip, sem eru valin til skoðunar, í samræmi við 12. gr. eða 14. gr. a, sæti upphafsskoðun eða nákvæmari skoðun sem hér segir:“</w:t>
      </w:r>
      <w:r w:rsidR="006D54EC">
        <w:t xml:space="preserve"> </w:t>
      </w:r>
    </w:p>
    <w:p w14:paraId="662EC6A0" w14:textId="77777777" w:rsidR="00233958" w:rsidRDefault="00233958" w:rsidP="00E70B1A">
      <w:pPr>
        <w:pStyle w:val="Greinarnmer"/>
      </w:pPr>
    </w:p>
    <w:p w14:paraId="7018E0DE" w14:textId="526E2C48" w:rsidR="00233958" w:rsidRDefault="00C65FF1" w:rsidP="00233958">
      <w:pPr>
        <w:ind w:firstLine="426"/>
      </w:pPr>
      <w:r>
        <w:t>Við reglugerðina bætist ný grein, 14. gr. a, svohljóðandi:</w:t>
      </w:r>
    </w:p>
    <w:p w14:paraId="56A10E2A" w14:textId="7BA93B51" w:rsidR="00C65FF1" w:rsidRDefault="00C65FF1" w:rsidP="00C65FF1">
      <w:pPr>
        <w:ind w:firstLine="426"/>
        <w:jc w:val="center"/>
      </w:pPr>
      <w:r w:rsidRPr="00C65FF1">
        <w:rPr>
          <w:b/>
        </w:rPr>
        <w:t>Skoðun ekjufarþegaskipa og háhraðafarþegafara í áætlunarferðum</w:t>
      </w:r>
    </w:p>
    <w:p w14:paraId="3DCFA640" w14:textId="77777777" w:rsidR="00C65FF1" w:rsidRDefault="00C65FF1" w:rsidP="00233958">
      <w:pPr>
        <w:ind w:firstLine="426"/>
      </w:pPr>
      <w:r>
        <w:t xml:space="preserve">1. Ekjufarþegaskip og háhraðafarþegaför í áætlunarferðum gætu þurft að sæta skoðunum í samræmi við tímarammann og aðrar kröfur sem settar eru fram í XVII. viðauka. </w:t>
      </w:r>
    </w:p>
    <w:p w14:paraId="573A35AB" w14:textId="25EF0086" w:rsidR="00C65FF1" w:rsidRDefault="00C65FF1" w:rsidP="00233958">
      <w:pPr>
        <w:ind w:firstLine="426"/>
      </w:pPr>
      <w:r>
        <w:t xml:space="preserve">2. Þegar </w:t>
      </w:r>
      <w:r w:rsidR="004E4D9E">
        <w:t>Samgöngustofa skipuleggur</w:t>
      </w:r>
      <w:r>
        <w:t xml:space="preserve"> skoðanir á ekjufarþegaskipi eða háhraðafarþegafari </w:t>
      </w:r>
      <w:r w:rsidR="004E4D9E">
        <w:t>skal</w:t>
      </w:r>
      <w:r>
        <w:t xml:space="preserve"> taka tilhlýðilegt tillit til rekstrar- og viðhaldsáætlunar þeirra. </w:t>
      </w:r>
    </w:p>
    <w:p w14:paraId="30BF57F1" w14:textId="7078B181" w:rsidR="00C65FF1" w:rsidRDefault="00C65FF1" w:rsidP="00233958">
      <w:pPr>
        <w:ind w:firstLine="426"/>
      </w:pPr>
      <w:r>
        <w:t>3. Þegar ekjufarþegaskip eða háhraðafarþegafar hefur verið skoðað í samræmi við XVII. viðauka skal skrá slíka skoðun í skoðunargagnagrunninn og hafa hana til hliðsjónar í tengslum við 10., 11. og 12. gr.</w:t>
      </w:r>
    </w:p>
    <w:p w14:paraId="760D8D1A" w14:textId="6F29C6DF" w:rsidR="00C65FF1" w:rsidRDefault="00C65FF1" w:rsidP="00233958">
      <w:pPr>
        <w:ind w:firstLine="426"/>
      </w:pPr>
      <w:r>
        <w:t xml:space="preserve">4. Ákvæði 9. gr. (1. mgr.), 11. gr. (a-liðar) og 14. gr. gilda ekki um ekjufarþegaskip og háhraðafarþegaför í áætlunarferðum sem skoðuð eru samkvæmt þessari grein. </w:t>
      </w:r>
    </w:p>
    <w:p w14:paraId="3150EBA9" w14:textId="6F76EFB3" w:rsidR="00C65FF1" w:rsidRDefault="00C65FF1" w:rsidP="00233958">
      <w:pPr>
        <w:ind w:firstLine="426"/>
      </w:pPr>
      <w:r>
        <w:lastRenderedPageBreak/>
        <w:t xml:space="preserve">5. </w:t>
      </w:r>
      <w:r w:rsidR="004E4D9E">
        <w:t>Samgöngustofa</w:t>
      </w:r>
      <w:r>
        <w:t xml:space="preserve"> skal sjá til þess að þau ekjufarþegaskip eða háhraðafarþegaför sem þurfa að sæta viðbótarskoðun, í samræmi við b-lið 11. gr., séu valin í samræmi við c-lið liðar 3A og c-lið liðar 3B í II. hluta I. viðauka. Skoðanir, sem framkvæmdar eru samkvæmt þessari málsgrein, skulu ekki hafa áhrif á bilið milli skoðana sem kveðið er á um í 2. lið XVII. viðauka. </w:t>
      </w:r>
    </w:p>
    <w:p w14:paraId="67A5A04B" w14:textId="46AE7E21" w:rsidR="00C65FF1" w:rsidRDefault="00C65FF1" w:rsidP="00233958">
      <w:pPr>
        <w:ind w:firstLine="426"/>
      </w:pPr>
      <w:r>
        <w:t xml:space="preserve">6. Við skoðun á ekjufarþegaskipi eða háhraðafarþegafari getur skoðunarmaður </w:t>
      </w:r>
      <w:r w:rsidR="004E4D9E">
        <w:t>Samgöngustofu</w:t>
      </w:r>
      <w:r>
        <w:t xml:space="preserve"> samþykkt að skoðunarmaður hafnarríkis frá öðru aðildarríki fylgi honum eftir sem eftirlitsmaður. Ef skipið ber fána aðildarríkis</w:t>
      </w:r>
      <w:r w:rsidR="004E4D9E">
        <w:t xml:space="preserve"> EES ríkis</w:t>
      </w:r>
      <w:r>
        <w:t xml:space="preserve"> skal </w:t>
      </w:r>
      <w:r w:rsidR="004E4D9E">
        <w:t>Samgöngustofa</w:t>
      </w:r>
      <w:r>
        <w:t>, ef óskað er eftir því, bjóða fulltrúa frá fánaríkinu að vera viðstaddur skoðunina sem eftirlitsmaður.“</w:t>
      </w:r>
    </w:p>
    <w:p w14:paraId="2F24F17D" w14:textId="77777777" w:rsidR="004E4D9E" w:rsidRDefault="004E4D9E" w:rsidP="004E4D9E">
      <w:pPr>
        <w:pStyle w:val="Greinarnmer"/>
      </w:pPr>
    </w:p>
    <w:p w14:paraId="37511E5B" w14:textId="6C526833" w:rsidR="004E4D9E" w:rsidRDefault="004E4D9E" w:rsidP="004E4D9E">
      <w:pPr>
        <w:ind w:firstLine="426"/>
      </w:pPr>
      <w:r>
        <w:t>3. mgr. 15. gr. reglugerðarinnar falli á brott.</w:t>
      </w:r>
    </w:p>
    <w:p w14:paraId="6F92AE75" w14:textId="77777777" w:rsidR="004E4D9E" w:rsidRDefault="004E4D9E" w:rsidP="004E4D9E">
      <w:pPr>
        <w:pStyle w:val="Greinarnmer"/>
      </w:pPr>
    </w:p>
    <w:p w14:paraId="693BA454" w14:textId="3859AB81" w:rsidR="004E4D9E" w:rsidRDefault="004E4D9E" w:rsidP="004E4D9E">
      <w:pPr>
        <w:ind w:firstLine="426"/>
      </w:pPr>
      <w:r>
        <w:t>1. mgr. 16. gr. reglugerðarinnar orðist svo:</w:t>
      </w:r>
    </w:p>
    <w:p w14:paraId="7894B3F1" w14:textId="2D3B6D6F" w:rsidR="004E4D9E" w:rsidRDefault="004E4D9E" w:rsidP="004E4D9E">
      <w:pPr>
        <w:ind w:firstLine="426"/>
      </w:pPr>
      <w:r>
        <w:t>Samgöngustofa skal banna aðgang skipa að íslenskum höfnum og akkerislægjum sem:</w:t>
      </w:r>
    </w:p>
    <w:p w14:paraId="48C93449" w14:textId="2FD10C3A" w:rsidR="004E4D9E" w:rsidRDefault="004E4D9E" w:rsidP="004E4D9E">
      <w:pPr>
        <w:pStyle w:val="ListParagraph"/>
        <w:numPr>
          <w:ilvl w:val="0"/>
          <w:numId w:val="13"/>
        </w:numPr>
      </w:pPr>
      <w:r>
        <w:t>sökum hárrar farbannstíðni, sigla undir fána ríkis sem er á svarta listanum, sem samþykktur er í samræmi við Parísarsamkomulagið um hafnarríkiseftirlit, á grundvelli upplýsinga sem skráðar eru í skoðunargrunninum og framkvæmdastjórnin birtir árlega, og sem farbann hefur verið lagt á oftar en tvisvar á síðastliðnum 36 mánuðum í höfn eða akkerislægi EES-ríkis eða í ríki, sem er undirritunaraðili að Parísarsamkomulaginu um hafnarríkiseftirlit, eða</w:t>
      </w:r>
    </w:p>
    <w:p w14:paraId="09FA7D4F" w14:textId="7EF704B0" w:rsidR="004E4D9E" w:rsidRDefault="004E4D9E" w:rsidP="004E4D9E">
      <w:pPr>
        <w:pStyle w:val="ListParagraph"/>
        <w:numPr>
          <w:ilvl w:val="0"/>
          <w:numId w:val="13"/>
        </w:numPr>
      </w:pPr>
      <w:r>
        <w:t xml:space="preserve">sökum hárrar farbannstíðni, sigla undir fána ríkis sem er á gráa listanum, sem samþykktur er í samræmi við Parísarsamkomulagið um hafnarríkiseftirlit, á grundvelli upplýsinga sem skráðar eru í skoðunargrunninum og framkvæmdastjórnin birtir árlega, og sem farbann hefur verið lagt á oftar en tvisvar á síðastliðnum 24 mánuðum í höfn eða akkerislægi EES-ríkis eða í ríki, sem er undirritunaraðili að Parísarsamkomulaginu um hafnarríkiseftirlit. </w:t>
      </w:r>
    </w:p>
    <w:p w14:paraId="541F653B" w14:textId="67CBECFB" w:rsidR="004E4D9E" w:rsidRDefault="00F5360B" w:rsidP="004E4D9E">
      <w:r>
        <w:t>Framangreint</w:t>
      </w:r>
      <w:r w:rsidR="004E4D9E">
        <w:t xml:space="preserve"> gildir ekki um tilvikin sem um getur í 6. mgr. 21. gr. </w:t>
      </w:r>
    </w:p>
    <w:p w14:paraId="58CD0537" w14:textId="4F936D33" w:rsidR="008E2D8C" w:rsidRDefault="004E4D9E" w:rsidP="00F5360B">
      <w:r>
        <w:t>Aðgangsbannið skal öðlast gildi um leið og skip siglir úr höfn eða frá akkerislægi þar sem farbann hefur verið lagt á það í þriðja sinn og þar sem úrskurður um aðgangsbann hefur verið gefinn út.“</w:t>
      </w:r>
    </w:p>
    <w:p w14:paraId="4C4DF555" w14:textId="77777777" w:rsidR="008E2D8C" w:rsidRDefault="008E2D8C" w:rsidP="00E70B1A">
      <w:pPr>
        <w:pStyle w:val="Greinarnmer"/>
      </w:pPr>
    </w:p>
    <w:p w14:paraId="02807780" w14:textId="21FB6964" w:rsidR="00695B8A" w:rsidRDefault="00F5360B" w:rsidP="00F5360B">
      <w:pPr>
        <w:ind w:firstLine="426"/>
        <w:rPr>
          <w:lang w:eastAsia="en-GB"/>
        </w:rPr>
      </w:pPr>
      <w:r>
        <w:rPr>
          <w:lang w:eastAsia="en-GB"/>
        </w:rPr>
        <w:t>Nýr viðauki, viðauki XVII bætist við reglugerðina. Viðaukinn er birtur sem viðauki við þessa reglugerð.</w:t>
      </w:r>
    </w:p>
    <w:p w14:paraId="4506F612" w14:textId="77777777" w:rsidR="00F5360B" w:rsidRDefault="00F5360B" w:rsidP="00F5360B">
      <w:pPr>
        <w:ind w:firstLine="426"/>
      </w:pPr>
    </w:p>
    <w:p w14:paraId="15752991" w14:textId="4F12BCE2" w:rsidR="001A27E6" w:rsidRPr="007434B8" w:rsidRDefault="001A27E6" w:rsidP="00E70B1A">
      <w:pPr>
        <w:pStyle w:val="Heading3"/>
      </w:pPr>
      <w:r w:rsidRPr="007434B8">
        <w:t>I</w:t>
      </w:r>
      <w:r w:rsidR="00F5360B">
        <w:t>I</w:t>
      </w:r>
      <w:r w:rsidRPr="007434B8">
        <w:t xml:space="preserve">. KAFLI </w:t>
      </w:r>
    </w:p>
    <w:p w14:paraId="4AC85EC4" w14:textId="5E529909" w:rsidR="001A27E6" w:rsidRDefault="00F5360B" w:rsidP="00E70B1A">
      <w:pPr>
        <w:pStyle w:val="Heading2"/>
      </w:pPr>
      <w:r>
        <w:t>Reglugerð um skoðanir á skipum og búnaði þeirra</w:t>
      </w:r>
    </w:p>
    <w:p w14:paraId="03E873CD" w14:textId="21C5CC15" w:rsidR="00AB2AAF" w:rsidRDefault="00AB2AAF" w:rsidP="00A8265D">
      <w:pPr>
        <w:pStyle w:val="Greinarnmer"/>
      </w:pPr>
    </w:p>
    <w:p w14:paraId="2A1D726F" w14:textId="26A2E91E" w:rsidR="00F5360B" w:rsidRDefault="00F5360B" w:rsidP="00F5360B">
      <w:pPr>
        <w:rPr>
          <w:lang w:eastAsia="en-GB"/>
        </w:rPr>
      </w:pPr>
      <w:r>
        <w:rPr>
          <w:lang w:eastAsia="en-GB"/>
        </w:rPr>
        <w:t>19. gr. reglugerðarinnar orðist svo:</w:t>
      </w:r>
    </w:p>
    <w:p w14:paraId="0FBE7CDE" w14:textId="1D7B6788" w:rsidR="00F5360B" w:rsidRPr="00F5360B" w:rsidRDefault="00F5360B" w:rsidP="00F5360B">
      <w:pPr>
        <w:jc w:val="center"/>
        <w:rPr>
          <w:i/>
          <w:lang w:eastAsia="en-GB"/>
        </w:rPr>
      </w:pPr>
      <w:r w:rsidRPr="00F5360B">
        <w:rPr>
          <w:i/>
          <w:lang w:eastAsia="en-GB"/>
        </w:rPr>
        <w:t xml:space="preserve">Skoðun </w:t>
      </w:r>
      <w:r w:rsidR="00E74485">
        <w:rPr>
          <w:i/>
          <w:lang w:eastAsia="en-GB"/>
        </w:rPr>
        <w:t>ekjuferja og háhraðafarþegafara</w:t>
      </w:r>
    </w:p>
    <w:p w14:paraId="52D5F20C" w14:textId="64139FCB" w:rsidR="00F5360B" w:rsidRDefault="00E74485" w:rsidP="00F5360B">
      <w:pPr>
        <w:rPr>
          <w:lang w:eastAsia="en-GB"/>
        </w:rPr>
      </w:pPr>
      <w:r>
        <w:rPr>
          <w:lang w:eastAsia="en-GB"/>
        </w:rPr>
        <w:t>Samgöngustofa</w:t>
      </w:r>
      <w:r w:rsidR="00F5360B">
        <w:rPr>
          <w:lang w:eastAsia="en-GB"/>
        </w:rPr>
        <w:t xml:space="preserve"> annast skoðun ekjuferja og háhraðafarþegafara í </w:t>
      </w:r>
      <w:r>
        <w:rPr>
          <w:lang w:eastAsia="en-GB"/>
        </w:rPr>
        <w:t xml:space="preserve">innananlandssiglingum </w:t>
      </w:r>
      <w:r w:rsidR="00734492">
        <w:rPr>
          <w:lang w:eastAsia="en-GB"/>
        </w:rPr>
        <w:t xml:space="preserve">á hafsvæði A </w:t>
      </w:r>
      <w:r w:rsidR="00F5360B">
        <w:rPr>
          <w:lang w:eastAsia="en-GB"/>
        </w:rPr>
        <w:t xml:space="preserve">í samræmi við ákvæði reglugerðar um </w:t>
      </w:r>
      <w:r w:rsidRPr="00E74485">
        <w:rPr>
          <w:lang w:eastAsia="en-GB"/>
        </w:rPr>
        <w:t>skoðanakerfi fyrir öruggan rekstur ekjufarþegaskipa og háhraðfarþegafa</w:t>
      </w:r>
      <w:r>
        <w:rPr>
          <w:lang w:eastAsia="en-GB"/>
        </w:rPr>
        <w:t>ra</w:t>
      </w:r>
      <w:r w:rsidRPr="00E74485">
        <w:rPr>
          <w:lang w:eastAsia="en-GB"/>
        </w:rPr>
        <w:t xml:space="preserve"> í áætlunarferðum</w:t>
      </w:r>
      <w:r w:rsidR="00023B2C">
        <w:rPr>
          <w:lang w:eastAsia="en-GB"/>
        </w:rPr>
        <w:t>.</w:t>
      </w:r>
      <w:bookmarkStart w:id="0" w:name="_GoBack"/>
      <w:bookmarkEnd w:id="0"/>
      <w:r w:rsidR="00734492">
        <w:rPr>
          <w:lang w:eastAsia="en-GB"/>
        </w:rPr>
        <w:t xml:space="preserve"> Þar sem ákvæðum þeirrar reglugerðar sleppir skal beita 17. gr. að breyttu breytanda. </w:t>
      </w:r>
    </w:p>
    <w:p w14:paraId="69A7726C" w14:textId="72B58CB9" w:rsidR="00E74485" w:rsidRPr="00F5360B" w:rsidRDefault="00E74485" w:rsidP="00F5360B">
      <w:pPr>
        <w:rPr>
          <w:lang w:eastAsia="en-GB"/>
        </w:rPr>
      </w:pPr>
      <w:r>
        <w:rPr>
          <w:lang w:eastAsia="en-GB"/>
        </w:rPr>
        <w:lastRenderedPageBreak/>
        <w:t>Samgöngustofa annast skoðun ekjuferja og háhraðafarþegafara í millilandasiglingum í samræmi við ákvæði reglugerðar um hafnarríkiseftirlit, nr. 816/2011, með áorðnum breytingum.</w:t>
      </w:r>
      <w:r w:rsidR="00734492">
        <w:rPr>
          <w:lang w:eastAsia="en-GB"/>
        </w:rPr>
        <w:t xml:space="preserve"> Þar sem ákvæði þeirrar reglugerðar sleppir skal beita 18. gr. að breyttu breytanda. </w:t>
      </w:r>
    </w:p>
    <w:p w14:paraId="0282C989" w14:textId="16A57205" w:rsidR="00695B8A" w:rsidRDefault="00695B8A" w:rsidP="00A8265D">
      <w:pPr>
        <w:pStyle w:val="Greinarnmer"/>
      </w:pPr>
    </w:p>
    <w:p w14:paraId="6E7A3E38" w14:textId="77777777" w:rsidR="00695B8A" w:rsidRPr="004C3794" w:rsidRDefault="00695B8A" w:rsidP="007A4907">
      <w:pPr>
        <w:pStyle w:val="Heading4"/>
      </w:pPr>
      <w:r w:rsidRPr="004C3794">
        <w:t>Gildistaka.</w:t>
      </w:r>
    </w:p>
    <w:p w14:paraId="15B974CA" w14:textId="06C22A93" w:rsidR="00E65BF2" w:rsidRDefault="00E65BF2" w:rsidP="00E65BF2">
      <w:pPr>
        <w:keepNext/>
        <w:ind w:firstLine="426"/>
      </w:pPr>
      <w:r>
        <w:t xml:space="preserve">Reglugerð þessi er sett samkvæmt heimild í 4. mgr. 1. gr. laga um eftirlit með skipum nr. 47/2003 með áorðnum breytinum og öðlast þegar gildi. </w:t>
      </w:r>
    </w:p>
    <w:p w14:paraId="5DD36D4B" w14:textId="77777777" w:rsidR="00695B8A" w:rsidRDefault="00695B8A" w:rsidP="00627912">
      <w:pPr>
        <w:keepNext/>
        <w:ind w:firstLine="426"/>
      </w:pPr>
    </w:p>
    <w:p w14:paraId="3C9C3719" w14:textId="77777777" w:rsidR="00E65BF2" w:rsidRPr="00193B7D" w:rsidRDefault="00E65BF2" w:rsidP="00E65BF2">
      <w:pPr>
        <w:pStyle w:val="Heading4"/>
      </w:pPr>
      <w:r>
        <w:t>Samgöngu- og sveitarstjórnar</w:t>
      </w:r>
      <w:r w:rsidRPr="00193B7D">
        <w:t>ráðuneytinu, ....</w:t>
      </w:r>
    </w:p>
    <w:p w14:paraId="1CD6609B" w14:textId="77777777" w:rsidR="00695B8A" w:rsidRDefault="00695B8A" w:rsidP="00627912">
      <w:pPr>
        <w:keepNext/>
        <w:ind w:firstLine="426"/>
      </w:pPr>
    </w:p>
    <w:p w14:paraId="6744D31A" w14:textId="77777777" w:rsidR="002120F9" w:rsidRDefault="002120F9" w:rsidP="00627912">
      <w:pPr>
        <w:keepNext/>
        <w:ind w:firstLine="426"/>
      </w:pPr>
    </w:p>
    <w:p w14:paraId="56638082" w14:textId="77777777" w:rsidR="00927942" w:rsidRDefault="00927942" w:rsidP="00E70B1A">
      <w:pPr>
        <w:pStyle w:val="Heading3"/>
      </w:pPr>
    </w:p>
    <w:p w14:paraId="4245E2ED" w14:textId="6245830B" w:rsidR="00927942" w:rsidRDefault="00927942" w:rsidP="00E70B1A">
      <w:pPr>
        <w:pStyle w:val="Heading3"/>
      </w:pPr>
    </w:p>
    <w:p w14:paraId="308AE0F7" w14:textId="283B52EB" w:rsidR="00F5360B" w:rsidRDefault="00F5360B">
      <w:pPr>
        <w:tabs>
          <w:tab w:val="clear" w:pos="397"/>
          <w:tab w:val="clear" w:pos="709"/>
        </w:tabs>
        <w:ind w:firstLine="0"/>
        <w:jc w:val="left"/>
        <w:rPr>
          <w:lang w:eastAsia="en-GB"/>
        </w:rPr>
      </w:pPr>
      <w:r>
        <w:rPr>
          <w:lang w:eastAsia="en-GB"/>
        </w:rPr>
        <w:br w:type="page"/>
      </w:r>
    </w:p>
    <w:p w14:paraId="06E8CF13" w14:textId="623F7BF0" w:rsidR="00F5360B" w:rsidRPr="00F5360B" w:rsidRDefault="00F5360B" w:rsidP="00F5360B">
      <w:pPr>
        <w:jc w:val="center"/>
        <w:rPr>
          <w:lang w:eastAsia="en-GB"/>
        </w:rPr>
      </w:pPr>
      <w:r>
        <w:rPr>
          <w:lang w:eastAsia="en-GB"/>
        </w:rPr>
        <w:lastRenderedPageBreak/>
        <w:t>XVII. VIÐAUKI</w:t>
      </w:r>
    </w:p>
    <w:p w14:paraId="2DEB9443" w14:textId="51BCFFDA" w:rsidR="00F5360B" w:rsidRPr="00F5360B" w:rsidRDefault="00F5360B" w:rsidP="00C60B68">
      <w:pPr>
        <w:tabs>
          <w:tab w:val="clear" w:pos="397"/>
        </w:tabs>
        <w:ind w:firstLine="0"/>
        <w:jc w:val="left"/>
        <w:rPr>
          <w:b/>
        </w:rPr>
      </w:pPr>
      <w:r w:rsidRPr="00F5360B">
        <w:rPr>
          <w:b/>
        </w:rPr>
        <w:t xml:space="preserve">Skoðun ekjufarþegaskipa og háhraðafarþegafara í áætlunarferðum </w:t>
      </w:r>
    </w:p>
    <w:p w14:paraId="5AB02E07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3EFED84E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1.1. Áður en áætlunarferðir ekjufarþegaskips eða háhraðafarþegafars, sem falla undir þessa tilskipun, hefjast skulu aðildarríkin framkvæma skoðun, í samræmi við 1. mgr. 3. gr. tilskipunar (ESB) 2017/2110 (*), til að tryggja að ekjufarþegaskipið eða háhraðafarþegafarið uppfylli nauðsynlegar kröfur um öruggan rekstur í áætlunarferðum. 13.8.2020 EES-viðbætir við Stjórnartíðindi Evrópusambandsins Nr. 54/217 </w:t>
      </w:r>
    </w:p>
    <w:p w14:paraId="43540261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196AB832" w14:textId="4F427374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1.2. Þegar til stendur að áætlunarferðir ekjufarþegaskips eða háhraðafarþegafars hefjist má hlutaðeigandi aðildarríki taka tillit til skoðana, sem annað aðildarríki hefur þegar framkvæmt á þessu ekjufarþegaskipi eða háhraðafarþegafari á undangengnum átta mánuðum í tengslum aðrar áætlunarferðir, sem falla undir þessa tilskipun, að því tilskildu að aðildarríkið hafi, í hverju tilviki fyrir sig, fullvissað sig um að þessar fyrri skoðanir eigi við um nýju rekstrarskilyrðin og að nauðsynlegar kröfur um öruggan rekstur í áætlunarferðum hafi verið uppfylltar meðan á þessum skoðunum stóð. Ekki er nauðsynlegt að framkvæma skoðanirnar, sem um getur í lið 1.1, áður en áætlunarferðir ekjufarþegaskipsins eða háhraðafarþegafarsins hefjast á ný. </w:t>
      </w:r>
    </w:p>
    <w:p w14:paraId="06719A8B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7A23EA90" w14:textId="2DB4A6D9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1.3. Ef nauðsynlegt er, af ófyrirsjáanlegum ástæðum, að skipta út í skyndi ekjufarþegaskipi eða háhraðafarþegafari til að tryggja áframhaldandi þjónustu, og liður 1.2 á ekki við, getur aðildarríki heimilað að áætlunarferðir ekjufarþegaskipsins eða háhraðafarþegafarsins hefjist á ný, að því tilskildu að eftirfarandi skilyrði séu uppfyllt: </w:t>
      </w:r>
    </w:p>
    <w:p w14:paraId="16B74DA2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a) sjónræn skoðun og athugun skjala gefi ekki tilefni til að ætla að ekjufarþegaskipið eða háhraðafarþegafarið uppfylli ekki nauðsynlegar kröfur um öruggan rekstur og </w:t>
      </w:r>
    </w:p>
    <w:p w14:paraId="14512DB2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b) aðildarríkið lýkur við framkvæmd skoðunarinnar, sem kveðið er á um í 1. mgr. 3. gr. tilskipunar (ESB) 2017/2110 innan eins mánaðar. </w:t>
      </w:r>
    </w:p>
    <w:p w14:paraId="4689C0C2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670FE3D2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2. Aðildarríkin skulu framkvæma neðangreindar skoðanir einu sinni á ári, þó ekki fyrr en fjórum mánuðum fyrir og eigi síðar en átta mánuðum eftir fyrri skoðun: </w:t>
      </w:r>
    </w:p>
    <w:p w14:paraId="14F6FFAB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a) skoðun, sem tekur til krafna II. viðauka við tilskipun (ESB) 2017/2110 og reglugerðar framkvæmdastjórnarinnar (ESB) nr. 428/2010 (**), eftir því sem við á, og </w:t>
      </w:r>
    </w:p>
    <w:p w14:paraId="39344186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b) skoðun meðan á áætlunarferð stendur. Þessi skoðun skal taka til þeirra atriða sem talin eru upp í III. viðauka við tilskipun (ESB) 2017/2110 sem og til nægilegs fjölda atriða sem talin eru upp í I. og II. viðauka, að mati skoðunarmanns, til að tryggja að ekjufarþegaskipið eða háhraðafarþegafarið haldi áfram að uppfylla allar nauðsynlegar kröfur um öruggan rekstur. </w:t>
      </w:r>
    </w:p>
    <w:p w14:paraId="53C03DE5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3159FCBD" w14:textId="77777777" w:rsidR="00F5360B" w:rsidRDefault="00F5360B" w:rsidP="00C60B68">
      <w:pPr>
        <w:tabs>
          <w:tab w:val="clear" w:pos="397"/>
        </w:tabs>
        <w:ind w:firstLine="0"/>
        <w:jc w:val="left"/>
      </w:pPr>
      <w:r>
        <w:t xml:space="preserve">3. Ef ekjufarþegaskip eða háhraðafarþegafar hefur ekki verið skoðað í samræmi við 2. lið telst ekjufarþegaskipið eða háhraðafarþegafarið vera í I. forgangshópi. </w:t>
      </w:r>
    </w:p>
    <w:p w14:paraId="45DA547F" w14:textId="77777777" w:rsidR="00F5360B" w:rsidRDefault="00F5360B" w:rsidP="00C60B68">
      <w:pPr>
        <w:tabs>
          <w:tab w:val="clear" w:pos="397"/>
        </w:tabs>
        <w:ind w:firstLine="0"/>
        <w:jc w:val="left"/>
      </w:pPr>
    </w:p>
    <w:p w14:paraId="0E1F86ED" w14:textId="6441A817" w:rsidR="00696418" w:rsidRPr="00F5360B" w:rsidRDefault="00F5360B" w:rsidP="00C60B68">
      <w:pPr>
        <w:tabs>
          <w:tab w:val="clear" w:pos="397"/>
        </w:tabs>
        <w:ind w:firstLine="0"/>
        <w:jc w:val="left"/>
        <w:rPr>
          <w:b/>
          <w:lang w:eastAsia="en-GB"/>
        </w:rPr>
      </w:pPr>
      <w:r>
        <w:t>4. Skoðun, sem er framkvæmd í samræmi við lið 1.1, skal teljast skoðun að því er varðar a-lið 2. liðar þessa viðauka.</w:t>
      </w:r>
    </w:p>
    <w:sectPr w:rsidR="00696418" w:rsidRPr="00F5360B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B7FD" w14:textId="77777777" w:rsidR="00B54658" w:rsidRDefault="00B54658" w:rsidP="000130AF">
      <w:r>
        <w:separator/>
      </w:r>
    </w:p>
  </w:endnote>
  <w:endnote w:type="continuationSeparator" w:id="0">
    <w:p w14:paraId="7F10CD96" w14:textId="77777777" w:rsidR="00B54658" w:rsidRDefault="00B54658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F4AD" w14:textId="77777777" w:rsidR="00B54658" w:rsidRDefault="00B54658" w:rsidP="000130AF">
      <w:r>
        <w:separator/>
      </w:r>
    </w:p>
  </w:footnote>
  <w:footnote w:type="continuationSeparator" w:id="0">
    <w:p w14:paraId="55ACB090" w14:textId="77777777" w:rsidR="00B54658" w:rsidRDefault="00B54658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B8C7" w14:textId="77777777" w:rsidR="00344D57" w:rsidRDefault="00B54658">
    <w:pPr>
      <w:pStyle w:val="Header"/>
    </w:pPr>
    <w:r>
      <w:pict w14:anchorId="680F8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B055" w14:textId="77777777" w:rsidR="00CB1CC1" w:rsidRDefault="00B54658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63081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5EC87E1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9A8163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E6299E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7B795E1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BF1C" w14:textId="77777777" w:rsidR="00344D57" w:rsidRDefault="00B54658">
    <w:pPr>
      <w:pStyle w:val="Header"/>
    </w:pPr>
    <w:r>
      <w:pict w14:anchorId="7DF23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B57D69"/>
    <w:multiLevelType w:val="hybridMultilevel"/>
    <w:tmpl w:val="6B8C629A"/>
    <w:lvl w:ilvl="0" w:tplc="68166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73387"/>
    <w:multiLevelType w:val="hybridMultilevel"/>
    <w:tmpl w:val="E0AE1B06"/>
    <w:lvl w:ilvl="0" w:tplc="0409001B">
      <w:start w:val="1"/>
      <w:numFmt w:val="lowerRoman"/>
      <w:lvlText w:val="%1."/>
      <w:lvlJc w:val="right"/>
      <w:pPr>
        <w:ind w:left="1200" w:hanging="360"/>
      </w:pPr>
    </w:lvl>
    <w:lvl w:ilvl="1" w:tplc="040F0019" w:tentative="1">
      <w:start w:val="1"/>
      <w:numFmt w:val="lowerLetter"/>
      <w:lvlText w:val="%2."/>
      <w:lvlJc w:val="left"/>
      <w:pPr>
        <w:ind w:left="1920" w:hanging="360"/>
      </w:pPr>
    </w:lvl>
    <w:lvl w:ilvl="2" w:tplc="040F001B" w:tentative="1">
      <w:start w:val="1"/>
      <w:numFmt w:val="lowerRoman"/>
      <w:lvlText w:val="%3."/>
      <w:lvlJc w:val="right"/>
      <w:pPr>
        <w:ind w:left="2640" w:hanging="180"/>
      </w:pPr>
    </w:lvl>
    <w:lvl w:ilvl="3" w:tplc="040F000F" w:tentative="1">
      <w:start w:val="1"/>
      <w:numFmt w:val="decimal"/>
      <w:lvlText w:val="%4."/>
      <w:lvlJc w:val="left"/>
      <w:pPr>
        <w:ind w:left="3360" w:hanging="360"/>
      </w:pPr>
    </w:lvl>
    <w:lvl w:ilvl="4" w:tplc="040F0019" w:tentative="1">
      <w:start w:val="1"/>
      <w:numFmt w:val="lowerLetter"/>
      <w:lvlText w:val="%5."/>
      <w:lvlJc w:val="left"/>
      <w:pPr>
        <w:ind w:left="4080" w:hanging="360"/>
      </w:pPr>
    </w:lvl>
    <w:lvl w:ilvl="5" w:tplc="040F001B" w:tentative="1">
      <w:start w:val="1"/>
      <w:numFmt w:val="lowerRoman"/>
      <w:lvlText w:val="%6."/>
      <w:lvlJc w:val="right"/>
      <w:pPr>
        <w:ind w:left="4800" w:hanging="180"/>
      </w:pPr>
    </w:lvl>
    <w:lvl w:ilvl="6" w:tplc="040F000F" w:tentative="1">
      <w:start w:val="1"/>
      <w:numFmt w:val="decimal"/>
      <w:lvlText w:val="%7."/>
      <w:lvlJc w:val="left"/>
      <w:pPr>
        <w:ind w:left="5520" w:hanging="360"/>
      </w:pPr>
    </w:lvl>
    <w:lvl w:ilvl="7" w:tplc="040F0019" w:tentative="1">
      <w:start w:val="1"/>
      <w:numFmt w:val="lowerLetter"/>
      <w:lvlText w:val="%8."/>
      <w:lvlJc w:val="left"/>
      <w:pPr>
        <w:ind w:left="6240" w:hanging="360"/>
      </w:pPr>
    </w:lvl>
    <w:lvl w:ilvl="8" w:tplc="040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76F148D4"/>
    <w:multiLevelType w:val="hybridMultilevel"/>
    <w:tmpl w:val="4C5E1158"/>
    <w:lvl w:ilvl="0" w:tplc="CC6848D2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02CCF"/>
    <w:multiLevelType w:val="hybridMultilevel"/>
    <w:tmpl w:val="7884E3D2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CEA74F3"/>
    <w:multiLevelType w:val="hybridMultilevel"/>
    <w:tmpl w:val="2BCEC6B8"/>
    <w:lvl w:ilvl="0" w:tplc="B58EC16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9"/>
    <w:rsid w:val="000130AF"/>
    <w:rsid w:val="00023B2C"/>
    <w:rsid w:val="00030E1D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6076C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747D"/>
    <w:rsid w:val="002D7D3C"/>
    <w:rsid w:val="002F32BF"/>
    <w:rsid w:val="0030380E"/>
    <w:rsid w:val="0030556D"/>
    <w:rsid w:val="0031021D"/>
    <w:rsid w:val="00310259"/>
    <w:rsid w:val="00321167"/>
    <w:rsid w:val="00344D57"/>
    <w:rsid w:val="00364738"/>
    <w:rsid w:val="00373A61"/>
    <w:rsid w:val="00373B96"/>
    <w:rsid w:val="00380654"/>
    <w:rsid w:val="00391FD9"/>
    <w:rsid w:val="003B1A42"/>
    <w:rsid w:val="00400959"/>
    <w:rsid w:val="004128D7"/>
    <w:rsid w:val="0041679C"/>
    <w:rsid w:val="00436ECD"/>
    <w:rsid w:val="0049455F"/>
    <w:rsid w:val="004A4455"/>
    <w:rsid w:val="004B299C"/>
    <w:rsid w:val="004E4D9E"/>
    <w:rsid w:val="004E4DEB"/>
    <w:rsid w:val="0051133D"/>
    <w:rsid w:val="00513DDC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F412B"/>
    <w:rsid w:val="00612C4E"/>
    <w:rsid w:val="00617EF1"/>
    <w:rsid w:val="00627912"/>
    <w:rsid w:val="00642983"/>
    <w:rsid w:val="00644F44"/>
    <w:rsid w:val="006514CE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34492"/>
    <w:rsid w:val="007434B8"/>
    <w:rsid w:val="00752A94"/>
    <w:rsid w:val="00763C3F"/>
    <w:rsid w:val="007709E5"/>
    <w:rsid w:val="00790848"/>
    <w:rsid w:val="007A410B"/>
    <w:rsid w:val="007A4907"/>
    <w:rsid w:val="007B4504"/>
    <w:rsid w:val="007D1ABF"/>
    <w:rsid w:val="007F51BD"/>
    <w:rsid w:val="00802512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8322D"/>
    <w:rsid w:val="00990CBD"/>
    <w:rsid w:val="0099371F"/>
    <w:rsid w:val="009A4A23"/>
    <w:rsid w:val="009A5458"/>
    <w:rsid w:val="009B4AF1"/>
    <w:rsid w:val="009B7F10"/>
    <w:rsid w:val="009F3199"/>
    <w:rsid w:val="009F6DAC"/>
    <w:rsid w:val="00A211D0"/>
    <w:rsid w:val="00A312AD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54658"/>
    <w:rsid w:val="00B64FC6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65FF1"/>
    <w:rsid w:val="00C729C7"/>
    <w:rsid w:val="00CA01E2"/>
    <w:rsid w:val="00CB1CC1"/>
    <w:rsid w:val="00CD0A8F"/>
    <w:rsid w:val="00CD295D"/>
    <w:rsid w:val="00CE2B4D"/>
    <w:rsid w:val="00CE72A8"/>
    <w:rsid w:val="00CF0BF9"/>
    <w:rsid w:val="00CF7B5B"/>
    <w:rsid w:val="00D07F88"/>
    <w:rsid w:val="00D14DE3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FF4"/>
    <w:rsid w:val="00E04E0A"/>
    <w:rsid w:val="00E44461"/>
    <w:rsid w:val="00E65BF2"/>
    <w:rsid w:val="00E70B1A"/>
    <w:rsid w:val="00E74485"/>
    <w:rsid w:val="00E84736"/>
    <w:rsid w:val="00E85185"/>
    <w:rsid w:val="00EA1528"/>
    <w:rsid w:val="00EB2EAA"/>
    <w:rsid w:val="00EC46A9"/>
    <w:rsid w:val="00ED4EFA"/>
    <w:rsid w:val="00ED5202"/>
    <w:rsid w:val="00EE2559"/>
    <w:rsid w:val="00EE7900"/>
    <w:rsid w:val="00F061F4"/>
    <w:rsid w:val="00F152D2"/>
    <w:rsid w:val="00F5360B"/>
    <w:rsid w:val="00F6670A"/>
    <w:rsid w:val="00F73E93"/>
    <w:rsid w:val="00F86726"/>
    <w:rsid w:val="00F91734"/>
    <w:rsid w:val="00F94843"/>
    <w:rsid w:val="00FA3496"/>
    <w:rsid w:val="00FA7140"/>
    <w:rsid w:val="00FB58E2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206D7A"/>
  <w15:docId w15:val="{F4BDF43E-3FD6-4426-A4C2-ECF463C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7A4907"/>
    <w:pPr>
      <w:keepNext/>
      <w:tabs>
        <w:tab w:val="right" w:pos="7796"/>
      </w:tabs>
      <w:ind w:firstLine="0"/>
      <w:jc w:val="center"/>
      <w:outlineLvl w:val="3"/>
    </w:pPr>
    <w:rPr>
      <w:b/>
      <w:bCs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7A4907"/>
    <w:rPr>
      <w:rFonts w:ascii="Times" w:hAnsi="Times"/>
      <w:b/>
      <w:bCs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027D-7441-448C-AA43-215D832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 Baldursson</dc:creator>
  <cp:lastModifiedBy>Eggert Ólafsson</cp:lastModifiedBy>
  <cp:revision>7</cp:revision>
  <cp:lastPrinted>2008-12-24T08:48:00Z</cp:lastPrinted>
  <dcterms:created xsi:type="dcterms:W3CDTF">2020-11-04T17:33:00Z</dcterms:created>
  <dcterms:modified xsi:type="dcterms:W3CDTF">2020-11-12T21:55:00Z</dcterms:modified>
</cp:coreProperties>
</file>