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A57AE1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BF5ACD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280E71AF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A2304" w:rsidRPr="001A2304">
                  <w:rPr>
                    <w:rFonts w:ascii="Times New Roman" w:hAnsi="Times New Roman" w:cs="Times New Roman"/>
                    <w:lang w:val="is-IS"/>
                  </w:rPr>
                  <w:t xml:space="preserve">Frumvarp til laga um breytingu á lögum um áhafnir skipa nr. 82/2022 (heimild ráðherra til að setja í reglugerð nánari ákvæði um lágmarksréttindi til skipstjórnar og vélgæslu á björgunarskipum </w:t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 xml:space="preserve">Slysavarnafélagsins Landsbjargar </w:t>
                </w:r>
                <w:r w:rsidR="001A2304" w:rsidRPr="001A2304">
                  <w:rPr>
                    <w:rFonts w:ascii="Times New Roman" w:hAnsi="Times New Roman" w:cs="Times New Roman"/>
                    <w:lang w:val="is-IS"/>
                  </w:rPr>
                  <w:t>sem gegna sérhæfðu hlutverki).</w:t>
                </w:r>
              </w:p>
            </w:tc>
          </w:sdtContent>
        </w:sdt>
      </w:tr>
      <w:tr w:rsidR="00135B40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023E4DE2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Innviðaráðuneyti / Skrifstofa samgangna</w:t>
                </w:r>
              </w:p>
            </w:tc>
          </w:sdtContent>
        </w:sdt>
      </w:tr>
      <w:tr w:rsidR="00135B40" w:rsidRPr="00A57AE1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689EDEC5" w:rsidR="00135B40" w:rsidRPr="004E0E11" w:rsidRDefault="001C1A23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304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1C1A23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566DD8ED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294E64">
                  <w:rPr>
                    <w:rFonts w:ascii="Times New Roman" w:hAnsi="Times New Roman" w:cs="Times New Roman"/>
                    <w:lang w:val="is-IS"/>
                  </w:rPr>
                  <w:t>11</w:t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294E64">
                  <w:rPr>
                    <w:rFonts w:ascii="Times New Roman" w:hAnsi="Times New Roman" w:cs="Times New Roman"/>
                    <w:lang w:val="is-IS"/>
                  </w:rPr>
                  <w:t xml:space="preserve"> apríl</w:t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 xml:space="preserve"> 2025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F5ACD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47580A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27BF2A32" w:rsidR="0043227F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BC28C8D" w14:textId="02E5A403" w:rsidR="001A2304" w:rsidRPr="001A2304" w:rsidRDefault="001A2304" w:rsidP="001A2304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1A230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Um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er að ræða breytingu á lögum um áhafnir skipa nr. 82/2022. Breytingarnar eru lagðar til vegna vanda Slysavarnafélagsins Landsbjargar við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mönnun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nýrra björgunarskipa félagsins. Á þessu stigi er ekki fyrirséð að tillögurnar muni hafa kostnað í för með sér. </w:t>
                </w:r>
              </w:p>
              <w:p w14:paraId="2021873B" w14:textId="614EF821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642DB6C9" w14:textId="1482DBD6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4808874D" w14:textId="50FDAC44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5DB58A8" w14:textId="7B38703D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64C00391" w14:textId="5B8E5B09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Aðskilin umfjöllun um </w:t>
                </w:r>
                <w:proofErr w:type="spellStart"/>
                <w:r w:rsidRPr="00A72ECC">
                  <w:rPr>
                    <w:rFonts w:ascii="Times New Roman" w:hAnsi="Times New Roman" w:cs="Times New Roman"/>
                    <w:lang w:val="is-IS"/>
                  </w:rPr>
                  <w:t>brúttóáhrif</w:t>
                </w:r>
                <w:proofErr w:type="spellEnd"/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3EF314C9" w14:textId="5667D6C5" w:rsidR="00FD2097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BB7CC88" w14:textId="260924DE" w:rsidR="00BD03E4" w:rsidRPr="00A72ECC" w:rsidRDefault="001A2304" w:rsidP="00237053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011C60D4" w14:textId="68A73561" w:rsidR="000212D2" w:rsidRPr="00EE7DC8" w:rsidRDefault="00AD6D06" w:rsidP="00EE7DC8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6E256DD2" w14:textId="60BFAB2B" w:rsidR="00BD03E4" w:rsidRPr="00A72ECC" w:rsidRDefault="001A2304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3AECE235" w14:textId="71B7C711" w:rsidR="00D96089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3CF6A88" w14:textId="2C5F2B9B" w:rsidR="00BD03E4" w:rsidRPr="00A72ECC" w:rsidRDefault="001A2304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4286C444" w14:textId="325CC88B" w:rsidR="00813003" w:rsidRDefault="00AD6D06" w:rsidP="00813003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3C6983AC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5D6883BD" w14:textId="4F8F81FE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6F32AA89" w14:textId="65A521F1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0D090F52" w14:textId="26EA669D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7F03EC8D" w14:textId="0E53EFF3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04105743" w14:textId="0043B18E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3E248B52" w14:textId="44C6E181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5609FB39" w14:textId="5D90AFBE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7A5DE4B8" w14:textId="4DB11825" w:rsidR="00CA3381" w:rsidRPr="00E648AA" w:rsidRDefault="00813003" w:rsidP="00BD69E0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 w:rsidRPr="001A2304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</w:sdtContent>
          </w:sdt>
          <w:permEnd w:id="2082035854" w:displacedByCustomXml="prev"/>
        </w:tc>
      </w:tr>
      <w:tr w:rsidR="00263F72" w:rsidRPr="00BF5ACD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7EBCECEF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  <w:p w14:paraId="091F1F9C" w14:textId="471BD855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  <w:p w14:paraId="3514BF9B" w14:textId="3979F9D2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  <w:p w14:paraId="71F700FB" w14:textId="51D50A38" w:rsidR="00FD2097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36CE1542" w:rsidR="00BD03E4" w:rsidRPr="00BD03E4" w:rsidRDefault="001A230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þessu stigi er ekki gert ráð fyrir fjárhagsáhrifum sem kunna að leiða af samþykkt frumvarpsins. </w:t>
                </w:r>
              </w:p>
              <w:p w14:paraId="59743E5F" w14:textId="77777777" w:rsidR="00BD03E4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0179F8F4" w:rsidR="00CA3381" w:rsidRPr="00BD03E4" w:rsidRDefault="001A230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A57AE1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ADD87B1" w14:textId="7ED61882" w:rsidR="00FD2097" w:rsidRPr="00BD03E4" w:rsidRDefault="001A230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  <w:p w14:paraId="40049170" w14:textId="715A97DA" w:rsidR="001B69DD" w:rsidRPr="004E0E11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23C695B5" w:rsidR="00FD2097" w:rsidRPr="00BD03E4" w:rsidRDefault="001B69DD" w:rsidP="001B69DD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Sjá leiðarvísinn „Grunnmat á eftirlitsreglum“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A230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Samgöngustofa mun </w:t>
                </w:r>
                <w:r w:rsidR="00AB29E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sjá um samþykkt námsskrár og kennaralista og eftirlit með náminu. </w:t>
                </w:r>
                <w:r w:rsidR="001A230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28431DFF" w14:textId="4882EC33" w:rsidR="00A410EA" w:rsidRPr="004433F4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AB29E5">
                  <w:rPr>
                    <w:rFonts w:ascii="Times New Roman" w:hAnsi="Times New Roman" w:cs="Times New Roman"/>
                    <w:b/>
                    <w:lang w:val="is-IS"/>
                  </w:rPr>
                  <w:br/>
                </w:r>
                <w:r w:rsidR="00AB29E5">
                  <w:rPr>
                    <w:rFonts w:ascii="Times New Roman" w:hAnsi="Times New Roman" w:cs="Times New Roman"/>
                    <w:bCs/>
                    <w:lang w:val="is-IS"/>
                  </w:rPr>
                  <w:t>Í frumvarpinu er u</w:t>
                </w:r>
                <w:r w:rsidR="00AB29E5" w:rsidRPr="00AB29E5">
                  <w:rPr>
                    <w:rFonts w:ascii="Times New Roman" w:hAnsi="Times New Roman" w:cs="Times New Roman"/>
                    <w:bCs/>
                    <w:lang w:val="is-IS"/>
                  </w:rPr>
                  <w:t>m að ræða nám fyrir sjálfboðaliða á björgunarskipum Slysavarnafélagsins Landsbjargar.</w:t>
                </w:r>
                <w:r w:rsidR="00AB29E5" w:rsidRPr="00F9487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Nám skv. þessum tölulið skal eingöngu gilda til starfa um borð í skipum Slysavarnafélagsins Landsbjargar, skv. skipaskrá. Nám og siglingatími í skipum skv. þessum tölulið nýtast ekki til að öðlast önnur réttindi skv. lögum þessum. </w:t>
                </w:r>
                <w:r w:rsidR="00AB29E5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1262E75D" w14:textId="4A764BD9" w:rsidR="00A410EA" w:rsidRPr="004433F4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B29E5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05C73860" w14:textId="19D34CD3" w:rsidR="00301FF8" w:rsidRPr="00A72ECC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B29E5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11012B77" w14:textId="5A5982CF" w:rsidR="003F530A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B29E5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23A35C1E" w14:textId="5A6E4D5B" w:rsidR="00CA3381" w:rsidRPr="003F530A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B29E5" w:rsidRPr="00AB29E5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3B782B2" w14:textId="6A128116" w:rsidR="000D6E33" w:rsidRDefault="008734A0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Ath. að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skylt er að leggja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slíkt mat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fyrir Samband íslenskra sveitarfélaga til umsagnar og tilkynna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niðurstöðu máls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til samgöngu- og sveitarstjórnarráðuneytisins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737D06" w14:textId="62BACBDD" w:rsidR="00C16C66" w:rsidRPr="004E0E11" w:rsidRDefault="00AB29E5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1145B43A" w14:textId="62EF2A18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332BBE52" w:rsidR="00AC19E3" w:rsidRDefault="00CE06FC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fjögurra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>sbr. 1. og 2.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0310BE2" w14:textId="3A497788" w:rsidR="00AB29E5" w:rsidRPr="004E0E11" w:rsidRDefault="00AB29E5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6F933ABF" w14:textId="76A0C5D1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tæknilegar reglur um vöru og </w:t>
                </w:r>
                <w:proofErr w:type="spellStart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DD89CD" w14:textId="5DF226F2" w:rsidR="00AC19E3" w:rsidRDefault="00CE06FC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þriggja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sbr.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. og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>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DCCF32C" w14:textId="008B37F5" w:rsidR="00C16C66" w:rsidRPr="004E0E11" w:rsidRDefault="00AB29E5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2D0533F4" w14:textId="059FA65B" w:rsidR="00AC19E3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120AE4EA" w:rsidR="00C16C66" w:rsidRPr="00C16C66" w:rsidRDefault="00AB29E5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3CFDCD51" w14:textId="13CC5C4F" w:rsidR="00AC19E3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2CBEFB2C" w:rsidR="00C16C66" w:rsidRPr="00C16C66" w:rsidRDefault="00AB29E5" w:rsidP="00C16C66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3E1BBD6F" w14:textId="54C76E82" w:rsidR="003C66CA" w:rsidRPr="004E0E11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05CC14" w14:textId="33336316" w:rsidR="00AC19E3" w:rsidRDefault="00886857" w:rsidP="003C66CA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leiðarvísi fyrir mat á jafnréttisáhrifum</w:t>
                </w:r>
                <w:r w:rsidR="0019397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BDD65C9" w14:textId="5F851104" w:rsidR="00193979" w:rsidRDefault="00193979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greiningarramma fyrir jafnréttismat.</w:t>
                </w:r>
              </w:p>
              <w:p w14:paraId="21A7B7CE" w14:textId="6C48AA93" w:rsidR="00C16C66" w:rsidRPr="004E0E11" w:rsidRDefault="00AB29E5" w:rsidP="003C66CA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788DA598" w14:textId="5DEB42B0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149B4054" w:rsidR="00193979" w:rsidRPr="00193979" w:rsidRDefault="00AB29E5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4732EDF5" w14:textId="00FF440C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2D2B4C5E" w:rsidR="00193979" w:rsidRPr="00193979" w:rsidRDefault="00AB29E5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Mun tryggja góða þjálfun sjálfboðaliða Slysavarnafélagsins Landsbjargar undir eftirliti Samgöngustofu. </w:t>
                </w:r>
              </w:p>
              <w:p w14:paraId="76338615" w14:textId="18004EBC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375995BF" w:rsidR="00193979" w:rsidRPr="00193979" w:rsidRDefault="00AB29E5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1EAB7D34" w14:textId="78E05B20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005D9E44" w:rsidR="00193979" w:rsidRPr="00193979" w:rsidRDefault="00AB29E5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52F604BA" w14:textId="65A6A3D1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7BD9FD56" w:rsidR="00193979" w:rsidRPr="00193979" w:rsidRDefault="00AB29E5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10635864" w14:textId="77777777" w:rsidR="00193979" w:rsidRDefault="00346619" w:rsidP="008831B4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662A9E1C" w:rsidR="000D6E33" w:rsidRPr="00193979" w:rsidRDefault="00AB29E5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  <w:r w:rsidR="00346619"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A57AE1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13FD69B6" w:rsidR="00193979" w:rsidRPr="00193979" w:rsidRDefault="00AB29E5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Ekki er gert ráð fyrir viðbótarkostnaði fyrir ríkissjóð. </w:t>
                </w:r>
              </w:p>
              <w:p w14:paraId="6C7C3DC8" w14:textId="040E1813" w:rsidR="000073F7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486FD4B2" w:rsidR="00193979" w:rsidRPr="00193979" w:rsidRDefault="00AB29E5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47980F45" w14:textId="77777777" w:rsidR="00193979" w:rsidRDefault="00346619" w:rsidP="00F33A33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B09DAA3" w14:textId="76CDC3C8" w:rsidR="00CA3381" w:rsidRPr="00AB29E5" w:rsidRDefault="00AB29E5" w:rsidP="00AB29E5">
                <w:pPr>
                  <w:pStyle w:val="ListParagraph"/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Örugg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mönnun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björgunarskipa </w:t>
                </w:r>
                <w:r w:rsidRPr="00AB29E5">
                  <w:rPr>
                    <w:rFonts w:ascii="Times New Roman" w:hAnsi="Times New Roman" w:cs="Times New Roman"/>
                    <w:bCs/>
                    <w:lang w:val="is-IS"/>
                  </w:rPr>
                  <w:t>Slysavarnafélagsins Landsbjargar með vel þjálfuðum farmönnum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Pr="00AB29E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964699272" w:displacedByCustomXml="next"/>
            </w:sdtContent>
          </w:sdt>
        </w:tc>
      </w:tr>
      <w:tr w:rsidR="00EB6651" w:rsidRPr="00A57AE1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7777777" w:rsidR="00193979" w:rsidRPr="00193979" w:rsidRDefault="00193979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C706323" w14:textId="7AF4301D" w:rsidR="00EB6651" w:rsidRDefault="00D64A3D" w:rsidP="00D64A3D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193979" w:rsidRDefault="00193979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Default="00D64A3D" w:rsidP="000073F7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1048D" w14:textId="77777777" w:rsidR="001C1A23" w:rsidRDefault="001C1A23" w:rsidP="007478E0">
      <w:pPr>
        <w:spacing w:after="0" w:line="240" w:lineRule="auto"/>
      </w:pPr>
      <w:r>
        <w:separator/>
      </w:r>
    </w:p>
  </w:endnote>
  <w:endnote w:type="continuationSeparator" w:id="0">
    <w:p w14:paraId="7F19AFEA" w14:textId="77777777" w:rsidR="001C1A23" w:rsidRDefault="001C1A23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F52D5" w14:textId="77777777" w:rsidR="001C1A23" w:rsidRDefault="001C1A23" w:rsidP="007478E0">
      <w:pPr>
        <w:spacing w:after="0" w:line="240" w:lineRule="auto"/>
      </w:pPr>
      <w:r>
        <w:separator/>
      </w:r>
    </w:p>
  </w:footnote>
  <w:footnote w:type="continuationSeparator" w:id="0">
    <w:p w14:paraId="44AC8880" w14:textId="77777777" w:rsidR="001C1A23" w:rsidRDefault="001C1A23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7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15"/>
  </w:num>
  <w:num w:numId="11">
    <w:abstractNumId w:val="24"/>
  </w:num>
  <w:num w:numId="12">
    <w:abstractNumId w:val="26"/>
  </w:num>
  <w:num w:numId="13">
    <w:abstractNumId w:val="2"/>
  </w:num>
  <w:num w:numId="14">
    <w:abstractNumId w:val="3"/>
  </w:num>
  <w:num w:numId="15">
    <w:abstractNumId w:val="28"/>
  </w:num>
  <w:num w:numId="16">
    <w:abstractNumId w:val="0"/>
  </w:num>
  <w:num w:numId="17">
    <w:abstractNumId w:val="13"/>
  </w:num>
  <w:num w:numId="18">
    <w:abstractNumId w:val="22"/>
  </w:num>
  <w:num w:numId="19">
    <w:abstractNumId w:val="23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4"/>
  </w:num>
  <w:num w:numId="25">
    <w:abstractNumId w:val="9"/>
  </w:num>
  <w:num w:numId="26">
    <w:abstractNumId w:val="7"/>
  </w:num>
  <w:num w:numId="27">
    <w:abstractNumId w:val="25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212D2"/>
    <w:rsid w:val="00050DAE"/>
    <w:rsid w:val="00051DC6"/>
    <w:rsid w:val="00063E97"/>
    <w:rsid w:val="000829E4"/>
    <w:rsid w:val="0008494B"/>
    <w:rsid w:val="00096B1D"/>
    <w:rsid w:val="000A7176"/>
    <w:rsid w:val="000B043D"/>
    <w:rsid w:val="000B04BF"/>
    <w:rsid w:val="000B3C73"/>
    <w:rsid w:val="000C58BD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21873"/>
    <w:rsid w:val="0012646E"/>
    <w:rsid w:val="00126525"/>
    <w:rsid w:val="00131859"/>
    <w:rsid w:val="00133146"/>
    <w:rsid w:val="00135B40"/>
    <w:rsid w:val="0013710B"/>
    <w:rsid w:val="00143B7A"/>
    <w:rsid w:val="00176943"/>
    <w:rsid w:val="00187E36"/>
    <w:rsid w:val="00193979"/>
    <w:rsid w:val="001972B9"/>
    <w:rsid w:val="001A2304"/>
    <w:rsid w:val="001B69DD"/>
    <w:rsid w:val="001C1A23"/>
    <w:rsid w:val="001C5BB7"/>
    <w:rsid w:val="001D117E"/>
    <w:rsid w:val="001D278A"/>
    <w:rsid w:val="001D30D8"/>
    <w:rsid w:val="001D5BCE"/>
    <w:rsid w:val="001E2499"/>
    <w:rsid w:val="001E7950"/>
    <w:rsid w:val="001F7268"/>
    <w:rsid w:val="00204605"/>
    <w:rsid w:val="002115E6"/>
    <w:rsid w:val="0021293B"/>
    <w:rsid w:val="00237053"/>
    <w:rsid w:val="00242342"/>
    <w:rsid w:val="00244F3D"/>
    <w:rsid w:val="00263F72"/>
    <w:rsid w:val="002666DE"/>
    <w:rsid w:val="00267F64"/>
    <w:rsid w:val="002704D7"/>
    <w:rsid w:val="00281D86"/>
    <w:rsid w:val="00294E64"/>
    <w:rsid w:val="002A4788"/>
    <w:rsid w:val="002B70B7"/>
    <w:rsid w:val="002C2C53"/>
    <w:rsid w:val="002C76B6"/>
    <w:rsid w:val="002F1F8D"/>
    <w:rsid w:val="002F5A2D"/>
    <w:rsid w:val="00301FF8"/>
    <w:rsid w:val="003025EB"/>
    <w:rsid w:val="00311838"/>
    <w:rsid w:val="00332D49"/>
    <w:rsid w:val="00335A2A"/>
    <w:rsid w:val="00346619"/>
    <w:rsid w:val="00350CD3"/>
    <w:rsid w:val="0035270D"/>
    <w:rsid w:val="00364D97"/>
    <w:rsid w:val="003711B1"/>
    <w:rsid w:val="003A1821"/>
    <w:rsid w:val="003B784E"/>
    <w:rsid w:val="003C66CA"/>
    <w:rsid w:val="003D01BF"/>
    <w:rsid w:val="003D1515"/>
    <w:rsid w:val="003E611E"/>
    <w:rsid w:val="003F530A"/>
    <w:rsid w:val="00403139"/>
    <w:rsid w:val="0043227F"/>
    <w:rsid w:val="004433F4"/>
    <w:rsid w:val="00450029"/>
    <w:rsid w:val="004604F4"/>
    <w:rsid w:val="0047580A"/>
    <w:rsid w:val="004978E5"/>
    <w:rsid w:val="004A3002"/>
    <w:rsid w:val="004A515F"/>
    <w:rsid w:val="004E0322"/>
    <w:rsid w:val="004E0E11"/>
    <w:rsid w:val="004E4F53"/>
    <w:rsid w:val="004F0024"/>
    <w:rsid w:val="004F142F"/>
    <w:rsid w:val="004F1C38"/>
    <w:rsid w:val="004F5331"/>
    <w:rsid w:val="005176D0"/>
    <w:rsid w:val="00532D45"/>
    <w:rsid w:val="00535EC4"/>
    <w:rsid w:val="005641B1"/>
    <w:rsid w:val="00564856"/>
    <w:rsid w:val="00592E19"/>
    <w:rsid w:val="005A2A30"/>
    <w:rsid w:val="005B46C8"/>
    <w:rsid w:val="005C123A"/>
    <w:rsid w:val="005C1678"/>
    <w:rsid w:val="005E44E3"/>
    <w:rsid w:val="00613815"/>
    <w:rsid w:val="00614FAD"/>
    <w:rsid w:val="00676A80"/>
    <w:rsid w:val="00694183"/>
    <w:rsid w:val="006960C1"/>
    <w:rsid w:val="00697B19"/>
    <w:rsid w:val="006C5CA8"/>
    <w:rsid w:val="006C6EA3"/>
    <w:rsid w:val="006D5876"/>
    <w:rsid w:val="006D76C1"/>
    <w:rsid w:val="006F0215"/>
    <w:rsid w:val="006F69D7"/>
    <w:rsid w:val="00700AB1"/>
    <w:rsid w:val="00704B91"/>
    <w:rsid w:val="00730F7B"/>
    <w:rsid w:val="00731AD2"/>
    <w:rsid w:val="007365C0"/>
    <w:rsid w:val="007414CB"/>
    <w:rsid w:val="007478E0"/>
    <w:rsid w:val="00761AFD"/>
    <w:rsid w:val="00784383"/>
    <w:rsid w:val="00795B16"/>
    <w:rsid w:val="00796FBB"/>
    <w:rsid w:val="007A02FD"/>
    <w:rsid w:val="007B71B2"/>
    <w:rsid w:val="007C7454"/>
    <w:rsid w:val="007F64AB"/>
    <w:rsid w:val="00811BB0"/>
    <w:rsid w:val="00811C11"/>
    <w:rsid w:val="00813003"/>
    <w:rsid w:val="00820DCE"/>
    <w:rsid w:val="008218F2"/>
    <w:rsid w:val="00826B1C"/>
    <w:rsid w:val="00851A99"/>
    <w:rsid w:val="0085776D"/>
    <w:rsid w:val="00863BC9"/>
    <w:rsid w:val="00872634"/>
    <w:rsid w:val="008734A0"/>
    <w:rsid w:val="008831B4"/>
    <w:rsid w:val="00883508"/>
    <w:rsid w:val="00886857"/>
    <w:rsid w:val="0088731A"/>
    <w:rsid w:val="008A2C75"/>
    <w:rsid w:val="008D09FC"/>
    <w:rsid w:val="008E14CF"/>
    <w:rsid w:val="008E4EEE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6B33"/>
    <w:rsid w:val="009602BA"/>
    <w:rsid w:val="00960D10"/>
    <w:rsid w:val="00986DC2"/>
    <w:rsid w:val="00993115"/>
    <w:rsid w:val="00994012"/>
    <w:rsid w:val="009941D2"/>
    <w:rsid w:val="009B7A52"/>
    <w:rsid w:val="009C2DA3"/>
    <w:rsid w:val="009C3565"/>
    <w:rsid w:val="009F43E8"/>
    <w:rsid w:val="009F64EA"/>
    <w:rsid w:val="00A01DD4"/>
    <w:rsid w:val="00A30C51"/>
    <w:rsid w:val="00A3629C"/>
    <w:rsid w:val="00A40657"/>
    <w:rsid w:val="00A410EA"/>
    <w:rsid w:val="00A51298"/>
    <w:rsid w:val="00A57AE1"/>
    <w:rsid w:val="00A64F53"/>
    <w:rsid w:val="00A6722A"/>
    <w:rsid w:val="00A72ECC"/>
    <w:rsid w:val="00A77160"/>
    <w:rsid w:val="00AA2EFD"/>
    <w:rsid w:val="00AB29E5"/>
    <w:rsid w:val="00AB3CC3"/>
    <w:rsid w:val="00AB5511"/>
    <w:rsid w:val="00AB6474"/>
    <w:rsid w:val="00AB7771"/>
    <w:rsid w:val="00AB7DCB"/>
    <w:rsid w:val="00AC19E3"/>
    <w:rsid w:val="00AC1AE9"/>
    <w:rsid w:val="00AC47A3"/>
    <w:rsid w:val="00AD6D06"/>
    <w:rsid w:val="00AE50E5"/>
    <w:rsid w:val="00B339AF"/>
    <w:rsid w:val="00B65214"/>
    <w:rsid w:val="00B677F5"/>
    <w:rsid w:val="00B863E2"/>
    <w:rsid w:val="00BA4BB1"/>
    <w:rsid w:val="00BA5089"/>
    <w:rsid w:val="00BA5B20"/>
    <w:rsid w:val="00BB2B30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412C9"/>
    <w:rsid w:val="00C5037E"/>
    <w:rsid w:val="00C55589"/>
    <w:rsid w:val="00C67F5E"/>
    <w:rsid w:val="00C7397C"/>
    <w:rsid w:val="00CA3381"/>
    <w:rsid w:val="00CC343A"/>
    <w:rsid w:val="00CC774F"/>
    <w:rsid w:val="00CD60E4"/>
    <w:rsid w:val="00CE06FC"/>
    <w:rsid w:val="00CE190D"/>
    <w:rsid w:val="00CF477F"/>
    <w:rsid w:val="00D03E7A"/>
    <w:rsid w:val="00D0424B"/>
    <w:rsid w:val="00D121DE"/>
    <w:rsid w:val="00D148DB"/>
    <w:rsid w:val="00D23EAD"/>
    <w:rsid w:val="00D36884"/>
    <w:rsid w:val="00D503AC"/>
    <w:rsid w:val="00D53AA7"/>
    <w:rsid w:val="00D62AAC"/>
    <w:rsid w:val="00D62CC3"/>
    <w:rsid w:val="00D64A3D"/>
    <w:rsid w:val="00D74D0E"/>
    <w:rsid w:val="00D87B33"/>
    <w:rsid w:val="00D913A8"/>
    <w:rsid w:val="00D96089"/>
    <w:rsid w:val="00DD7EA1"/>
    <w:rsid w:val="00DF2AA7"/>
    <w:rsid w:val="00E02D04"/>
    <w:rsid w:val="00E231B6"/>
    <w:rsid w:val="00E31C26"/>
    <w:rsid w:val="00E40F87"/>
    <w:rsid w:val="00E568F6"/>
    <w:rsid w:val="00E57920"/>
    <w:rsid w:val="00E648AA"/>
    <w:rsid w:val="00E664C8"/>
    <w:rsid w:val="00E67F09"/>
    <w:rsid w:val="00E71099"/>
    <w:rsid w:val="00E832C9"/>
    <w:rsid w:val="00E8379D"/>
    <w:rsid w:val="00EB6651"/>
    <w:rsid w:val="00EE7DC8"/>
    <w:rsid w:val="00EF25FE"/>
    <w:rsid w:val="00F33A33"/>
    <w:rsid w:val="00F51F2D"/>
    <w:rsid w:val="00F55F5D"/>
    <w:rsid w:val="00F656C4"/>
    <w:rsid w:val="00F7438A"/>
    <w:rsid w:val="00F841D8"/>
    <w:rsid w:val="00F92D2C"/>
    <w:rsid w:val="00F93B5C"/>
    <w:rsid w:val="00F9608F"/>
    <w:rsid w:val="00FA7664"/>
    <w:rsid w:val="00FC7B48"/>
    <w:rsid w:val="00FD2097"/>
    <w:rsid w:val="00FD5C8B"/>
    <w:rsid w:val="00FD666A"/>
    <w:rsid w:val="00FE119E"/>
    <w:rsid w:val="00FE2816"/>
    <w:rsid w:val="00FF0639"/>
    <w:rsid w:val="00FF3CB9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E410E"/>
  <w15:docId w15:val="{191E6677-8B46-4694-9FDD-584AC03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C412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E0"/>
  </w:style>
  <w:style w:type="paragraph" w:styleId="Footer">
    <w:name w:val="footer"/>
    <w:basedOn w:val="Normal"/>
    <w:link w:val="Foot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E0"/>
  </w:style>
  <w:style w:type="character" w:styleId="PlaceholderText">
    <w:name w:val="Placeholder Text"/>
    <w:basedOn w:val="DefaultParagraphFont"/>
    <w:uiPriority w:val="99"/>
    <w:semiHidden/>
    <w:rsid w:val="002A478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3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A3FD6"/>
    <w:rsid w:val="001C5BB7"/>
    <w:rsid w:val="00261A33"/>
    <w:rsid w:val="002A3015"/>
    <w:rsid w:val="002C7EC4"/>
    <w:rsid w:val="002F7912"/>
    <w:rsid w:val="003044D5"/>
    <w:rsid w:val="0062144B"/>
    <w:rsid w:val="006B17C6"/>
    <w:rsid w:val="006D157A"/>
    <w:rsid w:val="006F1B63"/>
    <w:rsid w:val="0070759F"/>
    <w:rsid w:val="0074164A"/>
    <w:rsid w:val="00757EF8"/>
    <w:rsid w:val="007E70A9"/>
    <w:rsid w:val="00805AC3"/>
    <w:rsid w:val="00823CBA"/>
    <w:rsid w:val="008E0AF3"/>
    <w:rsid w:val="008E61E5"/>
    <w:rsid w:val="0095447C"/>
    <w:rsid w:val="00983C8A"/>
    <w:rsid w:val="009F53A8"/>
    <w:rsid w:val="00BD2B03"/>
    <w:rsid w:val="00C15123"/>
    <w:rsid w:val="00D5050E"/>
    <w:rsid w:val="00DE4646"/>
    <w:rsid w:val="00DE681D"/>
    <w:rsid w:val="00E641C6"/>
    <w:rsid w:val="00E817A6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Hrefna Hallgrímsdóttir</cp:lastModifiedBy>
  <cp:revision>2</cp:revision>
  <cp:lastPrinted>2017-01-12T13:13:00Z</cp:lastPrinted>
  <dcterms:created xsi:type="dcterms:W3CDTF">2025-04-11T13:03:00Z</dcterms:created>
  <dcterms:modified xsi:type="dcterms:W3CDTF">2025-04-11T13:03:00Z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</Properties>
</file>