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344" w:rsidRPr="00D4137A" w:rsidRDefault="00FF6344" w:rsidP="00B101AD">
      <w:pPr>
        <w:pStyle w:val="Fyrirsgn1"/>
      </w:pPr>
      <w:bookmarkStart w:id="0" w:name="OLE_LINK15"/>
      <w:bookmarkStart w:id="1" w:name="OLE_LINK16"/>
      <w:r w:rsidRPr="00D4137A">
        <w:t>REGLUGERÐ</w:t>
      </w:r>
    </w:p>
    <w:p w:rsidR="00FF6344" w:rsidRPr="0055602B" w:rsidRDefault="00FF6344" w:rsidP="00FF6344">
      <w:pPr>
        <w:pStyle w:val="Fyrirsgn2"/>
        <w:rPr>
          <w:sz w:val="22"/>
          <w:szCs w:val="22"/>
        </w:rPr>
      </w:pPr>
      <w:bookmarkStart w:id="2" w:name="_Hlk527031038"/>
      <w:r w:rsidRPr="0055602B">
        <w:rPr>
          <w:sz w:val="22"/>
          <w:szCs w:val="22"/>
        </w:rPr>
        <w:t xml:space="preserve">um </w:t>
      </w:r>
      <w:r w:rsidR="00C84024" w:rsidRPr="0055602B">
        <w:rPr>
          <w:sz w:val="22"/>
          <w:szCs w:val="22"/>
        </w:rPr>
        <w:t xml:space="preserve">(7.) </w:t>
      </w:r>
      <w:r w:rsidR="00447611" w:rsidRPr="0055602B">
        <w:rPr>
          <w:sz w:val="22"/>
          <w:szCs w:val="22"/>
        </w:rPr>
        <w:t xml:space="preserve">breytingu á reglugerð nr. </w:t>
      </w:r>
      <w:r w:rsidR="004A1C35" w:rsidRPr="0055602B">
        <w:rPr>
          <w:sz w:val="22"/>
          <w:szCs w:val="22"/>
        </w:rPr>
        <w:t>678/2009</w:t>
      </w:r>
      <w:r w:rsidR="00447611" w:rsidRPr="0055602B">
        <w:rPr>
          <w:sz w:val="22"/>
          <w:szCs w:val="22"/>
        </w:rPr>
        <w:t xml:space="preserve"> um</w:t>
      </w:r>
      <w:r w:rsidR="00723CBB" w:rsidRPr="0055602B">
        <w:rPr>
          <w:sz w:val="22"/>
          <w:szCs w:val="22"/>
        </w:rPr>
        <w:t xml:space="preserve"> </w:t>
      </w:r>
      <w:r w:rsidR="004A1C35" w:rsidRPr="0055602B">
        <w:rPr>
          <w:sz w:val="22"/>
          <w:szCs w:val="22"/>
        </w:rPr>
        <w:t>raforkuvirki</w:t>
      </w:r>
      <w:r w:rsidRPr="0055602B">
        <w:rPr>
          <w:sz w:val="22"/>
          <w:szCs w:val="22"/>
        </w:rPr>
        <w:t>.</w:t>
      </w:r>
    </w:p>
    <w:bookmarkEnd w:id="0"/>
    <w:bookmarkEnd w:id="1"/>
    <w:bookmarkEnd w:id="2"/>
    <w:p w:rsidR="00387DED" w:rsidRPr="0055602B" w:rsidRDefault="00387DED" w:rsidP="00B101AD">
      <w:pPr>
        <w:ind w:firstLine="0"/>
        <w:rPr>
          <w:sz w:val="22"/>
          <w:szCs w:val="22"/>
          <w:lang w:eastAsia="en-GB"/>
        </w:rPr>
      </w:pPr>
    </w:p>
    <w:p w:rsidR="002073DB" w:rsidRPr="0055602B" w:rsidRDefault="00FF6344" w:rsidP="00D97B20">
      <w:pPr>
        <w:pStyle w:val="Fyrirsgn3"/>
        <w:rPr>
          <w:sz w:val="22"/>
          <w:szCs w:val="22"/>
        </w:rPr>
      </w:pPr>
      <w:r w:rsidRPr="0055602B">
        <w:rPr>
          <w:sz w:val="22"/>
          <w:szCs w:val="22"/>
        </w:rPr>
        <w:t>gr.</w:t>
      </w:r>
    </w:p>
    <w:p w:rsidR="00B101AD" w:rsidRPr="0055602B" w:rsidRDefault="00387DED" w:rsidP="00C84024">
      <w:pPr>
        <w:tabs>
          <w:tab w:val="clear" w:pos="397"/>
          <w:tab w:val="clear" w:pos="709"/>
        </w:tabs>
        <w:ind w:firstLine="283"/>
        <w:jc w:val="left"/>
        <w:rPr>
          <w:rFonts w:ascii="Times New Roman" w:hAnsi="Times New Roman"/>
          <w:noProof w:val="0"/>
          <w:color w:val="242424"/>
          <w:sz w:val="22"/>
          <w:szCs w:val="22"/>
          <w:shd w:val="clear" w:color="auto" w:fill="FFFFFF"/>
          <w:lang w:eastAsia="is-IS"/>
        </w:rPr>
      </w:pPr>
      <w:r w:rsidRPr="0055602B">
        <w:rPr>
          <w:rFonts w:ascii="Times New Roman" w:hAnsi="Times New Roman"/>
          <w:noProof w:val="0"/>
          <w:color w:val="242424"/>
          <w:sz w:val="22"/>
          <w:szCs w:val="22"/>
          <w:shd w:val="clear" w:color="auto" w:fill="FFFFFF"/>
          <w:lang w:eastAsia="is-IS"/>
        </w:rPr>
        <w:t xml:space="preserve">Við 1. gr. reglugerðarinnar </w:t>
      </w:r>
      <w:r w:rsidR="00C84024" w:rsidRPr="0055602B">
        <w:rPr>
          <w:rFonts w:ascii="Times New Roman" w:hAnsi="Times New Roman"/>
          <w:noProof w:val="0"/>
          <w:color w:val="242424"/>
          <w:sz w:val="22"/>
          <w:szCs w:val="22"/>
          <w:shd w:val="clear" w:color="auto" w:fill="FFFFFF"/>
          <w:lang w:eastAsia="is-IS"/>
        </w:rPr>
        <w:t>bætast fjórar nýjar skilgreiningar í réttri stafrófsröð, svohljóðandi:</w:t>
      </w:r>
    </w:p>
    <w:p w:rsidR="00C84024" w:rsidRPr="0055602B" w:rsidRDefault="000753F2" w:rsidP="00B101AD">
      <w:pPr>
        <w:tabs>
          <w:tab w:val="clear" w:pos="397"/>
          <w:tab w:val="clear" w:pos="709"/>
        </w:tabs>
        <w:ind w:firstLine="283"/>
        <w:jc w:val="left"/>
        <w:rPr>
          <w:sz w:val="22"/>
          <w:szCs w:val="22"/>
        </w:rPr>
      </w:pPr>
      <w:r w:rsidRPr="0055602B">
        <w:rPr>
          <w:i/>
          <w:sz w:val="22"/>
          <w:szCs w:val="22"/>
        </w:rPr>
        <w:t>Hleðslustöð</w:t>
      </w:r>
      <w:r w:rsidRPr="0055602B">
        <w:rPr>
          <w:sz w:val="22"/>
          <w:szCs w:val="22"/>
        </w:rPr>
        <w:t xml:space="preserve">: </w:t>
      </w:r>
      <w:r w:rsidR="006D7B2C" w:rsidRPr="0055602B">
        <w:rPr>
          <w:sz w:val="22"/>
          <w:szCs w:val="22"/>
        </w:rPr>
        <w:t>Raffang sem hleður</w:t>
      </w:r>
      <w:r w:rsidR="00D958AF" w:rsidRPr="0055602B">
        <w:rPr>
          <w:sz w:val="22"/>
          <w:szCs w:val="22"/>
        </w:rPr>
        <w:t xml:space="preserve"> eitt rafknúið ökutæki í einu eða þar sem hægt er að skipta um rafgeymi</w:t>
      </w:r>
      <w:r w:rsidRPr="0055602B">
        <w:rPr>
          <w:sz w:val="22"/>
          <w:szCs w:val="22"/>
        </w:rPr>
        <w:t xml:space="preserve"> á einu rafknúnu ökutæki í einu</w:t>
      </w:r>
      <w:r w:rsidR="00387DED" w:rsidRPr="0055602B">
        <w:rPr>
          <w:sz w:val="22"/>
          <w:szCs w:val="22"/>
        </w:rPr>
        <w:t>.</w:t>
      </w:r>
    </w:p>
    <w:p w:rsidR="0055602B" w:rsidRPr="0055602B" w:rsidRDefault="00C84024" w:rsidP="00B101AD">
      <w:pPr>
        <w:tabs>
          <w:tab w:val="clear" w:pos="397"/>
          <w:tab w:val="clear" w:pos="709"/>
        </w:tabs>
        <w:ind w:firstLine="283"/>
        <w:jc w:val="left"/>
        <w:rPr>
          <w:rFonts w:ascii="Times New Roman" w:hAnsi="Times New Roman"/>
          <w:sz w:val="22"/>
          <w:szCs w:val="22"/>
        </w:rPr>
      </w:pPr>
      <w:r w:rsidRPr="0055602B">
        <w:rPr>
          <w:rFonts w:ascii="Times New Roman" w:hAnsi="Times New Roman"/>
          <w:i/>
          <w:sz w:val="22"/>
          <w:szCs w:val="22"/>
        </w:rPr>
        <w:t>Hraðhleðslustöð:</w:t>
      </w:r>
      <w:r w:rsidRPr="0055602B">
        <w:rPr>
          <w:rFonts w:ascii="Times New Roman" w:hAnsi="Times New Roman"/>
          <w:sz w:val="22"/>
          <w:szCs w:val="22"/>
        </w:rPr>
        <w:t xml:space="preserve"> Hleðslustöð þar sem mögulegt er að yfirfæra raforku á rafknúið ökutæki með afli sem er meira en 22 </w:t>
      </w:r>
      <w:r w:rsidR="0055602B" w:rsidRPr="0055602B">
        <w:rPr>
          <w:rFonts w:ascii="Times New Roman" w:hAnsi="Times New Roman"/>
          <w:sz w:val="22"/>
          <w:szCs w:val="22"/>
        </w:rPr>
        <w:t>kW.</w:t>
      </w:r>
    </w:p>
    <w:p w:rsidR="00D958AF" w:rsidRPr="0055602B" w:rsidRDefault="000753F2" w:rsidP="00B101AD">
      <w:pPr>
        <w:tabs>
          <w:tab w:val="clear" w:pos="397"/>
          <w:tab w:val="clear" w:pos="709"/>
        </w:tabs>
        <w:ind w:firstLine="283"/>
        <w:jc w:val="left"/>
        <w:rPr>
          <w:sz w:val="22"/>
          <w:szCs w:val="22"/>
        </w:rPr>
      </w:pPr>
      <w:r w:rsidRPr="0055602B">
        <w:rPr>
          <w:i/>
          <w:sz w:val="22"/>
          <w:szCs w:val="22"/>
        </w:rPr>
        <w:t>Venjuleg hleðslustöð</w:t>
      </w:r>
      <w:r w:rsidRPr="0055602B">
        <w:rPr>
          <w:sz w:val="22"/>
          <w:szCs w:val="22"/>
        </w:rPr>
        <w:t>: H</w:t>
      </w:r>
      <w:r w:rsidR="00D958AF" w:rsidRPr="0055602B">
        <w:rPr>
          <w:sz w:val="22"/>
          <w:szCs w:val="22"/>
        </w:rPr>
        <w:t>leðslustöð þar sem mögulegt er að yfirfæra raforku á rafknúið ökutæki með afli sem er 22 kW eða minna, að undanskildum tækjum sem eru 3,7 kW eða minna og eru sett upp á einkaheimilum eða sem eru ekki eingöngu notuð í þeim tilgangi að hlaða rafknúin ökutæki og</w:t>
      </w:r>
      <w:r w:rsidRPr="0055602B">
        <w:rPr>
          <w:sz w:val="22"/>
          <w:szCs w:val="22"/>
        </w:rPr>
        <w:t xml:space="preserve"> eru ekki aðgengileg almenningi.</w:t>
      </w:r>
    </w:p>
    <w:p w:rsidR="004A1C35" w:rsidRPr="0055602B" w:rsidRDefault="004A1C35" w:rsidP="004A1C35">
      <w:pPr>
        <w:rPr>
          <w:rFonts w:ascii="Times New Roman" w:hAnsi="Times New Roman"/>
          <w:sz w:val="22"/>
          <w:szCs w:val="22"/>
          <w:lang w:eastAsia="en-GB"/>
        </w:rPr>
      </w:pPr>
    </w:p>
    <w:p w:rsidR="002073DB" w:rsidRPr="0055602B" w:rsidRDefault="002073DB" w:rsidP="002073DB">
      <w:pPr>
        <w:pStyle w:val="Mlsgreinlista"/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  <w:lang w:eastAsia="en-GB"/>
        </w:rPr>
      </w:pPr>
      <w:r w:rsidRPr="0055602B">
        <w:rPr>
          <w:rFonts w:ascii="Times New Roman" w:hAnsi="Times New Roman"/>
          <w:sz w:val="22"/>
          <w:szCs w:val="22"/>
          <w:lang w:eastAsia="en-GB"/>
        </w:rPr>
        <w:t>gr.</w:t>
      </w:r>
    </w:p>
    <w:p w:rsidR="00B101AD" w:rsidRPr="0055602B" w:rsidRDefault="00B101AD" w:rsidP="00B101AD">
      <w:pPr>
        <w:ind w:firstLine="0"/>
        <w:rPr>
          <w:rFonts w:ascii="Times New Roman" w:hAnsi="Times New Roman"/>
          <w:sz w:val="22"/>
          <w:szCs w:val="22"/>
          <w:lang w:eastAsia="en-GB"/>
        </w:rPr>
      </w:pPr>
      <w:r w:rsidRPr="0055602B">
        <w:rPr>
          <w:rFonts w:ascii="Times New Roman" w:hAnsi="Times New Roman"/>
          <w:sz w:val="22"/>
          <w:szCs w:val="22"/>
          <w:lang w:eastAsia="en-GB"/>
        </w:rPr>
        <w:t xml:space="preserve">Við </w:t>
      </w:r>
      <w:r w:rsidR="00D835C5" w:rsidRPr="0055602B">
        <w:rPr>
          <w:rFonts w:ascii="Times New Roman" w:hAnsi="Times New Roman"/>
          <w:sz w:val="22"/>
          <w:szCs w:val="22"/>
          <w:lang w:eastAsia="en-GB"/>
        </w:rPr>
        <w:t>7</w:t>
      </w:r>
      <w:r w:rsidRPr="0055602B">
        <w:rPr>
          <w:rFonts w:ascii="Times New Roman" w:hAnsi="Times New Roman"/>
          <w:sz w:val="22"/>
          <w:szCs w:val="22"/>
          <w:lang w:eastAsia="en-GB"/>
        </w:rPr>
        <w:t xml:space="preserve">. </w:t>
      </w:r>
      <w:r w:rsidR="00D835C5" w:rsidRPr="0055602B">
        <w:rPr>
          <w:rFonts w:ascii="Times New Roman" w:hAnsi="Times New Roman"/>
          <w:sz w:val="22"/>
          <w:szCs w:val="22"/>
          <w:lang w:eastAsia="en-GB"/>
        </w:rPr>
        <w:t xml:space="preserve">gr. </w:t>
      </w:r>
      <w:r w:rsidR="00387DED" w:rsidRPr="0055602B">
        <w:rPr>
          <w:rFonts w:ascii="Times New Roman" w:hAnsi="Times New Roman"/>
          <w:sz w:val="22"/>
          <w:szCs w:val="22"/>
          <w:lang w:eastAsia="en-GB"/>
        </w:rPr>
        <w:t>reglugerðarinnar</w:t>
      </w:r>
      <w:r w:rsidRPr="0055602B">
        <w:rPr>
          <w:rFonts w:ascii="Times New Roman" w:hAnsi="Times New Roman"/>
          <w:sz w:val="22"/>
          <w:szCs w:val="22"/>
          <w:lang w:eastAsia="en-GB"/>
        </w:rPr>
        <w:t xml:space="preserve"> koma </w:t>
      </w:r>
      <w:r w:rsidR="00D835C5" w:rsidRPr="0055602B">
        <w:rPr>
          <w:rFonts w:ascii="Times New Roman" w:hAnsi="Times New Roman"/>
          <w:sz w:val="22"/>
          <w:szCs w:val="22"/>
          <w:lang w:eastAsia="en-GB"/>
        </w:rPr>
        <w:t>þrjár nýj</w:t>
      </w:r>
      <w:r w:rsidRPr="0055602B">
        <w:rPr>
          <w:rFonts w:ascii="Times New Roman" w:hAnsi="Times New Roman"/>
          <w:sz w:val="22"/>
          <w:szCs w:val="22"/>
          <w:lang w:eastAsia="en-GB"/>
        </w:rPr>
        <w:t>ar</w:t>
      </w:r>
      <w:r w:rsidR="00D835C5" w:rsidRPr="0055602B">
        <w:rPr>
          <w:rFonts w:ascii="Times New Roman" w:hAnsi="Times New Roman"/>
          <w:sz w:val="22"/>
          <w:szCs w:val="22"/>
          <w:lang w:eastAsia="en-GB"/>
        </w:rPr>
        <w:t xml:space="preserve"> </w:t>
      </w:r>
      <w:r w:rsidRPr="0055602B">
        <w:rPr>
          <w:rFonts w:ascii="Times New Roman" w:hAnsi="Times New Roman"/>
          <w:sz w:val="22"/>
          <w:szCs w:val="22"/>
          <w:lang w:eastAsia="en-GB"/>
        </w:rPr>
        <w:t>máls</w:t>
      </w:r>
      <w:r w:rsidR="00D835C5" w:rsidRPr="0055602B">
        <w:rPr>
          <w:rFonts w:ascii="Times New Roman" w:hAnsi="Times New Roman"/>
          <w:sz w:val="22"/>
          <w:szCs w:val="22"/>
          <w:lang w:eastAsia="en-GB"/>
        </w:rPr>
        <w:t>greinar</w:t>
      </w:r>
      <w:r w:rsidRPr="0055602B">
        <w:rPr>
          <w:rFonts w:ascii="Times New Roman" w:hAnsi="Times New Roman"/>
          <w:sz w:val="22"/>
          <w:szCs w:val="22"/>
          <w:lang w:eastAsia="en-GB"/>
        </w:rPr>
        <w:t xml:space="preserve"> er orðast svo </w:t>
      </w:r>
      <w:r w:rsidR="00D835C5" w:rsidRPr="0055602B">
        <w:rPr>
          <w:rFonts w:ascii="Times New Roman" w:hAnsi="Times New Roman"/>
          <w:sz w:val="22"/>
          <w:szCs w:val="22"/>
          <w:lang w:eastAsia="en-GB"/>
        </w:rPr>
        <w:t>ásamt fyrirsögnum:</w:t>
      </w:r>
    </w:p>
    <w:p w:rsidR="00B101AD" w:rsidRPr="0055602B" w:rsidRDefault="00B101AD" w:rsidP="00B101AD">
      <w:pPr>
        <w:ind w:firstLine="0"/>
        <w:rPr>
          <w:rFonts w:ascii="Times New Roman" w:hAnsi="Times New Roman"/>
          <w:i/>
          <w:sz w:val="22"/>
          <w:szCs w:val="22"/>
        </w:rPr>
      </w:pPr>
      <w:r w:rsidRPr="0055602B">
        <w:rPr>
          <w:rFonts w:ascii="Times New Roman" w:hAnsi="Times New Roman"/>
          <w:i/>
          <w:sz w:val="22"/>
          <w:szCs w:val="22"/>
        </w:rPr>
        <w:tab/>
      </w:r>
      <w:r w:rsidR="00D835C5" w:rsidRPr="0055602B">
        <w:rPr>
          <w:rFonts w:ascii="Times New Roman" w:hAnsi="Times New Roman"/>
          <w:i/>
          <w:sz w:val="22"/>
          <w:szCs w:val="22"/>
        </w:rPr>
        <w:t xml:space="preserve">7.13 Tæknilegar </w:t>
      </w:r>
      <w:r w:rsidR="00345F73" w:rsidRPr="0055602B">
        <w:rPr>
          <w:rFonts w:ascii="Times New Roman" w:hAnsi="Times New Roman"/>
          <w:i/>
          <w:sz w:val="22"/>
          <w:szCs w:val="22"/>
        </w:rPr>
        <w:t xml:space="preserve">kröfur til </w:t>
      </w:r>
      <w:r w:rsidR="00D835C5" w:rsidRPr="0055602B">
        <w:rPr>
          <w:rFonts w:ascii="Times New Roman" w:hAnsi="Times New Roman"/>
          <w:i/>
          <w:sz w:val="22"/>
          <w:szCs w:val="22"/>
        </w:rPr>
        <w:t>venjulegr</w:t>
      </w:r>
      <w:r w:rsidR="00345F73" w:rsidRPr="0055602B">
        <w:rPr>
          <w:rFonts w:ascii="Times New Roman" w:hAnsi="Times New Roman"/>
          <w:i/>
          <w:sz w:val="22"/>
          <w:szCs w:val="22"/>
        </w:rPr>
        <w:t>a</w:t>
      </w:r>
      <w:r w:rsidR="00D835C5" w:rsidRPr="0055602B">
        <w:rPr>
          <w:rFonts w:ascii="Times New Roman" w:hAnsi="Times New Roman"/>
          <w:i/>
          <w:sz w:val="22"/>
          <w:szCs w:val="22"/>
        </w:rPr>
        <w:t xml:space="preserve"> hleðslustöðva </w:t>
      </w:r>
      <w:bookmarkStart w:id="3" w:name="_Hlk527031215"/>
      <w:r w:rsidR="00D835C5" w:rsidRPr="0055602B">
        <w:rPr>
          <w:rFonts w:ascii="Times New Roman" w:hAnsi="Times New Roman"/>
          <w:i/>
          <w:sz w:val="22"/>
          <w:szCs w:val="22"/>
        </w:rPr>
        <w:t>fyrir vélknúin ökutæki</w:t>
      </w:r>
      <w:r w:rsidR="00387DED" w:rsidRPr="0055602B">
        <w:rPr>
          <w:rFonts w:ascii="Times New Roman" w:hAnsi="Times New Roman"/>
          <w:i/>
          <w:sz w:val="22"/>
          <w:szCs w:val="22"/>
        </w:rPr>
        <w:t>.</w:t>
      </w:r>
      <w:bookmarkEnd w:id="3"/>
    </w:p>
    <w:p w:rsidR="00B101AD" w:rsidRPr="0055602B" w:rsidRDefault="00D835C5" w:rsidP="00B101AD">
      <w:pPr>
        <w:ind w:firstLine="0"/>
        <w:rPr>
          <w:rFonts w:ascii="Times New Roman" w:hAnsi="Times New Roman"/>
          <w:i/>
          <w:sz w:val="22"/>
          <w:szCs w:val="22"/>
        </w:rPr>
      </w:pPr>
      <w:r w:rsidRPr="0055602B">
        <w:rPr>
          <w:rFonts w:ascii="Times New Roman" w:hAnsi="Times New Roman"/>
          <w:sz w:val="22"/>
          <w:szCs w:val="22"/>
        </w:rPr>
        <w:t>Venjulegar riðstraumshleðslustöðvar fyrir rafknúin ökutæki skulu a.m.k. hafa tengla eða tengi af gerð 2 fyrir ökutæki, eins og lýst er í staðlinum EN 62196-2, með tilliti til rekstrarsamhæfis. Þessa tengla má útbúa með eiginleikum eins og vélrænum lokum á sama tíma og samhæfi við gerð 2 er viðhaldið.</w:t>
      </w:r>
    </w:p>
    <w:p w:rsidR="00B101AD" w:rsidRPr="0055602B" w:rsidRDefault="00B101AD" w:rsidP="00B101AD">
      <w:pPr>
        <w:ind w:firstLine="0"/>
        <w:rPr>
          <w:rFonts w:ascii="Times New Roman" w:hAnsi="Times New Roman"/>
          <w:i/>
          <w:sz w:val="22"/>
          <w:szCs w:val="22"/>
        </w:rPr>
      </w:pPr>
      <w:r w:rsidRPr="0055602B">
        <w:rPr>
          <w:rFonts w:ascii="Times New Roman" w:hAnsi="Times New Roman"/>
          <w:i/>
          <w:sz w:val="22"/>
          <w:szCs w:val="22"/>
        </w:rPr>
        <w:tab/>
      </w:r>
      <w:r w:rsidR="00D835C5" w:rsidRPr="0055602B">
        <w:rPr>
          <w:rFonts w:ascii="Times New Roman" w:hAnsi="Times New Roman"/>
          <w:i/>
          <w:sz w:val="22"/>
          <w:szCs w:val="22"/>
        </w:rPr>
        <w:t xml:space="preserve">7.14 Tæknilegar </w:t>
      </w:r>
      <w:r w:rsidR="00345F73" w:rsidRPr="0055602B">
        <w:rPr>
          <w:rFonts w:ascii="Times New Roman" w:hAnsi="Times New Roman"/>
          <w:i/>
          <w:sz w:val="22"/>
          <w:szCs w:val="22"/>
        </w:rPr>
        <w:t xml:space="preserve">kröfur til </w:t>
      </w:r>
      <w:r w:rsidR="00D835C5" w:rsidRPr="0055602B">
        <w:rPr>
          <w:rFonts w:ascii="Times New Roman" w:hAnsi="Times New Roman"/>
          <w:i/>
          <w:sz w:val="22"/>
          <w:szCs w:val="22"/>
        </w:rPr>
        <w:t>hraðhleðslustöðva fyrir vélknúin ökutæki</w:t>
      </w:r>
      <w:r w:rsidR="00387DED" w:rsidRPr="0055602B">
        <w:rPr>
          <w:rFonts w:ascii="Times New Roman" w:hAnsi="Times New Roman"/>
          <w:i/>
          <w:sz w:val="22"/>
          <w:szCs w:val="22"/>
        </w:rPr>
        <w:t>.</w:t>
      </w:r>
    </w:p>
    <w:p w:rsidR="00B101AD" w:rsidRPr="0055602B" w:rsidRDefault="00D835C5" w:rsidP="00B101AD">
      <w:pPr>
        <w:ind w:firstLine="0"/>
        <w:rPr>
          <w:rFonts w:ascii="Times New Roman" w:hAnsi="Times New Roman"/>
          <w:sz w:val="22"/>
          <w:szCs w:val="22"/>
        </w:rPr>
      </w:pPr>
      <w:r w:rsidRPr="0055602B">
        <w:rPr>
          <w:rFonts w:ascii="Times New Roman" w:hAnsi="Times New Roman"/>
          <w:sz w:val="22"/>
          <w:szCs w:val="22"/>
        </w:rPr>
        <w:t>Riðstraumshraðhleðslustöðvar fyrir rafknúin ökutæki skulu a.m.k. hafa teng</w:t>
      </w:r>
      <w:r w:rsidR="00387DED" w:rsidRPr="0055602B">
        <w:rPr>
          <w:rFonts w:ascii="Times New Roman" w:hAnsi="Times New Roman"/>
          <w:sz w:val="22"/>
          <w:szCs w:val="22"/>
        </w:rPr>
        <w:t>la eða tengi</w:t>
      </w:r>
      <w:r w:rsidRPr="0055602B">
        <w:rPr>
          <w:rFonts w:ascii="Times New Roman" w:hAnsi="Times New Roman"/>
          <w:sz w:val="22"/>
          <w:szCs w:val="22"/>
        </w:rPr>
        <w:t xml:space="preserve"> af gerð 2</w:t>
      </w:r>
      <w:r w:rsidR="00387DED" w:rsidRPr="0055602B">
        <w:rPr>
          <w:rFonts w:ascii="Times New Roman" w:hAnsi="Times New Roman"/>
          <w:sz w:val="22"/>
          <w:szCs w:val="22"/>
        </w:rPr>
        <w:t xml:space="preserve"> fyrir ökutæki</w:t>
      </w:r>
      <w:r w:rsidRPr="0055602B">
        <w:rPr>
          <w:rFonts w:ascii="Times New Roman" w:hAnsi="Times New Roman"/>
          <w:sz w:val="22"/>
          <w:szCs w:val="22"/>
        </w:rPr>
        <w:t>, eins og lýst er í staðlinum EN 62196-2, með tilliti til rekstrarsamhæfis</w:t>
      </w:r>
      <w:r w:rsidR="00B101AD" w:rsidRPr="0055602B">
        <w:rPr>
          <w:rFonts w:ascii="Times New Roman" w:hAnsi="Times New Roman"/>
          <w:sz w:val="22"/>
          <w:szCs w:val="22"/>
        </w:rPr>
        <w:t>.</w:t>
      </w:r>
    </w:p>
    <w:p w:rsidR="00B101AD" w:rsidRPr="0055602B" w:rsidRDefault="00B101AD" w:rsidP="00B101AD">
      <w:pPr>
        <w:ind w:firstLine="0"/>
        <w:rPr>
          <w:rFonts w:ascii="Times New Roman" w:hAnsi="Times New Roman"/>
          <w:i/>
          <w:sz w:val="22"/>
          <w:szCs w:val="22"/>
        </w:rPr>
      </w:pPr>
      <w:r w:rsidRPr="0055602B">
        <w:rPr>
          <w:rFonts w:ascii="Times New Roman" w:hAnsi="Times New Roman"/>
          <w:sz w:val="22"/>
          <w:szCs w:val="22"/>
        </w:rPr>
        <w:tab/>
      </w:r>
      <w:r w:rsidR="00D835C5" w:rsidRPr="0055602B">
        <w:rPr>
          <w:rFonts w:ascii="Times New Roman" w:hAnsi="Times New Roman"/>
          <w:sz w:val="22"/>
          <w:szCs w:val="22"/>
        </w:rPr>
        <w:t>Jafnstraumshraðhleðslustöðvar fyrir rafknúin ökutæki skulu a.m.k. hafa tengi af tegundinni „Combo 2“ fyrir samsett hleðslukerfi, eins og lýst er í staðlinum EN 62196-3, með tilliti til rekstrarsamhæfis.</w:t>
      </w:r>
    </w:p>
    <w:p w:rsidR="00B101AD" w:rsidRPr="0055602B" w:rsidRDefault="00B101AD" w:rsidP="00B101AD">
      <w:pPr>
        <w:ind w:firstLine="0"/>
        <w:rPr>
          <w:rFonts w:ascii="Times New Roman" w:hAnsi="Times New Roman"/>
          <w:i/>
          <w:sz w:val="22"/>
          <w:szCs w:val="22"/>
        </w:rPr>
      </w:pPr>
      <w:r w:rsidRPr="0055602B">
        <w:rPr>
          <w:rFonts w:ascii="Times New Roman" w:hAnsi="Times New Roman"/>
          <w:i/>
          <w:sz w:val="22"/>
          <w:szCs w:val="22"/>
        </w:rPr>
        <w:tab/>
      </w:r>
      <w:r w:rsidR="00C84024" w:rsidRPr="0055602B">
        <w:rPr>
          <w:rFonts w:ascii="Times New Roman" w:hAnsi="Times New Roman"/>
          <w:i/>
          <w:sz w:val="22"/>
          <w:szCs w:val="22"/>
        </w:rPr>
        <w:t xml:space="preserve">7.15 </w:t>
      </w:r>
      <w:bookmarkStart w:id="4" w:name="_Hlk527031236"/>
      <w:r w:rsidR="00C84024" w:rsidRPr="0055602B">
        <w:rPr>
          <w:rFonts w:ascii="Times New Roman" w:hAnsi="Times New Roman"/>
          <w:i/>
          <w:sz w:val="22"/>
          <w:szCs w:val="22"/>
        </w:rPr>
        <w:t xml:space="preserve">Tæknilegar </w:t>
      </w:r>
      <w:r w:rsidR="008A2E2B">
        <w:rPr>
          <w:rFonts w:ascii="Times New Roman" w:hAnsi="Times New Roman"/>
          <w:i/>
          <w:sz w:val="22"/>
          <w:szCs w:val="22"/>
        </w:rPr>
        <w:t>kröfur</w:t>
      </w:r>
      <w:r w:rsidR="00C84024" w:rsidRPr="0055602B">
        <w:rPr>
          <w:rFonts w:ascii="Times New Roman" w:hAnsi="Times New Roman"/>
          <w:i/>
          <w:sz w:val="22"/>
          <w:szCs w:val="22"/>
        </w:rPr>
        <w:t xml:space="preserve"> fyrir afhendingu háspennts rafmagns frá landi til skipa.</w:t>
      </w:r>
      <w:bookmarkEnd w:id="4"/>
    </w:p>
    <w:p w:rsidR="00C84024" w:rsidRPr="0055602B" w:rsidRDefault="00C84024" w:rsidP="00B101AD">
      <w:pPr>
        <w:ind w:firstLine="0"/>
        <w:rPr>
          <w:rFonts w:ascii="Times New Roman" w:hAnsi="Times New Roman"/>
          <w:i/>
          <w:sz w:val="22"/>
          <w:szCs w:val="22"/>
        </w:rPr>
      </w:pPr>
      <w:r w:rsidRPr="0055602B">
        <w:rPr>
          <w:rFonts w:ascii="Times New Roman" w:hAnsi="Times New Roman"/>
          <w:sz w:val="22"/>
          <w:szCs w:val="22"/>
        </w:rPr>
        <w:t>Afhending háspennts rafmagns frá landi fyrir skip, þ.m.t. hönnun, uppsetning og prófun kerfanna, skal vera í samræmi tækniforskriftirnar í staðlinum IEC/ISO/IEEE 80005-1.</w:t>
      </w:r>
    </w:p>
    <w:p w:rsidR="00D835C5" w:rsidRPr="0055602B" w:rsidRDefault="00D835C5" w:rsidP="00B101AD">
      <w:pPr>
        <w:ind w:firstLine="0"/>
        <w:rPr>
          <w:rFonts w:ascii="Times New Roman" w:hAnsi="Times New Roman"/>
          <w:sz w:val="22"/>
          <w:szCs w:val="22"/>
          <w:lang w:eastAsia="en-GB"/>
        </w:rPr>
      </w:pPr>
    </w:p>
    <w:p w:rsidR="00A31A7B" w:rsidRPr="0055602B" w:rsidRDefault="00A31A7B" w:rsidP="000E0E94">
      <w:pPr>
        <w:pStyle w:val="Fyrirsgn3"/>
        <w:rPr>
          <w:sz w:val="22"/>
          <w:szCs w:val="22"/>
        </w:rPr>
      </w:pPr>
      <w:r w:rsidRPr="0055602B">
        <w:rPr>
          <w:sz w:val="22"/>
          <w:szCs w:val="22"/>
        </w:rPr>
        <w:t xml:space="preserve">gr. </w:t>
      </w:r>
      <w:bookmarkStart w:id="5" w:name="_GoBack"/>
      <w:bookmarkEnd w:id="5"/>
    </w:p>
    <w:p w:rsidR="00A31A7B" w:rsidRPr="0055602B" w:rsidRDefault="00A31A7B" w:rsidP="00A31A7B">
      <w:pPr>
        <w:rPr>
          <w:rFonts w:ascii="Times New Roman" w:hAnsi="Times New Roman"/>
          <w:sz w:val="22"/>
          <w:szCs w:val="22"/>
          <w:lang w:eastAsia="is-IS"/>
        </w:rPr>
      </w:pPr>
      <w:bookmarkStart w:id="6" w:name="_Hlk527030983"/>
      <w:r w:rsidRPr="0055602B">
        <w:rPr>
          <w:rFonts w:ascii="Times New Roman" w:hAnsi="Times New Roman"/>
          <w:sz w:val="22"/>
          <w:szCs w:val="22"/>
          <w:lang w:eastAsia="is-IS"/>
        </w:rPr>
        <w:t xml:space="preserve"> Reglugerð þessi er sett til innleiðingar á tilskipun Evrópuþingsins og ráðsins 2014/94/ESB frá 22. október 2014 um uppbyggingu grunnvirkja fyrir óhefðbundið eldsneyti. Tilskipunin er hluti XIII. viðauka samnings um hið Evrópska efnahagssvæði </w:t>
      </w:r>
      <w:bookmarkEnd w:id="6"/>
      <w:r w:rsidRPr="0055602B">
        <w:rPr>
          <w:rFonts w:ascii="Times New Roman" w:hAnsi="Times New Roman"/>
          <w:sz w:val="22"/>
          <w:szCs w:val="22"/>
          <w:lang w:eastAsia="is-IS"/>
        </w:rPr>
        <w:t xml:space="preserve">og ber að túlka ákvæði 7.13-7.15 </w:t>
      </w:r>
      <w:r w:rsidR="0055602B">
        <w:rPr>
          <w:rFonts w:ascii="Times New Roman" w:hAnsi="Times New Roman"/>
          <w:sz w:val="22"/>
          <w:szCs w:val="22"/>
          <w:lang w:eastAsia="is-IS"/>
        </w:rPr>
        <w:t xml:space="preserve">gr. </w:t>
      </w:r>
      <w:r w:rsidRPr="0055602B">
        <w:rPr>
          <w:rFonts w:ascii="Times New Roman" w:hAnsi="Times New Roman"/>
          <w:sz w:val="22"/>
          <w:szCs w:val="22"/>
          <w:lang w:eastAsia="is-IS"/>
        </w:rPr>
        <w:t>í samræmi við ákvæði tilskipunarinnar um þau rafföng sem undir hana falla.</w:t>
      </w:r>
    </w:p>
    <w:p w:rsidR="00A31A7B" w:rsidRPr="0055602B" w:rsidRDefault="00A31A7B" w:rsidP="00D835C5">
      <w:pPr>
        <w:rPr>
          <w:rFonts w:ascii="Times New Roman" w:hAnsi="Times New Roman"/>
          <w:sz w:val="22"/>
          <w:szCs w:val="22"/>
          <w:lang w:eastAsia="en-GB"/>
        </w:rPr>
      </w:pPr>
    </w:p>
    <w:p w:rsidR="00FF6344" w:rsidRPr="0055602B" w:rsidRDefault="00A31A7B" w:rsidP="002073DB">
      <w:pPr>
        <w:pStyle w:val="Fyrirsgn3"/>
        <w:rPr>
          <w:rFonts w:ascii="Times New Roman" w:hAnsi="Times New Roman"/>
          <w:sz w:val="22"/>
          <w:szCs w:val="22"/>
        </w:rPr>
      </w:pPr>
      <w:r w:rsidRPr="0055602B">
        <w:rPr>
          <w:rFonts w:ascii="Times New Roman" w:hAnsi="Times New Roman"/>
          <w:sz w:val="22"/>
          <w:szCs w:val="22"/>
        </w:rPr>
        <w:t xml:space="preserve"> </w:t>
      </w:r>
      <w:r w:rsidR="00FF6344" w:rsidRPr="0055602B">
        <w:rPr>
          <w:rFonts w:ascii="Times New Roman" w:hAnsi="Times New Roman"/>
          <w:sz w:val="22"/>
          <w:szCs w:val="22"/>
        </w:rPr>
        <w:t>gr.</w:t>
      </w:r>
    </w:p>
    <w:p w:rsidR="004A1C35" w:rsidRPr="0055602B" w:rsidRDefault="004A1C35" w:rsidP="004A1C35">
      <w:pPr>
        <w:rPr>
          <w:rFonts w:ascii="Times New Roman" w:hAnsi="Times New Roman"/>
          <w:color w:val="272727"/>
          <w:sz w:val="22"/>
          <w:szCs w:val="22"/>
          <w:shd w:val="clear" w:color="auto" w:fill="FFFFFF"/>
        </w:rPr>
      </w:pPr>
      <w:r w:rsidRPr="0055602B">
        <w:rPr>
          <w:rFonts w:ascii="Times New Roman" w:hAnsi="Times New Roman"/>
          <w:color w:val="272727"/>
          <w:sz w:val="22"/>
          <w:szCs w:val="22"/>
          <w:shd w:val="clear" w:color="auto" w:fill="FFFFFF"/>
        </w:rPr>
        <w:t>Reglugerð þessi er sett samkvæmt heimild í 13. og 14. gr. laga nr. 146/1996 um öryggi raforkuvirkja, neysluveitna og raffanga</w:t>
      </w:r>
      <w:r w:rsidR="00A31A7B" w:rsidRPr="0055602B">
        <w:rPr>
          <w:rFonts w:ascii="Times New Roman" w:hAnsi="Times New Roman"/>
          <w:color w:val="272727"/>
          <w:sz w:val="22"/>
          <w:szCs w:val="22"/>
          <w:shd w:val="clear" w:color="auto" w:fill="FFFFFF"/>
        </w:rPr>
        <w:t>, með síðari breytingum,</w:t>
      </w:r>
      <w:r w:rsidRPr="0055602B">
        <w:rPr>
          <w:rFonts w:ascii="Times New Roman" w:hAnsi="Times New Roman"/>
          <w:color w:val="272727"/>
          <w:sz w:val="22"/>
          <w:szCs w:val="22"/>
          <w:shd w:val="clear" w:color="auto" w:fill="FFFFFF"/>
        </w:rPr>
        <w:t xml:space="preserve"> og öðlast þegar gildi.</w:t>
      </w:r>
    </w:p>
    <w:p w:rsidR="004A1C35" w:rsidRPr="000753F2" w:rsidRDefault="004A1C35" w:rsidP="004A1C35">
      <w:pPr>
        <w:rPr>
          <w:rFonts w:ascii="Times New Roman" w:hAnsi="Times New Roman"/>
          <w:color w:val="272727"/>
          <w:sz w:val="24"/>
          <w:shd w:val="clear" w:color="auto" w:fill="FFFFFF"/>
        </w:rPr>
      </w:pPr>
    </w:p>
    <w:p w:rsidR="00A31A7B" w:rsidRDefault="00A31A7B" w:rsidP="004A1C35">
      <w:pPr>
        <w:rPr>
          <w:rFonts w:ascii="Times New Roman" w:hAnsi="Times New Roman"/>
          <w:color w:val="272727"/>
          <w:sz w:val="24"/>
          <w:shd w:val="clear" w:color="auto" w:fill="FFFFFF"/>
        </w:rPr>
      </w:pPr>
    </w:p>
    <w:p w:rsidR="00FF6344" w:rsidRPr="00A415F0" w:rsidRDefault="00FF6344" w:rsidP="00FF6344">
      <w:pPr>
        <w:rPr>
          <w:lang w:eastAsia="is-IS"/>
        </w:rPr>
      </w:pPr>
    </w:p>
    <w:p w:rsidR="00447611" w:rsidRDefault="00751C84" w:rsidP="00B101AD">
      <w:pPr>
        <w:pStyle w:val="Fyrirsgn4"/>
      </w:pPr>
      <w:r>
        <w:t xml:space="preserve">Umhverfis- og </w:t>
      </w:r>
      <w:r w:rsidRPr="00887ADA">
        <w:t>auðlindaráðuneytið</w:t>
      </w:r>
      <w:r w:rsidR="00FF6344" w:rsidRPr="00887ADA">
        <w:t xml:space="preserve">, </w:t>
      </w:r>
      <w:r w:rsidR="00A16C98" w:rsidRPr="00887ADA">
        <w:t>x</w:t>
      </w:r>
      <w:r w:rsidR="00FF6344" w:rsidRPr="00887ADA">
        <w:t>.</w:t>
      </w:r>
      <w:r w:rsidR="00E9472E" w:rsidRPr="00887ADA">
        <w:t xml:space="preserve"> </w:t>
      </w:r>
      <w:r w:rsidR="00A16C98" w:rsidRPr="00887ADA">
        <w:t>x</w:t>
      </w:r>
      <w:r w:rsidRPr="00887ADA">
        <w:t xml:space="preserve"> 201</w:t>
      </w:r>
      <w:r w:rsidR="00A16C98" w:rsidRPr="00887ADA">
        <w:t>8</w:t>
      </w:r>
      <w:r w:rsidR="00FF6344" w:rsidRPr="00887ADA">
        <w:t>.</w:t>
      </w:r>
    </w:p>
    <w:p w:rsidR="00566CF4" w:rsidRDefault="00566CF4" w:rsidP="00566CF4">
      <w:pPr>
        <w:ind w:firstLine="0"/>
        <w:jc w:val="center"/>
        <w:rPr>
          <w:lang w:eastAsia="en-GB"/>
        </w:rPr>
      </w:pPr>
    </w:p>
    <w:sectPr w:rsidR="00566CF4" w:rsidSect="00840702">
      <w:headerReference w:type="default" r:id="rId7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78" w:rsidRDefault="00C13678" w:rsidP="000130AF">
      <w:r>
        <w:separator/>
      </w:r>
    </w:p>
  </w:endnote>
  <w:endnote w:type="continuationSeparator" w:id="0">
    <w:p w:rsidR="00C13678" w:rsidRDefault="00C13678" w:rsidP="000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78" w:rsidRDefault="00C13678" w:rsidP="000130AF">
      <w:r>
        <w:separator/>
      </w:r>
    </w:p>
  </w:footnote>
  <w:footnote w:type="continuationSeparator" w:id="0">
    <w:p w:rsidR="00C13678" w:rsidRDefault="00C13678" w:rsidP="0001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1AD" w:rsidRPr="00B101AD" w:rsidRDefault="00B101AD">
    <w:pPr>
      <w:pStyle w:val="Suhaus"/>
      <w:rPr>
        <w:color w:val="FF0000"/>
      </w:rPr>
    </w:pPr>
    <w:r w:rsidRPr="00B101AD">
      <w:rPr>
        <w:color w:val="FF0000"/>
      </w:rPr>
      <w:t xml:space="preserve">DRÖG </w:t>
    </w:r>
  </w:p>
  <w:p w:rsidR="00D835C5" w:rsidRDefault="00D835C5" w:rsidP="00086235">
    <w:pPr>
      <w:pStyle w:val="Suhaus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011EC"/>
    <w:multiLevelType w:val="hybridMultilevel"/>
    <w:tmpl w:val="966E62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0737"/>
    <w:multiLevelType w:val="multilevel"/>
    <w:tmpl w:val="E38E5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56BF8"/>
    <w:multiLevelType w:val="hybridMultilevel"/>
    <w:tmpl w:val="9D9E2AC8"/>
    <w:lvl w:ilvl="0" w:tplc="AADC5374">
      <w:start w:val="1"/>
      <w:numFmt w:val="decimal"/>
      <w:pStyle w:val="Fyrirsgn3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50"/>
    <w:rsid w:val="00006C2A"/>
    <w:rsid w:val="000130AF"/>
    <w:rsid w:val="000469DE"/>
    <w:rsid w:val="00054EA9"/>
    <w:rsid w:val="000753F2"/>
    <w:rsid w:val="00086235"/>
    <w:rsid w:val="000A4392"/>
    <w:rsid w:val="000B3DA2"/>
    <w:rsid w:val="000E0E94"/>
    <w:rsid w:val="000F7607"/>
    <w:rsid w:val="00110CD7"/>
    <w:rsid w:val="001134BD"/>
    <w:rsid w:val="0011551C"/>
    <w:rsid w:val="00153D65"/>
    <w:rsid w:val="00187C07"/>
    <w:rsid w:val="001B7372"/>
    <w:rsid w:val="001D5D65"/>
    <w:rsid w:val="001D64A6"/>
    <w:rsid w:val="001F45AB"/>
    <w:rsid w:val="002073DB"/>
    <w:rsid w:val="00212F5D"/>
    <w:rsid w:val="00233250"/>
    <w:rsid w:val="00254B0C"/>
    <w:rsid w:val="00290CA3"/>
    <w:rsid w:val="002926D1"/>
    <w:rsid w:val="00296042"/>
    <w:rsid w:val="002A0FD9"/>
    <w:rsid w:val="002A2BBD"/>
    <w:rsid w:val="002A77D0"/>
    <w:rsid w:val="002F32BF"/>
    <w:rsid w:val="00306887"/>
    <w:rsid w:val="0031021D"/>
    <w:rsid w:val="00345F73"/>
    <w:rsid w:val="0034638B"/>
    <w:rsid w:val="00362482"/>
    <w:rsid w:val="00386FF9"/>
    <w:rsid w:val="00387DED"/>
    <w:rsid w:val="00391FD9"/>
    <w:rsid w:val="003B5B85"/>
    <w:rsid w:val="004128D7"/>
    <w:rsid w:val="00447611"/>
    <w:rsid w:val="0049677A"/>
    <w:rsid w:val="004A1C35"/>
    <w:rsid w:val="004B0572"/>
    <w:rsid w:val="0050133A"/>
    <w:rsid w:val="005035EB"/>
    <w:rsid w:val="0054117A"/>
    <w:rsid w:val="00553D4A"/>
    <w:rsid w:val="00554F8E"/>
    <w:rsid w:val="0055602B"/>
    <w:rsid w:val="00566CF4"/>
    <w:rsid w:val="005A4E70"/>
    <w:rsid w:val="005D7946"/>
    <w:rsid w:val="005F3FE4"/>
    <w:rsid w:val="005F412B"/>
    <w:rsid w:val="00604A65"/>
    <w:rsid w:val="00642983"/>
    <w:rsid w:val="006658A9"/>
    <w:rsid w:val="006B4431"/>
    <w:rsid w:val="006D70EA"/>
    <w:rsid w:val="006D7B2C"/>
    <w:rsid w:val="00717432"/>
    <w:rsid w:val="00723CBB"/>
    <w:rsid w:val="007279BC"/>
    <w:rsid w:val="007419BB"/>
    <w:rsid w:val="00751C84"/>
    <w:rsid w:val="00752A94"/>
    <w:rsid w:val="00791483"/>
    <w:rsid w:val="007D1ABF"/>
    <w:rsid w:val="007F37B5"/>
    <w:rsid w:val="008019E0"/>
    <w:rsid w:val="00840702"/>
    <w:rsid w:val="00844F66"/>
    <w:rsid w:val="0087152B"/>
    <w:rsid w:val="00887ADA"/>
    <w:rsid w:val="008A2E2B"/>
    <w:rsid w:val="00910418"/>
    <w:rsid w:val="00983FC8"/>
    <w:rsid w:val="00990CBD"/>
    <w:rsid w:val="009D43E5"/>
    <w:rsid w:val="009E0B51"/>
    <w:rsid w:val="00A16C98"/>
    <w:rsid w:val="00A211D0"/>
    <w:rsid w:val="00A309C7"/>
    <w:rsid w:val="00A30ACB"/>
    <w:rsid w:val="00A31A7B"/>
    <w:rsid w:val="00A415F0"/>
    <w:rsid w:val="00A668E2"/>
    <w:rsid w:val="00A77B68"/>
    <w:rsid w:val="00A77D74"/>
    <w:rsid w:val="00A807A9"/>
    <w:rsid w:val="00A936FF"/>
    <w:rsid w:val="00AB2441"/>
    <w:rsid w:val="00AE3A0C"/>
    <w:rsid w:val="00AF1F55"/>
    <w:rsid w:val="00B014C7"/>
    <w:rsid w:val="00B101AD"/>
    <w:rsid w:val="00B113CE"/>
    <w:rsid w:val="00B15D96"/>
    <w:rsid w:val="00B34FD6"/>
    <w:rsid w:val="00B41879"/>
    <w:rsid w:val="00B86F75"/>
    <w:rsid w:val="00B91111"/>
    <w:rsid w:val="00BA17DC"/>
    <w:rsid w:val="00BF1E68"/>
    <w:rsid w:val="00BF1EFC"/>
    <w:rsid w:val="00C01933"/>
    <w:rsid w:val="00C13678"/>
    <w:rsid w:val="00C3570D"/>
    <w:rsid w:val="00C50F98"/>
    <w:rsid w:val="00C611D0"/>
    <w:rsid w:val="00C84024"/>
    <w:rsid w:val="00CA01E2"/>
    <w:rsid w:val="00CA7A32"/>
    <w:rsid w:val="00CB5375"/>
    <w:rsid w:val="00D20E53"/>
    <w:rsid w:val="00D26EE2"/>
    <w:rsid w:val="00D317DB"/>
    <w:rsid w:val="00D61388"/>
    <w:rsid w:val="00D62D50"/>
    <w:rsid w:val="00D714EA"/>
    <w:rsid w:val="00D835C5"/>
    <w:rsid w:val="00D86EBE"/>
    <w:rsid w:val="00D958AF"/>
    <w:rsid w:val="00D97B20"/>
    <w:rsid w:val="00DA0481"/>
    <w:rsid w:val="00DC1AD9"/>
    <w:rsid w:val="00DC78D0"/>
    <w:rsid w:val="00E6248C"/>
    <w:rsid w:val="00E87A3B"/>
    <w:rsid w:val="00E9472E"/>
    <w:rsid w:val="00ED114D"/>
    <w:rsid w:val="00ED4EFA"/>
    <w:rsid w:val="00EE0E91"/>
    <w:rsid w:val="00F1205C"/>
    <w:rsid w:val="00F75093"/>
    <w:rsid w:val="00F82A6E"/>
    <w:rsid w:val="00F91734"/>
    <w:rsid w:val="00FF5C69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7F480"/>
  <w15:docId w15:val="{44688B0F-EC38-42EB-B659-61EA7F59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  <w:rsid w:val="00BA17DC"/>
    <w:pPr>
      <w:tabs>
        <w:tab w:val="left" w:pos="397"/>
        <w:tab w:val="left" w:pos="709"/>
      </w:tabs>
      <w:ind w:firstLine="397"/>
      <w:jc w:val="both"/>
    </w:pPr>
    <w:rPr>
      <w:rFonts w:ascii="Times" w:hAnsi="Times"/>
      <w:noProof/>
      <w:sz w:val="21"/>
      <w:szCs w:val="24"/>
      <w:lang w:eastAsia="en-US"/>
    </w:rPr>
  </w:style>
  <w:style w:type="paragraph" w:styleId="Fyrirsgn1">
    <w:name w:val="heading 1"/>
    <w:basedOn w:val="Venjulegur"/>
    <w:next w:val="Venjulegur"/>
    <w:link w:val="Fyrirsgn1Staf"/>
    <w:autoRedefine/>
    <w:qFormat/>
    <w:rsid w:val="00B101AD"/>
    <w:pPr>
      <w:keepNext/>
      <w:tabs>
        <w:tab w:val="right" w:pos="7796"/>
      </w:tabs>
      <w:spacing w:before="240" w:after="60"/>
      <w:ind w:firstLine="0"/>
      <w:jc w:val="center"/>
      <w:outlineLvl w:val="0"/>
    </w:pPr>
    <w:rPr>
      <w:noProof w:val="0"/>
      <w:spacing w:val="32"/>
      <w:kern w:val="28"/>
      <w:sz w:val="32"/>
      <w:szCs w:val="20"/>
      <w:lang w:eastAsia="en-GB"/>
    </w:rPr>
  </w:style>
  <w:style w:type="paragraph" w:styleId="Fyrirsgn2">
    <w:name w:val="heading 2"/>
    <w:basedOn w:val="Venjulegur"/>
    <w:next w:val="Venjulegur"/>
    <w:link w:val="Fyrirsgn2Staf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1"/>
    </w:pPr>
    <w:rPr>
      <w:b/>
      <w:noProof w:val="0"/>
      <w:szCs w:val="20"/>
      <w:lang w:eastAsia="en-GB"/>
    </w:rPr>
  </w:style>
  <w:style w:type="paragraph" w:styleId="Fyrirsgn3">
    <w:name w:val="heading 3"/>
    <w:basedOn w:val="Venjulegur"/>
    <w:next w:val="Venjulegur"/>
    <w:link w:val="Fyrirsgn3Staf"/>
    <w:autoRedefine/>
    <w:qFormat/>
    <w:rsid w:val="002073DB"/>
    <w:pPr>
      <w:keepNext/>
      <w:numPr>
        <w:numId w:val="1"/>
      </w:numPr>
      <w:tabs>
        <w:tab w:val="right" w:pos="7796"/>
      </w:tabs>
      <w:jc w:val="center"/>
      <w:outlineLvl w:val="2"/>
    </w:pPr>
    <w:rPr>
      <w:noProof w:val="0"/>
      <w:szCs w:val="20"/>
      <w:lang w:eastAsia="en-GB"/>
    </w:rPr>
  </w:style>
  <w:style w:type="paragraph" w:styleId="Fyrirsgn4">
    <w:name w:val="heading 4"/>
    <w:basedOn w:val="Venjulegur"/>
    <w:next w:val="Venjulegur"/>
    <w:link w:val="Fyrirsgn4Staf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3"/>
    </w:pPr>
    <w:rPr>
      <w:bCs/>
      <w:i/>
      <w:noProof w:val="0"/>
      <w:szCs w:val="28"/>
      <w:lang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3Staf">
    <w:name w:val="Fyrirsögn 3 Staf"/>
    <w:basedOn w:val="Sjlfgefinleturgermlsgreinar"/>
    <w:link w:val="Fyrirsgn3"/>
    <w:rsid w:val="002073DB"/>
    <w:rPr>
      <w:rFonts w:ascii="Times" w:hAnsi="Times"/>
      <w:sz w:val="21"/>
      <w:lang w:eastAsia="en-GB"/>
    </w:rPr>
  </w:style>
  <w:style w:type="paragraph" w:styleId="Suhaus">
    <w:name w:val="header"/>
    <w:basedOn w:val="Venjulegur"/>
    <w:link w:val="SuhausStaf"/>
    <w:uiPriority w:val="99"/>
    <w:rsid w:val="000130AF"/>
    <w:pPr>
      <w:tabs>
        <w:tab w:val="center" w:pos="4153"/>
        <w:tab w:val="right" w:pos="8306"/>
      </w:tabs>
    </w:pPr>
    <w:rPr>
      <w:szCs w:val="20"/>
      <w:lang w:eastAsia="en-GB"/>
    </w:rPr>
  </w:style>
  <w:style w:type="character" w:customStyle="1" w:styleId="SuhausStaf">
    <w:name w:val="Síðuhaus Staf"/>
    <w:basedOn w:val="Sjlfgefinleturgermlsgreinar"/>
    <w:link w:val="Suhaus"/>
    <w:uiPriority w:val="99"/>
    <w:rsid w:val="000130AF"/>
    <w:rPr>
      <w:rFonts w:ascii="Times" w:eastAsia="Times New Roman" w:hAnsi="Times" w:cs="Times New Roman"/>
      <w:sz w:val="21"/>
      <w:szCs w:val="20"/>
      <w:lang w:eastAsia="en-GB"/>
    </w:rPr>
  </w:style>
  <w:style w:type="paragraph" w:customStyle="1" w:styleId="fhundirskr">
    <w:name w:val="fhundirskr"/>
    <w:basedOn w:val="Fyrirsgn3"/>
    <w:autoRedefine/>
    <w:qFormat/>
    <w:rsid w:val="00BA17DC"/>
    <w:pPr>
      <w:spacing w:before="80" w:after="80"/>
      <w:outlineLvl w:val="9"/>
    </w:pPr>
  </w:style>
  <w:style w:type="paragraph" w:styleId="Suftur">
    <w:name w:val="footer"/>
    <w:basedOn w:val="Venjulegur"/>
    <w:link w:val="SufturStaf"/>
    <w:uiPriority w:val="99"/>
    <w:unhideWhenUsed/>
    <w:rsid w:val="000130AF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0130AF"/>
  </w:style>
  <w:style w:type="character" w:customStyle="1" w:styleId="Fyrirsgn1Staf">
    <w:name w:val="Fyrirsögn 1 Staf"/>
    <w:basedOn w:val="Sjlfgefinleturgermlsgreinar"/>
    <w:link w:val="Fyrirsgn1"/>
    <w:rsid w:val="00B101AD"/>
    <w:rPr>
      <w:rFonts w:ascii="Times" w:hAnsi="Times"/>
      <w:spacing w:val="32"/>
      <w:kern w:val="28"/>
      <w:sz w:val="32"/>
      <w:lang w:eastAsia="en-GB"/>
    </w:rPr>
  </w:style>
  <w:style w:type="character" w:customStyle="1" w:styleId="Fyrirsgn2Staf">
    <w:name w:val="Fyrirsögn 2 Staf"/>
    <w:basedOn w:val="Sjlfgefinleturgermlsgreinar"/>
    <w:link w:val="Fyrirsgn2"/>
    <w:rsid w:val="004128D7"/>
    <w:rPr>
      <w:rFonts w:ascii="Times" w:eastAsia="Times New Roman" w:hAnsi="Times" w:cs="Times New Roman"/>
      <w:b/>
      <w:sz w:val="21"/>
      <w:szCs w:val="20"/>
      <w:lang w:eastAsia="en-GB"/>
    </w:rPr>
  </w:style>
  <w:style w:type="character" w:customStyle="1" w:styleId="Fyrirsgn4Staf">
    <w:name w:val="Fyrirsögn 4 Staf"/>
    <w:basedOn w:val="Sjlfgefinleturgermlsgreinar"/>
    <w:link w:val="Fyrirsgn4"/>
    <w:rsid w:val="004128D7"/>
    <w:rPr>
      <w:rFonts w:ascii="Times" w:eastAsia="Times New Roman" w:hAnsi="Times" w:cs="Times New Roman"/>
      <w:bCs/>
      <w:i/>
      <w:sz w:val="21"/>
      <w:szCs w:val="28"/>
      <w:lang w:eastAsia="en-GB"/>
    </w:rPr>
  </w:style>
  <w:style w:type="paragraph" w:customStyle="1" w:styleId="Undirritun1">
    <w:name w:val="Undirritun 1"/>
    <w:basedOn w:val="Venjulegur"/>
    <w:autoRedefine/>
    <w:qFormat/>
    <w:rsid w:val="004128D7"/>
    <w:pPr>
      <w:tabs>
        <w:tab w:val="right" w:pos="7796"/>
      </w:tabs>
      <w:ind w:firstLine="0"/>
      <w:jc w:val="center"/>
    </w:pPr>
    <w:rPr>
      <w:b/>
      <w:szCs w:val="20"/>
      <w:lang w:eastAsia="en-GB"/>
    </w:rPr>
  </w:style>
  <w:style w:type="paragraph" w:customStyle="1" w:styleId="Undirritun2">
    <w:name w:val="Undirritun 2"/>
    <w:basedOn w:val="Venjulegur"/>
    <w:autoRedefine/>
    <w:qFormat/>
    <w:rsid w:val="00FF6344"/>
    <w:pPr>
      <w:pBdr>
        <w:top w:val="single" w:sz="4" w:space="1" w:color="auto"/>
      </w:pBdr>
      <w:tabs>
        <w:tab w:val="right" w:pos="7796"/>
      </w:tabs>
      <w:ind w:left="6859" w:firstLine="0"/>
      <w:jc w:val="right"/>
    </w:pPr>
    <w:rPr>
      <w:i/>
      <w:szCs w:val="21"/>
      <w:lang w:eastAsia="en-GB"/>
    </w:rPr>
  </w:style>
  <w:style w:type="paragraph" w:styleId="Mlsgreinlista">
    <w:name w:val="List Paragraph"/>
    <w:basedOn w:val="Venjulegur"/>
    <w:uiPriority w:val="34"/>
    <w:qFormat/>
    <w:rsid w:val="009E0B51"/>
    <w:pPr>
      <w:ind w:left="720"/>
      <w:contextualSpacing/>
    </w:pPr>
  </w:style>
  <w:style w:type="paragraph" w:customStyle="1" w:styleId="Point0">
    <w:name w:val="Point 0"/>
    <w:basedOn w:val="Venjulegur"/>
    <w:rsid w:val="00D958AF"/>
    <w:pPr>
      <w:widowControl w:val="0"/>
      <w:tabs>
        <w:tab w:val="clear" w:pos="709"/>
      </w:tabs>
      <w:suppressAutoHyphens/>
      <w:autoSpaceDE w:val="0"/>
      <w:autoSpaceDN w:val="0"/>
      <w:adjustRightInd w:val="0"/>
      <w:spacing w:before="113" w:line="240" w:lineRule="atLeast"/>
      <w:ind w:left="283" w:hanging="283"/>
      <w:textAlignment w:val="center"/>
    </w:pPr>
    <w:rPr>
      <w:rFonts w:ascii="TimesNewRomanPSMT" w:hAnsi="TimesNewRomanPSMT" w:cs="TimesNewRomanPSMT"/>
      <w:noProof w:val="0"/>
      <w:color w:val="000000"/>
      <w:sz w:val="18"/>
      <w:szCs w:val="18"/>
      <w:lang w:eastAsia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387DED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387DED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Reglugerð um gildistöku reglugerðar framkvæmdastjórnarinnar (ESB) nr. 1194/2012, frá 12. desember 2012, um kröfur varðandi visthönnun stefnuvirkra ljósapera, ljósdíóðupera og tengds búnaðar.</vt:lpstr>
      <vt:lpstr>Reglugerð um gildistöku reglugerðar framkvæmdastjórnarinnar (ESB) nr. 1194/2012, frá 12. desember 2012, um kröfur varðandi visthönnun stefnuvirkra ljósapera, ljósdíóðupera og tengds búnaðar.</vt:lpstr>
    </vt:vector>
  </TitlesOfParts>
  <Company>.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Reglugerð um gildistöku reglugerðar framkvæmdastjórnarinnar (ESB) nr. 1194/2012, frá 12. desember 2012, um kröfur varðandi visthönnun stefnuvirkra ljósapera, ljósdíóðupera og tengds búnaðar.</dc:title>
  <dc:creator>Atvinnuvega- og nýsköpunarráðuneyti</dc:creator>
  <cp:lastModifiedBy>William Freyr Huntingdon-Williams</cp:lastModifiedBy>
  <cp:revision>3</cp:revision>
  <cp:lastPrinted>2018-04-16T16:17:00Z</cp:lastPrinted>
  <dcterms:created xsi:type="dcterms:W3CDTF">2018-10-11T13:48:00Z</dcterms:created>
  <dcterms:modified xsi:type="dcterms:W3CDTF">2018-10-11T14:33:00Z</dcterms:modified>
</cp:coreProperties>
</file>