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F17284" w:rsidRPr="00541DC8" w14:paraId="36CE7C07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ADA25A" w14:textId="77777777" w:rsidR="00F17284" w:rsidRPr="00541DC8" w:rsidRDefault="00F17284" w:rsidP="004A0B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bookmarkStart w:id="0" w:name="_Hlk10550205"/>
            <w:r w:rsidRPr="00541DC8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7D04ED0A" wp14:editId="41068787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A23CB" w14:textId="77777777" w:rsidR="00F17284" w:rsidRPr="00541DC8" w:rsidRDefault="00F17284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ÁFORM UM LAGASETNINGU</w:t>
            </w:r>
          </w:p>
          <w:p w14:paraId="6A7C1F6D" w14:textId="77777777" w:rsidR="00F17284" w:rsidRPr="00541DC8" w:rsidRDefault="00F17284" w:rsidP="004A0B9A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541DC8">
              <w:rPr>
                <w:rFonts w:ascii="Times New Roman" w:hAnsi="Times New Roman" w:cs="Times New Roman"/>
                <w:i/>
                <w:lang w:val="is-IS"/>
              </w:rPr>
              <w:t xml:space="preserve">          – sbr. samþykkt ríkisstjórnar frá 10. mars 2017, 1.-4.  gr.</w:t>
            </w:r>
          </w:p>
        </w:tc>
      </w:tr>
      <w:tr w:rsidR="00F17284" w:rsidRPr="00541DC8" w14:paraId="6A1511BD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A78F3CF" w14:textId="77777777" w:rsidR="00F17284" w:rsidRPr="00541DC8" w:rsidRDefault="00F17284" w:rsidP="004E768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3A3BEADEDE4A44FEBD8BCAF5D934BC11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2E08D0" w14:textId="4252A332" w:rsidR="00F17284" w:rsidRPr="00541DC8" w:rsidRDefault="00707E85" w:rsidP="004E7680">
                <w:pPr>
                  <w:spacing w:before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Frumvarp til laga um breytingu á lögum um fjármálafyrirtæki, nr. 161/2002 (varnarlína um </w:t>
                </w:r>
                <w:r w:rsidR="00CF0526" w:rsidRPr="00541DC8">
                  <w:rPr>
                    <w:rFonts w:ascii="Times New Roman" w:hAnsi="Times New Roman" w:cs="Times New Roman"/>
                    <w:lang w:val="is-IS"/>
                  </w:rPr>
                  <w:t xml:space="preserve">hlutfall 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fjárfestinga</w:t>
                </w:r>
                <w:r w:rsidR="00B5529C" w:rsidRPr="00541DC8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bankastarfsemi)</w:t>
                </w:r>
                <w:r w:rsidR="0069668E" w:rsidRPr="00541DC8">
                  <w:rPr>
                    <w:rFonts w:ascii="Times New Roman" w:hAnsi="Times New Roman" w:cs="Times New Roman"/>
                    <w:lang w:val="is-IS"/>
                  </w:rPr>
                  <w:t xml:space="preserve"> / </w:t>
                </w:r>
                <w:r w:rsidR="00DD2240" w:rsidRPr="00541DC8">
                  <w:rPr>
                    <w:rFonts w:ascii="Times New Roman" w:hAnsi="Times New Roman" w:cs="Times New Roman"/>
                    <w:lang w:val="is-IS"/>
                  </w:rPr>
                  <w:t>FJR19030103</w:t>
                </w:r>
              </w:p>
            </w:tc>
          </w:sdtContent>
        </w:sdt>
      </w:tr>
      <w:tr w:rsidR="00F17284" w:rsidRPr="00541DC8" w14:paraId="018748F5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45567B5E" w14:textId="77777777" w:rsidR="00F17284" w:rsidRPr="00541DC8" w:rsidRDefault="00F17284" w:rsidP="004E768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C013FE74AFE141CEAEB0BF1EB4306F5B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21C79AB8" w14:textId="1E2A39DC" w:rsidR="00F17284" w:rsidRPr="00541DC8" w:rsidRDefault="00515777" w:rsidP="004E7680">
                <w:pPr>
                  <w:spacing w:before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Fjármála- og efnahagsráðuneyti / Gunnlaugur Helgason</w:t>
                </w:r>
              </w:p>
            </w:tc>
          </w:sdtContent>
        </w:sdt>
      </w:tr>
      <w:tr w:rsidR="00F17284" w:rsidRPr="00541DC8" w14:paraId="6BD4D7C5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E0696C0" w14:textId="77777777" w:rsidR="00F17284" w:rsidRPr="00541DC8" w:rsidRDefault="00F17284" w:rsidP="004E768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1DD222FD" w14:textId="77777777" w:rsidR="00F17284" w:rsidRPr="00541DC8" w:rsidRDefault="00485C10" w:rsidP="004E7680">
            <w:pPr>
              <w:spacing w:before="60"/>
              <w:jc w:val="both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284" w:rsidRPr="00541DC8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F17284" w:rsidRPr="00541DC8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2194FDAF" w14:textId="77777777" w:rsidR="00F17284" w:rsidRPr="00541DC8" w:rsidRDefault="00485C10" w:rsidP="004E7680">
            <w:pPr>
              <w:spacing w:before="60"/>
              <w:jc w:val="both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77" w:rsidRPr="00541DC8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F17284" w:rsidRPr="00541DC8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F17284" w:rsidRPr="00541DC8" w14:paraId="0D24A664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F6B" w14:textId="77777777" w:rsidR="00F17284" w:rsidRPr="00541DC8" w:rsidRDefault="00F17284" w:rsidP="004E768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FEB9A3" w14:textId="49C8B767" w:rsidR="00F17284" w:rsidRPr="00541DC8" w:rsidRDefault="00F17284" w:rsidP="004E7680">
                <w:pPr>
                  <w:spacing w:before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5418E">
                  <w:rPr>
                    <w:rFonts w:ascii="Times New Roman" w:hAnsi="Times New Roman" w:cs="Times New Roman"/>
                    <w:lang w:val="is-IS"/>
                  </w:rPr>
                  <w:t>4. júlí</w:t>
                </w:r>
                <w:r w:rsidR="00760756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07E85" w:rsidRPr="00541DC8">
                  <w:rPr>
                    <w:rFonts w:ascii="Times New Roman" w:hAnsi="Times New Roman" w:cs="Times New Roman"/>
                    <w:lang w:val="is-IS"/>
                  </w:rPr>
                  <w:t>2019</w:t>
                </w:r>
              </w:p>
            </w:tc>
          </w:sdtContent>
        </w:sdt>
      </w:tr>
    </w:tbl>
    <w:p w14:paraId="52100DB0" w14:textId="77777777" w:rsidR="00F17284" w:rsidRPr="00541DC8" w:rsidRDefault="00F17284" w:rsidP="004E7680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F17284" w:rsidRPr="00541DC8" w14:paraId="47C59A7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CE9FE17" w14:textId="77777777" w:rsidR="00F17284" w:rsidRPr="00541DC8" w:rsidRDefault="00F17284" w:rsidP="004E768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F17284" w:rsidRPr="00541DC8" w14:paraId="1775C149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2C28B9D" w14:textId="77777777" w:rsidR="00F17284" w:rsidRPr="00541DC8" w:rsidRDefault="00F17284" w:rsidP="004E7680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Forsaga máls og tilefni</w:t>
                </w:r>
              </w:p>
              <w:p w14:paraId="5F0EB5A4" w14:textId="6E1A5B8B" w:rsidR="009C37A0" w:rsidRPr="00541DC8" w:rsidRDefault="001012E7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Íslenskir bankar eru s</w:t>
                </w:r>
                <w:r w:rsidR="003903BD" w:rsidRPr="00541DC8">
                  <w:rPr>
                    <w:rFonts w:ascii="Times New Roman" w:hAnsi="Times New Roman" w:cs="Times New Roman"/>
                    <w:lang w:val="is-IS"/>
                  </w:rPr>
                  <w:t>vonefndir alhliða bankar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sem</w:t>
                </w:r>
                <w:r w:rsidR="003903BD" w:rsidRPr="00541DC8">
                  <w:rPr>
                    <w:rFonts w:ascii="Times New Roman" w:hAnsi="Times New Roman" w:cs="Times New Roman"/>
                    <w:lang w:val="is-IS"/>
                  </w:rPr>
                  <w:t xml:space="preserve"> sinna bæði hefðbundinni viðskiptabankastarfsemi</w:t>
                </w:r>
                <w:r w:rsidR="004774A2" w:rsidRPr="00541DC8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3903BD" w:rsidRPr="00541DC8">
                  <w:rPr>
                    <w:rFonts w:ascii="Times New Roman" w:hAnsi="Times New Roman" w:cs="Times New Roman"/>
                    <w:lang w:val="is-IS"/>
                  </w:rPr>
                  <w:t xml:space="preserve"> á borð við </w:t>
                </w:r>
                <w:r w:rsidR="00D8794B" w:rsidRPr="00541DC8">
                  <w:rPr>
                    <w:rFonts w:ascii="Times New Roman" w:hAnsi="Times New Roman" w:cs="Times New Roman"/>
                    <w:lang w:val="is-IS"/>
                  </w:rPr>
                  <w:t>viðtöku</w:t>
                </w:r>
                <w:r w:rsidR="007223A0" w:rsidRPr="00541DC8">
                  <w:rPr>
                    <w:rFonts w:ascii="Times New Roman" w:hAnsi="Times New Roman" w:cs="Times New Roman"/>
                    <w:lang w:val="is-IS"/>
                  </w:rPr>
                  <w:t xml:space="preserve"> innlána, </w:t>
                </w:r>
                <w:r w:rsidR="003903BD" w:rsidRPr="00541DC8">
                  <w:rPr>
                    <w:rFonts w:ascii="Times New Roman" w:hAnsi="Times New Roman" w:cs="Times New Roman"/>
                    <w:lang w:val="is-IS"/>
                  </w:rPr>
                  <w:t>veitingu útlána og miðlun greiðslna</w:t>
                </w:r>
                <w:r w:rsidR="004774A2" w:rsidRPr="00541DC8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3903BD" w:rsidRPr="00541DC8">
                  <w:rPr>
                    <w:rFonts w:ascii="Times New Roman" w:hAnsi="Times New Roman" w:cs="Times New Roman"/>
                    <w:lang w:val="is-IS"/>
                  </w:rPr>
                  <w:t xml:space="preserve"> og fjárfestingarbankastarfsemi</w:t>
                </w:r>
                <w:r w:rsidR="004774A2" w:rsidRPr="00541DC8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3903BD" w:rsidRPr="00541DC8">
                  <w:rPr>
                    <w:rFonts w:ascii="Times New Roman" w:hAnsi="Times New Roman" w:cs="Times New Roman"/>
                    <w:lang w:val="is-IS"/>
                  </w:rPr>
                  <w:t xml:space="preserve"> á borð við </w:t>
                </w:r>
                <w:r w:rsidR="001E19B9" w:rsidRPr="00541DC8">
                  <w:rPr>
                    <w:rFonts w:ascii="Times New Roman" w:hAnsi="Times New Roman" w:cs="Times New Roman"/>
                    <w:lang w:val="is-IS"/>
                  </w:rPr>
                  <w:t>viðskipti</w:t>
                </w:r>
                <w:r w:rsidR="000C7446" w:rsidRPr="00541DC8">
                  <w:rPr>
                    <w:rFonts w:ascii="Times New Roman" w:hAnsi="Times New Roman" w:cs="Times New Roman"/>
                    <w:lang w:val="is-IS"/>
                  </w:rPr>
                  <w:t xml:space="preserve"> fyrir eigin reikning, milligöngu við útgáfu verðbréfa og </w:t>
                </w:r>
                <w:r w:rsidR="00722835" w:rsidRPr="00541DC8">
                  <w:rPr>
                    <w:rFonts w:ascii="Times New Roman" w:hAnsi="Times New Roman" w:cs="Times New Roman"/>
                    <w:lang w:val="is-IS"/>
                  </w:rPr>
                  <w:t>eignastýringu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342CDB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4491E" w:rsidRPr="00541DC8">
                  <w:rPr>
                    <w:rFonts w:ascii="Times New Roman" w:hAnsi="Times New Roman" w:cs="Times New Roman"/>
                    <w:lang w:val="is-IS"/>
                  </w:rPr>
                  <w:t xml:space="preserve">Síðari ár hefur verið til umræðu bæði hér á landi og erlendis að </w:t>
                </w:r>
                <w:r w:rsidR="003866D5" w:rsidRPr="00541DC8">
                  <w:rPr>
                    <w:rFonts w:ascii="Times New Roman" w:hAnsi="Times New Roman" w:cs="Times New Roman"/>
                    <w:lang w:val="is-IS"/>
                  </w:rPr>
                  <w:t>reisa skorður við</w:t>
                </w:r>
                <w:r w:rsidR="0074491E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952C4" w:rsidRPr="00541DC8">
                  <w:rPr>
                    <w:rFonts w:ascii="Times New Roman" w:hAnsi="Times New Roman" w:cs="Times New Roman"/>
                    <w:lang w:val="is-IS"/>
                  </w:rPr>
                  <w:t>heimild</w:t>
                </w:r>
                <w:r w:rsidR="0074491E" w:rsidRPr="00541DC8">
                  <w:rPr>
                    <w:rFonts w:ascii="Times New Roman" w:hAnsi="Times New Roman" w:cs="Times New Roman"/>
                    <w:lang w:val="is-IS"/>
                  </w:rPr>
                  <w:t xml:space="preserve"> viðskiptabanka </w:t>
                </w:r>
                <w:r w:rsidR="007952C4" w:rsidRPr="00541DC8">
                  <w:rPr>
                    <w:rFonts w:ascii="Times New Roman" w:hAnsi="Times New Roman" w:cs="Times New Roman"/>
                    <w:lang w:val="is-IS"/>
                  </w:rPr>
                  <w:t>til</w:t>
                </w:r>
                <w:r w:rsidR="0074491E" w:rsidRPr="00541DC8">
                  <w:rPr>
                    <w:rFonts w:ascii="Times New Roman" w:hAnsi="Times New Roman" w:cs="Times New Roman"/>
                    <w:lang w:val="is-IS"/>
                  </w:rPr>
                  <w:t xml:space="preserve"> að starfrækja</w:t>
                </w:r>
                <w:r w:rsidR="006567DA" w:rsidRPr="00541DC8">
                  <w:rPr>
                    <w:rFonts w:ascii="Times New Roman" w:hAnsi="Times New Roman" w:cs="Times New Roman"/>
                    <w:lang w:val="is-IS"/>
                  </w:rPr>
                  <w:t xml:space="preserve"> áhættusama</w:t>
                </w:r>
                <w:r w:rsidR="005A15FB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4491E" w:rsidRPr="00541DC8">
                  <w:rPr>
                    <w:rFonts w:ascii="Times New Roman" w:hAnsi="Times New Roman" w:cs="Times New Roman"/>
                    <w:lang w:val="is-IS"/>
                  </w:rPr>
                  <w:t>fjárfestingarbankastarfsemi</w:t>
                </w:r>
                <w:r w:rsidR="006A463D" w:rsidRPr="00541DC8">
                  <w:rPr>
                    <w:rFonts w:ascii="Times New Roman" w:hAnsi="Times New Roman" w:cs="Times New Roman"/>
                    <w:lang w:val="is-IS"/>
                  </w:rPr>
                  <w:t xml:space="preserve"> í því skyni að takmarka áhættu innstæðueigenda og </w:t>
                </w:r>
                <w:r w:rsidR="00935292" w:rsidRPr="00541DC8">
                  <w:rPr>
                    <w:rFonts w:ascii="Times New Roman" w:hAnsi="Times New Roman" w:cs="Times New Roman"/>
                    <w:lang w:val="is-IS"/>
                  </w:rPr>
                  <w:t>ríkis</w:t>
                </w:r>
                <w:r w:rsidR="005C6752" w:rsidRPr="00541DC8">
                  <w:rPr>
                    <w:rFonts w:ascii="Times New Roman" w:hAnsi="Times New Roman" w:cs="Times New Roman"/>
                    <w:lang w:val="is-IS"/>
                  </w:rPr>
                  <w:t xml:space="preserve"> af </w:t>
                </w:r>
                <w:r w:rsidR="000D4FD6" w:rsidRPr="00541DC8">
                  <w:rPr>
                    <w:rFonts w:ascii="Times New Roman" w:hAnsi="Times New Roman" w:cs="Times New Roman"/>
                    <w:lang w:val="is-IS"/>
                  </w:rPr>
                  <w:t xml:space="preserve">slíkri </w:t>
                </w:r>
                <w:r w:rsidR="005C6752" w:rsidRPr="00541DC8">
                  <w:rPr>
                    <w:rFonts w:ascii="Times New Roman" w:hAnsi="Times New Roman" w:cs="Times New Roman"/>
                    <w:lang w:val="is-IS"/>
                  </w:rPr>
                  <w:t>starfsemi</w:t>
                </w:r>
                <w:r w:rsidR="00800870" w:rsidRPr="00541DC8">
                  <w:rPr>
                    <w:rFonts w:ascii="Times New Roman" w:hAnsi="Times New Roman" w:cs="Times New Roman"/>
                    <w:lang w:val="is-IS"/>
                  </w:rPr>
                  <w:t xml:space="preserve"> og hafa ýmis ríki gripið til ráðstafana sem miða að því.</w:t>
                </w:r>
              </w:p>
              <w:p w14:paraId="59409CE2" w14:textId="5ABA1A37" w:rsidR="00342CDB" w:rsidRPr="00541DC8" w:rsidRDefault="00D37584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Í júní 2017 skilaði starfshópur sem fjármála- og efnahagsráðherra skipaði </w:t>
                </w:r>
                <w:hyperlink r:id="rId9" w:history="1">
                  <w:r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skýrslu um kosti og galla við aðskilnað viðskipta- og fjárfestin</w:t>
                  </w:r>
                  <w:r w:rsidR="00134182"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ga</w:t>
                  </w:r>
                  <w:r w:rsidR="00634A7F"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r</w:t>
                  </w:r>
                  <w:r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bankastarfsemi</w:t>
                  </w:r>
                </w:hyperlink>
                <w:r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4A0B9A" w:rsidRPr="00541DC8">
                  <w:rPr>
                    <w:rFonts w:ascii="Times New Roman" w:hAnsi="Times New Roman" w:cs="Times New Roman"/>
                    <w:lang w:val="is-IS"/>
                  </w:rPr>
                  <w:t xml:space="preserve"> Starfshópurinn </w:t>
                </w:r>
                <w:r w:rsidR="00301999" w:rsidRPr="00541DC8">
                  <w:rPr>
                    <w:rFonts w:ascii="Times New Roman" w:hAnsi="Times New Roman" w:cs="Times New Roman"/>
                    <w:lang w:val="is-IS"/>
                  </w:rPr>
                  <w:t>tilgreindi þrjá valkosti</w:t>
                </w:r>
                <w:r w:rsidR="00FD16FA" w:rsidRPr="00541DC8">
                  <w:rPr>
                    <w:rFonts w:ascii="Times New Roman" w:hAnsi="Times New Roman" w:cs="Times New Roman"/>
                    <w:lang w:val="is-IS"/>
                  </w:rPr>
                  <w:t>:</w:t>
                </w:r>
                <w:r w:rsidR="004A0B9A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D16FA" w:rsidRPr="00541DC8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4A0B9A" w:rsidRPr="00541DC8">
                  <w:rPr>
                    <w:rFonts w:ascii="Times New Roman" w:hAnsi="Times New Roman" w:cs="Times New Roman"/>
                    <w:lang w:val="is-IS"/>
                  </w:rPr>
                  <w:t xml:space="preserve"> fyrsta lagi </w:t>
                </w:r>
                <w:r w:rsidR="00E02CEA" w:rsidRPr="00541DC8">
                  <w:rPr>
                    <w:rFonts w:ascii="Times New Roman" w:hAnsi="Times New Roman" w:cs="Times New Roman"/>
                    <w:lang w:val="is-IS"/>
                  </w:rPr>
                  <w:t xml:space="preserve">að gera ekki breytingar í </w:t>
                </w:r>
                <w:r w:rsidR="00AA4DAA" w:rsidRPr="00541DC8">
                  <w:rPr>
                    <w:rFonts w:ascii="Times New Roman" w:hAnsi="Times New Roman" w:cs="Times New Roman"/>
                    <w:lang w:val="is-IS"/>
                  </w:rPr>
                  <w:t>slíka</w:t>
                </w:r>
                <w:r w:rsidR="00E02CEA" w:rsidRPr="00541DC8">
                  <w:rPr>
                    <w:rFonts w:ascii="Times New Roman" w:hAnsi="Times New Roman" w:cs="Times New Roman"/>
                    <w:lang w:val="is-IS"/>
                  </w:rPr>
                  <w:t xml:space="preserve"> veru</w:t>
                </w:r>
                <w:r w:rsidR="00FD16FA" w:rsidRPr="00541DC8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E02CEA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D16FA" w:rsidRPr="00541DC8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E02CEA" w:rsidRPr="00541DC8">
                  <w:rPr>
                    <w:rFonts w:ascii="Times New Roman" w:hAnsi="Times New Roman" w:cs="Times New Roman"/>
                    <w:lang w:val="is-IS"/>
                  </w:rPr>
                  <w:t xml:space="preserve"> öðru lagi að kveða á um</w:t>
                </w:r>
                <w:r w:rsidR="00052200" w:rsidRPr="00541DC8">
                  <w:rPr>
                    <w:rFonts w:ascii="Times New Roman" w:hAnsi="Times New Roman" w:cs="Times New Roman"/>
                    <w:lang w:val="is-IS"/>
                  </w:rPr>
                  <w:t xml:space="preserve"> fullan</w:t>
                </w:r>
                <w:r w:rsidR="00E02CEA" w:rsidRPr="00541DC8">
                  <w:rPr>
                    <w:rFonts w:ascii="Times New Roman" w:hAnsi="Times New Roman" w:cs="Times New Roman"/>
                    <w:lang w:val="is-IS"/>
                  </w:rPr>
                  <w:t xml:space="preserve"> aðskilnað viðskipta- og fjárfestingarbankastarfsemi </w:t>
                </w:r>
                <w:r w:rsidR="00FD16FA" w:rsidRPr="00541DC8">
                  <w:rPr>
                    <w:rFonts w:ascii="Times New Roman" w:hAnsi="Times New Roman" w:cs="Times New Roman"/>
                    <w:lang w:val="is-IS"/>
                  </w:rPr>
                  <w:t>o</w:t>
                </w:r>
                <w:r w:rsidR="00E02CEA" w:rsidRPr="00541DC8">
                  <w:rPr>
                    <w:rFonts w:ascii="Times New Roman" w:hAnsi="Times New Roman" w:cs="Times New Roman"/>
                    <w:lang w:val="is-IS"/>
                  </w:rPr>
                  <w:t xml:space="preserve">g í þriðja lagi að heimila fjárfestingarbankastarfsemi innan alhliða banka </w:t>
                </w:r>
                <w:r w:rsidR="00075ADC" w:rsidRPr="00541DC8">
                  <w:rPr>
                    <w:rFonts w:ascii="Times New Roman" w:hAnsi="Times New Roman" w:cs="Times New Roman"/>
                    <w:lang w:val="is-IS"/>
                  </w:rPr>
                  <w:t>að</w:t>
                </w:r>
                <w:r w:rsidR="00E02CEA" w:rsidRPr="00541DC8">
                  <w:rPr>
                    <w:rFonts w:ascii="Times New Roman" w:hAnsi="Times New Roman" w:cs="Times New Roman"/>
                    <w:lang w:val="is-IS"/>
                  </w:rPr>
                  <w:t xml:space="preserve"> skilgreind</w:t>
                </w:r>
                <w:r w:rsidR="00075ADC" w:rsidRPr="00541DC8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="00E02CEA" w:rsidRPr="00541DC8">
                  <w:rPr>
                    <w:rFonts w:ascii="Times New Roman" w:hAnsi="Times New Roman" w:cs="Times New Roman"/>
                    <w:lang w:val="is-IS"/>
                  </w:rPr>
                  <w:t xml:space="preserve"> m</w:t>
                </w:r>
                <w:r w:rsidR="00075ADC" w:rsidRPr="00541DC8">
                  <w:rPr>
                    <w:rFonts w:ascii="Times New Roman" w:hAnsi="Times New Roman" w:cs="Times New Roman"/>
                    <w:lang w:val="is-IS"/>
                  </w:rPr>
                  <w:t>örkum</w:t>
                </w:r>
                <w:r w:rsidR="00E02CEA"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51B1F28C" w14:textId="531895FA" w:rsidR="004D7F63" w:rsidRPr="00541DC8" w:rsidRDefault="001816CC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Í janúar 2018 skilaði </w:t>
                </w:r>
                <w:r w:rsidR="00CD776B" w:rsidRPr="00541DC8">
                  <w:rPr>
                    <w:rFonts w:ascii="Times New Roman" w:hAnsi="Times New Roman" w:cs="Times New Roman"/>
                    <w:lang w:val="is-IS"/>
                  </w:rPr>
                  <w:t>nefnd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sem fjármála- og efnahagsráðherra skipaði </w:t>
                </w:r>
                <w:hyperlink r:id="rId10" w:history="1">
                  <w:r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tillögum um skipulag bankastarfsemi á Íslandi</w:t>
                  </w:r>
                </w:hyperlink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sem byggðust meðal annars á skýrslunni frá júní 2017. </w:t>
                </w:r>
                <w:r w:rsidR="00396BAE" w:rsidRPr="00541DC8">
                  <w:rPr>
                    <w:rFonts w:ascii="Times New Roman" w:hAnsi="Times New Roman" w:cs="Times New Roman"/>
                    <w:lang w:val="is-IS"/>
                  </w:rPr>
                  <w:t>Nefndin</w:t>
                </w:r>
                <w:r w:rsidR="00DD64E9" w:rsidRPr="00541DC8">
                  <w:rPr>
                    <w:rFonts w:ascii="Times New Roman" w:hAnsi="Times New Roman" w:cs="Times New Roman"/>
                    <w:lang w:val="is-IS"/>
                  </w:rPr>
                  <w:t xml:space="preserve"> lagði til að bein og óbein stöðutaka kerfislega mikilvægra banka yrði takmörkuð</w:t>
                </w:r>
                <w:r w:rsidR="00F53363" w:rsidRPr="00541DC8">
                  <w:rPr>
                    <w:rFonts w:ascii="Times New Roman" w:hAnsi="Times New Roman" w:cs="Times New Roman"/>
                    <w:lang w:val="is-IS"/>
                  </w:rPr>
                  <w:t xml:space="preserve"> þannig að e</w:t>
                </w:r>
                <w:r w:rsidR="00DD64E9" w:rsidRPr="00541DC8">
                  <w:rPr>
                    <w:rFonts w:ascii="Times New Roman" w:hAnsi="Times New Roman" w:cs="Times New Roman"/>
                    <w:lang w:val="is-IS"/>
                  </w:rPr>
                  <w:t>iginfjár</w:t>
                </w:r>
                <w:r w:rsidR="00E92D7B" w:rsidRPr="00541DC8">
                  <w:rPr>
                    <w:rFonts w:ascii="Times New Roman" w:hAnsi="Times New Roman" w:cs="Times New Roman"/>
                    <w:lang w:val="is-IS"/>
                  </w:rPr>
                  <w:t>þörf</w:t>
                </w:r>
                <w:r w:rsidR="00DD64E9" w:rsidRPr="00541DC8">
                  <w:rPr>
                    <w:rFonts w:ascii="Times New Roman" w:hAnsi="Times New Roman" w:cs="Times New Roman"/>
                    <w:lang w:val="is-IS"/>
                  </w:rPr>
                  <w:t xml:space="preserve"> vegna hennar mætti ekki vera umfram 10-15% af eiginfjárgrunni </w:t>
                </w:r>
                <w:r w:rsidR="002F1A38" w:rsidRPr="00541DC8">
                  <w:rPr>
                    <w:rFonts w:ascii="Times New Roman" w:hAnsi="Times New Roman" w:cs="Times New Roman"/>
                    <w:lang w:val="is-IS"/>
                  </w:rPr>
                  <w:t>þeirra</w:t>
                </w:r>
                <w:r w:rsidR="00DD64E9" w:rsidRPr="00541DC8">
                  <w:rPr>
                    <w:rFonts w:ascii="Times New Roman" w:hAnsi="Times New Roman" w:cs="Times New Roman"/>
                    <w:lang w:val="is-IS"/>
                  </w:rPr>
                  <w:t>. Ef farið væri yfir þau mörk þyrfti að stofna sérstakt félag utan um stöðutökuna. Félagið mætti tilheyra sömu samstæðu og bankinn en þyrfti að vera</w:t>
                </w:r>
                <w:r w:rsidR="004D7F63" w:rsidRPr="00541DC8">
                  <w:rPr>
                    <w:rFonts w:ascii="Times New Roman" w:hAnsi="Times New Roman" w:cs="Times New Roman"/>
                    <w:lang w:val="is-IS"/>
                  </w:rPr>
                  <w:t xml:space="preserve"> með óháða stjórn, stjórnendur og fjárhag.</w:t>
                </w:r>
              </w:p>
              <w:p w14:paraId="2CF7F56E" w14:textId="5B84B793" w:rsidR="005336BA" w:rsidRPr="00541DC8" w:rsidRDefault="00AB2412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Í desember 2018 skilaði starfshópur sem fjármála- og efnahagsráðherra skipaði </w:t>
                </w:r>
                <w:hyperlink r:id="rId11" w:history="1">
                  <w:r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hvítbók um framtíðarsýn fyrir fjármálakerfið</w:t>
                  </w:r>
                </w:hyperlink>
                <w:r w:rsidR="003D6E9F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A2CA2" w:rsidRPr="00541DC8">
                  <w:rPr>
                    <w:rFonts w:ascii="Times New Roman" w:hAnsi="Times New Roman" w:cs="Times New Roman"/>
                    <w:lang w:val="is-IS"/>
                  </w:rPr>
                  <w:t xml:space="preserve">(„hvítbókin“) </w:t>
                </w:r>
                <w:r w:rsidR="003D6E9F" w:rsidRPr="00541DC8">
                  <w:rPr>
                    <w:rFonts w:ascii="Times New Roman" w:hAnsi="Times New Roman" w:cs="Times New Roman"/>
                    <w:lang w:val="is-IS"/>
                  </w:rPr>
                  <w:t>þar sem tekið var undir tillöguna í skýrslunni frá janúar 2018.</w:t>
                </w:r>
                <w:r w:rsidR="005336BA" w:rsidRPr="00541DC8">
                  <w:rPr>
                    <w:rFonts w:ascii="Times New Roman" w:hAnsi="Times New Roman" w:cs="Times New Roman"/>
                    <w:lang w:val="is-IS"/>
                  </w:rPr>
                  <w:t xml:space="preserve"> Lagt var til að Fjármálaeftirlitinu yrði í lögum falið að setja reglur um slíka varnarlínu </w:t>
                </w:r>
                <w:r w:rsidR="0090313A" w:rsidRPr="00541DC8">
                  <w:rPr>
                    <w:rFonts w:ascii="Times New Roman" w:hAnsi="Times New Roman" w:cs="Times New Roman"/>
                    <w:lang w:val="is-IS"/>
                  </w:rPr>
                  <w:t>um hlutfall</w:t>
                </w:r>
                <w:r w:rsidR="005336BA" w:rsidRPr="00541DC8">
                  <w:rPr>
                    <w:rFonts w:ascii="Times New Roman" w:hAnsi="Times New Roman" w:cs="Times New Roman"/>
                    <w:lang w:val="is-IS"/>
                  </w:rPr>
                  <w:t xml:space="preserve"> fjárfestingarbankastarfsemi.</w:t>
                </w:r>
              </w:p>
              <w:p w14:paraId="1082E672" w14:textId="2D99DF8F" w:rsidR="00F17284" w:rsidRPr="00541DC8" w:rsidRDefault="00F17284" w:rsidP="004E7680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úrlausnarefnið? </w:t>
                </w:r>
              </w:p>
              <w:p w14:paraId="03224433" w14:textId="38BFD1D5" w:rsidR="0051100E" w:rsidRPr="00541DC8" w:rsidRDefault="0051100E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Að hrinda í framkvæmd tillögu </w:t>
                </w:r>
                <w:r w:rsidR="001E7C39" w:rsidRPr="00541DC8">
                  <w:rPr>
                    <w:rFonts w:ascii="Times New Roman" w:hAnsi="Times New Roman" w:cs="Times New Roman"/>
                    <w:lang w:val="is-IS"/>
                  </w:rPr>
                  <w:t>í hvítbókinni</w:t>
                </w:r>
                <w:r w:rsidR="00C944D8" w:rsidRPr="00541DC8">
                  <w:rPr>
                    <w:rFonts w:ascii="Times New Roman" w:hAnsi="Times New Roman" w:cs="Times New Roman"/>
                    <w:lang w:val="is-IS"/>
                  </w:rPr>
                  <w:t xml:space="preserve"> um varnarlínu um hlutfall fjárfestingarbankastarfsemi.</w:t>
                </w:r>
              </w:p>
              <w:p w14:paraId="62D02C4F" w14:textId="77777777" w:rsidR="00BC0A91" w:rsidRPr="00541DC8" w:rsidRDefault="00F17284" w:rsidP="004E7680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Að hvaða marki duga gildandi lög og reglur ekki til?</w:t>
                </w:r>
              </w:p>
              <w:p w14:paraId="08CF6581" w14:textId="1FFC6C80" w:rsidR="00F17284" w:rsidRPr="00541DC8" w:rsidRDefault="00B05BB0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Þegar eru í gildi margvíslegar reglur sem ætlað er að takmarka áhættu af starfsemi innlánsstofnana</w:t>
                </w:r>
                <w:r w:rsidR="00FE76F2" w:rsidRPr="00541DC8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440E58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60D04" w:rsidRPr="00541DC8">
                  <w:rPr>
                    <w:rFonts w:ascii="Times New Roman" w:hAnsi="Times New Roman" w:cs="Times New Roman"/>
                    <w:lang w:val="is-IS"/>
                  </w:rPr>
                  <w:t xml:space="preserve">þar á meðal </w:t>
                </w:r>
                <w:r w:rsidR="001F4F75" w:rsidRPr="00541DC8">
                  <w:rPr>
                    <w:rFonts w:ascii="Times New Roman" w:hAnsi="Times New Roman" w:cs="Times New Roman"/>
                    <w:lang w:val="is-IS"/>
                  </w:rPr>
                  <w:t>kröfur</w:t>
                </w:r>
                <w:r w:rsidR="00B60D04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40E58" w:rsidRPr="00541DC8">
                  <w:rPr>
                    <w:rFonts w:ascii="Times New Roman" w:hAnsi="Times New Roman" w:cs="Times New Roman"/>
                    <w:lang w:val="is-IS"/>
                  </w:rPr>
                  <w:t>um eigi</w:t>
                </w:r>
                <w:r w:rsidR="00E01A61" w:rsidRPr="00541DC8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440E58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01A61" w:rsidRPr="00541DC8">
                  <w:rPr>
                    <w:rFonts w:ascii="Times New Roman" w:hAnsi="Times New Roman" w:cs="Times New Roman"/>
                    <w:lang w:val="is-IS"/>
                  </w:rPr>
                  <w:t>fé</w:t>
                </w:r>
                <w:r w:rsidR="00440E58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60D04" w:rsidRPr="00541DC8">
                  <w:rPr>
                    <w:rFonts w:ascii="Times New Roman" w:hAnsi="Times New Roman" w:cs="Times New Roman"/>
                    <w:lang w:val="is-IS"/>
                  </w:rPr>
                  <w:t>v</w:t>
                </w:r>
                <w:r w:rsidR="00EF75CD" w:rsidRPr="00541DC8">
                  <w:rPr>
                    <w:rFonts w:ascii="Times New Roman" w:hAnsi="Times New Roman" w:cs="Times New Roman"/>
                    <w:lang w:val="is-IS"/>
                  </w:rPr>
                  <w:t>egna</w:t>
                </w:r>
                <w:r w:rsidR="00440E58" w:rsidRPr="00541DC8">
                  <w:rPr>
                    <w:rFonts w:ascii="Times New Roman" w:hAnsi="Times New Roman" w:cs="Times New Roman"/>
                    <w:lang w:val="is-IS"/>
                  </w:rPr>
                  <w:t xml:space="preserve"> stöðutöku. </w:t>
                </w:r>
                <w:r w:rsidR="001B2AF0" w:rsidRPr="00541DC8">
                  <w:rPr>
                    <w:rFonts w:ascii="Times New Roman" w:hAnsi="Times New Roman" w:cs="Times New Roman"/>
                    <w:lang w:val="is-IS"/>
                  </w:rPr>
                  <w:t xml:space="preserve">Umfangi stöðutöku </w:t>
                </w:r>
                <w:r w:rsidR="00861056" w:rsidRPr="00541DC8">
                  <w:rPr>
                    <w:rFonts w:ascii="Times New Roman" w:hAnsi="Times New Roman" w:cs="Times New Roman"/>
                    <w:lang w:val="is-IS"/>
                  </w:rPr>
                  <w:t>innlánsstofnana</w:t>
                </w:r>
                <w:r w:rsidR="001B2AF0" w:rsidRPr="00541DC8">
                  <w:rPr>
                    <w:rFonts w:ascii="Times New Roman" w:hAnsi="Times New Roman" w:cs="Times New Roman"/>
                    <w:lang w:val="is-IS"/>
                  </w:rPr>
                  <w:t xml:space="preserve"> eru þó ekki sett</w:t>
                </w:r>
                <w:r w:rsidR="00CE5969" w:rsidRPr="00541DC8">
                  <w:rPr>
                    <w:rFonts w:ascii="Times New Roman" w:hAnsi="Times New Roman" w:cs="Times New Roman"/>
                    <w:lang w:val="is-IS"/>
                  </w:rPr>
                  <w:t xml:space="preserve"> tiltekin mörk.</w:t>
                </w:r>
              </w:p>
            </w:sdtContent>
          </w:sdt>
        </w:tc>
      </w:tr>
      <w:tr w:rsidR="00F17284" w:rsidRPr="00541DC8" w14:paraId="4F29259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B84C292" w14:textId="77777777" w:rsidR="00F17284" w:rsidRPr="00541DC8" w:rsidRDefault="00F17284" w:rsidP="004E768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t xml:space="preserve">Markmið </w:t>
            </w:r>
          </w:p>
        </w:tc>
      </w:tr>
      <w:tr w:rsidR="00F17284" w:rsidRPr="00541DC8" w14:paraId="13EE22B5" w14:textId="77777777" w:rsidTr="005E6791">
        <w:trPr>
          <w:trHeight w:val="747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789407CA" w14:textId="6E0026CB" w:rsidR="00F17284" w:rsidRPr="00541DC8" w:rsidRDefault="00F17284" w:rsidP="004E7680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Stefna hins opinbera á viðkomandi málefnasviði/málaflokki</w:t>
                </w:r>
              </w:p>
              <w:p w14:paraId="16DD2246" w14:textId="648541B5" w:rsidR="00246C88" w:rsidRPr="00541DC8" w:rsidRDefault="00246C88" w:rsidP="00796C25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Í </w:t>
                </w:r>
                <w:hyperlink r:id="rId12" w:history="1">
                  <w:r w:rsidRPr="00541DC8"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  <w:shd w:val="clear" w:color="auto" w:fill="FFFFFF"/>
                      <w:lang w:val="is-IS"/>
                    </w:rPr>
                    <w:t>sáttmála Framsóknarflokks, Sjálfstæðisflokks og Vinstrihreyfingarinnar – græns framboðs um ríkisstjórnarsamstarf og eflingu Alþingis</w:t>
                  </w:r>
                </w:hyperlink>
                <w:r w:rsidRPr="00541DC8">
                  <w:rPr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 segir að fjármálakerfið eigi að vera traust og þjóna samfélaginu á hagkvæman og sanngjarnan hátt. Stefnt sé að auknu trausti á íslenskum fjármálamarkaði, auknu gagnsæi og fjármálastöðugleika. </w:t>
                </w:r>
                <w:r w:rsidR="00796C25" w:rsidRPr="00541DC8">
                  <w:rPr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Þótt mikilvægar umbætur hafi verið gerðar á lagaumhverfi </w:t>
                </w:r>
                <w:r w:rsidR="00796C25" w:rsidRPr="00541DC8">
                  <w:rPr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lastRenderedPageBreak/>
                  <w:t xml:space="preserve">fjármálafyrirtækja sé brýnt að gera betur. </w:t>
                </w:r>
                <w:r w:rsidRPr="00541DC8">
                  <w:rPr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>Mikilvægt sé að dregið verði úr áhættu vegna óskyldra þátta í starfsemi fjármálafyrirtækja.</w:t>
                </w:r>
              </w:p>
              <w:p w14:paraId="795422DC" w14:textId="77777777" w:rsidR="00246C88" w:rsidRPr="00541DC8" w:rsidRDefault="00F17284" w:rsidP="004E7680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Markmið sem að er stefnt með lagasetningu í ljósi úrlausnarefnis og stefnu stjórnvalda</w:t>
                </w:r>
              </w:p>
              <w:p w14:paraId="61FBCCD6" w14:textId="66DB0395" w:rsidR="00F17284" w:rsidRPr="00541DC8" w:rsidRDefault="00246C88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Áformin samræmast markmiði í ríkisstjórnarsáttmála um að </w:t>
                </w:r>
                <w:r w:rsidR="00D97C85" w:rsidRPr="00541DC8">
                  <w:rPr>
                    <w:rFonts w:ascii="Times New Roman" w:hAnsi="Times New Roman" w:cs="Times New Roman"/>
                    <w:lang w:val="is-IS"/>
                  </w:rPr>
                  <w:t xml:space="preserve">dregið </w:t>
                </w:r>
                <w:r w:rsidRPr="00541DC8">
                  <w:rPr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>verði úr áhættu vegna óskyldra þátta í starfsemi fjármálafyrirtækja.</w:t>
                </w:r>
              </w:p>
            </w:sdtContent>
          </w:sdt>
        </w:tc>
      </w:tr>
      <w:tr w:rsidR="00F17284" w:rsidRPr="00541DC8" w14:paraId="380E3E4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1B641FC" w14:textId="77777777" w:rsidR="00F17284" w:rsidRPr="00541DC8" w:rsidRDefault="00F17284" w:rsidP="004E768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lastRenderedPageBreak/>
              <w:t>Leiðir</w:t>
            </w:r>
          </w:p>
        </w:tc>
      </w:tr>
      <w:tr w:rsidR="00F17284" w:rsidRPr="00541DC8" w14:paraId="3BFB8DB6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3BF93819" w14:textId="174EC802" w:rsidR="008D673D" w:rsidRPr="00541DC8" w:rsidRDefault="00F17284" w:rsidP="004E7680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Ekkert aðhafst - hvaða afleiðingar hefði það?</w:t>
                </w:r>
              </w:p>
              <w:p w14:paraId="157832EA" w14:textId="3EB9E637" w:rsidR="00F17284" w:rsidRPr="00541DC8" w:rsidRDefault="00F24F7E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Viðskiptabankar gætu aukið umfang stöðutöku umfram þau mörk sem ráðgert er að setja</w:t>
                </w:r>
                <w:r w:rsidR="00D75F63" w:rsidRPr="00541DC8">
                  <w:rPr>
                    <w:rFonts w:ascii="Times New Roman" w:hAnsi="Times New Roman" w:cs="Times New Roman"/>
                    <w:lang w:val="is-IS"/>
                  </w:rPr>
                  <w:t>. Það</w:t>
                </w:r>
                <w:r w:rsidR="008E413C" w:rsidRPr="00541DC8">
                  <w:rPr>
                    <w:rFonts w:ascii="Times New Roman" w:hAnsi="Times New Roman" w:cs="Times New Roman"/>
                    <w:lang w:val="is-IS"/>
                  </w:rPr>
                  <w:t xml:space="preserve"> gæti aukið áhættu innstæðueigenda og ríkissjóðs</w:t>
                </w:r>
                <w:r w:rsidR="00E7694D" w:rsidRPr="00541DC8">
                  <w:rPr>
                    <w:rFonts w:ascii="Times New Roman" w:hAnsi="Times New Roman" w:cs="Times New Roman"/>
                    <w:lang w:val="is-IS"/>
                  </w:rPr>
                  <w:t xml:space="preserve"> af starfsemi þeirra</w:t>
                </w:r>
                <w:r w:rsidR="003023FC"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3F45FDEB" w14:textId="67036293" w:rsidR="00F17284" w:rsidRPr="00541DC8" w:rsidRDefault="00F17284" w:rsidP="004E7680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 sem metin hafa verið</w:t>
                </w:r>
              </w:p>
              <w:p w14:paraId="07E99D6A" w14:textId="2DD5910F" w:rsidR="00EB43C7" w:rsidRPr="00541DC8" w:rsidRDefault="002C35D9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Áformin fela í sér inngrip í starfsemi innlánsstofnana sem verða að íslenskri stjórnskipan að styðjast við lög.</w:t>
                </w:r>
              </w:p>
              <w:p w14:paraId="72E79F57" w14:textId="77777777" w:rsidR="00D63264" w:rsidRPr="00541DC8" w:rsidRDefault="00F17284" w:rsidP="004E7680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Mögulegar leiðir við lagasetningu</w:t>
                </w:r>
              </w:p>
              <w:p w14:paraId="750D75F0" w14:textId="6748A943" w:rsidR="00B53E19" w:rsidRPr="00541DC8" w:rsidRDefault="00D21217" w:rsidP="004E7680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>Form</w:t>
                </w:r>
              </w:p>
              <w:p w14:paraId="145973C0" w14:textId="5B0997CD" w:rsidR="00D21217" w:rsidRPr="00541DC8" w:rsidRDefault="00E207DA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Meginatriði áformaðrar takmörkunar verða að koma fram í lögum en </w:t>
                </w:r>
                <w:r w:rsidR="00D21217" w:rsidRPr="00541DC8">
                  <w:rPr>
                    <w:rFonts w:ascii="Times New Roman" w:hAnsi="Times New Roman" w:cs="Times New Roman"/>
                    <w:lang w:val="is-IS"/>
                  </w:rPr>
                  <w:t>fela</w:t>
                </w:r>
                <w:r w:rsidR="00CE4262" w:rsidRPr="00541DC8">
                  <w:rPr>
                    <w:rFonts w:ascii="Times New Roman" w:hAnsi="Times New Roman" w:cs="Times New Roman"/>
                    <w:lang w:val="is-IS"/>
                  </w:rPr>
                  <w:t xml:space="preserve"> mætti</w:t>
                </w:r>
                <w:r w:rsidR="00D21217" w:rsidRPr="00541DC8">
                  <w:rPr>
                    <w:rFonts w:ascii="Times New Roman" w:hAnsi="Times New Roman" w:cs="Times New Roman"/>
                    <w:lang w:val="is-IS"/>
                  </w:rPr>
                  <w:t xml:space="preserve"> ráðherra eða </w:t>
                </w:r>
                <w:r w:rsidR="00B54ADF" w:rsidRPr="00541DC8">
                  <w:rPr>
                    <w:rFonts w:ascii="Times New Roman" w:hAnsi="Times New Roman" w:cs="Times New Roman"/>
                    <w:lang w:val="is-IS"/>
                  </w:rPr>
                  <w:t>eftirlitsstjórnvaldi</w:t>
                </w:r>
                <w:r w:rsidR="00D21217" w:rsidRPr="00541DC8">
                  <w:rPr>
                    <w:rFonts w:ascii="Times New Roman" w:hAnsi="Times New Roman" w:cs="Times New Roman"/>
                    <w:lang w:val="is-IS"/>
                  </w:rPr>
                  <w:t xml:space="preserve"> að útfæra 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hana</w:t>
                </w:r>
                <w:r w:rsidR="00D21217" w:rsidRPr="00541DC8">
                  <w:rPr>
                    <w:rFonts w:ascii="Times New Roman" w:hAnsi="Times New Roman" w:cs="Times New Roman"/>
                    <w:lang w:val="is-IS"/>
                  </w:rPr>
                  <w:t xml:space="preserve"> nánar </w:t>
                </w:r>
                <w:r w:rsidR="00E1526A" w:rsidRPr="00541DC8">
                  <w:rPr>
                    <w:rFonts w:ascii="Times New Roman" w:hAnsi="Times New Roman" w:cs="Times New Roman"/>
                    <w:lang w:val="is-IS"/>
                  </w:rPr>
                  <w:t>með</w:t>
                </w:r>
                <w:r w:rsidR="00D21217" w:rsidRPr="00541DC8">
                  <w:rPr>
                    <w:rFonts w:ascii="Times New Roman" w:hAnsi="Times New Roman" w:cs="Times New Roman"/>
                    <w:lang w:val="is-IS"/>
                  </w:rPr>
                  <w:t xml:space="preserve"> stjórnvaldsfyrirmælum.</w:t>
                </w:r>
              </w:p>
              <w:p w14:paraId="390979D0" w14:textId="76A1C802" w:rsidR="00D21217" w:rsidRPr="00541DC8" w:rsidRDefault="00D21217" w:rsidP="004E7680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>Efni</w:t>
                </w:r>
              </w:p>
              <w:p w14:paraId="3D659020" w14:textId="0CEC5F59" w:rsidR="00D63264" w:rsidRPr="00541DC8" w:rsidRDefault="008E4CB0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Eftirfarandi er meðal </w:t>
                </w:r>
                <w:r w:rsidR="00BF6B10" w:rsidRPr="00541DC8">
                  <w:rPr>
                    <w:rFonts w:ascii="Times New Roman" w:hAnsi="Times New Roman" w:cs="Times New Roman"/>
                    <w:lang w:val="is-IS"/>
                  </w:rPr>
                  <w:t xml:space="preserve">efnislegra 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atriða sem taka þarf afstöðu til:</w:t>
                </w:r>
              </w:p>
              <w:p w14:paraId="2A8D9AC5" w14:textId="0884ED85" w:rsidR="004E7680" w:rsidRPr="00541DC8" w:rsidRDefault="00575DE1" w:rsidP="004E7680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bookmarkStart w:id="1" w:name="_Hlk10652447"/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Til hverra </w:t>
                </w:r>
                <w:r w:rsidR="00C26224" w:rsidRPr="00541DC8">
                  <w:rPr>
                    <w:rFonts w:ascii="Times New Roman" w:hAnsi="Times New Roman" w:cs="Times New Roman"/>
                    <w:i/>
                    <w:lang w:val="is-IS"/>
                  </w:rPr>
                  <w:t>á takmörkunin</w:t>
                </w: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 að ná</w:t>
                </w:r>
                <w:r w:rsidR="001C2C0A"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? </w:t>
                </w:r>
              </w:p>
              <w:p w14:paraId="6F867839" w14:textId="6687B2A8" w:rsidR="001C2C0A" w:rsidRPr="00541DC8" w:rsidRDefault="001C2C0A" w:rsidP="004E7680">
                <w:pPr>
                  <w:pStyle w:val="ListParagraph"/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Unnt væri að láta </w:t>
                </w:r>
                <w:r w:rsidR="00D75F63" w:rsidRPr="00541DC8">
                  <w:rPr>
                    <w:rFonts w:ascii="Times New Roman" w:hAnsi="Times New Roman" w:cs="Times New Roman"/>
                    <w:lang w:val="is-IS"/>
                  </w:rPr>
                  <w:t>hana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ná til allra </w:t>
                </w:r>
                <w:r w:rsidR="00C105CE" w:rsidRPr="00541DC8">
                  <w:rPr>
                    <w:rFonts w:ascii="Times New Roman" w:hAnsi="Times New Roman" w:cs="Times New Roman"/>
                    <w:lang w:val="is-IS"/>
                  </w:rPr>
                  <w:t>fjármálafyrirtækja sem hafa heimild til að taka við innlánum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eða </w:t>
                </w:r>
                <w:r w:rsidR="00C105CE" w:rsidRPr="00541DC8">
                  <w:rPr>
                    <w:rFonts w:ascii="Times New Roman" w:hAnsi="Times New Roman" w:cs="Times New Roman"/>
                    <w:lang w:val="is-IS"/>
                  </w:rPr>
                  <w:t xml:space="preserve">aðeins </w:t>
                </w:r>
                <w:r w:rsidR="001763D0" w:rsidRPr="00541DC8">
                  <w:rPr>
                    <w:rFonts w:ascii="Times New Roman" w:hAnsi="Times New Roman" w:cs="Times New Roman"/>
                    <w:lang w:val="is-IS"/>
                  </w:rPr>
                  <w:t>hluta þeirra</w:t>
                </w:r>
                <w:r w:rsidR="00C105CE" w:rsidRPr="00541DC8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svo sem</w:t>
                </w:r>
                <w:r w:rsidR="00C105CE" w:rsidRPr="00541DC8">
                  <w:rPr>
                    <w:rFonts w:ascii="Times New Roman" w:hAnsi="Times New Roman" w:cs="Times New Roman"/>
                    <w:lang w:val="is-IS"/>
                  </w:rPr>
                  <w:t xml:space="preserve"> innlánsstofnana </w:t>
                </w:r>
                <w:r w:rsidR="009E0D60" w:rsidRPr="00541DC8">
                  <w:rPr>
                    <w:rFonts w:ascii="Times New Roman" w:hAnsi="Times New Roman" w:cs="Times New Roman"/>
                    <w:lang w:val="is-IS"/>
                  </w:rPr>
                  <w:t xml:space="preserve">sem eru </w:t>
                </w:r>
                <w:r w:rsidR="006F35DD" w:rsidRPr="00541DC8">
                  <w:rPr>
                    <w:rFonts w:ascii="Times New Roman" w:hAnsi="Times New Roman" w:cs="Times New Roman"/>
                    <w:lang w:val="is-IS"/>
                  </w:rPr>
                  <w:t>af</w:t>
                </w:r>
                <w:r w:rsidR="00C105CE" w:rsidRPr="00541DC8">
                  <w:rPr>
                    <w:rFonts w:ascii="Times New Roman" w:hAnsi="Times New Roman" w:cs="Times New Roman"/>
                    <w:lang w:val="is-IS"/>
                  </w:rPr>
                  <w:t xml:space="preserve"> tiltekinni stærð</w:t>
                </w:r>
                <w:r w:rsidR="00AD11BD" w:rsidRPr="00541DC8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7F64EF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70DA6" w:rsidRPr="00541DC8">
                  <w:rPr>
                    <w:rFonts w:ascii="Times New Roman" w:hAnsi="Times New Roman" w:cs="Times New Roman"/>
                    <w:lang w:val="is-IS"/>
                  </w:rPr>
                  <w:t>ha</w:t>
                </w:r>
                <w:r w:rsidR="00AA0AB4" w:rsidRPr="00541DC8">
                  <w:rPr>
                    <w:rFonts w:ascii="Times New Roman" w:hAnsi="Times New Roman" w:cs="Times New Roman"/>
                    <w:lang w:val="is-IS"/>
                  </w:rPr>
                  <w:t>fa</w:t>
                </w:r>
                <w:r w:rsidR="009E0D60" w:rsidRPr="00541DC8">
                  <w:rPr>
                    <w:rFonts w:ascii="Times New Roman" w:hAnsi="Times New Roman" w:cs="Times New Roman"/>
                    <w:lang w:val="is-IS"/>
                  </w:rPr>
                  <w:t xml:space="preserve"> í sinni vörslu</w:t>
                </w:r>
                <w:r w:rsidR="00C105CE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tiltekið hlutfall </w:t>
                </w:r>
                <w:r w:rsidR="00236467" w:rsidRPr="00541DC8">
                  <w:rPr>
                    <w:rFonts w:ascii="Times New Roman" w:hAnsi="Times New Roman" w:cs="Times New Roman"/>
                    <w:lang w:val="is-IS"/>
                  </w:rPr>
                  <w:t>innlána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E0D60" w:rsidRPr="00541DC8">
                  <w:rPr>
                    <w:rFonts w:ascii="Times New Roman" w:hAnsi="Times New Roman" w:cs="Times New Roman"/>
                    <w:lang w:val="is-IS"/>
                  </w:rPr>
                  <w:t>hjá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innlánsstofn</w:t>
                </w:r>
                <w:r w:rsidR="009E0D60" w:rsidRPr="00541DC8">
                  <w:rPr>
                    <w:rFonts w:ascii="Times New Roman" w:hAnsi="Times New Roman" w:cs="Times New Roman"/>
                    <w:lang w:val="is-IS"/>
                  </w:rPr>
                  <w:t>unum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hér á landi</w:t>
                </w:r>
                <w:r w:rsidR="00AD11BD" w:rsidRPr="00541DC8">
                  <w:rPr>
                    <w:rFonts w:ascii="Times New Roman" w:hAnsi="Times New Roman" w:cs="Times New Roman"/>
                    <w:lang w:val="is-IS"/>
                  </w:rPr>
                  <w:t xml:space="preserve"> eða eru kerfislega mikilvægar.</w:t>
                </w:r>
              </w:p>
              <w:p w14:paraId="1B922A71" w14:textId="37D0F684" w:rsidR="004E7680" w:rsidRPr="00541DC8" w:rsidRDefault="0006694C" w:rsidP="004E7680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>Hvaða starfsemi á að takmarka</w:t>
                </w:r>
                <w:r w:rsidR="001C2C0A"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? </w:t>
                </w:r>
              </w:p>
              <w:p w14:paraId="0C787FAE" w14:textId="06684D6F" w:rsidR="00870CA8" w:rsidRPr="00541DC8" w:rsidRDefault="009C33A8" w:rsidP="004E7680">
                <w:pPr>
                  <w:pStyle w:val="ListParagraph"/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Fjárfestingarbankastarfsemi er af margvíslegum toga. Til hennar má meðal annars telja fyrirtækjaráðgjöf, eignastýring</w:t>
                </w:r>
                <w:r w:rsidR="00C8409E" w:rsidRPr="00541DC8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, fjárfestingarráðgjöf, rekstur sjóða, millig</w:t>
                </w:r>
                <w:r w:rsidR="00C8409E" w:rsidRPr="00541DC8">
                  <w:rPr>
                    <w:rFonts w:ascii="Times New Roman" w:hAnsi="Times New Roman" w:cs="Times New Roman"/>
                    <w:lang w:val="is-IS"/>
                  </w:rPr>
                  <w:t>öngu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með viðskipti á </w:t>
                </w:r>
                <w:r w:rsidR="00C8409E" w:rsidRPr="00541DC8">
                  <w:rPr>
                    <w:rFonts w:ascii="Times New Roman" w:hAnsi="Times New Roman" w:cs="Times New Roman"/>
                    <w:lang w:val="is-IS"/>
                  </w:rPr>
                  <w:t>verðbréfum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541DC8">
                  <w:t xml:space="preserve"> 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eigin viðskipti með verðbréf, viðskiptavakt, sölutrygging</w:t>
                </w:r>
                <w:r w:rsidR="00FB7BCE" w:rsidRPr="00541DC8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verðbréfa og afleiðuviðskipti</w:t>
                </w:r>
                <w:r w:rsidR="00FB7BCE" w:rsidRPr="00541DC8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870CA8" w:rsidRPr="00541DC8">
                  <w:rPr>
                    <w:rFonts w:ascii="Times New Roman" w:hAnsi="Times New Roman" w:cs="Times New Roman"/>
                    <w:lang w:val="is-IS"/>
                  </w:rPr>
                  <w:t xml:space="preserve">Afmarka </w:t>
                </w:r>
                <w:r w:rsidR="00C26224" w:rsidRPr="00541DC8">
                  <w:rPr>
                    <w:rFonts w:ascii="Times New Roman" w:hAnsi="Times New Roman" w:cs="Times New Roman"/>
                    <w:lang w:val="is-IS"/>
                  </w:rPr>
                  <w:t xml:space="preserve">þarf </w:t>
                </w:r>
                <w:r w:rsidR="00870CA8" w:rsidRPr="00541DC8">
                  <w:rPr>
                    <w:rFonts w:ascii="Times New Roman" w:hAnsi="Times New Roman" w:cs="Times New Roman"/>
                    <w:lang w:val="is-IS"/>
                  </w:rPr>
                  <w:t>hvaða starfsemi</w:t>
                </w:r>
                <w:r w:rsidR="00B863F2" w:rsidRPr="00541DC8">
                  <w:rPr>
                    <w:rFonts w:ascii="Times New Roman" w:hAnsi="Times New Roman" w:cs="Times New Roman"/>
                    <w:lang w:val="is-IS"/>
                  </w:rPr>
                  <w:t xml:space="preserve"> eigi að </w:t>
                </w:r>
                <w:r w:rsidR="00A07187" w:rsidRPr="00541DC8">
                  <w:rPr>
                    <w:rFonts w:ascii="Times New Roman" w:hAnsi="Times New Roman" w:cs="Times New Roman"/>
                    <w:lang w:val="is-IS"/>
                  </w:rPr>
                  <w:t>takmarka</w:t>
                </w:r>
                <w:r w:rsidR="00870CA8"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4125D029" w14:textId="33EDE27E" w:rsidR="004E7680" w:rsidRPr="00541DC8" w:rsidRDefault="00F06C9F" w:rsidP="004E7680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Hvert á </w:t>
                </w:r>
                <w:r w:rsidR="00402668">
                  <w:rPr>
                    <w:rFonts w:ascii="Times New Roman" w:hAnsi="Times New Roman" w:cs="Times New Roman"/>
                    <w:i/>
                    <w:lang w:val="is-IS"/>
                  </w:rPr>
                  <w:t>hámarks</w:t>
                </w: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>hlutfall</w:t>
                </w:r>
                <w:r w:rsidR="00A73D67"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 takmarkaðrar starfsemi</w:t>
                </w: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 að vera? </w:t>
                </w:r>
              </w:p>
              <w:p w14:paraId="46EC837C" w14:textId="5EF52D2A" w:rsidR="00F06C9F" w:rsidRPr="00541DC8" w:rsidRDefault="00365713" w:rsidP="004E7680">
                <w:pPr>
                  <w:pStyle w:val="ListParagraph"/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Ákveða</w:t>
                </w:r>
                <w:r w:rsidR="00F06C9F" w:rsidRPr="00541DC8">
                  <w:rPr>
                    <w:rFonts w:ascii="Times New Roman" w:hAnsi="Times New Roman" w:cs="Times New Roman"/>
                    <w:lang w:val="is-IS"/>
                  </w:rPr>
                  <w:t xml:space="preserve"> þarf hvaða stærðir eigi að vera í teljara og nefnara hlutfalls</w:t>
                </w:r>
                <w:r w:rsidR="00B42B71" w:rsidRPr="00541DC8">
                  <w:rPr>
                    <w:rFonts w:ascii="Times New Roman" w:hAnsi="Times New Roman" w:cs="Times New Roman"/>
                    <w:lang w:val="is-IS"/>
                  </w:rPr>
                  <w:t>ins</w:t>
                </w:r>
                <w:r w:rsidR="00F06C9F" w:rsidRPr="00541DC8">
                  <w:rPr>
                    <w:rFonts w:ascii="Times New Roman" w:hAnsi="Times New Roman" w:cs="Times New Roman"/>
                    <w:lang w:val="is-IS"/>
                  </w:rPr>
                  <w:t xml:space="preserve"> og hvert</w:t>
                </w:r>
                <w:r w:rsidR="00044C69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87673" w:rsidRPr="00541DC8">
                  <w:rPr>
                    <w:rFonts w:ascii="Times New Roman" w:hAnsi="Times New Roman" w:cs="Times New Roman"/>
                    <w:lang w:val="is-IS"/>
                  </w:rPr>
                  <w:t>hámarks</w:t>
                </w:r>
                <w:r w:rsidR="00F06C9F" w:rsidRPr="00541DC8">
                  <w:rPr>
                    <w:rFonts w:ascii="Times New Roman" w:hAnsi="Times New Roman" w:cs="Times New Roman"/>
                    <w:lang w:val="is-IS"/>
                  </w:rPr>
                  <w:t>hlutfall</w:t>
                </w:r>
                <w:r w:rsidR="00D87673" w:rsidRPr="00541DC8">
                  <w:rPr>
                    <w:rFonts w:ascii="Times New Roman" w:hAnsi="Times New Roman" w:cs="Times New Roman"/>
                    <w:lang w:val="is-IS"/>
                  </w:rPr>
                  <w:t>ið</w:t>
                </w:r>
                <w:r w:rsidR="00F06C9F" w:rsidRPr="00541DC8">
                  <w:rPr>
                    <w:rFonts w:ascii="Times New Roman" w:hAnsi="Times New Roman" w:cs="Times New Roman"/>
                    <w:lang w:val="is-IS"/>
                  </w:rPr>
                  <w:t xml:space="preserve"> eigi að vera. Mögulegt væri að hafa mismunandi hlutföll, svo sem með tilliti til hlutfalls innlána af heildarskuldbindingum innlánsstofnunar.</w:t>
                </w:r>
              </w:p>
              <w:p w14:paraId="05624432" w14:textId="77777777" w:rsidR="004E7680" w:rsidRPr="00541DC8" w:rsidRDefault="005904C7" w:rsidP="004E7680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>Hvað gerist ef innlánsstofnun nálgast hámarkið?</w:t>
                </w:r>
                <w:r w:rsidR="00E1716F"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 </w:t>
                </w:r>
              </w:p>
              <w:p w14:paraId="2C9B8FC3" w14:textId="5BB9CD31" w:rsidR="005904C7" w:rsidRPr="00541DC8" w:rsidRDefault="00E1716F" w:rsidP="004E7680">
                <w:pPr>
                  <w:pStyle w:val="ListParagraph"/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Ákveða þarf hvað</w:t>
                </w:r>
                <w:r w:rsidR="00A535B8" w:rsidRPr="00541DC8">
                  <w:rPr>
                    <w:rFonts w:ascii="Times New Roman" w:hAnsi="Times New Roman" w:cs="Times New Roman"/>
                    <w:lang w:val="is-IS"/>
                  </w:rPr>
                  <w:t xml:space="preserve"> skuli gert ef innlánsstofnun nálgast hámark</w:t>
                </w:r>
                <w:r w:rsidR="00972F1E" w:rsidRPr="00541DC8">
                  <w:rPr>
                    <w:rFonts w:ascii="Times New Roman" w:hAnsi="Times New Roman" w:cs="Times New Roman"/>
                    <w:lang w:val="is-IS"/>
                  </w:rPr>
                  <w:t>shlutfallið</w:t>
                </w:r>
                <w:r w:rsidR="00A535B8"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72701E02" w14:textId="77777777" w:rsidR="004E7680" w:rsidRPr="00541DC8" w:rsidRDefault="00E1716F" w:rsidP="004E7680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Hvernig </w:t>
                </w:r>
                <w:r w:rsidR="00A535B8" w:rsidRPr="00541DC8">
                  <w:rPr>
                    <w:rFonts w:ascii="Times New Roman" w:hAnsi="Times New Roman" w:cs="Times New Roman"/>
                    <w:i/>
                    <w:lang w:val="is-IS"/>
                  </w:rPr>
                  <w:t>skal eftirliti og viðurlögum fyrir brot háttað?</w:t>
                </w:r>
                <w:r w:rsidR="00A535B8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7B2B0213" w14:textId="266BED16" w:rsidR="00F17284" w:rsidRPr="00541DC8" w:rsidRDefault="000123F2" w:rsidP="004E7680">
                <w:pPr>
                  <w:pStyle w:val="ListParagraph"/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Tilgreina þarf eftirlitsaðila og a</w:t>
                </w:r>
                <w:r w:rsidR="00A535B8" w:rsidRPr="00541DC8">
                  <w:rPr>
                    <w:rFonts w:ascii="Times New Roman" w:hAnsi="Times New Roman" w:cs="Times New Roman"/>
                    <w:lang w:val="is-IS"/>
                  </w:rPr>
                  <w:t>fmarka hvernig upplýsingagjöf innlánsstofnana til eftirlitsaðila verði háttað. Gera mætti innlánsstofnunum að birta upplýsingar um hlutfall</w:t>
                </w:r>
                <w:r w:rsidR="007C4BFE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72002" w:rsidRPr="00541DC8">
                  <w:rPr>
                    <w:rFonts w:ascii="Times New Roman" w:hAnsi="Times New Roman" w:cs="Times New Roman"/>
                    <w:lang w:val="is-IS"/>
                  </w:rPr>
                  <w:t>viðkomandi fjárfestingarbankastarfsemi</w:t>
                </w:r>
                <w:r w:rsidR="00A535B8" w:rsidRPr="00541DC8">
                  <w:rPr>
                    <w:rFonts w:ascii="Times New Roman" w:hAnsi="Times New Roman" w:cs="Times New Roman"/>
                    <w:lang w:val="is-IS"/>
                  </w:rPr>
                  <w:t xml:space="preserve">, svo sem í áhættuskýrslu. </w:t>
                </w:r>
                <w:r w:rsidR="009E7DEC" w:rsidRPr="00541DC8">
                  <w:rPr>
                    <w:rFonts w:ascii="Times New Roman" w:hAnsi="Times New Roman" w:cs="Times New Roman"/>
                    <w:lang w:val="is-IS"/>
                  </w:rPr>
                  <w:t>B</w:t>
                </w:r>
                <w:r w:rsidR="00A535B8" w:rsidRPr="00541DC8">
                  <w:rPr>
                    <w:rFonts w:ascii="Times New Roman" w:hAnsi="Times New Roman" w:cs="Times New Roman"/>
                    <w:lang w:val="is-IS"/>
                  </w:rPr>
                  <w:t xml:space="preserve">rot </w:t>
                </w:r>
                <w:r w:rsidR="009E7DEC" w:rsidRPr="00541DC8">
                  <w:rPr>
                    <w:rFonts w:ascii="Times New Roman" w:hAnsi="Times New Roman" w:cs="Times New Roman"/>
                    <w:lang w:val="is-IS"/>
                  </w:rPr>
                  <w:t xml:space="preserve">gætu </w:t>
                </w:r>
                <w:r w:rsidR="00A535B8" w:rsidRPr="00541DC8">
                  <w:rPr>
                    <w:rFonts w:ascii="Times New Roman" w:hAnsi="Times New Roman" w:cs="Times New Roman"/>
                    <w:lang w:val="is-IS"/>
                  </w:rPr>
                  <w:t>varða stjórnvaldssektum sem eftirlitsaðili leggur á og/eða sektum og fangelsi.</w:t>
                </w:r>
              </w:p>
            </w:sdtContent>
          </w:sdt>
          <w:bookmarkEnd w:id="1" w:displacedByCustomXml="prev"/>
        </w:tc>
      </w:tr>
      <w:tr w:rsidR="00F17284" w:rsidRPr="00541DC8" w14:paraId="6E5013D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C784DDE" w14:textId="3AF3DC1F" w:rsidR="00F17284" w:rsidRPr="00541DC8" w:rsidRDefault="00F17284" w:rsidP="004E768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F17284" w:rsidRPr="00541DC8" w14:paraId="2685DEFB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1150E6C" w14:textId="43079612" w:rsidR="00F17284" w:rsidRPr="00541DC8" w:rsidRDefault="00F17284" w:rsidP="004E7680">
                <w:pPr>
                  <w:pStyle w:val="ListParagraph"/>
                  <w:numPr>
                    <w:ilvl w:val="0"/>
                    <w:numId w:val="23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4AF093CD" w14:textId="04773F10" w:rsidR="00050D5E" w:rsidRPr="00541DC8" w:rsidRDefault="00050D5E" w:rsidP="004E7680">
                <w:pPr>
                  <w:pStyle w:val="ListParagraph"/>
                  <w:numPr>
                    <w:ilvl w:val="0"/>
                    <w:numId w:val="27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>Form</w:t>
                </w:r>
              </w:p>
              <w:p w14:paraId="4D323D45" w14:textId="6B292AB4" w:rsidR="00050D5E" w:rsidRPr="00541DC8" w:rsidRDefault="00E26E7E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Áformin lúta að starfsheimildum innlánsstofnana sem eru afmarkaðar í </w:t>
                </w:r>
                <w:hyperlink r:id="rId13" w:history="1">
                  <w:r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lögum um fjármálafyrirtæki, nr. 161/2002</w:t>
                  </w:r>
                </w:hyperlink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. Því </w:t>
                </w:r>
                <w:r w:rsidR="00400FE3" w:rsidRPr="00541DC8">
                  <w:rPr>
                    <w:rFonts w:ascii="Times New Roman" w:hAnsi="Times New Roman" w:cs="Times New Roman"/>
                    <w:lang w:val="is-IS"/>
                  </w:rPr>
                  <w:t>liggur beinast við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að </w:t>
                </w:r>
                <w:r w:rsidR="00400FE3" w:rsidRPr="00541DC8">
                  <w:rPr>
                    <w:rFonts w:ascii="Times New Roman" w:hAnsi="Times New Roman" w:cs="Times New Roman"/>
                    <w:lang w:val="is-IS"/>
                  </w:rPr>
                  <w:t>breyta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00FE3" w:rsidRPr="00541DC8">
                  <w:rPr>
                    <w:rFonts w:ascii="Times New Roman" w:hAnsi="Times New Roman" w:cs="Times New Roman"/>
                    <w:lang w:val="is-IS"/>
                  </w:rPr>
                  <w:t xml:space="preserve">þeim 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lögum, svo sem A-hluta IV. kafla sem fjallar um starfsheimildir viðskiptabanka, sparisjóða og lánafyrirtækja. Líklega verður </w:t>
                </w:r>
                <w:r w:rsidR="003654BF" w:rsidRPr="00541DC8">
                  <w:rPr>
                    <w:rFonts w:ascii="Times New Roman" w:hAnsi="Times New Roman" w:cs="Times New Roman"/>
                    <w:lang w:val="is-IS"/>
                  </w:rPr>
                  <w:t>eftirlitsaðila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falið að útfæra nánar tilgreind atriði í reglum.</w:t>
                </w:r>
                <w:r w:rsidR="00050D5E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16329473" w14:textId="135A3A8B" w:rsidR="00BA738E" w:rsidRPr="00541DC8" w:rsidRDefault="00C05CE9" w:rsidP="004E7680">
                <w:pPr>
                  <w:pStyle w:val="ListParagraph"/>
                  <w:numPr>
                    <w:ilvl w:val="0"/>
                    <w:numId w:val="27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>Efni</w:t>
                </w:r>
              </w:p>
              <w:p w14:paraId="4D21B956" w14:textId="6B22B3B8" w:rsidR="004E7680" w:rsidRPr="00541DC8" w:rsidRDefault="00BA738E" w:rsidP="004E7680">
                <w:pPr>
                  <w:pStyle w:val="ListParagraph"/>
                  <w:numPr>
                    <w:ilvl w:val="0"/>
                    <w:numId w:val="29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Til hverra </w:t>
                </w:r>
                <w:r w:rsidR="00C26224" w:rsidRPr="00541DC8">
                  <w:rPr>
                    <w:rFonts w:ascii="Times New Roman" w:hAnsi="Times New Roman" w:cs="Times New Roman"/>
                    <w:i/>
                    <w:lang w:val="is-IS"/>
                  </w:rPr>
                  <w:t>á takmörkunin</w:t>
                </w: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 að ná? </w:t>
                </w:r>
              </w:p>
              <w:p w14:paraId="2D75BEB8" w14:textId="1465386F" w:rsidR="00BA738E" w:rsidRPr="00541DC8" w:rsidRDefault="00675D19" w:rsidP="004E7680">
                <w:pPr>
                  <w:pStyle w:val="ListParagraph"/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Til samræmis við tillögu hvítbókarinnar er f</w:t>
                </w:r>
                <w:r w:rsidR="00BA738E" w:rsidRPr="00541DC8">
                  <w:rPr>
                    <w:rFonts w:ascii="Times New Roman" w:hAnsi="Times New Roman" w:cs="Times New Roman"/>
                    <w:lang w:val="is-IS"/>
                  </w:rPr>
                  <w:t xml:space="preserve">yrirhugað er að 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láta takmörkunina ná til</w:t>
                </w:r>
                <w:r w:rsidR="00BA738E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A0998" w:rsidRPr="00541DC8">
                  <w:rPr>
                    <w:rFonts w:ascii="Times New Roman" w:hAnsi="Times New Roman" w:cs="Times New Roman"/>
                    <w:lang w:val="is-IS"/>
                  </w:rPr>
                  <w:t>innlánsstofna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na</w:t>
                </w:r>
                <w:r w:rsidR="008A0998" w:rsidRPr="00541DC8">
                  <w:rPr>
                    <w:rFonts w:ascii="Times New Roman" w:hAnsi="Times New Roman" w:cs="Times New Roman"/>
                    <w:lang w:val="is-IS"/>
                  </w:rPr>
                  <w:t xml:space="preserve"> sem </w:t>
                </w:r>
                <w:r w:rsidR="00057188" w:rsidRPr="00541DC8">
                  <w:rPr>
                    <w:rFonts w:ascii="Times New Roman" w:hAnsi="Times New Roman" w:cs="Times New Roman"/>
                    <w:lang w:val="is-IS"/>
                  </w:rPr>
                  <w:t xml:space="preserve">fjármálastöðugleikaráð hefur </w:t>
                </w:r>
                <w:r w:rsidR="008A0998" w:rsidRPr="00541DC8">
                  <w:rPr>
                    <w:rFonts w:ascii="Times New Roman" w:hAnsi="Times New Roman" w:cs="Times New Roman"/>
                    <w:lang w:val="is-IS"/>
                  </w:rPr>
                  <w:t>skilgrein</w:t>
                </w:r>
                <w:r w:rsidR="00057188" w:rsidRPr="00541DC8">
                  <w:rPr>
                    <w:rFonts w:ascii="Times New Roman" w:hAnsi="Times New Roman" w:cs="Times New Roman"/>
                    <w:lang w:val="is-IS"/>
                  </w:rPr>
                  <w:t>t</w:t>
                </w:r>
                <w:r w:rsidR="008A0998" w:rsidRPr="00541DC8">
                  <w:rPr>
                    <w:rFonts w:ascii="Times New Roman" w:hAnsi="Times New Roman" w:cs="Times New Roman"/>
                    <w:lang w:val="is-IS"/>
                  </w:rPr>
                  <w:t xml:space="preserve"> sem </w:t>
                </w:r>
                <w:r w:rsidR="00BA738E" w:rsidRPr="00541DC8">
                  <w:rPr>
                    <w:rFonts w:ascii="Times New Roman" w:hAnsi="Times New Roman" w:cs="Times New Roman"/>
                    <w:lang w:val="is-IS"/>
                  </w:rPr>
                  <w:t xml:space="preserve">kerfislega mikilvægar </w:t>
                </w:r>
                <w:r w:rsidR="008A0998" w:rsidRPr="00541DC8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samkvæmt </w:t>
                </w:r>
                <w:hyperlink r:id="rId14" w:history="1">
                  <w:r w:rsidR="008A0998"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lögum um fjármálastöðugleikaráð, nr. 66/2014</w:t>
                  </w:r>
                </w:hyperlink>
                <w:r w:rsidR="00BA738E" w:rsidRPr="00541DC8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057188" w:rsidRPr="00541DC8">
                  <w:rPr>
                    <w:rFonts w:ascii="Times New Roman" w:eastAsia="Calibri" w:hAnsi="Times New Roman" w:cs="Times New Roman"/>
                    <w:lang w:val="is-IS"/>
                  </w:rPr>
                  <w:t xml:space="preserve">Sem stendur eru Arion banki hf., Íslandsbanki hf. og Landsbankinn hf. </w:t>
                </w:r>
                <w:hyperlink r:id="rId15" w:history="1">
                  <w:r w:rsidR="00057188" w:rsidRPr="00541DC8">
                    <w:rPr>
                      <w:rFonts w:ascii="Times New Roman" w:eastAsia="Calibri" w:hAnsi="Times New Roman" w:cs="Times New Roman"/>
                      <w:color w:val="0563C1"/>
                      <w:u w:val="single"/>
                      <w:lang w:val="is-IS"/>
                    </w:rPr>
                    <w:t>skilgreindir</w:t>
                  </w:r>
                </w:hyperlink>
                <w:r w:rsidR="00057188" w:rsidRPr="00541DC8">
                  <w:rPr>
                    <w:rFonts w:ascii="Times New Roman" w:eastAsia="Calibri" w:hAnsi="Times New Roman" w:cs="Times New Roman"/>
                    <w:lang w:val="is-IS"/>
                  </w:rPr>
                  <w:t xml:space="preserve"> svo. </w:t>
                </w:r>
                <w:r w:rsidR="00BA738E" w:rsidRPr="00541DC8">
                  <w:rPr>
                    <w:rFonts w:ascii="Times New Roman" w:hAnsi="Times New Roman" w:cs="Times New Roman"/>
                    <w:lang w:val="is-IS"/>
                  </w:rPr>
                  <w:t xml:space="preserve">Viðhald fjármálastöðugleika er ekki talið kalla á að 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takmörkunin nái til </w:t>
                </w:r>
                <w:r w:rsidR="00BA738E" w:rsidRPr="00541DC8">
                  <w:rPr>
                    <w:rFonts w:ascii="Times New Roman" w:hAnsi="Times New Roman" w:cs="Times New Roman"/>
                    <w:lang w:val="is-IS"/>
                  </w:rPr>
                  <w:t>innlánsstofna</w:t>
                </w:r>
                <w:r w:rsidR="00E409C8" w:rsidRPr="00541DC8">
                  <w:rPr>
                    <w:rFonts w:ascii="Times New Roman" w:hAnsi="Times New Roman" w:cs="Times New Roman"/>
                    <w:lang w:val="is-IS"/>
                  </w:rPr>
                  <w:t>na</w:t>
                </w:r>
                <w:r w:rsidR="00BA738E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C6C4F" w:rsidRPr="00541DC8">
                  <w:rPr>
                    <w:rFonts w:ascii="Times New Roman" w:hAnsi="Times New Roman" w:cs="Times New Roman"/>
                    <w:lang w:val="is-IS"/>
                  </w:rPr>
                  <w:t>sem eru ekki kerfislega mikilvægar</w:t>
                </w:r>
                <w:r w:rsidR="00BA738E"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430AEFD8" w14:textId="5B4F6804" w:rsidR="004E7680" w:rsidRPr="00541DC8" w:rsidRDefault="005926E6" w:rsidP="004E7680">
                <w:pPr>
                  <w:pStyle w:val="ListParagraph"/>
                  <w:numPr>
                    <w:ilvl w:val="0"/>
                    <w:numId w:val="29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>Hvaða starfsemi á að takmarka?</w:t>
                </w:r>
                <w:r w:rsidR="00133FFC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594AA3DB" w14:textId="7166A6E2" w:rsidR="00133FFC" w:rsidRPr="00541DC8" w:rsidRDefault="008A0998" w:rsidP="004E7680">
                <w:pPr>
                  <w:pStyle w:val="ListParagraph"/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Fyrirhugað er að </w:t>
                </w:r>
                <w:r w:rsidR="005926E6" w:rsidRPr="00541DC8">
                  <w:rPr>
                    <w:rFonts w:ascii="Times New Roman" w:hAnsi="Times New Roman" w:cs="Times New Roman"/>
                    <w:lang w:val="is-IS"/>
                  </w:rPr>
                  <w:t>takmarka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bein</w:t>
                </w:r>
                <w:r w:rsidR="005926E6" w:rsidRPr="00541DC8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og óbein</w:t>
                </w:r>
                <w:r w:rsidR="005926E6" w:rsidRPr="00541DC8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stöðutöku til samræmis við tillögu hvítbókar</w:t>
                </w:r>
                <w:r w:rsidR="00C327F4" w:rsidRPr="00541DC8">
                  <w:rPr>
                    <w:rFonts w:ascii="Times New Roman" w:hAnsi="Times New Roman" w:cs="Times New Roman"/>
                    <w:lang w:val="is-IS"/>
                  </w:rPr>
                  <w:t>innar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6C1435" w:rsidRPr="00541DC8">
                  <w:rPr>
                    <w:rFonts w:ascii="Times New Roman" w:hAnsi="Times New Roman" w:cs="Times New Roman"/>
                    <w:lang w:val="is-IS"/>
                  </w:rPr>
                  <w:t xml:space="preserve"> Með beinni stöðutöku er átt við </w:t>
                </w:r>
                <w:r w:rsidR="0064315C" w:rsidRPr="00541DC8">
                  <w:rPr>
                    <w:rFonts w:ascii="Times New Roman" w:hAnsi="Times New Roman" w:cs="Times New Roman"/>
                    <w:lang w:val="is-IS"/>
                  </w:rPr>
                  <w:t>eigin viðskipti innlánsstofnunar</w:t>
                </w:r>
                <w:r w:rsidR="00CD7B07">
                  <w:rPr>
                    <w:rFonts w:ascii="Times New Roman" w:hAnsi="Times New Roman" w:cs="Times New Roman"/>
                    <w:lang w:val="is-IS"/>
                  </w:rPr>
                  <w:t xml:space="preserve"> sem leiða til beinnar áhættu fyrir efnahag </w:t>
                </w:r>
                <w:r w:rsidR="00492C78">
                  <w:rPr>
                    <w:rFonts w:ascii="Times New Roman" w:hAnsi="Times New Roman" w:cs="Times New Roman"/>
                    <w:lang w:val="is-IS"/>
                  </w:rPr>
                  <w:t>hennar</w:t>
                </w:r>
                <w:r w:rsidR="006C1435" w:rsidRPr="00541DC8">
                  <w:rPr>
                    <w:rFonts w:ascii="Times New Roman" w:hAnsi="Times New Roman" w:cs="Times New Roman"/>
                    <w:lang w:val="is-IS"/>
                  </w:rPr>
                  <w:t>. Með óbeinni stöðutöku er átt við lánveitingar sem fela í sér hliðstæða áhættu</w:t>
                </w:r>
                <w:r w:rsidR="00FE5AB4" w:rsidRPr="00541DC8">
                  <w:rPr>
                    <w:rFonts w:ascii="Times New Roman" w:hAnsi="Times New Roman" w:cs="Times New Roman"/>
                    <w:lang w:val="is-IS"/>
                  </w:rPr>
                  <w:t xml:space="preserve"> fyrir innlánsstofnun</w:t>
                </w:r>
                <w:r w:rsidR="005458AF" w:rsidRPr="00541DC8">
                  <w:rPr>
                    <w:rFonts w:ascii="Times New Roman" w:hAnsi="Times New Roman" w:cs="Times New Roman"/>
                    <w:lang w:val="is-IS"/>
                  </w:rPr>
                  <w:t>, svo sem lán sem er</w:t>
                </w:r>
                <w:r w:rsidR="00CF3749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="005458AF" w:rsidRPr="00541DC8">
                  <w:rPr>
                    <w:rFonts w:ascii="Times New Roman" w:hAnsi="Times New Roman" w:cs="Times New Roman"/>
                    <w:lang w:val="is-IS"/>
                  </w:rPr>
                  <w:t xml:space="preserve"> aðeins trygg</w:t>
                </w:r>
                <w:r w:rsidR="00CF3749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5458AF" w:rsidRPr="00541DC8">
                  <w:rPr>
                    <w:rFonts w:ascii="Times New Roman" w:hAnsi="Times New Roman" w:cs="Times New Roman"/>
                    <w:lang w:val="is-IS"/>
                  </w:rPr>
                  <w:t xml:space="preserve"> með veði í verðbréfum eða lán til eignarhaldsfélag</w:t>
                </w:r>
                <w:r w:rsidR="00EE2AF3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5458AF" w:rsidRPr="00541DC8">
                  <w:rPr>
                    <w:rFonts w:ascii="Times New Roman" w:hAnsi="Times New Roman" w:cs="Times New Roman"/>
                    <w:lang w:val="is-IS"/>
                  </w:rPr>
                  <w:t xml:space="preserve"> til kaupa á verðbréfum.</w:t>
                </w:r>
                <w:r w:rsidR="00483049" w:rsidRPr="00541DC8">
                  <w:rPr>
                    <w:rFonts w:ascii="Times New Roman" w:hAnsi="Times New Roman" w:cs="Times New Roman"/>
                    <w:lang w:val="is-IS"/>
                  </w:rPr>
                  <w:t xml:space="preserve"> Með tilliti til </w:t>
                </w:r>
                <w:r w:rsidR="00426D4B" w:rsidRPr="00541DC8">
                  <w:rPr>
                    <w:rFonts w:ascii="Times New Roman" w:hAnsi="Times New Roman" w:cs="Times New Roman"/>
                    <w:lang w:val="is-IS"/>
                  </w:rPr>
                  <w:t xml:space="preserve">þess </w:t>
                </w:r>
                <w:r w:rsidR="00483049" w:rsidRPr="00541DC8">
                  <w:rPr>
                    <w:rFonts w:ascii="Times New Roman" w:hAnsi="Times New Roman" w:cs="Times New Roman"/>
                    <w:lang w:val="is-IS"/>
                  </w:rPr>
                  <w:t>markmið</w:t>
                </w:r>
                <w:r w:rsidR="00426D4B" w:rsidRPr="00541DC8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483049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94F79" w:rsidRPr="00541DC8">
                  <w:rPr>
                    <w:rFonts w:ascii="Times New Roman" w:hAnsi="Times New Roman" w:cs="Times New Roman"/>
                    <w:lang w:val="is-IS"/>
                  </w:rPr>
                  <w:t>áformanna</w:t>
                </w:r>
                <w:r w:rsidR="00426D4B" w:rsidRPr="00541DC8">
                  <w:rPr>
                    <w:rFonts w:ascii="Times New Roman" w:hAnsi="Times New Roman" w:cs="Times New Roman"/>
                    <w:lang w:val="is-IS"/>
                  </w:rPr>
                  <w:t xml:space="preserve"> að </w:t>
                </w:r>
                <w:r w:rsidR="00F94F79" w:rsidRPr="00541DC8">
                  <w:rPr>
                    <w:rFonts w:ascii="Times New Roman" w:hAnsi="Times New Roman" w:cs="Times New Roman"/>
                    <w:lang w:val="is-IS"/>
                  </w:rPr>
                  <w:t>takmarka áhættu innstæðueigenda og ríkissjóðs</w:t>
                </w:r>
                <w:r w:rsidR="00483049" w:rsidRPr="00541DC8">
                  <w:rPr>
                    <w:rFonts w:ascii="Times New Roman" w:hAnsi="Times New Roman" w:cs="Times New Roman"/>
                    <w:lang w:val="is-IS"/>
                  </w:rPr>
                  <w:t xml:space="preserve"> er ekki tali</w:t>
                </w:r>
                <w:r w:rsidR="00151761" w:rsidRPr="00541DC8">
                  <w:rPr>
                    <w:rFonts w:ascii="Times New Roman" w:hAnsi="Times New Roman" w:cs="Times New Roman"/>
                    <w:lang w:val="is-IS"/>
                  </w:rPr>
                  <w:t>n</w:t>
                </w:r>
                <w:r w:rsidR="00483049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51761" w:rsidRPr="00541DC8">
                  <w:rPr>
                    <w:rFonts w:ascii="Times New Roman" w:hAnsi="Times New Roman" w:cs="Times New Roman"/>
                    <w:lang w:val="is-IS"/>
                  </w:rPr>
                  <w:t>þörf á</w:t>
                </w:r>
                <w:r w:rsidR="00483049" w:rsidRPr="00541DC8">
                  <w:rPr>
                    <w:rFonts w:ascii="Times New Roman" w:hAnsi="Times New Roman" w:cs="Times New Roman"/>
                    <w:lang w:val="is-IS"/>
                  </w:rPr>
                  <w:t xml:space="preserve"> að láta </w:t>
                </w:r>
                <w:r w:rsidR="00C26224" w:rsidRPr="00541DC8">
                  <w:rPr>
                    <w:rFonts w:ascii="Times New Roman" w:hAnsi="Times New Roman" w:cs="Times New Roman"/>
                    <w:lang w:val="is-IS"/>
                  </w:rPr>
                  <w:t>takmörkunina</w:t>
                </w:r>
                <w:r w:rsidR="00483049" w:rsidRPr="00541DC8">
                  <w:rPr>
                    <w:rFonts w:ascii="Times New Roman" w:hAnsi="Times New Roman" w:cs="Times New Roman"/>
                    <w:lang w:val="is-IS"/>
                  </w:rPr>
                  <w:t xml:space="preserve"> ná til áhættuminni fjárfestingarbankastarfsemi.</w:t>
                </w:r>
              </w:p>
              <w:p w14:paraId="34EAA962" w14:textId="4AE35372" w:rsidR="004E7680" w:rsidRPr="00541DC8" w:rsidRDefault="006138EA" w:rsidP="004E7680">
                <w:pPr>
                  <w:pStyle w:val="ListParagraph"/>
                  <w:numPr>
                    <w:ilvl w:val="0"/>
                    <w:numId w:val="29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Hvert á </w:t>
                </w:r>
                <w:r w:rsidR="00402668">
                  <w:rPr>
                    <w:rFonts w:ascii="Times New Roman" w:hAnsi="Times New Roman" w:cs="Times New Roman"/>
                    <w:i/>
                    <w:lang w:val="is-IS"/>
                  </w:rPr>
                  <w:t>hámarks</w:t>
                </w:r>
                <w:r w:rsidR="00402668"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hlutfall </w:t>
                </w: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>takmarkaðrar starfsemi að vera?</w:t>
                </w:r>
                <w:r w:rsidR="00C44FBE"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 </w:t>
                </w:r>
              </w:p>
              <w:p w14:paraId="001067EE" w14:textId="071A7224" w:rsidR="00C44FBE" w:rsidRPr="00541DC8" w:rsidRDefault="00564C97" w:rsidP="004E7680">
                <w:pPr>
                  <w:pStyle w:val="ListParagraph"/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Gert er ráð fyrir að miða við hlutfall </w:t>
                </w:r>
                <w:r w:rsidR="009044BA" w:rsidRPr="00541DC8">
                  <w:rPr>
                    <w:rFonts w:ascii="Times New Roman" w:hAnsi="Times New Roman" w:cs="Times New Roman"/>
                    <w:lang w:val="is-IS"/>
                  </w:rPr>
                  <w:t>eiginfjárþarfar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vegna stöðutöku af eiginfjárgrunni</w:t>
                </w:r>
                <w:r w:rsidR="00F42888" w:rsidRPr="00541DC8">
                  <w:rPr>
                    <w:rFonts w:ascii="Times New Roman" w:hAnsi="Times New Roman" w:cs="Times New Roman"/>
                    <w:lang w:val="is-IS"/>
                  </w:rPr>
                  <w:t xml:space="preserve"> til samræmis við tillögu hvítbókar</w:t>
                </w:r>
                <w:r w:rsidR="00A81B09" w:rsidRPr="00541DC8">
                  <w:rPr>
                    <w:rFonts w:ascii="Times New Roman" w:hAnsi="Times New Roman" w:cs="Times New Roman"/>
                    <w:lang w:val="is-IS"/>
                  </w:rPr>
                  <w:t>innar</w:t>
                </w:r>
                <w:r w:rsidR="00F42888"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94395D" w:rsidRPr="00541DC8">
                  <w:rPr>
                    <w:rFonts w:ascii="Times New Roman" w:hAnsi="Times New Roman" w:cs="Times New Roman"/>
                    <w:lang w:val="is-IS"/>
                  </w:rPr>
                  <w:t xml:space="preserve"> Eiginfjárkröfur og eiginfjárgrunnur innlánsstofnana ákvarðast skv. X. kafla laga um fjármálafyrirtæki og </w:t>
                </w:r>
                <w:hyperlink r:id="rId16" w:history="1">
                  <w:r w:rsidR="0094395D"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reglugerð um varfærniskröfur vegna starfsemi fjármálafyrirtækja, nr. 233/2017</w:t>
                  </w:r>
                </w:hyperlink>
                <w:r w:rsidR="0094395D"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911DFE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80C1F" w:rsidRPr="00541DC8">
                  <w:rPr>
                    <w:rFonts w:ascii="Times New Roman" w:hAnsi="Times New Roman" w:cs="Times New Roman"/>
                    <w:lang w:val="is-IS"/>
                  </w:rPr>
                  <w:t>V</w:t>
                </w:r>
                <w:r w:rsidR="00FC6625" w:rsidRPr="00541DC8">
                  <w:rPr>
                    <w:rFonts w:ascii="Times New Roman" w:hAnsi="Times New Roman" w:cs="Times New Roman"/>
                    <w:lang w:val="is-IS"/>
                  </w:rPr>
                  <w:t>iðmiðun</w:t>
                </w:r>
                <w:r w:rsidR="00D80C1F" w:rsidRPr="00541DC8">
                  <w:rPr>
                    <w:rFonts w:ascii="Times New Roman" w:hAnsi="Times New Roman" w:cs="Times New Roman"/>
                    <w:lang w:val="is-IS"/>
                  </w:rPr>
                  <w:t>in</w:t>
                </w:r>
                <w:r w:rsidR="00FC6625" w:rsidRPr="00541DC8">
                  <w:rPr>
                    <w:rFonts w:ascii="Times New Roman" w:hAnsi="Times New Roman" w:cs="Times New Roman"/>
                    <w:lang w:val="is-IS"/>
                  </w:rPr>
                  <w:t xml:space="preserve"> hefur þann kost að vera áhættunæmari en einfaldari viðmiðanir, </w:t>
                </w:r>
                <w:r w:rsidR="00AE3A15" w:rsidRPr="00541DC8">
                  <w:rPr>
                    <w:rFonts w:ascii="Times New Roman" w:hAnsi="Times New Roman" w:cs="Times New Roman"/>
                    <w:lang w:val="is-IS"/>
                  </w:rPr>
                  <w:t>svo sem</w:t>
                </w:r>
                <w:r w:rsidR="00FC6625" w:rsidRPr="00541DC8">
                  <w:rPr>
                    <w:rFonts w:ascii="Times New Roman" w:hAnsi="Times New Roman" w:cs="Times New Roman"/>
                    <w:lang w:val="is-IS"/>
                  </w:rPr>
                  <w:t xml:space="preserve"> hlutföll af eignum eða tekjum.</w:t>
                </w:r>
                <w:r w:rsidR="008F73F6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11DFE" w:rsidRPr="00541DC8">
                  <w:rPr>
                    <w:rFonts w:ascii="Times New Roman" w:hAnsi="Times New Roman" w:cs="Times New Roman"/>
                    <w:lang w:val="is-IS"/>
                  </w:rPr>
                  <w:t xml:space="preserve">Fyrirhugað er að miða við 15% hlutfall sem er innan þess ramma sem </w:t>
                </w:r>
                <w:r w:rsidR="00BB4D5C" w:rsidRPr="00541DC8">
                  <w:rPr>
                    <w:rFonts w:ascii="Times New Roman" w:hAnsi="Times New Roman" w:cs="Times New Roman"/>
                    <w:lang w:val="is-IS"/>
                  </w:rPr>
                  <w:t>lagður</w:t>
                </w:r>
                <w:r w:rsidR="00911DFE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B4D5C" w:rsidRPr="00541DC8"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911DFE" w:rsidRPr="00541DC8">
                  <w:rPr>
                    <w:rFonts w:ascii="Times New Roman" w:hAnsi="Times New Roman" w:cs="Times New Roman"/>
                    <w:lang w:val="is-IS"/>
                  </w:rPr>
                  <w:t>til í hvítbókinni.</w:t>
                </w:r>
                <w:r w:rsidR="00FC6625" w:rsidRPr="00541DC8">
                  <w:rPr>
                    <w:rFonts w:ascii="Times New Roman" w:hAnsi="Times New Roman" w:cs="Times New Roman"/>
                    <w:lang w:val="is-IS"/>
                  </w:rPr>
                  <w:t xml:space="preserve"> Talið er æskilegt að innlánsstofnanir hafi nokkurt svigrúm til stöðutöku til að </w:t>
                </w:r>
                <w:r w:rsidR="00911DFE" w:rsidRPr="00541DC8">
                  <w:rPr>
                    <w:rFonts w:ascii="Times New Roman" w:hAnsi="Times New Roman" w:cs="Times New Roman"/>
                    <w:lang w:val="is-IS"/>
                  </w:rPr>
                  <w:t>taka við og vinna úr fullnustueignum og veita þjónustu</w:t>
                </w:r>
                <w:r w:rsidR="006800EF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11DFE" w:rsidRPr="00541DC8">
                  <w:rPr>
                    <w:rFonts w:ascii="Times New Roman" w:hAnsi="Times New Roman" w:cs="Times New Roman"/>
                    <w:lang w:val="is-IS"/>
                  </w:rPr>
                  <w:t>á borð við viðskiptavakt og sölutryggingu</w:t>
                </w:r>
                <w:r w:rsidR="00FC6625"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21222" w:rsidRPr="00541DC8">
                  <w:rPr>
                    <w:rFonts w:ascii="Times New Roman" w:hAnsi="Times New Roman" w:cs="Times New Roman"/>
                    <w:lang w:val="is-IS"/>
                  </w:rPr>
                  <w:t xml:space="preserve"> Gert er ráð fyrir sama hlutfalli fyrir alla banka sem takmörkunin gildir um.</w:t>
                </w:r>
              </w:p>
              <w:p w14:paraId="6DD9C6D0" w14:textId="77777777" w:rsidR="004E7680" w:rsidRPr="00541DC8" w:rsidRDefault="007C5BF7" w:rsidP="004E7680">
                <w:pPr>
                  <w:pStyle w:val="ListParagraph"/>
                  <w:numPr>
                    <w:ilvl w:val="0"/>
                    <w:numId w:val="29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Hvað gerist ef innlánsstofnun nálgast hámarkið? </w:t>
                </w:r>
              </w:p>
              <w:p w14:paraId="3D2DB47E" w14:textId="2B508093" w:rsidR="007C5BF7" w:rsidRPr="00541DC8" w:rsidRDefault="007C5BF7" w:rsidP="004E7680">
                <w:pPr>
                  <w:pStyle w:val="ListParagraph"/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Gert er ráð fyrir að það verði á ábyrgð innlánsstofnunar að tryggja að stöðutaka fari ekki yfir lögbundið hámark</w:t>
                </w:r>
                <w:r w:rsidR="000443FB" w:rsidRPr="00541DC8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91144B" w:rsidRPr="00541DC8">
                  <w:rPr>
                    <w:rFonts w:ascii="Times New Roman" w:hAnsi="Times New Roman" w:cs="Times New Roman"/>
                    <w:lang w:val="is-IS"/>
                  </w:rPr>
                  <w:t>Ef fyrirsjáanlegt er að</w:t>
                </w:r>
                <w:r w:rsidR="000443FB" w:rsidRPr="00541DC8">
                  <w:rPr>
                    <w:rFonts w:ascii="Times New Roman" w:hAnsi="Times New Roman" w:cs="Times New Roman"/>
                    <w:lang w:val="is-IS"/>
                  </w:rPr>
                  <w:t xml:space="preserve"> stofnun fari að óbreyttu yfir hámarkið geti hún brugðist við með því að draga úr stöðutöku sinni,</w:t>
                </w:r>
                <w:r w:rsidR="00157947" w:rsidRPr="00541DC8">
                  <w:rPr>
                    <w:rFonts w:ascii="Times New Roman" w:hAnsi="Times New Roman" w:cs="Times New Roman"/>
                    <w:lang w:val="is-IS"/>
                  </w:rPr>
                  <w:t xml:space="preserve"> svo sem með því að færa hluta hennar í sérstakt félag, eða</w:t>
                </w:r>
                <w:r w:rsidR="000443FB" w:rsidRPr="00541DC8">
                  <w:rPr>
                    <w:rFonts w:ascii="Times New Roman" w:hAnsi="Times New Roman" w:cs="Times New Roman"/>
                    <w:lang w:val="is-IS"/>
                  </w:rPr>
                  <w:t xml:space="preserve"> auka við eiginfjárgrunn sinn</w:t>
                </w:r>
                <w:r w:rsidR="00E1716F" w:rsidRPr="00541DC8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4877B4BF" w14:textId="77777777" w:rsidR="004E7680" w:rsidRPr="00541DC8" w:rsidRDefault="007D33FA" w:rsidP="004E7680">
                <w:pPr>
                  <w:pStyle w:val="ListParagraph"/>
                  <w:numPr>
                    <w:ilvl w:val="0"/>
                    <w:numId w:val="29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i/>
                    <w:lang w:val="is-IS"/>
                  </w:rPr>
                  <w:t xml:space="preserve">Hvernig skal eftirliti og viðurlögum fyrir brot háttað? </w:t>
                </w:r>
              </w:p>
              <w:p w14:paraId="44BCEE1D" w14:textId="64A02ECF" w:rsidR="00C05CE9" w:rsidRPr="00541DC8" w:rsidRDefault="00B53AE0" w:rsidP="004E7680">
                <w:pPr>
                  <w:pStyle w:val="ListParagraph"/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Fyrirhugað er að fela Fjármálaeftirlitinu eftirlit með takmörkuninni enda fer það almennt með eftirlit með innlánsstofnunum, sbr. 1. tölul. 1. mgr. 2. gr. </w:t>
                </w:r>
                <w:hyperlink r:id="rId17" w:history="1">
                  <w:r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laga um opinbert eftirlit með fjármálastarfsemi, nr. 87/1998</w:t>
                  </w:r>
                </w:hyperlink>
                <w:r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FD688E" w:rsidRPr="00541DC8">
                  <w:rPr>
                    <w:rFonts w:ascii="Times New Roman" w:hAnsi="Times New Roman" w:cs="Times New Roman"/>
                    <w:lang w:val="is-IS"/>
                  </w:rPr>
                  <w:t xml:space="preserve"> Fjármálaeftirlitið getur </w:t>
                </w:r>
                <w:r w:rsidR="00607331" w:rsidRPr="00541DC8">
                  <w:rPr>
                    <w:rFonts w:ascii="Times New Roman" w:hAnsi="Times New Roman" w:cs="Times New Roman"/>
                    <w:lang w:val="is-IS"/>
                  </w:rPr>
                  <w:t>á grundvelli</w:t>
                </w:r>
                <w:r w:rsidR="00FD688E" w:rsidRPr="00541DC8">
                  <w:rPr>
                    <w:rFonts w:ascii="Times New Roman" w:hAnsi="Times New Roman" w:cs="Times New Roman"/>
                    <w:lang w:val="is-IS"/>
                  </w:rPr>
                  <w:t xml:space="preserve"> þeirra laga athugað rekstur eftirlitsskyldra aðila svo oft sem þurfa þykir og kallað eftir </w:t>
                </w:r>
                <w:r w:rsidR="00CF44C4" w:rsidRPr="00541DC8">
                  <w:rPr>
                    <w:rFonts w:ascii="Times New Roman" w:hAnsi="Times New Roman" w:cs="Times New Roman"/>
                    <w:lang w:val="is-IS"/>
                  </w:rPr>
                  <w:t>upplýsingum og</w:t>
                </w:r>
                <w:r w:rsidR="00FD688E" w:rsidRPr="00541DC8">
                  <w:rPr>
                    <w:rFonts w:ascii="Times New Roman" w:hAnsi="Times New Roman" w:cs="Times New Roman"/>
                    <w:lang w:val="is-IS"/>
                  </w:rPr>
                  <w:t xml:space="preserve"> gögnum í vörslu þeirra</w:t>
                </w:r>
                <w:r w:rsidR="00607331"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707D5A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07331" w:rsidRPr="00541DC8">
                  <w:rPr>
                    <w:rFonts w:ascii="Times New Roman" w:hAnsi="Times New Roman" w:cs="Times New Roman"/>
                    <w:lang w:val="is-IS"/>
                  </w:rPr>
                  <w:t xml:space="preserve">Komi í ljós að eftirlitsskyldur aðili fylgir ekki lögum og reglum getur Fjármáleftirlitið krafist úrbóta að viðlögðum dagsektum. Fyrirhugað er að brot gegn </w:t>
                </w:r>
                <w:r w:rsidR="009D4F3A" w:rsidRPr="00541DC8">
                  <w:rPr>
                    <w:rFonts w:ascii="Times New Roman" w:hAnsi="Times New Roman" w:cs="Times New Roman"/>
                    <w:lang w:val="is-IS"/>
                  </w:rPr>
                  <w:t>áform</w:t>
                </w:r>
                <w:r w:rsidR="00C26224" w:rsidRPr="00541DC8">
                  <w:rPr>
                    <w:rFonts w:ascii="Times New Roman" w:hAnsi="Times New Roman" w:cs="Times New Roman"/>
                    <w:lang w:val="is-IS"/>
                  </w:rPr>
                  <w:t>aðri</w:t>
                </w:r>
                <w:r w:rsidR="009D4F3A" w:rsidRPr="00541DC8">
                  <w:rPr>
                    <w:rFonts w:ascii="Times New Roman" w:hAnsi="Times New Roman" w:cs="Times New Roman"/>
                    <w:lang w:val="is-IS"/>
                  </w:rPr>
                  <w:t xml:space="preserve"> takmörkun verði látnar varða stjórnvaldssektum </w:t>
                </w:r>
                <w:r w:rsidR="001B21B7" w:rsidRPr="00541DC8">
                  <w:rPr>
                    <w:rFonts w:ascii="Times New Roman" w:hAnsi="Times New Roman" w:cs="Times New Roman"/>
                    <w:lang w:val="is-IS"/>
                  </w:rPr>
                  <w:t>en</w:t>
                </w:r>
                <w:r w:rsidR="009D4F3A" w:rsidRPr="00541DC8">
                  <w:rPr>
                    <w:rFonts w:ascii="Times New Roman" w:hAnsi="Times New Roman" w:cs="Times New Roman"/>
                    <w:lang w:val="is-IS"/>
                  </w:rPr>
                  <w:t xml:space="preserve"> að </w:t>
                </w:r>
                <w:r w:rsidR="001B21B7" w:rsidRPr="00541DC8">
                  <w:rPr>
                    <w:rFonts w:ascii="Times New Roman" w:hAnsi="Times New Roman" w:cs="Times New Roman"/>
                    <w:lang w:val="is-IS"/>
                  </w:rPr>
                  <w:t>meiri háttar</w:t>
                </w:r>
                <w:r w:rsidR="009D4F3A" w:rsidRPr="00541DC8">
                  <w:rPr>
                    <w:rFonts w:ascii="Times New Roman" w:hAnsi="Times New Roman" w:cs="Times New Roman"/>
                    <w:lang w:val="is-IS"/>
                  </w:rPr>
                  <w:t xml:space="preserve"> brot varð</w:t>
                </w:r>
                <w:r w:rsidR="001B21B7" w:rsidRPr="00541DC8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9D4F3A" w:rsidRPr="00541DC8">
                  <w:rPr>
                    <w:rFonts w:ascii="Times New Roman" w:hAnsi="Times New Roman" w:cs="Times New Roman"/>
                    <w:lang w:val="is-IS"/>
                  </w:rPr>
                  <w:t xml:space="preserve"> sektum eða fangelsi allt að tveimur árum.</w:t>
                </w:r>
                <w:r w:rsidR="005C4F7E" w:rsidRPr="00541DC8">
                  <w:rPr>
                    <w:rFonts w:ascii="Times New Roman" w:hAnsi="Times New Roman" w:cs="Times New Roman"/>
                    <w:lang w:val="is-IS"/>
                  </w:rPr>
                  <w:t xml:space="preserve"> Líklega verður bönkum falið að birta reglulega upplýsingar um hlutfall stöðutöku, svo sem í áhættuskýrslu.</w:t>
                </w:r>
              </w:p>
              <w:p w14:paraId="3ADFC5E9" w14:textId="77777777" w:rsidR="000D1A91" w:rsidRPr="00541DC8" w:rsidRDefault="00F17284" w:rsidP="004E7680">
                <w:pPr>
                  <w:pStyle w:val="ListParagraph"/>
                  <w:numPr>
                    <w:ilvl w:val="0"/>
                    <w:numId w:val="23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fyrirhuguðu breytingar á gildandi lögum og reglum, hvort heldur bætt er við eða fellt brott </w:t>
                </w:r>
              </w:p>
              <w:p w14:paraId="6FD70273" w14:textId="3C1AF6E1" w:rsidR="00F17284" w:rsidRPr="00541DC8" w:rsidRDefault="000D1A91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Sjá D.1</w:t>
                </w:r>
                <w:r w:rsidR="001704EF" w:rsidRPr="00541DC8">
                  <w:rPr>
                    <w:rFonts w:ascii="Times New Roman" w:hAnsi="Times New Roman" w:cs="Times New Roman"/>
                    <w:lang w:val="is-IS"/>
                  </w:rPr>
                  <w:t>.a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</w:sdtContent>
          </w:sdt>
        </w:tc>
      </w:tr>
      <w:tr w:rsidR="00F17284" w:rsidRPr="00541DC8" w14:paraId="2A71018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8C7F78E" w14:textId="77777777" w:rsidR="00F17284" w:rsidRPr="00541DC8" w:rsidRDefault="00F17284" w:rsidP="004E768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F17284" w:rsidRPr="00541DC8" w14:paraId="02E12EC0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6A17C64" w14:textId="77777777" w:rsidR="00293721" w:rsidRPr="00541DC8" w:rsidRDefault="00F17284" w:rsidP="004E7680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</w:p>
              <w:p w14:paraId="4D4C3763" w14:textId="7EE06642" w:rsidR="00293721" w:rsidRPr="00541DC8" w:rsidRDefault="00293721" w:rsidP="004E7680">
                <w:pPr>
                  <w:spacing w:before="60" w:after="60"/>
                  <w:jc w:val="both"/>
                  <w:rPr>
                    <w:rFonts w:ascii="Times New Roman" w:eastAsia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Atvinnufrelsi nýtur verndar í 1. mgr. 75. gr. </w:t>
                </w:r>
                <w:hyperlink r:id="rId18">
                  <w:r w:rsidRPr="00541DC8">
                    <w:rPr>
                      <w:rStyle w:val="Hyperlink"/>
                      <w:rFonts w:ascii="Times New Roman" w:eastAsia="Times New Roman" w:hAnsi="Times New Roman" w:cs="Times New Roman"/>
                      <w:lang w:val="is-IS"/>
                    </w:rPr>
                    <w:t>stjórnarskrár lýðveldisins Íslands, nr. 33/1944</w:t>
                  </w:r>
                </w:hyperlink>
                <w:r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. Fyrirhuguð </w:t>
                </w:r>
                <w:r w:rsidR="00640305" w:rsidRPr="00541DC8">
                  <w:rPr>
                    <w:rFonts w:ascii="Times New Roman" w:eastAsia="Times New Roman" w:hAnsi="Times New Roman" w:cs="Times New Roman"/>
                    <w:lang w:val="is-IS"/>
                  </w:rPr>
                  <w:t>takmörkun</w:t>
                </w:r>
                <w:r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felur í sér inngrip í starfsemi </w:t>
                </w:r>
                <w:r w:rsidR="00797525" w:rsidRPr="00541DC8">
                  <w:rPr>
                    <w:rFonts w:ascii="Times New Roman" w:eastAsia="Times New Roman" w:hAnsi="Times New Roman" w:cs="Times New Roman"/>
                    <w:lang w:val="is-IS"/>
                  </w:rPr>
                  <w:t>innlánsstofnana</w:t>
                </w:r>
                <w:r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sem verða að íslenskri stjórnskipan að hafa stoð í lögum, líkt og fyrr greinir.</w:t>
                </w:r>
              </w:p>
              <w:p w14:paraId="1177A640" w14:textId="2044E841" w:rsidR="00D334D9" w:rsidRPr="00541DC8" w:rsidRDefault="00D334D9" w:rsidP="004E7680">
                <w:pPr>
                  <w:spacing w:before="60" w:after="60"/>
                  <w:jc w:val="both"/>
                  <w:rPr>
                    <w:rFonts w:ascii="Times New Roman" w:eastAsia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eastAsia="Times New Roman" w:hAnsi="Times New Roman" w:cs="Times New Roman"/>
                    <w:lang w:val="is-IS"/>
                  </w:rPr>
                  <w:t>Áformin varða fjármálaþjónustu sem fellur undir</w:t>
                </w:r>
                <w:r w:rsidR="00585F65"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3. kafla III. hluta</w:t>
                </w:r>
                <w:r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</w:t>
                </w:r>
                <w:hyperlink r:id="rId19" w:history="1">
                  <w:r w:rsidRPr="00541DC8">
                    <w:rPr>
                      <w:rStyle w:val="Hyperlink"/>
                      <w:rFonts w:ascii="Times New Roman" w:eastAsia="Times New Roman" w:hAnsi="Times New Roman" w:cs="Times New Roman"/>
                      <w:lang w:val="is-IS"/>
                    </w:rPr>
                    <w:t>samning</w:t>
                  </w:r>
                  <w:r w:rsidR="00585F65" w:rsidRPr="00541DC8">
                    <w:rPr>
                      <w:rStyle w:val="Hyperlink"/>
                      <w:rFonts w:ascii="Times New Roman" w:eastAsia="Times New Roman" w:hAnsi="Times New Roman" w:cs="Times New Roman"/>
                      <w:lang w:val="is-IS"/>
                    </w:rPr>
                    <w:t>sins</w:t>
                  </w:r>
                  <w:r w:rsidRPr="00541DC8">
                    <w:rPr>
                      <w:rStyle w:val="Hyperlink"/>
                      <w:rFonts w:ascii="Times New Roman" w:eastAsia="Times New Roman" w:hAnsi="Times New Roman" w:cs="Times New Roman"/>
                      <w:lang w:val="is-IS"/>
                    </w:rPr>
                    <w:t xml:space="preserve"> um Evrópska efnahagssvæðið</w:t>
                  </w:r>
                </w:hyperlink>
                <w:r w:rsidR="005B0B6F" w:rsidRPr="00541DC8">
                  <w:rPr>
                    <w:rFonts w:ascii="Times New Roman" w:eastAsia="Times New Roman" w:hAnsi="Times New Roman" w:cs="Times New Roman"/>
                    <w:lang w:val="is-IS"/>
                  </w:rPr>
                  <w:t>, sbr. einnig IX. viðauka</w:t>
                </w:r>
                <w:r w:rsidR="00F51413"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samningsins</w:t>
                </w:r>
                <w:r w:rsidRPr="00541DC8">
                  <w:rPr>
                    <w:rFonts w:ascii="Times New Roman" w:eastAsia="Times New Roman" w:hAnsi="Times New Roman" w:cs="Times New Roman"/>
                    <w:lang w:val="is-IS"/>
                  </w:rPr>
                  <w:t>.</w:t>
                </w:r>
                <w:r w:rsidR="005B33CE"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Ekki verður séð að þau brjóti í bága við samninginn, enda takmarka þau ekki </w:t>
                </w:r>
                <w:r w:rsidR="00033664" w:rsidRPr="00541DC8">
                  <w:rPr>
                    <w:rFonts w:ascii="Times New Roman" w:eastAsia="Times New Roman" w:hAnsi="Times New Roman" w:cs="Times New Roman"/>
                    <w:lang w:val="is-IS"/>
                  </w:rPr>
                  <w:t>heimild</w:t>
                </w:r>
                <w:r w:rsidR="005B33CE"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aðila frá öðrum ríkjum á Evrópska efnahagssvæðinu til að veita fjármálaþjónustu hér á landi</w:t>
                </w:r>
                <w:r w:rsidR="00091D19"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og ganga ekki í berhögg við gerðir sem teknar hafa verið upp í samninginn.</w:t>
                </w:r>
                <w:r w:rsidR="000E21FB" w:rsidRPr="00541DC8">
                  <w:rPr>
                    <w:rStyle w:val="FootnoteReference"/>
                    <w:rFonts w:ascii="Times New Roman" w:eastAsia="Times New Roman" w:hAnsi="Times New Roman" w:cs="Times New Roman"/>
                    <w:lang w:val="is-IS"/>
                  </w:rPr>
                  <w:footnoteReference w:id="1"/>
                </w:r>
                <w:r w:rsidR="00186BF9"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</w:t>
                </w:r>
                <w:r w:rsidR="00164641" w:rsidRPr="00541DC8">
                  <w:rPr>
                    <w:rFonts w:ascii="Times New Roman" w:eastAsia="Times New Roman" w:hAnsi="Times New Roman" w:cs="Times New Roman"/>
                    <w:lang w:val="is-IS"/>
                  </w:rPr>
                  <w:t>Nokkur</w:t>
                </w:r>
                <w:r w:rsidR="00186BF9"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ríki á Evrópska efnahagssvæðinu hafa þegar gripið til </w:t>
                </w:r>
                <w:r w:rsidR="006A32F0" w:rsidRPr="00541DC8">
                  <w:rPr>
                    <w:rFonts w:ascii="Times New Roman" w:eastAsia="Times New Roman" w:hAnsi="Times New Roman" w:cs="Times New Roman"/>
                    <w:lang w:val="is-IS"/>
                  </w:rPr>
                  <w:t>svipaðra</w:t>
                </w:r>
                <w:r w:rsidR="00186BF9"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ráðstafana.</w:t>
                </w:r>
              </w:p>
              <w:p w14:paraId="2C94FC58" w14:textId="66399302" w:rsidR="00A64C66" w:rsidRPr="00541DC8" w:rsidRDefault="00A64C66" w:rsidP="004E7680">
                <w:pPr>
                  <w:spacing w:before="60" w:after="60"/>
                  <w:jc w:val="both"/>
                  <w:rPr>
                    <w:rFonts w:ascii="Times New Roman" w:eastAsia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eastAsia="Times New Roman" w:hAnsi="Times New Roman" w:cs="Times New Roman"/>
                    <w:lang w:val="is-IS"/>
                  </w:rPr>
                  <w:lastRenderedPageBreak/>
                  <w:t xml:space="preserve">Ekki verður </w:t>
                </w:r>
                <w:r w:rsidR="009A103C"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heldur </w:t>
                </w:r>
                <w:r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séð að </w:t>
                </w:r>
                <w:r w:rsidR="009A103C" w:rsidRPr="00541DC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áformin stríði gegn öðrum þjóðréttarlegum skuldbindingum </w:t>
                </w:r>
                <w:r w:rsidR="00A77E8E" w:rsidRPr="00541DC8">
                  <w:rPr>
                    <w:rFonts w:ascii="Times New Roman" w:eastAsia="Times New Roman" w:hAnsi="Times New Roman" w:cs="Times New Roman"/>
                    <w:lang w:val="is-IS"/>
                  </w:rPr>
                  <w:t>Í</w:t>
                </w:r>
                <w:r w:rsidR="009A103C" w:rsidRPr="00541DC8">
                  <w:rPr>
                    <w:rFonts w:ascii="Times New Roman" w:eastAsia="Times New Roman" w:hAnsi="Times New Roman" w:cs="Times New Roman"/>
                    <w:lang w:val="is-IS"/>
                  </w:rPr>
                  <w:t>slands</w:t>
                </w:r>
                <w:r w:rsidR="00A77E8E" w:rsidRPr="00541DC8">
                  <w:rPr>
                    <w:rFonts w:ascii="Times New Roman" w:eastAsia="Times New Roman" w:hAnsi="Times New Roman" w:cs="Times New Roman"/>
                    <w:lang w:val="is-IS"/>
                  </w:rPr>
                  <w:t>.</w:t>
                </w:r>
              </w:p>
              <w:p w14:paraId="4BAD9713" w14:textId="1DDE7DB5" w:rsidR="00F17284" w:rsidRPr="00541DC8" w:rsidRDefault="00F17284" w:rsidP="004E7680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fjarþjónustu eða frelsi til að veita þjónustu? </w:t>
                </w:r>
              </w:p>
              <w:p w14:paraId="7B893A47" w14:textId="1F6440AF" w:rsidR="000514A1" w:rsidRPr="00541DC8" w:rsidRDefault="00A81FEC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Já. </w:t>
                </w:r>
                <w:r w:rsidR="00A83373" w:rsidRPr="00541DC8">
                  <w:rPr>
                    <w:rFonts w:ascii="Times New Roman" w:hAnsi="Times New Roman" w:cs="Times New Roman"/>
                    <w:lang w:val="is-IS"/>
                  </w:rPr>
                  <w:t>Sjá E.1.</w:t>
                </w:r>
              </w:p>
              <w:p w14:paraId="31797231" w14:textId="77777777" w:rsidR="00A83373" w:rsidRPr="00541DC8" w:rsidRDefault="00F17284" w:rsidP="004E7680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 sem taka þarf tillit til?</w:t>
                </w:r>
              </w:p>
              <w:p w14:paraId="5D8999E1" w14:textId="0A5797B0" w:rsidR="00F17284" w:rsidRPr="00541DC8" w:rsidRDefault="00FB7E65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</w:sdtContent>
          </w:sdt>
        </w:tc>
      </w:tr>
      <w:tr w:rsidR="00F17284" w:rsidRPr="00541DC8" w14:paraId="727E312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3CB1F58" w14:textId="77777777" w:rsidR="00F17284" w:rsidRPr="00541DC8" w:rsidRDefault="00F17284" w:rsidP="004E768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lastRenderedPageBreak/>
              <w:t>Samráð</w:t>
            </w:r>
          </w:p>
        </w:tc>
      </w:tr>
      <w:tr w:rsidR="00F17284" w:rsidRPr="00541DC8" w14:paraId="66255456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3470CD0" w14:textId="77777777" w:rsidR="002F5C86" w:rsidRPr="00541DC8" w:rsidRDefault="00F17284" w:rsidP="004E7680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</w:p>
              <w:p w14:paraId="6E30D998" w14:textId="21C09252" w:rsidR="00F17284" w:rsidRPr="00541DC8" w:rsidRDefault="0046533A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Innlánsstofnanir</w:t>
                </w:r>
                <w:r w:rsidR="002F5C86" w:rsidRPr="00541DC8">
                  <w:rPr>
                    <w:rFonts w:ascii="Times New Roman" w:hAnsi="Times New Roman" w:cs="Times New Roman"/>
                    <w:lang w:val="is-IS"/>
                  </w:rPr>
                  <w:t>, keppinautar þeirra, innstæðueigendur og aðrir viðskiptavinir, ríkið og almenningur.</w:t>
                </w:r>
                <w:r w:rsidR="00F17284" w:rsidRPr="00541DC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318850B" w14:textId="4192AF9E" w:rsidR="00F17284" w:rsidRPr="00541DC8" w:rsidRDefault="00F17284" w:rsidP="004E7680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skörun við stjórnarmálefni annarra ráðuneyta? </w:t>
                </w:r>
              </w:p>
              <w:p w14:paraId="336810DF" w14:textId="61F361B5" w:rsidR="00DB1DEA" w:rsidRPr="00541DC8" w:rsidRDefault="00DB1DEA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0D7B86"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D7B86" w:rsidRPr="00541DC8">
                  <w:rPr>
                    <w:rFonts w:ascii="Times New Roman" w:hAnsi="Times New Roman" w:cs="Times New Roman"/>
                    <w:lang w:val="is-IS"/>
                  </w:rPr>
                  <w:t>L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agaumgjörð fjármálafyrirtækja heyrir undir fjármála- og efnahagsráðuneyti skv. a-lið 8. tölul. 5. gr.</w:t>
                </w:r>
                <w:r w:rsidRPr="00541DC8">
                  <w:t xml:space="preserve"> </w:t>
                </w:r>
                <w:hyperlink r:id="rId20" w:history="1">
                  <w:r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forsetaúrskurðar um skiptingu stjórnarmálefna milli ráðuneyta í Stjórnarráði Íslands, nr. 119/2018</w:t>
                  </w:r>
                </w:hyperlink>
                <w:r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3EB4D555" w14:textId="1DB0174E" w:rsidR="00F17284" w:rsidRPr="00541DC8" w:rsidRDefault="00F17284" w:rsidP="004E7680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077AD824" w14:textId="6B9CCA2B" w:rsidR="002A1F3A" w:rsidRPr="00541DC8" w:rsidRDefault="002A1F3A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Áformin byggjast á tillögum í hvítbókinni</w:t>
                </w:r>
                <w:r w:rsidR="00B46354" w:rsidRPr="00541DC8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0D7B86" w:rsidRPr="00541DC8">
                  <w:rPr>
                    <w:rFonts w:ascii="Times New Roman" w:hAnsi="Times New Roman" w:cs="Times New Roman"/>
                    <w:lang w:val="is-IS"/>
                  </w:rPr>
                  <w:t>Hvítbókin var</w:t>
                </w:r>
                <w:r w:rsidR="00B46354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hyperlink r:id="rId21" w:history="1">
                  <w:r w:rsidR="00B46354"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birt í samráðsgátt stjórnvalda</w:t>
                  </w:r>
                </w:hyperlink>
                <w:r w:rsidR="00B46354" w:rsidRPr="00541DC8">
                  <w:rPr>
                    <w:rFonts w:ascii="Times New Roman" w:hAnsi="Times New Roman" w:cs="Times New Roman"/>
                    <w:lang w:val="is-IS"/>
                  </w:rPr>
                  <w:t xml:space="preserve"> í </w:t>
                </w:r>
                <w:r w:rsidR="009A793F" w:rsidRPr="00541DC8">
                  <w:rPr>
                    <w:rFonts w:ascii="Times New Roman" w:hAnsi="Times New Roman" w:cs="Times New Roman"/>
                    <w:lang w:val="is-IS"/>
                  </w:rPr>
                  <w:t>desember</w:t>
                </w:r>
                <w:r w:rsidR="00B46354" w:rsidRPr="00541DC8">
                  <w:rPr>
                    <w:rFonts w:ascii="Times New Roman" w:hAnsi="Times New Roman" w:cs="Times New Roman"/>
                    <w:lang w:val="is-IS"/>
                  </w:rPr>
                  <w:t xml:space="preserve"> 2018</w:t>
                </w:r>
                <w:r w:rsidR="000D7B86" w:rsidRPr="00541DC8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hyperlink r:id="rId22" w:history="1">
                  <w:r w:rsidR="00DD5429"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rædd</w:t>
                  </w:r>
                  <w:r w:rsidR="000D7B86" w:rsidRPr="00541DC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 xml:space="preserve"> á Alþingi</w:t>
                  </w:r>
                </w:hyperlink>
                <w:r w:rsidR="000D7B86" w:rsidRPr="00541DC8">
                  <w:rPr>
                    <w:rFonts w:ascii="Times New Roman" w:hAnsi="Times New Roman" w:cs="Times New Roman"/>
                    <w:lang w:val="is-IS"/>
                  </w:rPr>
                  <w:t xml:space="preserve"> í janúar 2019</w:t>
                </w:r>
                <w:r w:rsidR="00B46354" w:rsidRPr="00541DC8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05CC0E08" w14:textId="7115783F" w:rsidR="000D7B86" w:rsidRPr="00541DC8" w:rsidRDefault="000D7B86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Áformaskjal þetta og frummat á áhrifum lagasetningar voru send í innra samráð til annarra ráðuneyta í júní 2019</w:t>
                </w:r>
                <w:r w:rsidR="00362DB1">
                  <w:rPr>
                    <w:rFonts w:ascii="Times New Roman" w:hAnsi="Times New Roman" w:cs="Times New Roman"/>
                    <w:lang w:val="is-IS"/>
                  </w:rPr>
                  <w:t>. Engar athugasemdir bárust.</w:t>
                </w:r>
              </w:p>
              <w:p w14:paraId="09D277B9" w14:textId="77777777" w:rsidR="000D7B86" w:rsidRPr="00541DC8" w:rsidRDefault="00F17284" w:rsidP="004E7680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 xml:space="preserve">Fyrirhugað samráð </w:t>
                </w:r>
              </w:p>
              <w:p w14:paraId="3A68EBA8" w14:textId="16E02A1B" w:rsidR="00F17284" w:rsidRPr="00C74271" w:rsidRDefault="00C74271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Ráðuneytið hefur óskað eftir tilnefningum frá Fjármálaeftirlitinu og Samtökum fjármálafyrirtækja í starfshóp til að vinna frumvarp. 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Ráðgert er að birta drög að frumvarpi í samráðsgátt stjórnvalda.</w:t>
                </w:r>
              </w:p>
            </w:sdtContent>
          </w:sdt>
        </w:tc>
      </w:tr>
      <w:tr w:rsidR="00F17284" w:rsidRPr="00541DC8" w14:paraId="356B618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1214BF2" w14:textId="77777777" w:rsidR="00F17284" w:rsidRPr="00541DC8" w:rsidRDefault="00F17284" w:rsidP="004E768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t xml:space="preserve">Mat á áhrifum þeirrar leiðar sem áformuð er </w:t>
            </w:r>
          </w:p>
        </w:tc>
      </w:tr>
      <w:tr w:rsidR="00F17284" w:rsidRPr="00541DC8" w14:paraId="1534566A" w14:textId="77777777" w:rsidTr="007414CB">
        <w:trPr>
          <w:trHeight w:val="283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672D542" w14:textId="77777777" w:rsidR="00CD590A" w:rsidRPr="00541DC8" w:rsidRDefault="00F17284" w:rsidP="004E7680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738A2181" w14:textId="50162209" w:rsidR="00F17284" w:rsidRPr="00541DC8" w:rsidRDefault="00980A0A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Áformin </w:t>
                </w:r>
                <w:r w:rsidR="0041452E" w:rsidRPr="00541DC8">
                  <w:rPr>
                    <w:rFonts w:ascii="Times New Roman" w:hAnsi="Times New Roman" w:cs="Times New Roman"/>
                    <w:lang w:val="is-IS"/>
                  </w:rPr>
                  <w:t>fela í sér</w:t>
                </w:r>
                <w:r w:rsidR="00196C0A" w:rsidRPr="00541DC8">
                  <w:rPr>
                    <w:rFonts w:ascii="Times New Roman" w:hAnsi="Times New Roman" w:cs="Times New Roman"/>
                    <w:lang w:val="is-IS"/>
                  </w:rPr>
                  <w:t xml:space="preserve"> að</w:t>
                </w:r>
                <w:r w:rsidR="008B63E7" w:rsidRPr="00541DC8">
                  <w:rPr>
                    <w:rFonts w:ascii="Times New Roman" w:hAnsi="Times New Roman" w:cs="Times New Roman"/>
                    <w:lang w:val="is-IS"/>
                  </w:rPr>
                  <w:t xml:space="preserve"> hömlur</w:t>
                </w:r>
                <w:r w:rsidR="00196C0A" w:rsidRPr="00541DC8">
                  <w:rPr>
                    <w:rFonts w:ascii="Times New Roman" w:hAnsi="Times New Roman" w:cs="Times New Roman"/>
                    <w:lang w:val="is-IS"/>
                  </w:rPr>
                  <w:t xml:space="preserve"> verði settar</w:t>
                </w:r>
                <w:r w:rsidR="008B63E7" w:rsidRPr="00541DC8">
                  <w:rPr>
                    <w:rFonts w:ascii="Times New Roman" w:hAnsi="Times New Roman" w:cs="Times New Roman"/>
                    <w:lang w:val="is-IS"/>
                  </w:rPr>
                  <w:t xml:space="preserve"> á vöxt áhættusamrar fjárfestingarbankastarfsemi innlánsstofnana en </w:t>
                </w:r>
                <w:r w:rsidR="00196C0A" w:rsidRPr="00541DC8">
                  <w:rPr>
                    <w:rFonts w:ascii="Times New Roman" w:hAnsi="Times New Roman" w:cs="Times New Roman"/>
                    <w:lang w:val="is-IS"/>
                  </w:rPr>
                  <w:t>að</w:t>
                </w:r>
                <w:r w:rsidR="008B63E7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96C0A" w:rsidRPr="00541DC8">
                  <w:rPr>
                    <w:rFonts w:ascii="Times New Roman" w:hAnsi="Times New Roman" w:cs="Times New Roman"/>
                    <w:lang w:val="is-IS"/>
                  </w:rPr>
                  <w:t>þær hafi þó</w:t>
                </w:r>
                <w:r w:rsidR="008B63E7" w:rsidRPr="00541DC8">
                  <w:rPr>
                    <w:rFonts w:ascii="Times New Roman" w:hAnsi="Times New Roman" w:cs="Times New Roman"/>
                    <w:lang w:val="is-IS"/>
                  </w:rPr>
                  <w:t xml:space="preserve"> áfram nokkurt svigrúm til</w:t>
                </w:r>
                <w:r w:rsidR="00196C0A" w:rsidRPr="00541DC8">
                  <w:rPr>
                    <w:rFonts w:ascii="Times New Roman" w:hAnsi="Times New Roman" w:cs="Times New Roman"/>
                    <w:lang w:val="is-IS"/>
                  </w:rPr>
                  <w:t xml:space="preserve"> stöðutöku til</w:t>
                </w:r>
                <w:r w:rsidR="008B63E7" w:rsidRPr="00541DC8">
                  <w:rPr>
                    <w:rFonts w:ascii="Times New Roman" w:hAnsi="Times New Roman" w:cs="Times New Roman"/>
                    <w:lang w:val="is-IS"/>
                  </w:rPr>
                  <w:t xml:space="preserve"> að taka við og vinna úr fullnustueignum og veita þjónustu á borð við viðskiptavakt og sölutryggingu. </w:t>
                </w:r>
                <w:r w:rsidR="00853C5C" w:rsidRPr="00541DC8">
                  <w:rPr>
                    <w:rFonts w:ascii="Times New Roman" w:hAnsi="Times New Roman" w:cs="Times New Roman"/>
                    <w:lang w:val="is-IS"/>
                  </w:rPr>
                  <w:t>Þau</w:t>
                </w:r>
                <w:r w:rsidR="00196C0A" w:rsidRPr="00541DC8">
                  <w:rPr>
                    <w:rFonts w:ascii="Times New Roman" w:hAnsi="Times New Roman" w:cs="Times New Roman"/>
                    <w:lang w:val="is-IS"/>
                  </w:rPr>
                  <w:t xml:space="preserve"> er</w:t>
                </w:r>
                <w:r w:rsidR="00853C5C" w:rsidRPr="00541DC8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="00196C0A" w:rsidRPr="00541DC8">
                  <w:rPr>
                    <w:rFonts w:ascii="Times New Roman" w:hAnsi="Times New Roman" w:cs="Times New Roman"/>
                    <w:lang w:val="is-IS"/>
                  </w:rPr>
                  <w:t xml:space="preserve"> ekki talin kalla á breytingar á </w:t>
                </w:r>
                <w:r w:rsidR="00704BA6" w:rsidRPr="00541DC8">
                  <w:rPr>
                    <w:rFonts w:ascii="Times New Roman" w:hAnsi="Times New Roman" w:cs="Times New Roman"/>
                    <w:lang w:val="is-IS"/>
                  </w:rPr>
                  <w:t>núverandi skipulagi innlánsstofnana</w:t>
                </w:r>
                <w:r w:rsidR="00ED4F34" w:rsidRPr="00541DC8">
                  <w:rPr>
                    <w:rFonts w:ascii="Times New Roman" w:hAnsi="Times New Roman" w:cs="Times New Roman"/>
                    <w:lang w:val="is-IS"/>
                  </w:rPr>
                  <w:t xml:space="preserve">. Því er talið að </w:t>
                </w:r>
                <w:r w:rsidR="00485C10">
                  <w:rPr>
                    <w:rFonts w:ascii="Times New Roman" w:hAnsi="Times New Roman" w:cs="Times New Roman"/>
                    <w:lang w:val="is-IS"/>
                  </w:rPr>
                  <w:t>áformin</w:t>
                </w:r>
                <w:bookmarkStart w:id="2" w:name="_GoBack"/>
                <w:bookmarkEnd w:id="2"/>
                <w:r w:rsidR="00196C0A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D4F34" w:rsidRPr="00541DC8">
                  <w:rPr>
                    <w:rFonts w:ascii="Times New Roman" w:hAnsi="Times New Roman" w:cs="Times New Roman"/>
                    <w:lang w:val="is-IS"/>
                  </w:rPr>
                  <w:t>nái</w:t>
                </w:r>
                <w:r w:rsidR="00196C0A" w:rsidRPr="00541DC8">
                  <w:rPr>
                    <w:rFonts w:ascii="Times New Roman" w:hAnsi="Times New Roman" w:cs="Times New Roman"/>
                    <w:lang w:val="is-IS"/>
                  </w:rPr>
                  <w:t xml:space="preserve"> markmiðum sínum án </w:t>
                </w:r>
                <w:r w:rsidR="009A7A57" w:rsidRPr="00541DC8">
                  <w:rPr>
                    <w:rFonts w:ascii="Times New Roman" w:hAnsi="Times New Roman" w:cs="Times New Roman"/>
                    <w:lang w:val="is-IS"/>
                  </w:rPr>
                  <w:t>verulegs</w:t>
                </w:r>
                <w:r w:rsidR="00196C0A" w:rsidRPr="00541DC8">
                  <w:rPr>
                    <w:rFonts w:ascii="Times New Roman" w:hAnsi="Times New Roman" w:cs="Times New Roman"/>
                    <w:lang w:val="is-IS"/>
                  </w:rPr>
                  <w:t xml:space="preserve"> kostnaðar.</w:t>
                </w:r>
              </w:p>
            </w:sdtContent>
          </w:sdt>
        </w:tc>
      </w:tr>
      <w:tr w:rsidR="00F17284" w:rsidRPr="00541DC8" w14:paraId="282566C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3E3E06D" w14:textId="77777777" w:rsidR="00F17284" w:rsidRPr="00541DC8" w:rsidRDefault="00F17284" w:rsidP="004E768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F17284" w:rsidRPr="00541DC8" w14:paraId="50357650" w14:textId="77777777" w:rsidTr="00EF27D4">
        <w:trPr>
          <w:trHeight w:val="62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EAB272D" w14:textId="77777777" w:rsidR="001A0F47" w:rsidRPr="00541DC8" w:rsidRDefault="00F17284" w:rsidP="004E7680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verkefnisáætlun fyrir frumvarpssmíðina?</w:t>
                </w:r>
              </w:p>
              <w:p w14:paraId="3DE3B395" w14:textId="5F9D4F13" w:rsidR="00F17284" w:rsidRPr="00541DC8" w:rsidRDefault="001A0F47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Já. Ráðgert er að leggja frumvarp fyrir Alþingi í nóvember 2019.</w:t>
                </w:r>
                <w:r w:rsidR="00F17284" w:rsidRPr="00541DC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36D412E" w14:textId="42532BF9" w:rsidR="00F17284" w:rsidRPr="00541DC8" w:rsidRDefault="00F17284" w:rsidP="004E7680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Hvernig verður staðið að innleiðingu löggjafar? Hvað má gera ráð fyrir að þeir sem verða fyrir áhrifum, opinberar stofnanir/hagsmunaaðilar/almenningur, þurfi langan tíma til undirbúnings/aðlögunar?</w:t>
                </w:r>
              </w:p>
              <w:p w14:paraId="3686DDC0" w14:textId="4E9A7B1F" w:rsidR="00105715" w:rsidRPr="00541DC8" w:rsidRDefault="00105715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Samþykkt áformanna er</w:t>
                </w:r>
                <w:r w:rsidR="00BC72FD" w:rsidRPr="00541DC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>ekki talin kalla á breyting</w:t>
                </w:r>
                <w:r w:rsidR="00ED4F34" w:rsidRPr="00541DC8">
                  <w:rPr>
                    <w:rFonts w:ascii="Times New Roman" w:hAnsi="Times New Roman" w:cs="Times New Roman"/>
                    <w:lang w:val="is-IS"/>
                  </w:rPr>
                  <w:t>ar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 á núverandi skipulagi innlánsstofnana. Því er ekki talið nauðsynlegt að veita langan gildistökufrest og jafnvel unnt að láta lögin taka gildi þegar eftir birtingu.</w:t>
                </w:r>
              </w:p>
              <w:p w14:paraId="716A6AAF" w14:textId="5FF706F7" w:rsidR="00F17284" w:rsidRPr="00541DC8" w:rsidRDefault="00F17284" w:rsidP="004E7680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Hvaða forsendur þurfa að vera fyrir hendi til að lagasetning beri árangur? </w:t>
                </w:r>
              </w:p>
              <w:p w14:paraId="22D31DDB" w14:textId="40C657B6" w:rsidR="00FC0DB2" w:rsidRPr="00541DC8" w:rsidRDefault="00FC0DB2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Sjá H.4.</w:t>
                </w:r>
              </w:p>
              <w:p w14:paraId="1A8BA7C6" w14:textId="1FD83F97" w:rsidR="00F17284" w:rsidRPr="00541DC8" w:rsidRDefault="00F17284" w:rsidP="004E7680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460C4917" w14:textId="68BBF217" w:rsidR="00FC0DB2" w:rsidRPr="00541DC8" w:rsidRDefault="00FC0DB2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t>Lagasetningunni er einkum ætlað að takmarka áhættu innstæðueigenda og ríkissjóðs af fjárfestingarbankastarfsemi</w:t>
                </w:r>
                <w:r w:rsidR="009C58AC" w:rsidRPr="00541DC8">
                  <w:rPr>
                    <w:rFonts w:ascii="Times New Roman" w:hAnsi="Times New Roman" w:cs="Times New Roman"/>
                    <w:lang w:val="is-IS"/>
                  </w:rPr>
                  <w:t xml:space="preserve"> viðskiptabanka</w:t>
                </w:r>
                <w:r w:rsidRPr="00541DC8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B66E64" w:rsidRPr="00541DC8">
                  <w:rPr>
                    <w:rFonts w:ascii="Times New Roman" w:hAnsi="Times New Roman" w:cs="Times New Roman"/>
                    <w:lang w:val="is-IS"/>
                  </w:rPr>
                  <w:t xml:space="preserve">Helsti mælikvarði á árangur lagasetningarinnar er því hvort áhætta innstæðueigenda og ríkissjóðs vegna starfsemi </w:t>
                </w:r>
                <w:r w:rsidR="00FA1DF2" w:rsidRPr="00541DC8">
                  <w:rPr>
                    <w:rFonts w:ascii="Times New Roman" w:hAnsi="Times New Roman" w:cs="Times New Roman"/>
                    <w:lang w:val="is-IS"/>
                  </w:rPr>
                  <w:t>viðski</w:t>
                </w:r>
                <w:r w:rsidR="00837462" w:rsidRPr="00541DC8">
                  <w:rPr>
                    <w:rFonts w:ascii="Times New Roman" w:hAnsi="Times New Roman" w:cs="Times New Roman"/>
                    <w:lang w:val="is-IS"/>
                  </w:rPr>
                  <w:t>pta</w:t>
                </w:r>
                <w:r w:rsidR="00B66E64" w:rsidRPr="00541DC8">
                  <w:rPr>
                    <w:rFonts w:ascii="Times New Roman" w:hAnsi="Times New Roman" w:cs="Times New Roman"/>
                    <w:lang w:val="is-IS"/>
                  </w:rPr>
                  <w:t>banka verði minni</w:t>
                </w:r>
                <w:r w:rsidR="00634A7F" w:rsidRPr="00541DC8">
                  <w:rPr>
                    <w:rFonts w:ascii="Times New Roman" w:hAnsi="Times New Roman" w:cs="Times New Roman"/>
                    <w:lang w:val="is-IS"/>
                  </w:rPr>
                  <w:t xml:space="preserve"> en hún hefði orðið án lagasetningarinnar.</w:t>
                </w:r>
              </w:p>
              <w:p w14:paraId="0648BF89" w14:textId="77777777" w:rsidR="00B52C9F" w:rsidRPr="00541DC8" w:rsidRDefault="00F17284" w:rsidP="004E7680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Hefur verið hugað að því að afla gagna til að meta árangur þegar þar að kemur? </w:t>
                </w:r>
              </w:p>
              <w:p w14:paraId="7AB0157E" w14:textId="027F6371" w:rsidR="00F17284" w:rsidRPr="00541DC8" w:rsidRDefault="00B52C9F" w:rsidP="004E768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lang w:val="is-IS"/>
                  </w:rPr>
                  <w:lastRenderedPageBreak/>
                  <w:t>Nei.</w:t>
                </w:r>
              </w:p>
            </w:sdtContent>
          </w:sdt>
        </w:tc>
      </w:tr>
      <w:tr w:rsidR="00F17284" w:rsidRPr="00541DC8" w14:paraId="1F9ACD62" w14:textId="77777777" w:rsidTr="004A0B9A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2E08B880" w14:textId="77777777" w:rsidR="00F17284" w:rsidRPr="00541DC8" w:rsidRDefault="00F17284" w:rsidP="004E768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lastRenderedPageBreak/>
              <w:t>Annað</w:t>
            </w:r>
          </w:p>
        </w:tc>
      </w:tr>
      <w:tr w:rsidR="00F17284" w:rsidRPr="00541DC8" w14:paraId="166145D9" w14:textId="77777777" w:rsidTr="004A0B9A">
        <w:trPr>
          <w:trHeight w:val="300"/>
        </w:trPr>
        <w:tc>
          <w:tcPr>
            <w:tcW w:w="9288" w:type="dxa"/>
          </w:tcPr>
          <w:p w14:paraId="10C5FC00" w14:textId="715A07B4" w:rsidR="00F17284" w:rsidRPr="00541DC8" w:rsidRDefault="0006372E" w:rsidP="004E7680">
            <w:pPr>
              <w:spacing w:before="60" w:after="60"/>
              <w:jc w:val="both"/>
              <w:rPr>
                <w:rFonts w:ascii="Times New Roman" w:hAnsi="Times New Roman" w:cs="Times New Roman"/>
                <w:lang w:val="is-IS"/>
              </w:rPr>
            </w:pPr>
            <w:r w:rsidRPr="00541DC8">
              <w:rPr>
                <w:rFonts w:ascii="Times New Roman" w:hAnsi="Times New Roman" w:cs="Times New Roman"/>
                <w:lang w:val="is-IS"/>
              </w:rPr>
              <w:t>Nei.</w:t>
            </w:r>
          </w:p>
        </w:tc>
      </w:tr>
      <w:tr w:rsidR="00F17284" w:rsidRPr="00541DC8" w14:paraId="0F739E5F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2CC15200" w14:textId="77777777" w:rsidR="00F17284" w:rsidRPr="00541DC8" w:rsidRDefault="00F17284" w:rsidP="004E768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541DC8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F17284" w:rsidRPr="00541DC8" w14:paraId="28E18800" w14:textId="77777777" w:rsidTr="007414CB">
        <w:trPr>
          <w:trHeight w:val="300"/>
        </w:trPr>
        <w:tc>
          <w:tcPr>
            <w:tcW w:w="9288" w:type="dxa"/>
          </w:tcPr>
          <w:sdt>
            <w:sdtPr>
              <w:rPr>
                <w:lang w:val="is-IS"/>
              </w:rPr>
              <w:id w:val="1543943641"/>
            </w:sdtPr>
            <w:sdtEndPr/>
            <w:sdtContent>
              <w:p w14:paraId="55EAB9AA" w14:textId="4899141A" w:rsidR="00F17284" w:rsidRPr="00541DC8" w:rsidRDefault="00F17284" w:rsidP="004E7680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41DC8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</w:sdtContent>
          </w:sdt>
        </w:tc>
      </w:tr>
    </w:tbl>
    <w:p w14:paraId="6F2B2849" w14:textId="77777777" w:rsidR="00F17284" w:rsidRPr="00541DC8" w:rsidRDefault="00F17284">
      <w:pPr>
        <w:rPr>
          <w:rFonts w:ascii="Times New Roman" w:hAnsi="Times New Roman" w:cs="Times New Roman"/>
          <w:lang w:val="is-IS"/>
        </w:rPr>
      </w:pPr>
    </w:p>
    <w:bookmarkEnd w:id="0"/>
    <w:p w14:paraId="65B572E0" w14:textId="77777777" w:rsidR="00263F72" w:rsidRPr="00541DC8" w:rsidRDefault="00263F72">
      <w:pPr>
        <w:rPr>
          <w:rFonts w:ascii="Times New Roman" w:hAnsi="Times New Roman" w:cs="Times New Roman"/>
          <w:lang w:val="is-IS"/>
        </w:rPr>
      </w:pPr>
    </w:p>
    <w:sectPr w:rsidR="00263F72" w:rsidRPr="00541DC8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1B9B" w14:textId="77777777" w:rsidR="00B46354" w:rsidRDefault="00B46354" w:rsidP="007478E0">
      <w:pPr>
        <w:spacing w:after="0" w:line="240" w:lineRule="auto"/>
      </w:pPr>
      <w:r>
        <w:separator/>
      </w:r>
    </w:p>
  </w:endnote>
  <w:endnote w:type="continuationSeparator" w:id="0">
    <w:p w14:paraId="31CC07ED" w14:textId="77777777" w:rsidR="00B46354" w:rsidRDefault="00B46354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8C642" w14:textId="77777777" w:rsidR="00B46354" w:rsidRPr="007D694B" w:rsidRDefault="00B46354" w:rsidP="002A4788">
        <w:pPr>
          <w:pStyle w:val="Footer"/>
          <w:jc w:val="center"/>
          <w:rPr>
            <w:rFonts w:ascii="Times New Roman" w:hAnsi="Times New Roman" w:cs="Times New Roman"/>
          </w:rPr>
        </w:pPr>
        <w:r w:rsidRPr="007D694B">
          <w:rPr>
            <w:rFonts w:ascii="Times New Roman" w:hAnsi="Times New Roman" w:cs="Times New Roman"/>
          </w:rPr>
          <w:fldChar w:fldCharType="begin"/>
        </w:r>
        <w:r w:rsidRPr="007D694B">
          <w:rPr>
            <w:rFonts w:ascii="Times New Roman" w:hAnsi="Times New Roman" w:cs="Times New Roman"/>
          </w:rPr>
          <w:instrText>PAGE   \* MERGEFORMAT</w:instrText>
        </w:r>
        <w:r w:rsidRPr="007D694B">
          <w:rPr>
            <w:rFonts w:ascii="Times New Roman" w:hAnsi="Times New Roman" w:cs="Times New Roman"/>
          </w:rPr>
          <w:fldChar w:fldCharType="separate"/>
        </w:r>
        <w:r w:rsidRPr="007D694B">
          <w:rPr>
            <w:rFonts w:ascii="Times New Roman" w:hAnsi="Times New Roman" w:cs="Times New Roman"/>
            <w:noProof/>
            <w:lang w:val="is-IS"/>
          </w:rPr>
          <w:t>1</w:t>
        </w:r>
        <w:r w:rsidRPr="007D694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03A8C59" w14:textId="77777777" w:rsidR="00B46354" w:rsidRPr="007D694B" w:rsidRDefault="00B46354" w:rsidP="007414CB">
    <w:pPr>
      <w:jc w:val="right"/>
      <w:rPr>
        <w:rFonts w:ascii="Times New Roman" w:hAnsi="Times New Roman" w:cs="Times New Roman"/>
        <w:lang w:val="is-IS"/>
      </w:rPr>
    </w:pPr>
    <w:r w:rsidRPr="007D694B">
      <w:rPr>
        <w:rFonts w:ascii="Times New Roman" w:hAnsi="Times New Roman" w:cs="Times New Roman"/>
        <w:noProof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A194A" w14:textId="77777777" w:rsidR="00B46354" w:rsidRDefault="00B46354" w:rsidP="007478E0">
      <w:pPr>
        <w:spacing w:after="0" w:line="240" w:lineRule="auto"/>
      </w:pPr>
      <w:r>
        <w:separator/>
      </w:r>
    </w:p>
  </w:footnote>
  <w:footnote w:type="continuationSeparator" w:id="0">
    <w:p w14:paraId="493B08F1" w14:textId="77777777" w:rsidR="00B46354" w:rsidRDefault="00B46354" w:rsidP="007478E0">
      <w:pPr>
        <w:spacing w:after="0" w:line="240" w:lineRule="auto"/>
      </w:pPr>
      <w:r>
        <w:continuationSeparator/>
      </w:r>
    </w:p>
  </w:footnote>
  <w:footnote w:id="1">
    <w:p w14:paraId="2BACF43E" w14:textId="438D367D" w:rsidR="000E21FB" w:rsidRPr="00BB7DC4" w:rsidRDefault="000E21FB" w:rsidP="00F77F4B">
      <w:pPr>
        <w:pStyle w:val="FootnoteText"/>
        <w:jc w:val="both"/>
        <w:rPr>
          <w:rFonts w:ascii="Times New Roman" w:hAnsi="Times New Roman" w:cs="Times New Roman"/>
          <w:lang w:val="is-IS"/>
        </w:rPr>
      </w:pPr>
      <w:r w:rsidRPr="00BB7DC4">
        <w:rPr>
          <w:rStyle w:val="FootnoteReference"/>
          <w:rFonts w:ascii="Times New Roman" w:hAnsi="Times New Roman" w:cs="Times New Roman"/>
        </w:rPr>
        <w:footnoteRef/>
      </w:r>
      <w:r w:rsidRPr="00BB7DC4">
        <w:rPr>
          <w:rFonts w:ascii="Times New Roman" w:hAnsi="Times New Roman" w:cs="Times New Roman"/>
        </w:rPr>
        <w:t xml:space="preserve"> </w:t>
      </w:r>
      <w:r w:rsidRPr="00BB7DC4">
        <w:rPr>
          <w:rFonts w:ascii="Times New Roman" w:hAnsi="Times New Roman" w:cs="Times New Roman"/>
          <w:lang w:val="is-IS"/>
        </w:rPr>
        <w:t xml:space="preserve">Í 122. aðfararorði </w:t>
      </w:r>
      <w:hyperlink r:id="rId1" w:history="1">
        <w:r w:rsidRPr="00BB7DC4">
          <w:rPr>
            <w:rStyle w:val="Hyperlink"/>
            <w:rFonts w:ascii="Times New Roman" w:hAnsi="Times New Roman" w:cs="Times New Roman"/>
            <w:lang w:val="is-IS"/>
          </w:rPr>
          <w:t>reglugerðar (ESB) 575/2013 um varfærniskröfur að því er varðar lánastofnanir og verðbréfafyrirtæki</w:t>
        </w:r>
      </w:hyperlink>
      <w:r w:rsidR="00CA5D5D" w:rsidRPr="00BB7DC4">
        <w:rPr>
          <w:rFonts w:ascii="Times New Roman" w:hAnsi="Times New Roman" w:cs="Times New Roman"/>
          <w:lang w:val="is-IS"/>
        </w:rPr>
        <w:t xml:space="preserve">, sem </w:t>
      </w:r>
      <w:hyperlink r:id="rId2" w:history="1">
        <w:r w:rsidR="00CA5D5D" w:rsidRPr="00BB7DC4">
          <w:rPr>
            <w:rStyle w:val="Hyperlink"/>
            <w:rFonts w:ascii="Times New Roman" w:hAnsi="Times New Roman" w:cs="Times New Roman"/>
            <w:lang w:val="is-IS"/>
          </w:rPr>
          <w:t>tekin hefur verið upp í samninginn</w:t>
        </w:r>
        <w:r w:rsidR="000804C3">
          <w:rPr>
            <w:rStyle w:val="Hyperlink"/>
            <w:rFonts w:ascii="Times New Roman" w:hAnsi="Times New Roman" w:cs="Times New Roman"/>
            <w:lang w:val="is-IS"/>
          </w:rPr>
          <w:t xml:space="preserve"> um Evrópska efnahagssvæðið</w:t>
        </w:r>
        <w:r w:rsidR="00CA5D5D" w:rsidRPr="00BB7DC4">
          <w:rPr>
            <w:rStyle w:val="Hyperlink"/>
            <w:rFonts w:ascii="Times New Roman" w:hAnsi="Times New Roman" w:cs="Times New Roman"/>
            <w:lang w:val="is-IS"/>
          </w:rPr>
          <w:t xml:space="preserve"> með stjórnskipulegum fyrirvara</w:t>
        </w:r>
      </w:hyperlink>
      <w:r w:rsidR="00CA5D5D" w:rsidRPr="00BB7DC4">
        <w:rPr>
          <w:rFonts w:ascii="Times New Roman" w:hAnsi="Times New Roman" w:cs="Times New Roman"/>
          <w:lang w:val="is-IS"/>
        </w:rPr>
        <w:t>,</w:t>
      </w:r>
      <w:r w:rsidRPr="00BB7DC4">
        <w:rPr>
          <w:rFonts w:ascii="Times New Roman" w:hAnsi="Times New Roman" w:cs="Times New Roman"/>
          <w:lang w:val="is-IS"/>
        </w:rPr>
        <w:t xml:space="preserve"> er sérstaklega tekið fram að engin ákvæ</w:t>
      </w:r>
      <w:r w:rsidR="004C0B49" w:rsidRPr="00BB7DC4">
        <w:rPr>
          <w:rFonts w:ascii="Times New Roman" w:hAnsi="Times New Roman" w:cs="Times New Roman"/>
          <w:lang w:val="is-IS"/>
        </w:rPr>
        <w:t>ði</w:t>
      </w:r>
      <w:r w:rsidRPr="00BB7DC4">
        <w:rPr>
          <w:rFonts w:ascii="Times New Roman" w:hAnsi="Times New Roman" w:cs="Times New Roman"/>
          <w:lang w:val="is-IS"/>
        </w:rPr>
        <w:t xml:space="preserve"> í núverandi regluramma eigi að koma í veg fyrir ráðstafanir til að aðgreina viðskipta- og fjárfestingarbankastarfsemi innan sömu bankasamstæðu.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135"/>
    <w:multiLevelType w:val="hybridMultilevel"/>
    <w:tmpl w:val="4B1A8E68"/>
    <w:lvl w:ilvl="0" w:tplc="767616DC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25728"/>
    <w:multiLevelType w:val="hybridMultilevel"/>
    <w:tmpl w:val="7994812C"/>
    <w:lvl w:ilvl="0" w:tplc="0F58DEA4">
      <w:start w:val="1"/>
      <w:numFmt w:val="lowerRoman"/>
      <w:lvlText w:val="%1."/>
      <w:lvlJc w:val="right"/>
      <w:pPr>
        <w:ind w:left="720" w:hanging="360"/>
      </w:pPr>
      <w:rPr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3DE2"/>
    <w:multiLevelType w:val="hybridMultilevel"/>
    <w:tmpl w:val="7994812C"/>
    <w:lvl w:ilvl="0" w:tplc="0F58DEA4">
      <w:start w:val="1"/>
      <w:numFmt w:val="lowerRoman"/>
      <w:lvlText w:val="%1."/>
      <w:lvlJc w:val="right"/>
      <w:pPr>
        <w:ind w:left="720" w:hanging="360"/>
      </w:pPr>
      <w:rPr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5C368B0"/>
    <w:multiLevelType w:val="hybridMultilevel"/>
    <w:tmpl w:val="6CDA5B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22C2E"/>
    <w:multiLevelType w:val="hybridMultilevel"/>
    <w:tmpl w:val="9E0834DC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12E6F"/>
    <w:multiLevelType w:val="hybridMultilevel"/>
    <w:tmpl w:val="B4F22EE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A3C13"/>
    <w:multiLevelType w:val="hybridMultilevel"/>
    <w:tmpl w:val="11229BCE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B5C03"/>
    <w:multiLevelType w:val="hybridMultilevel"/>
    <w:tmpl w:val="9E0834DC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27"/>
  </w:num>
  <w:num w:numId="5">
    <w:abstractNumId w:val="20"/>
  </w:num>
  <w:num w:numId="6">
    <w:abstractNumId w:val="13"/>
  </w:num>
  <w:num w:numId="7">
    <w:abstractNumId w:val="11"/>
  </w:num>
  <w:num w:numId="8">
    <w:abstractNumId w:val="8"/>
  </w:num>
  <w:num w:numId="9">
    <w:abstractNumId w:val="15"/>
  </w:num>
  <w:num w:numId="10">
    <w:abstractNumId w:val="17"/>
  </w:num>
  <w:num w:numId="11">
    <w:abstractNumId w:val="25"/>
  </w:num>
  <w:num w:numId="12">
    <w:abstractNumId w:val="26"/>
  </w:num>
  <w:num w:numId="13">
    <w:abstractNumId w:val="3"/>
  </w:num>
  <w:num w:numId="14">
    <w:abstractNumId w:val="4"/>
  </w:num>
  <w:num w:numId="15">
    <w:abstractNumId w:val="28"/>
  </w:num>
  <w:num w:numId="16">
    <w:abstractNumId w:val="0"/>
  </w:num>
  <w:num w:numId="17">
    <w:abstractNumId w:val="9"/>
  </w:num>
  <w:num w:numId="18">
    <w:abstractNumId w:val="19"/>
  </w:num>
  <w:num w:numId="19">
    <w:abstractNumId w:val="16"/>
  </w:num>
  <w:num w:numId="20">
    <w:abstractNumId w:val="5"/>
  </w:num>
  <w:num w:numId="21">
    <w:abstractNumId w:val="12"/>
  </w:num>
  <w:num w:numId="22">
    <w:abstractNumId w:val="7"/>
  </w:num>
  <w:num w:numId="23">
    <w:abstractNumId w:val="10"/>
  </w:num>
  <w:num w:numId="24">
    <w:abstractNumId w:val="22"/>
  </w:num>
  <w:num w:numId="25">
    <w:abstractNumId w:val="14"/>
  </w:num>
  <w:num w:numId="26">
    <w:abstractNumId w:val="24"/>
  </w:num>
  <w:num w:numId="27">
    <w:abstractNumId w:val="23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grammar="clean"/>
  <w:documentProtection w:edit="readOnly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06AF4"/>
    <w:rsid w:val="00011B46"/>
    <w:rsid w:val="000123F2"/>
    <w:rsid w:val="0001724B"/>
    <w:rsid w:val="00024865"/>
    <w:rsid w:val="00024DA0"/>
    <w:rsid w:val="000326FE"/>
    <w:rsid w:val="00033664"/>
    <w:rsid w:val="000336F9"/>
    <w:rsid w:val="0003691B"/>
    <w:rsid w:val="00037FBE"/>
    <w:rsid w:val="000413E4"/>
    <w:rsid w:val="00041ED8"/>
    <w:rsid w:val="00043E61"/>
    <w:rsid w:val="000443FB"/>
    <w:rsid w:val="00044C69"/>
    <w:rsid w:val="00045914"/>
    <w:rsid w:val="00047438"/>
    <w:rsid w:val="00050D5E"/>
    <w:rsid w:val="00050DAE"/>
    <w:rsid w:val="000514A1"/>
    <w:rsid w:val="00051DC6"/>
    <w:rsid w:val="00052200"/>
    <w:rsid w:val="0005586D"/>
    <w:rsid w:val="00057188"/>
    <w:rsid w:val="000601D6"/>
    <w:rsid w:val="00062BBB"/>
    <w:rsid w:val="0006372E"/>
    <w:rsid w:val="00063E97"/>
    <w:rsid w:val="0006694C"/>
    <w:rsid w:val="0006720C"/>
    <w:rsid w:val="00075ADC"/>
    <w:rsid w:val="000804C3"/>
    <w:rsid w:val="00081ED8"/>
    <w:rsid w:val="000829E4"/>
    <w:rsid w:val="00082D6C"/>
    <w:rsid w:val="00082DFE"/>
    <w:rsid w:val="0008494B"/>
    <w:rsid w:val="000873D2"/>
    <w:rsid w:val="00091A02"/>
    <w:rsid w:val="00091D19"/>
    <w:rsid w:val="00091DBA"/>
    <w:rsid w:val="00096B1D"/>
    <w:rsid w:val="000A0431"/>
    <w:rsid w:val="000A1603"/>
    <w:rsid w:val="000A2150"/>
    <w:rsid w:val="000A3909"/>
    <w:rsid w:val="000A3F8F"/>
    <w:rsid w:val="000A58D1"/>
    <w:rsid w:val="000A6181"/>
    <w:rsid w:val="000A63DA"/>
    <w:rsid w:val="000A7176"/>
    <w:rsid w:val="000A7478"/>
    <w:rsid w:val="000B2ABF"/>
    <w:rsid w:val="000B2C44"/>
    <w:rsid w:val="000B3635"/>
    <w:rsid w:val="000B6000"/>
    <w:rsid w:val="000C00C0"/>
    <w:rsid w:val="000C191D"/>
    <w:rsid w:val="000C27CD"/>
    <w:rsid w:val="000C3FC8"/>
    <w:rsid w:val="000C4A78"/>
    <w:rsid w:val="000C58BD"/>
    <w:rsid w:val="000C7446"/>
    <w:rsid w:val="000D1A91"/>
    <w:rsid w:val="000D4FD6"/>
    <w:rsid w:val="000D6E33"/>
    <w:rsid w:val="000D7B86"/>
    <w:rsid w:val="000E1312"/>
    <w:rsid w:val="000E21FB"/>
    <w:rsid w:val="000E34DF"/>
    <w:rsid w:val="000E48E5"/>
    <w:rsid w:val="000E6384"/>
    <w:rsid w:val="000E6B67"/>
    <w:rsid w:val="000E78B8"/>
    <w:rsid w:val="000F280E"/>
    <w:rsid w:val="000F47E8"/>
    <w:rsid w:val="00100138"/>
    <w:rsid w:val="00100701"/>
    <w:rsid w:val="00100F16"/>
    <w:rsid w:val="001012E7"/>
    <w:rsid w:val="00105715"/>
    <w:rsid w:val="00115DA0"/>
    <w:rsid w:val="00120DDB"/>
    <w:rsid w:val="00125EA7"/>
    <w:rsid w:val="0012646E"/>
    <w:rsid w:val="00126525"/>
    <w:rsid w:val="001322E5"/>
    <w:rsid w:val="00133146"/>
    <w:rsid w:val="00133FFC"/>
    <w:rsid w:val="00134182"/>
    <w:rsid w:val="00135B40"/>
    <w:rsid w:val="00135F44"/>
    <w:rsid w:val="0013710B"/>
    <w:rsid w:val="001416FA"/>
    <w:rsid w:val="00143B7A"/>
    <w:rsid w:val="00143CF8"/>
    <w:rsid w:val="00150BC0"/>
    <w:rsid w:val="00151761"/>
    <w:rsid w:val="001529D6"/>
    <w:rsid w:val="00155E70"/>
    <w:rsid w:val="00157947"/>
    <w:rsid w:val="00163036"/>
    <w:rsid w:val="00164641"/>
    <w:rsid w:val="001704EF"/>
    <w:rsid w:val="00170CF2"/>
    <w:rsid w:val="001763D0"/>
    <w:rsid w:val="00176943"/>
    <w:rsid w:val="00176C72"/>
    <w:rsid w:val="001816CC"/>
    <w:rsid w:val="00186BF9"/>
    <w:rsid w:val="00187E36"/>
    <w:rsid w:val="00191351"/>
    <w:rsid w:val="0019164B"/>
    <w:rsid w:val="001928E6"/>
    <w:rsid w:val="00196C0A"/>
    <w:rsid w:val="001972B9"/>
    <w:rsid w:val="00197CF0"/>
    <w:rsid w:val="001A0EC0"/>
    <w:rsid w:val="001A0F47"/>
    <w:rsid w:val="001A1242"/>
    <w:rsid w:val="001A31D8"/>
    <w:rsid w:val="001A6835"/>
    <w:rsid w:val="001B0A49"/>
    <w:rsid w:val="001B21B7"/>
    <w:rsid w:val="001B2AF0"/>
    <w:rsid w:val="001B78BF"/>
    <w:rsid w:val="001C13F3"/>
    <w:rsid w:val="001C2C0A"/>
    <w:rsid w:val="001D117E"/>
    <w:rsid w:val="001D5BCE"/>
    <w:rsid w:val="001E19B9"/>
    <w:rsid w:val="001E2499"/>
    <w:rsid w:val="001E3191"/>
    <w:rsid w:val="001E7025"/>
    <w:rsid w:val="001E7950"/>
    <w:rsid w:val="001E7C39"/>
    <w:rsid w:val="001F12CD"/>
    <w:rsid w:val="001F1687"/>
    <w:rsid w:val="001F2301"/>
    <w:rsid w:val="001F4F75"/>
    <w:rsid w:val="001F7268"/>
    <w:rsid w:val="001F7B21"/>
    <w:rsid w:val="0020290F"/>
    <w:rsid w:val="00203D0F"/>
    <w:rsid w:val="0020530A"/>
    <w:rsid w:val="00211579"/>
    <w:rsid w:val="002115E6"/>
    <w:rsid w:val="00212377"/>
    <w:rsid w:val="0021293B"/>
    <w:rsid w:val="00214006"/>
    <w:rsid w:val="00224915"/>
    <w:rsid w:val="002311C9"/>
    <w:rsid w:val="00236467"/>
    <w:rsid w:val="00242342"/>
    <w:rsid w:val="00242FE9"/>
    <w:rsid w:val="00244F3D"/>
    <w:rsid w:val="00246C88"/>
    <w:rsid w:val="00251776"/>
    <w:rsid w:val="00251D26"/>
    <w:rsid w:val="0025503C"/>
    <w:rsid w:val="002569E1"/>
    <w:rsid w:val="00261C00"/>
    <w:rsid w:val="00263F72"/>
    <w:rsid w:val="0026420F"/>
    <w:rsid w:val="002666DE"/>
    <w:rsid w:val="002704D7"/>
    <w:rsid w:val="002728A8"/>
    <w:rsid w:val="002805DE"/>
    <w:rsid w:val="00281D86"/>
    <w:rsid w:val="00281D9D"/>
    <w:rsid w:val="002859CB"/>
    <w:rsid w:val="0029086F"/>
    <w:rsid w:val="00293721"/>
    <w:rsid w:val="0029398A"/>
    <w:rsid w:val="00296795"/>
    <w:rsid w:val="002A1AFD"/>
    <w:rsid w:val="002A1F3A"/>
    <w:rsid w:val="002A42D6"/>
    <w:rsid w:val="002A4788"/>
    <w:rsid w:val="002A54E0"/>
    <w:rsid w:val="002A7ED9"/>
    <w:rsid w:val="002B1901"/>
    <w:rsid w:val="002B488E"/>
    <w:rsid w:val="002B70B7"/>
    <w:rsid w:val="002C0D7D"/>
    <w:rsid w:val="002C1EDE"/>
    <w:rsid w:val="002C35D9"/>
    <w:rsid w:val="002C573F"/>
    <w:rsid w:val="002C5EE8"/>
    <w:rsid w:val="002C76B6"/>
    <w:rsid w:val="002D1D7F"/>
    <w:rsid w:val="002D4FA8"/>
    <w:rsid w:val="002E5949"/>
    <w:rsid w:val="002E76A6"/>
    <w:rsid w:val="002F1A38"/>
    <w:rsid w:val="002F28DF"/>
    <w:rsid w:val="002F5C86"/>
    <w:rsid w:val="002F68B0"/>
    <w:rsid w:val="002F6908"/>
    <w:rsid w:val="002F722E"/>
    <w:rsid w:val="00301999"/>
    <w:rsid w:val="003023FC"/>
    <w:rsid w:val="003025EB"/>
    <w:rsid w:val="00302A7A"/>
    <w:rsid w:val="0030658E"/>
    <w:rsid w:val="003074D8"/>
    <w:rsid w:val="00311838"/>
    <w:rsid w:val="00314679"/>
    <w:rsid w:val="0032348B"/>
    <w:rsid w:val="00325845"/>
    <w:rsid w:val="003308E9"/>
    <w:rsid w:val="00335A2A"/>
    <w:rsid w:val="00337049"/>
    <w:rsid w:val="00337760"/>
    <w:rsid w:val="00342364"/>
    <w:rsid w:val="00342911"/>
    <w:rsid w:val="00342CDB"/>
    <w:rsid w:val="00347E37"/>
    <w:rsid w:val="00350CD3"/>
    <w:rsid w:val="0035270D"/>
    <w:rsid w:val="003535AE"/>
    <w:rsid w:val="0035418E"/>
    <w:rsid w:val="00360301"/>
    <w:rsid w:val="00362D57"/>
    <w:rsid w:val="00362DB1"/>
    <w:rsid w:val="00364D97"/>
    <w:rsid w:val="003654BF"/>
    <w:rsid w:val="00365713"/>
    <w:rsid w:val="003733EA"/>
    <w:rsid w:val="003821A7"/>
    <w:rsid w:val="00386046"/>
    <w:rsid w:val="003866D5"/>
    <w:rsid w:val="003903BD"/>
    <w:rsid w:val="00390ED2"/>
    <w:rsid w:val="00392213"/>
    <w:rsid w:val="00392B43"/>
    <w:rsid w:val="0039480F"/>
    <w:rsid w:val="00396BAE"/>
    <w:rsid w:val="003A1821"/>
    <w:rsid w:val="003A3D6C"/>
    <w:rsid w:val="003B2FEE"/>
    <w:rsid w:val="003B4722"/>
    <w:rsid w:val="003B49A8"/>
    <w:rsid w:val="003B5E95"/>
    <w:rsid w:val="003B784E"/>
    <w:rsid w:val="003C2EFF"/>
    <w:rsid w:val="003C45E0"/>
    <w:rsid w:val="003D01BF"/>
    <w:rsid w:val="003D0BF0"/>
    <w:rsid w:val="003D1515"/>
    <w:rsid w:val="003D410D"/>
    <w:rsid w:val="003D444A"/>
    <w:rsid w:val="003D64C6"/>
    <w:rsid w:val="003D6E9F"/>
    <w:rsid w:val="003D71E4"/>
    <w:rsid w:val="003E270A"/>
    <w:rsid w:val="003E611E"/>
    <w:rsid w:val="0040020E"/>
    <w:rsid w:val="00400FE3"/>
    <w:rsid w:val="004013A6"/>
    <w:rsid w:val="00402668"/>
    <w:rsid w:val="00403139"/>
    <w:rsid w:val="00403F71"/>
    <w:rsid w:val="0041035B"/>
    <w:rsid w:val="00410F10"/>
    <w:rsid w:val="004133F6"/>
    <w:rsid w:val="0041452E"/>
    <w:rsid w:val="00416AA1"/>
    <w:rsid w:val="00420523"/>
    <w:rsid w:val="00426D4B"/>
    <w:rsid w:val="0043227F"/>
    <w:rsid w:val="0043455F"/>
    <w:rsid w:val="00437DDC"/>
    <w:rsid w:val="00440E58"/>
    <w:rsid w:val="00441AD0"/>
    <w:rsid w:val="00442D2B"/>
    <w:rsid w:val="0044505F"/>
    <w:rsid w:val="00450029"/>
    <w:rsid w:val="00452E21"/>
    <w:rsid w:val="004534DC"/>
    <w:rsid w:val="0046073A"/>
    <w:rsid w:val="00462784"/>
    <w:rsid w:val="0046533A"/>
    <w:rsid w:val="004736F4"/>
    <w:rsid w:val="0047580A"/>
    <w:rsid w:val="004774A2"/>
    <w:rsid w:val="00480BB0"/>
    <w:rsid w:val="00483049"/>
    <w:rsid w:val="0048480F"/>
    <w:rsid w:val="00485C10"/>
    <w:rsid w:val="00487F4C"/>
    <w:rsid w:val="00492C78"/>
    <w:rsid w:val="00495A29"/>
    <w:rsid w:val="004978E5"/>
    <w:rsid w:val="004A0B9A"/>
    <w:rsid w:val="004A515F"/>
    <w:rsid w:val="004A56E5"/>
    <w:rsid w:val="004A5F2B"/>
    <w:rsid w:val="004C0B49"/>
    <w:rsid w:val="004C2C00"/>
    <w:rsid w:val="004C3105"/>
    <w:rsid w:val="004C5EF6"/>
    <w:rsid w:val="004D0C18"/>
    <w:rsid w:val="004D1EAE"/>
    <w:rsid w:val="004D384B"/>
    <w:rsid w:val="004D7F63"/>
    <w:rsid w:val="004E0322"/>
    <w:rsid w:val="004E4F53"/>
    <w:rsid w:val="004E6694"/>
    <w:rsid w:val="004E744D"/>
    <w:rsid w:val="004E7680"/>
    <w:rsid w:val="004F0024"/>
    <w:rsid w:val="004F0FAE"/>
    <w:rsid w:val="004F142F"/>
    <w:rsid w:val="004F1AD9"/>
    <w:rsid w:val="004F1C38"/>
    <w:rsid w:val="004F1CB7"/>
    <w:rsid w:val="004F3AE8"/>
    <w:rsid w:val="004F434E"/>
    <w:rsid w:val="004F5331"/>
    <w:rsid w:val="004F6267"/>
    <w:rsid w:val="00500016"/>
    <w:rsid w:val="005008D1"/>
    <w:rsid w:val="00506A55"/>
    <w:rsid w:val="0051100E"/>
    <w:rsid w:val="0051167B"/>
    <w:rsid w:val="00512145"/>
    <w:rsid w:val="00512E3E"/>
    <w:rsid w:val="00515777"/>
    <w:rsid w:val="0051619C"/>
    <w:rsid w:val="00525A51"/>
    <w:rsid w:val="00525F59"/>
    <w:rsid w:val="005304E5"/>
    <w:rsid w:val="005306B4"/>
    <w:rsid w:val="0053227A"/>
    <w:rsid w:val="00532D45"/>
    <w:rsid w:val="005336BA"/>
    <w:rsid w:val="00535EC4"/>
    <w:rsid w:val="005416CE"/>
    <w:rsid w:val="00541DC8"/>
    <w:rsid w:val="005440D6"/>
    <w:rsid w:val="005458AF"/>
    <w:rsid w:val="00552CA3"/>
    <w:rsid w:val="00555564"/>
    <w:rsid w:val="0055706F"/>
    <w:rsid w:val="005641B1"/>
    <w:rsid w:val="00564856"/>
    <w:rsid w:val="00564C97"/>
    <w:rsid w:val="00571791"/>
    <w:rsid w:val="005730FA"/>
    <w:rsid w:val="00575DE1"/>
    <w:rsid w:val="005768A2"/>
    <w:rsid w:val="00577661"/>
    <w:rsid w:val="00585F65"/>
    <w:rsid w:val="005904C7"/>
    <w:rsid w:val="005926E6"/>
    <w:rsid w:val="00592E19"/>
    <w:rsid w:val="00594359"/>
    <w:rsid w:val="005A15FB"/>
    <w:rsid w:val="005A26E3"/>
    <w:rsid w:val="005A40CD"/>
    <w:rsid w:val="005B0B6F"/>
    <w:rsid w:val="005B33CE"/>
    <w:rsid w:val="005B46C8"/>
    <w:rsid w:val="005B74D9"/>
    <w:rsid w:val="005C123A"/>
    <w:rsid w:val="005C1678"/>
    <w:rsid w:val="005C1B56"/>
    <w:rsid w:val="005C4276"/>
    <w:rsid w:val="005C4F7E"/>
    <w:rsid w:val="005C5DEB"/>
    <w:rsid w:val="005C6752"/>
    <w:rsid w:val="005E51EA"/>
    <w:rsid w:val="005E5BB9"/>
    <w:rsid w:val="005E6791"/>
    <w:rsid w:val="005E7AE6"/>
    <w:rsid w:val="0060415D"/>
    <w:rsid w:val="0060654C"/>
    <w:rsid w:val="00607331"/>
    <w:rsid w:val="0060749C"/>
    <w:rsid w:val="00610BB3"/>
    <w:rsid w:val="006120FD"/>
    <w:rsid w:val="006138EA"/>
    <w:rsid w:val="00614066"/>
    <w:rsid w:val="00614FAD"/>
    <w:rsid w:val="0061742E"/>
    <w:rsid w:val="006237F0"/>
    <w:rsid w:val="00624750"/>
    <w:rsid w:val="00630F6A"/>
    <w:rsid w:val="00631C8F"/>
    <w:rsid w:val="00634A7F"/>
    <w:rsid w:val="006363EA"/>
    <w:rsid w:val="00640305"/>
    <w:rsid w:val="0064315C"/>
    <w:rsid w:val="00643DC6"/>
    <w:rsid w:val="00645781"/>
    <w:rsid w:val="0064593B"/>
    <w:rsid w:val="00646249"/>
    <w:rsid w:val="00653D82"/>
    <w:rsid w:val="006545F2"/>
    <w:rsid w:val="006567DA"/>
    <w:rsid w:val="00663AD8"/>
    <w:rsid w:val="00670F44"/>
    <w:rsid w:val="00674348"/>
    <w:rsid w:val="00675D19"/>
    <w:rsid w:val="00676A80"/>
    <w:rsid w:val="006800EF"/>
    <w:rsid w:val="00683957"/>
    <w:rsid w:val="0069096A"/>
    <w:rsid w:val="00691EE6"/>
    <w:rsid w:val="00692DAF"/>
    <w:rsid w:val="00694183"/>
    <w:rsid w:val="006958D5"/>
    <w:rsid w:val="00695DB9"/>
    <w:rsid w:val="006960C1"/>
    <w:rsid w:val="0069668E"/>
    <w:rsid w:val="00697B19"/>
    <w:rsid w:val="006A32F0"/>
    <w:rsid w:val="006A388E"/>
    <w:rsid w:val="006A4545"/>
    <w:rsid w:val="006A463D"/>
    <w:rsid w:val="006B0DC0"/>
    <w:rsid w:val="006B3787"/>
    <w:rsid w:val="006C1435"/>
    <w:rsid w:val="006C5CA8"/>
    <w:rsid w:val="006C6EA3"/>
    <w:rsid w:val="006D1D57"/>
    <w:rsid w:val="006D1E54"/>
    <w:rsid w:val="006D218A"/>
    <w:rsid w:val="006D5876"/>
    <w:rsid w:val="006D66DC"/>
    <w:rsid w:val="006D76C1"/>
    <w:rsid w:val="006E1BF9"/>
    <w:rsid w:val="006E36C8"/>
    <w:rsid w:val="006E4B11"/>
    <w:rsid w:val="006E638C"/>
    <w:rsid w:val="006F0215"/>
    <w:rsid w:val="006F1A69"/>
    <w:rsid w:val="006F1BC0"/>
    <w:rsid w:val="006F27D7"/>
    <w:rsid w:val="006F2947"/>
    <w:rsid w:val="006F3513"/>
    <w:rsid w:val="006F35DD"/>
    <w:rsid w:val="00700AB1"/>
    <w:rsid w:val="00702097"/>
    <w:rsid w:val="007021D7"/>
    <w:rsid w:val="00704B91"/>
    <w:rsid w:val="00704BA6"/>
    <w:rsid w:val="0070586C"/>
    <w:rsid w:val="00707D5A"/>
    <w:rsid w:val="00707E85"/>
    <w:rsid w:val="00707F99"/>
    <w:rsid w:val="00721859"/>
    <w:rsid w:val="007223A0"/>
    <w:rsid w:val="00722835"/>
    <w:rsid w:val="00724749"/>
    <w:rsid w:val="00726765"/>
    <w:rsid w:val="00726960"/>
    <w:rsid w:val="00727D04"/>
    <w:rsid w:val="00730B7B"/>
    <w:rsid w:val="00730F7B"/>
    <w:rsid w:val="00731AD2"/>
    <w:rsid w:val="00732C36"/>
    <w:rsid w:val="0073598A"/>
    <w:rsid w:val="007365C0"/>
    <w:rsid w:val="007414CB"/>
    <w:rsid w:val="007431AC"/>
    <w:rsid w:val="0074491E"/>
    <w:rsid w:val="007478E0"/>
    <w:rsid w:val="0075356D"/>
    <w:rsid w:val="00753F9D"/>
    <w:rsid w:val="00755D33"/>
    <w:rsid w:val="00756C14"/>
    <w:rsid w:val="00760756"/>
    <w:rsid w:val="0076283F"/>
    <w:rsid w:val="0076792C"/>
    <w:rsid w:val="00776F1B"/>
    <w:rsid w:val="007822E4"/>
    <w:rsid w:val="0078460B"/>
    <w:rsid w:val="007952C4"/>
    <w:rsid w:val="00795B16"/>
    <w:rsid w:val="00796C25"/>
    <w:rsid w:val="00796FBB"/>
    <w:rsid w:val="00797525"/>
    <w:rsid w:val="007A02FD"/>
    <w:rsid w:val="007A1F57"/>
    <w:rsid w:val="007A2745"/>
    <w:rsid w:val="007B3EBF"/>
    <w:rsid w:val="007B6490"/>
    <w:rsid w:val="007B71B2"/>
    <w:rsid w:val="007C054F"/>
    <w:rsid w:val="007C17ED"/>
    <w:rsid w:val="007C1F5B"/>
    <w:rsid w:val="007C3512"/>
    <w:rsid w:val="007C4BFE"/>
    <w:rsid w:val="007C504F"/>
    <w:rsid w:val="007C5BF7"/>
    <w:rsid w:val="007C7454"/>
    <w:rsid w:val="007D27D9"/>
    <w:rsid w:val="007D2E99"/>
    <w:rsid w:val="007D33FA"/>
    <w:rsid w:val="007D694B"/>
    <w:rsid w:val="007E0D8F"/>
    <w:rsid w:val="007E3F61"/>
    <w:rsid w:val="007E4C71"/>
    <w:rsid w:val="007E4E62"/>
    <w:rsid w:val="007E5167"/>
    <w:rsid w:val="007F11A7"/>
    <w:rsid w:val="007F417F"/>
    <w:rsid w:val="007F42AD"/>
    <w:rsid w:val="007F64AB"/>
    <w:rsid w:val="007F64EF"/>
    <w:rsid w:val="008005EE"/>
    <w:rsid w:val="00800870"/>
    <w:rsid w:val="00800B53"/>
    <w:rsid w:val="00802387"/>
    <w:rsid w:val="00802E88"/>
    <w:rsid w:val="00802FB8"/>
    <w:rsid w:val="008073DA"/>
    <w:rsid w:val="00811C11"/>
    <w:rsid w:val="00812072"/>
    <w:rsid w:val="00812E3B"/>
    <w:rsid w:val="00820D48"/>
    <w:rsid w:val="00820DCE"/>
    <w:rsid w:val="008210FC"/>
    <w:rsid w:val="008218F2"/>
    <w:rsid w:val="00823C70"/>
    <w:rsid w:val="00826B1C"/>
    <w:rsid w:val="00831A56"/>
    <w:rsid w:val="00837462"/>
    <w:rsid w:val="00837683"/>
    <w:rsid w:val="00844E23"/>
    <w:rsid w:val="00845C3A"/>
    <w:rsid w:val="00846B88"/>
    <w:rsid w:val="008505CE"/>
    <w:rsid w:val="00851A99"/>
    <w:rsid w:val="00853B8A"/>
    <w:rsid w:val="00853C5C"/>
    <w:rsid w:val="00853FBD"/>
    <w:rsid w:val="0085776D"/>
    <w:rsid w:val="00857E8C"/>
    <w:rsid w:val="00861056"/>
    <w:rsid w:val="00863BC9"/>
    <w:rsid w:val="00870CA8"/>
    <w:rsid w:val="00872634"/>
    <w:rsid w:val="00874A65"/>
    <w:rsid w:val="00876357"/>
    <w:rsid w:val="00877853"/>
    <w:rsid w:val="00883508"/>
    <w:rsid w:val="00885BD7"/>
    <w:rsid w:val="00886AC9"/>
    <w:rsid w:val="00890ADA"/>
    <w:rsid w:val="008916DF"/>
    <w:rsid w:val="00892071"/>
    <w:rsid w:val="00896E1B"/>
    <w:rsid w:val="008A0998"/>
    <w:rsid w:val="008A2C75"/>
    <w:rsid w:val="008A2EED"/>
    <w:rsid w:val="008B5E02"/>
    <w:rsid w:val="008B63E7"/>
    <w:rsid w:val="008C1F12"/>
    <w:rsid w:val="008C4A3D"/>
    <w:rsid w:val="008D0656"/>
    <w:rsid w:val="008D09FC"/>
    <w:rsid w:val="008D673D"/>
    <w:rsid w:val="008D71C3"/>
    <w:rsid w:val="008E14CF"/>
    <w:rsid w:val="008E2491"/>
    <w:rsid w:val="008E413C"/>
    <w:rsid w:val="008E4308"/>
    <w:rsid w:val="008E49CE"/>
    <w:rsid w:val="008E4CB0"/>
    <w:rsid w:val="008F52EA"/>
    <w:rsid w:val="008F7254"/>
    <w:rsid w:val="008F73F6"/>
    <w:rsid w:val="008F7811"/>
    <w:rsid w:val="00901FA3"/>
    <w:rsid w:val="00902299"/>
    <w:rsid w:val="0090313A"/>
    <w:rsid w:val="0090442D"/>
    <w:rsid w:val="009044BA"/>
    <w:rsid w:val="009045FE"/>
    <w:rsid w:val="00907114"/>
    <w:rsid w:val="0091144B"/>
    <w:rsid w:val="009115EF"/>
    <w:rsid w:val="00911DFE"/>
    <w:rsid w:val="009148AF"/>
    <w:rsid w:val="0091519C"/>
    <w:rsid w:val="009172C0"/>
    <w:rsid w:val="00920BD4"/>
    <w:rsid w:val="0092123A"/>
    <w:rsid w:val="00923554"/>
    <w:rsid w:val="0092759D"/>
    <w:rsid w:val="00927DAD"/>
    <w:rsid w:val="00932864"/>
    <w:rsid w:val="00932BC6"/>
    <w:rsid w:val="00933946"/>
    <w:rsid w:val="00935292"/>
    <w:rsid w:val="00937263"/>
    <w:rsid w:val="00937EA8"/>
    <w:rsid w:val="00940993"/>
    <w:rsid w:val="00941142"/>
    <w:rsid w:val="0094395D"/>
    <w:rsid w:val="009439F8"/>
    <w:rsid w:val="00944199"/>
    <w:rsid w:val="009449CA"/>
    <w:rsid w:val="00951768"/>
    <w:rsid w:val="00951F81"/>
    <w:rsid w:val="00952576"/>
    <w:rsid w:val="00956975"/>
    <w:rsid w:val="00956B33"/>
    <w:rsid w:val="00956DB3"/>
    <w:rsid w:val="00960D10"/>
    <w:rsid w:val="00965C53"/>
    <w:rsid w:val="00971CDD"/>
    <w:rsid w:val="00972F1E"/>
    <w:rsid w:val="00980A0A"/>
    <w:rsid w:val="009862A5"/>
    <w:rsid w:val="009870BA"/>
    <w:rsid w:val="00993115"/>
    <w:rsid w:val="00994012"/>
    <w:rsid w:val="009941D2"/>
    <w:rsid w:val="00994443"/>
    <w:rsid w:val="00995043"/>
    <w:rsid w:val="0099541F"/>
    <w:rsid w:val="009A103C"/>
    <w:rsid w:val="009A30ED"/>
    <w:rsid w:val="009A3483"/>
    <w:rsid w:val="009A793F"/>
    <w:rsid w:val="009A7A57"/>
    <w:rsid w:val="009B11E5"/>
    <w:rsid w:val="009B5069"/>
    <w:rsid w:val="009B7A52"/>
    <w:rsid w:val="009C08E8"/>
    <w:rsid w:val="009C1771"/>
    <w:rsid w:val="009C2DA3"/>
    <w:rsid w:val="009C33A8"/>
    <w:rsid w:val="009C3565"/>
    <w:rsid w:val="009C37A0"/>
    <w:rsid w:val="009C4B30"/>
    <w:rsid w:val="009C58AC"/>
    <w:rsid w:val="009D4F3A"/>
    <w:rsid w:val="009D6278"/>
    <w:rsid w:val="009D657C"/>
    <w:rsid w:val="009E058F"/>
    <w:rsid w:val="009E0D60"/>
    <w:rsid w:val="009E7900"/>
    <w:rsid w:val="009E7DEC"/>
    <w:rsid w:val="009F2375"/>
    <w:rsid w:val="009F2F99"/>
    <w:rsid w:val="009F64EA"/>
    <w:rsid w:val="00A0578E"/>
    <w:rsid w:val="00A07187"/>
    <w:rsid w:val="00A0724C"/>
    <w:rsid w:val="00A12BE3"/>
    <w:rsid w:val="00A1505D"/>
    <w:rsid w:val="00A30C51"/>
    <w:rsid w:val="00A30F3C"/>
    <w:rsid w:val="00A319C1"/>
    <w:rsid w:val="00A3508E"/>
    <w:rsid w:val="00A368C2"/>
    <w:rsid w:val="00A44B87"/>
    <w:rsid w:val="00A456D7"/>
    <w:rsid w:val="00A4584E"/>
    <w:rsid w:val="00A51298"/>
    <w:rsid w:val="00A535B8"/>
    <w:rsid w:val="00A64C66"/>
    <w:rsid w:val="00A6722A"/>
    <w:rsid w:val="00A73D67"/>
    <w:rsid w:val="00A74209"/>
    <w:rsid w:val="00A7447A"/>
    <w:rsid w:val="00A77160"/>
    <w:rsid w:val="00A77E8E"/>
    <w:rsid w:val="00A80384"/>
    <w:rsid w:val="00A818B7"/>
    <w:rsid w:val="00A819B7"/>
    <w:rsid w:val="00A81B09"/>
    <w:rsid w:val="00A81BDF"/>
    <w:rsid w:val="00A81FEC"/>
    <w:rsid w:val="00A83373"/>
    <w:rsid w:val="00A92F9D"/>
    <w:rsid w:val="00A977E0"/>
    <w:rsid w:val="00AA0AB4"/>
    <w:rsid w:val="00AA2EFD"/>
    <w:rsid w:val="00AA4539"/>
    <w:rsid w:val="00AA4DAA"/>
    <w:rsid w:val="00AB2412"/>
    <w:rsid w:val="00AB33C0"/>
    <w:rsid w:val="00AB33E6"/>
    <w:rsid w:val="00AB4974"/>
    <w:rsid w:val="00AB6474"/>
    <w:rsid w:val="00AB6867"/>
    <w:rsid w:val="00AB7771"/>
    <w:rsid w:val="00AB7B39"/>
    <w:rsid w:val="00AB7C45"/>
    <w:rsid w:val="00AB7DCB"/>
    <w:rsid w:val="00AC1AE9"/>
    <w:rsid w:val="00AC47A3"/>
    <w:rsid w:val="00AD11BD"/>
    <w:rsid w:val="00AD3B01"/>
    <w:rsid w:val="00AD62A0"/>
    <w:rsid w:val="00AE0F5C"/>
    <w:rsid w:val="00AE3A15"/>
    <w:rsid w:val="00AE461D"/>
    <w:rsid w:val="00AE50E5"/>
    <w:rsid w:val="00AE5700"/>
    <w:rsid w:val="00AF033B"/>
    <w:rsid w:val="00AF7F4D"/>
    <w:rsid w:val="00B01F23"/>
    <w:rsid w:val="00B01FF3"/>
    <w:rsid w:val="00B05BB0"/>
    <w:rsid w:val="00B10560"/>
    <w:rsid w:val="00B207AE"/>
    <w:rsid w:val="00B21222"/>
    <w:rsid w:val="00B2246B"/>
    <w:rsid w:val="00B230F1"/>
    <w:rsid w:val="00B25525"/>
    <w:rsid w:val="00B26ABD"/>
    <w:rsid w:val="00B339AF"/>
    <w:rsid w:val="00B3771A"/>
    <w:rsid w:val="00B42B71"/>
    <w:rsid w:val="00B44378"/>
    <w:rsid w:val="00B46354"/>
    <w:rsid w:val="00B50990"/>
    <w:rsid w:val="00B52C9F"/>
    <w:rsid w:val="00B53AE0"/>
    <w:rsid w:val="00B53E19"/>
    <w:rsid w:val="00B54ADF"/>
    <w:rsid w:val="00B5529C"/>
    <w:rsid w:val="00B57FDF"/>
    <w:rsid w:val="00B60D04"/>
    <w:rsid w:val="00B62AE2"/>
    <w:rsid w:val="00B65214"/>
    <w:rsid w:val="00B66E64"/>
    <w:rsid w:val="00B7091A"/>
    <w:rsid w:val="00B72002"/>
    <w:rsid w:val="00B73B96"/>
    <w:rsid w:val="00B8277B"/>
    <w:rsid w:val="00B83696"/>
    <w:rsid w:val="00B863E2"/>
    <w:rsid w:val="00B863F2"/>
    <w:rsid w:val="00B87FB2"/>
    <w:rsid w:val="00B9741B"/>
    <w:rsid w:val="00B9748F"/>
    <w:rsid w:val="00BA1D24"/>
    <w:rsid w:val="00BA1F90"/>
    <w:rsid w:val="00BA3E11"/>
    <w:rsid w:val="00BA46C7"/>
    <w:rsid w:val="00BA4BB1"/>
    <w:rsid w:val="00BA5089"/>
    <w:rsid w:val="00BA738E"/>
    <w:rsid w:val="00BB2B30"/>
    <w:rsid w:val="00BB4D5C"/>
    <w:rsid w:val="00BB7DC4"/>
    <w:rsid w:val="00BC0A91"/>
    <w:rsid w:val="00BC5D3D"/>
    <w:rsid w:val="00BC6C4F"/>
    <w:rsid w:val="00BC72FD"/>
    <w:rsid w:val="00BC73E3"/>
    <w:rsid w:val="00BC772F"/>
    <w:rsid w:val="00BD265D"/>
    <w:rsid w:val="00BD7CB1"/>
    <w:rsid w:val="00BE1D1C"/>
    <w:rsid w:val="00BE2A5E"/>
    <w:rsid w:val="00BE3F0B"/>
    <w:rsid w:val="00BE48CE"/>
    <w:rsid w:val="00BE7422"/>
    <w:rsid w:val="00BF0560"/>
    <w:rsid w:val="00BF10FC"/>
    <w:rsid w:val="00BF3B4A"/>
    <w:rsid w:val="00BF4A73"/>
    <w:rsid w:val="00BF596C"/>
    <w:rsid w:val="00BF5ACD"/>
    <w:rsid w:val="00BF6323"/>
    <w:rsid w:val="00BF6B10"/>
    <w:rsid w:val="00C041DE"/>
    <w:rsid w:val="00C05CE9"/>
    <w:rsid w:val="00C06EA9"/>
    <w:rsid w:val="00C071CA"/>
    <w:rsid w:val="00C105CE"/>
    <w:rsid w:val="00C10C94"/>
    <w:rsid w:val="00C171B2"/>
    <w:rsid w:val="00C209C4"/>
    <w:rsid w:val="00C22E8B"/>
    <w:rsid w:val="00C24145"/>
    <w:rsid w:val="00C26224"/>
    <w:rsid w:val="00C26618"/>
    <w:rsid w:val="00C327F4"/>
    <w:rsid w:val="00C407C9"/>
    <w:rsid w:val="00C412C9"/>
    <w:rsid w:val="00C4441B"/>
    <w:rsid w:val="00C44FBE"/>
    <w:rsid w:val="00C454D6"/>
    <w:rsid w:val="00C5037E"/>
    <w:rsid w:val="00C51630"/>
    <w:rsid w:val="00C567EA"/>
    <w:rsid w:val="00C61306"/>
    <w:rsid w:val="00C66FC2"/>
    <w:rsid w:val="00C67F5E"/>
    <w:rsid w:val="00C70DA6"/>
    <w:rsid w:val="00C71860"/>
    <w:rsid w:val="00C728F6"/>
    <w:rsid w:val="00C7397C"/>
    <w:rsid w:val="00C74271"/>
    <w:rsid w:val="00C81198"/>
    <w:rsid w:val="00C8409E"/>
    <w:rsid w:val="00C87DE1"/>
    <w:rsid w:val="00C944D8"/>
    <w:rsid w:val="00C95BCF"/>
    <w:rsid w:val="00CA29E9"/>
    <w:rsid w:val="00CA3381"/>
    <w:rsid w:val="00CA5D5D"/>
    <w:rsid w:val="00CB5155"/>
    <w:rsid w:val="00CB54FA"/>
    <w:rsid w:val="00CB5ACE"/>
    <w:rsid w:val="00CC4187"/>
    <w:rsid w:val="00CC4A96"/>
    <w:rsid w:val="00CC774F"/>
    <w:rsid w:val="00CD590A"/>
    <w:rsid w:val="00CD5D3F"/>
    <w:rsid w:val="00CD60E4"/>
    <w:rsid w:val="00CD776B"/>
    <w:rsid w:val="00CD7B07"/>
    <w:rsid w:val="00CE190D"/>
    <w:rsid w:val="00CE3028"/>
    <w:rsid w:val="00CE4262"/>
    <w:rsid w:val="00CE58B9"/>
    <w:rsid w:val="00CE5969"/>
    <w:rsid w:val="00CF03BC"/>
    <w:rsid w:val="00CF0526"/>
    <w:rsid w:val="00CF3749"/>
    <w:rsid w:val="00CF44C4"/>
    <w:rsid w:val="00CF477F"/>
    <w:rsid w:val="00D0000F"/>
    <w:rsid w:val="00D03E7A"/>
    <w:rsid w:val="00D0424B"/>
    <w:rsid w:val="00D121DE"/>
    <w:rsid w:val="00D148DB"/>
    <w:rsid w:val="00D174EC"/>
    <w:rsid w:val="00D20456"/>
    <w:rsid w:val="00D21217"/>
    <w:rsid w:val="00D23EAD"/>
    <w:rsid w:val="00D30286"/>
    <w:rsid w:val="00D3064C"/>
    <w:rsid w:val="00D31620"/>
    <w:rsid w:val="00D334D9"/>
    <w:rsid w:val="00D37584"/>
    <w:rsid w:val="00D46483"/>
    <w:rsid w:val="00D503AC"/>
    <w:rsid w:val="00D54926"/>
    <w:rsid w:val="00D567F3"/>
    <w:rsid w:val="00D62AAC"/>
    <w:rsid w:val="00D62CC3"/>
    <w:rsid w:val="00D63264"/>
    <w:rsid w:val="00D638F1"/>
    <w:rsid w:val="00D63ED7"/>
    <w:rsid w:val="00D65C7C"/>
    <w:rsid w:val="00D729A1"/>
    <w:rsid w:val="00D72A84"/>
    <w:rsid w:val="00D759E6"/>
    <w:rsid w:val="00D75CD7"/>
    <w:rsid w:val="00D75F63"/>
    <w:rsid w:val="00D80C1F"/>
    <w:rsid w:val="00D84AAE"/>
    <w:rsid w:val="00D851FC"/>
    <w:rsid w:val="00D87673"/>
    <w:rsid w:val="00D8794B"/>
    <w:rsid w:val="00D87B33"/>
    <w:rsid w:val="00D913A8"/>
    <w:rsid w:val="00D91836"/>
    <w:rsid w:val="00D928CD"/>
    <w:rsid w:val="00D934B9"/>
    <w:rsid w:val="00D95E34"/>
    <w:rsid w:val="00D97C85"/>
    <w:rsid w:val="00DA0205"/>
    <w:rsid w:val="00DA14EB"/>
    <w:rsid w:val="00DA4633"/>
    <w:rsid w:val="00DB1DEA"/>
    <w:rsid w:val="00DB3E9A"/>
    <w:rsid w:val="00DB4E08"/>
    <w:rsid w:val="00DB5A41"/>
    <w:rsid w:val="00DB645F"/>
    <w:rsid w:val="00DB6CD0"/>
    <w:rsid w:val="00DB6F40"/>
    <w:rsid w:val="00DC1752"/>
    <w:rsid w:val="00DC1ED7"/>
    <w:rsid w:val="00DC4A56"/>
    <w:rsid w:val="00DD2240"/>
    <w:rsid w:val="00DD4095"/>
    <w:rsid w:val="00DD44E9"/>
    <w:rsid w:val="00DD5429"/>
    <w:rsid w:val="00DD5AED"/>
    <w:rsid w:val="00DD64E9"/>
    <w:rsid w:val="00DD7BF4"/>
    <w:rsid w:val="00DD7EA1"/>
    <w:rsid w:val="00DE20C5"/>
    <w:rsid w:val="00DE5D18"/>
    <w:rsid w:val="00DF2AA7"/>
    <w:rsid w:val="00DF3D9E"/>
    <w:rsid w:val="00DF4C8E"/>
    <w:rsid w:val="00DF5CB1"/>
    <w:rsid w:val="00E01A61"/>
    <w:rsid w:val="00E02CEA"/>
    <w:rsid w:val="00E02D04"/>
    <w:rsid w:val="00E11026"/>
    <w:rsid w:val="00E120EF"/>
    <w:rsid w:val="00E124BF"/>
    <w:rsid w:val="00E126D4"/>
    <w:rsid w:val="00E15098"/>
    <w:rsid w:val="00E1526A"/>
    <w:rsid w:val="00E1716F"/>
    <w:rsid w:val="00E17DA4"/>
    <w:rsid w:val="00E207DA"/>
    <w:rsid w:val="00E231B6"/>
    <w:rsid w:val="00E23423"/>
    <w:rsid w:val="00E26E7E"/>
    <w:rsid w:val="00E311EB"/>
    <w:rsid w:val="00E31C26"/>
    <w:rsid w:val="00E32364"/>
    <w:rsid w:val="00E33B17"/>
    <w:rsid w:val="00E34B42"/>
    <w:rsid w:val="00E37066"/>
    <w:rsid w:val="00E409C8"/>
    <w:rsid w:val="00E40C8D"/>
    <w:rsid w:val="00E41B30"/>
    <w:rsid w:val="00E46B70"/>
    <w:rsid w:val="00E52B8D"/>
    <w:rsid w:val="00E569F4"/>
    <w:rsid w:val="00E57920"/>
    <w:rsid w:val="00E63A27"/>
    <w:rsid w:val="00E644CC"/>
    <w:rsid w:val="00E664C8"/>
    <w:rsid w:val="00E67F09"/>
    <w:rsid w:val="00E71099"/>
    <w:rsid w:val="00E72785"/>
    <w:rsid w:val="00E7357A"/>
    <w:rsid w:val="00E7694D"/>
    <w:rsid w:val="00E7738A"/>
    <w:rsid w:val="00E832C9"/>
    <w:rsid w:val="00E8379D"/>
    <w:rsid w:val="00E86B56"/>
    <w:rsid w:val="00E86C13"/>
    <w:rsid w:val="00E92D7B"/>
    <w:rsid w:val="00E96209"/>
    <w:rsid w:val="00EA11A7"/>
    <w:rsid w:val="00EA2CA2"/>
    <w:rsid w:val="00EA460C"/>
    <w:rsid w:val="00EB2768"/>
    <w:rsid w:val="00EB43C7"/>
    <w:rsid w:val="00EB6137"/>
    <w:rsid w:val="00EC1340"/>
    <w:rsid w:val="00EC468C"/>
    <w:rsid w:val="00EC6B7D"/>
    <w:rsid w:val="00ED4E4D"/>
    <w:rsid w:val="00ED4F34"/>
    <w:rsid w:val="00EE2463"/>
    <w:rsid w:val="00EE258E"/>
    <w:rsid w:val="00EE2AF3"/>
    <w:rsid w:val="00EE2D54"/>
    <w:rsid w:val="00EE571B"/>
    <w:rsid w:val="00EE60AA"/>
    <w:rsid w:val="00EF27D4"/>
    <w:rsid w:val="00EF6C0F"/>
    <w:rsid w:val="00EF75CD"/>
    <w:rsid w:val="00F06C9F"/>
    <w:rsid w:val="00F07F47"/>
    <w:rsid w:val="00F14ECE"/>
    <w:rsid w:val="00F17284"/>
    <w:rsid w:val="00F20C2E"/>
    <w:rsid w:val="00F21FCC"/>
    <w:rsid w:val="00F22CED"/>
    <w:rsid w:val="00F23573"/>
    <w:rsid w:val="00F24F7E"/>
    <w:rsid w:val="00F27241"/>
    <w:rsid w:val="00F30460"/>
    <w:rsid w:val="00F309D8"/>
    <w:rsid w:val="00F33308"/>
    <w:rsid w:val="00F358EC"/>
    <w:rsid w:val="00F412CD"/>
    <w:rsid w:val="00F42888"/>
    <w:rsid w:val="00F451AF"/>
    <w:rsid w:val="00F469B5"/>
    <w:rsid w:val="00F50800"/>
    <w:rsid w:val="00F51413"/>
    <w:rsid w:val="00F51F2D"/>
    <w:rsid w:val="00F53363"/>
    <w:rsid w:val="00F57D73"/>
    <w:rsid w:val="00F60EE8"/>
    <w:rsid w:val="00F6481D"/>
    <w:rsid w:val="00F653C9"/>
    <w:rsid w:val="00F656C4"/>
    <w:rsid w:val="00F715CD"/>
    <w:rsid w:val="00F72633"/>
    <w:rsid w:val="00F7364D"/>
    <w:rsid w:val="00F7438A"/>
    <w:rsid w:val="00F76F65"/>
    <w:rsid w:val="00F77F4B"/>
    <w:rsid w:val="00F80D9D"/>
    <w:rsid w:val="00F841D8"/>
    <w:rsid w:val="00F93B5C"/>
    <w:rsid w:val="00F94F79"/>
    <w:rsid w:val="00F9608F"/>
    <w:rsid w:val="00FA1233"/>
    <w:rsid w:val="00FA1DF2"/>
    <w:rsid w:val="00FA43C2"/>
    <w:rsid w:val="00FA600A"/>
    <w:rsid w:val="00FA60D4"/>
    <w:rsid w:val="00FA7664"/>
    <w:rsid w:val="00FB17BE"/>
    <w:rsid w:val="00FB7BCE"/>
    <w:rsid w:val="00FB7E65"/>
    <w:rsid w:val="00FC0DB2"/>
    <w:rsid w:val="00FC2E04"/>
    <w:rsid w:val="00FC6625"/>
    <w:rsid w:val="00FC77B7"/>
    <w:rsid w:val="00FD16FA"/>
    <w:rsid w:val="00FD2097"/>
    <w:rsid w:val="00FD2B00"/>
    <w:rsid w:val="00FD5AB1"/>
    <w:rsid w:val="00FD688E"/>
    <w:rsid w:val="00FE0CB2"/>
    <w:rsid w:val="00FE119E"/>
    <w:rsid w:val="00FE2816"/>
    <w:rsid w:val="00FE5AB4"/>
    <w:rsid w:val="00FE6951"/>
    <w:rsid w:val="00FE6FF6"/>
    <w:rsid w:val="00FE76F2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1A5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5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3D0F"/>
    <w:rPr>
      <w:color w:val="4F81BD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3E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1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lthingi.is/lagas/nuna/2002161.html" TargetMode="External"/><Relationship Id="rId18" Type="http://schemas.openxmlformats.org/officeDocument/2006/relationships/hyperlink" Target="https://www.althingi.is/lagas/nuna/1944033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amradsgatt.island.is/oll-mal/$Cases/Details/?id=12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jornarradid.is/lisalib/getfile.aspx?itemid=a5aa63d9-d5b4-11e7-9422-005056bc530c" TargetMode="External"/><Relationship Id="rId17" Type="http://schemas.openxmlformats.org/officeDocument/2006/relationships/hyperlink" Target="https://www.althingi.is/lagas/nuna/1998087.html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reglugerd.is/reglugerdir/eftir-raduneytum/fjarmala--og-efnahagsraduneyti/nr/0233-2017" TargetMode="External"/><Relationship Id="rId20" Type="http://schemas.openxmlformats.org/officeDocument/2006/relationships/hyperlink" Target="https://www.althingi.is/lagas/nuna/201811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jornarradid.is/lisalib/getfile.aspx?itemid=e544d852-fc8f-11e8-942f-005056bc4d7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jornarradid.is/verkefni/efnahagsmal-og-opinber-fjarmal/efnahagsmal/fjarmalastodugleikarad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tjornarradid.is/lisalib/getfile.aspx?itemid=7397bcff-0ce4-11e8-9424-005056bc4d74" TargetMode="External"/><Relationship Id="rId19" Type="http://schemas.openxmlformats.org/officeDocument/2006/relationships/hyperlink" Target="https://www.althingi.is/lagas/nuna/19930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jornarradid.is/lisalib/getfile.aspx?itemid=32c50a4c-504d-11e7-9410-005056bc4d74" TargetMode="External"/><Relationship Id="rId14" Type="http://schemas.openxmlformats.org/officeDocument/2006/relationships/hyperlink" Target="https://www.althingi.is/lagas/nuna/2014066.html" TargetMode="External"/><Relationship Id="rId22" Type="http://schemas.openxmlformats.org/officeDocument/2006/relationships/hyperlink" Target="https://www.althingi.is/altext/149/01/l29145011.sg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fta.int/sites/default/files/documents/legal-texts/eea/other-legal-documents/adopted-joint-committee-decisions/2019%20-%20Icelandic/079-2019i.pdf" TargetMode="External"/><Relationship Id="rId1" Type="http://schemas.openxmlformats.org/officeDocument/2006/relationships/hyperlink" Target="https://eur-lex.europa.eu/legal-content/EN/TXT/?uri=celex%3A32013R057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3BEADEDE4A44FEBD8BCAF5D934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BEB4-F244-4D0A-820B-EBCF8B9C0F96}"/>
      </w:docPartPr>
      <w:docPartBody>
        <w:p w:rsidR="00F03E40" w:rsidRDefault="00F03E40" w:rsidP="00F03E40">
          <w:pPr>
            <w:pStyle w:val="3A3BEADEDE4A44FEBD8BCAF5D934BC11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C013FE74AFE141CEAEB0BF1EB430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619A-1B2A-495A-9A25-5E1F87DF359F}"/>
      </w:docPartPr>
      <w:docPartBody>
        <w:p w:rsidR="00F03E40" w:rsidRDefault="00F03E40" w:rsidP="00F03E40">
          <w:pPr>
            <w:pStyle w:val="C013FE74AFE141CEAEB0BF1EB4306F5B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C85765"/>
    <w:rsid w:val="00DE4646"/>
    <w:rsid w:val="00DE681D"/>
    <w:rsid w:val="00E424E4"/>
    <w:rsid w:val="00E641C6"/>
    <w:rsid w:val="00F03E40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  <w:style w:type="paragraph" w:customStyle="1" w:styleId="3A3BEADEDE4A44FEBD8BCAF5D934BC11">
    <w:name w:val="3A3BEADEDE4A44FEBD8BCAF5D934BC11"/>
    <w:rsid w:val="00F03E40"/>
  </w:style>
  <w:style w:type="paragraph" w:customStyle="1" w:styleId="C013FE74AFE141CEAEB0BF1EB4306F5B">
    <w:name w:val="C013FE74AFE141CEAEB0BF1EB4306F5B"/>
    <w:rsid w:val="00F03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A00E-9B80-442C-B883-4621E3A0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2144</Words>
  <Characters>12221</Characters>
  <Application>Microsoft Office Word</Application>
  <DocSecurity>0</DocSecurity>
  <Lines>101</Lines>
  <Paragraphs>28</Paragraphs>
  <ScaleCrop>false</ScaleCrop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2019-07-04T12:00:00Z</dcterms:created>
  <dcterms:modified xsi:type="dcterms:W3CDTF">2019-07-04T12:13:00Z</dcterms:modified>
</cp:coreProperties>
</file>