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2129" w14:textId="77777777" w:rsidR="00827AD7" w:rsidRDefault="00827AD7" w:rsidP="00827AD7">
      <w:pPr>
        <w:pStyle w:val="Fyrirsgn1"/>
      </w:pPr>
      <w:r>
        <w:t>REGLUGERÐ</w:t>
      </w:r>
    </w:p>
    <w:p w14:paraId="21B0CDE1" w14:textId="3F829CC4" w:rsidR="00827AD7" w:rsidRPr="00827AD7" w:rsidRDefault="00827AD7" w:rsidP="00827AD7">
      <w:pPr>
        <w:pStyle w:val="Fyrirsgn2"/>
      </w:pPr>
      <w:r w:rsidRPr="005F280F">
        <w:t xml:space="preserve">um gildistöku </w:t>
      </w:r>
      <w:r w:rsidRPr="00827AD7">
        <w:t>reglugerða</w:t>
      </w:r>
      <w:r w:rsidR="009175BC">
        <w:t>r</w:t>
      </w:r>
      <w:r w:rsidRPr="00827AD7">
        <w:t xml:space="preserve"> </w:t>
      </w:r>
      <w:r w:rsidR="00C06031">
        <w:t>Evrópusambandsins</w:t>
      </w:r>
      <w:r w:rsidRPr="00827AD7">
        <w:t xml:space="preserve"> </w:t>
      </w:r>
      <w:r w:rsidR="00637BFE">
        <w:t xml:space="preserve">um </w:t>
      </w:r>
      <w:r w:rsidR="009B4DE8" w:rsidRPr="009B4DE8">
        <w:t>lágmarksupplýsingar tiltekins skjals sem birta skal vegna undanþágu frá lýsingu í tengslum við yfirtöku með skiptiútboði, samruna eða uppskiptingu</w:t>
      </w:r>
      <w:r w:rsidR="009175BC">
        <w:t>.</w:t>
      </w:r>
    </w:p>
    <w:p w14:paraId="16D6FC1E" w14:textId="77777777" w:rsidR="00827AD7" w:rsidRDefault="00827AD7" w:rsidP="00827AD7"/>
    <w:p w14:paraId="5092DA66" w14:textId="77777777" w:rsidR="00827AD7" w:rsidRDefault="00827AD7" w:rsidP="00432659">
      <w:pPr>
        <w:pStyle w:val="Fyrirsgn3"/>
        <w:spacing w:line="276" w:lineRule="auto"/>
      </w:pPr>
      <w:r>
        <w:t>1. gr.</w:t>
      </w:r>
    </w:p>
    <w:p w14:paraId="134AB3CE" w14:textId="501D183A" w:rsidR="003C5FE9" w:rsidRDefault="009B4DE8" w:rsidP="009B4DE8">
      <w:pPr>
        <w:spacing w:line="276" w:lineRule="auto"/>
      </w:pPr>
      <w:r w:rsidRPr="009B4DE8">
        <w:rPr>
          <w:lang w:eastAsia="is-IS"/>
        </w:rPr>
        <w:t xml:space="preserve">Með reglugerð þessari öðlast gildi hér á landi framseld reglugerð framkvæmdastjórnarinnar (ESB) </w:t>
      </w:r>
      <w:r>
        <w:rPr>
          <w:lang w:eastAsia="is-IS"/>
        </w:rPr>
        <w:t xml:space="preserve">2021/528 </w:t>
      </w:r>
      <w:r w:rsidRPr="009B4DE8">
        <w:rPr>
          <w:lang w:eastAsia="is-IS"/>
        </w:rPr>
        <w:t xml:space="preserve">frá </w:t>
      </w:r>
      <w:r>
        <w:rPr>
          <w:lang w:eastAsia="is-IS"/>
        </w:rPr>
        <w:t>16. desember 2020</w:t>
      </w:r>
      <w:r w:rsidRPr="009B4DE8">
        <w:rPr>
          <w:lang w:eastAsia="is-IS"/>
        </w:rPr>
        <w:t xml:space="preserve"> um viðbætur við reglugerð Evrópuþingsins og ráðsins (ESB) 2017/1129 </w:t>
      </w:r>
      <w:r>
        <w:t>að því er varðar lágmarksupplýsingar tiltekins skjals sem birta skal vegna undanþágu frá lýsingu í tengslum við yfirtöku með skiptiútboði, samruna eða uppskiptingu</w:t>
      </w:r>
      <w:r w:rsidRPr="009B4DE8">
        <w:rPr>
          <w:lang w:eastAsia="is-IS"/>
        </w:rPr>
        <w:t xml:space="preserve">. Reglugerðin var tekin upp í samninginn um Evrópska efnahagssvæðið með ákvörðun sameiginlegu EES-nefndarinnar nr. </w:t>
      </w:r>
      <w:r>
        <w:rPr>
          <w:lang w:eastAsia="is-IS"/>
        </w:rPr>
        <w:t>216/2021</w:t>
      </w:r>
      <w:r w:rsidRPr="009B4DE8">
        <w:rPr>
          <w:lang w:eastAsia="is-IS"/>
        </w:rPr>
        <w:t xml:space="preserve"> frá </w:t>
      </w:r>
      <w:r>
        <w:rPr>
          <w:lang w:eastAsia="is-IS"/>
        </w:rPr>
        <w:t>9</w:t>
      </w:r>
      <w:r w:rsidRPr="009B4DE8">
        <w:rPr>
          <w:lang w:eastAsia="is-IS"/>
        </w:rPr>
        <w:t>. júlí 20</w:t>
      </w:r>
      <w:r>
        <w:rPr>
          <w:lang w:eastAsia="is-IS"/>
        </w:rPr>
        <w:t>21</w:t>
      </w:r>
      <w:r w:rsidRPr="009B4DE8">
        <w:rPr>
          <w:lang w:eastAsia="is-IS"/>
        </w:rPr>
        <w:t xml:space="preserve">, með þeim aðlögunum sem leiðir af bókun 1 um altæka aðlögum við samninginn um Evrópska efnahagssvæðið, sbr. lög um Evrópska efnahagssvæðið nr. 2/1993. Reglugerðin er birt á bls. </w:t>
      </w:r>
      <w:r>
        <w:rPr>
          <w:lang w:eastAsia="is-IS"/>
        </w:rPr>
        <w:t>[…]</w:t>
      </w:r>
      <w:r w:rsidRPr="009B4DE8">
        <w:rPr>
          <w:lang w:eastAsia="is-IS"/>
        </w:rPr>
        <w:t xml:space="preserve"> í EES-viðbæti við Stjórnartíðindi Evrópusambandsins nr. </w:t>
      </w:r>
      <w:r>
        <w:rPr>
          <w:lang w:eastAsia="is-IS"/>
        </w:rPr>
        <w:t>[]</w:t>
      </w:r>
      <w:r w:rsidRPr="009B4DE8">
        <w:rPr>
          <w:lang w:eastAsia="is-IS"/>
        </w:rPr>
        <w:t xml:space="preserve"> frá </w:t>
      </w:r>
      <w:r>
        <w:rPr>
          <w:lang w:eastAsia="is-IS"/>
        </w:rPr>
        <w:t>[16. desember 2021]</w:t>
      </w:r>
      <w:r w:rsidR="00BD4E48" w:rsidRPr="00BD4E48">
        <w:t>.</w:t>
      </w:r>
    </w:p>
    <w:p w14:paraId="6468607B" w14:textId="77777777" w:rsidR="009175BC" w:rsidRDefault="009175BC" w:rsidP="00432659">
      <w:pPr>
        <w:pStyle w:val="Fyrirsgn3"/>
        <w:spacing w:line="276" w:lineRule="auto"/>
      </w:pPr>
    </w:p>
    <w:p w14:paraId="3D9EBA63" w14:textId="28F89B3E" w:rsidR="00827AD7" w:rsidRDefault="00827AD7" w:rsidP="00432659">
      <w:pPr>
        <w:pStyle w:val="Fyrirsgn3"/>
        <w:spacing w:line="276" w:lineRule="auto"/>
      </w:pPr>
      <w:r>
        <w:t>2. gr.</w:t>
      </w:r>
    </w:p>
    <w:p w14:paraId="0D613478" w14:textId="482D680D" w:rsidR="00827AD7" w:rsidRDefault="00827AD7" w:rsidP="00432659">
      <w:pPr>
        <w:spacing w:line="276" w:lineRule="auto"/>
      </w:pPr>
      <w:r>
        <w:t xml:space="preserve">Reglugerð þessi sem sett er með heimild í </w:t>
      </w:r>
      <w:r w:rsidR="001804BC">
        <w:t>1</w:t>
      </w:r>
      <w:r w:rsidR="009175BC">
        <w:t>9</w:t>
      </w:r>
      <w:r>
        <w:t>. gr</w:t>
      </w:r>
      <w:r w:rsidR="001F7BC3">
        <w:t>.</w:t>
      </w:r>
      <w:r>
        <w:t xml:space="preserve"> laga nr. </w:t>
      </w:r>
      <w:r w:rsidR="009175BC">
        <w:t>14/2020</w:t>
      </w:r>
      <w:r>
        <w:t xml:space="preserve">, </w:t>
      </w:r>
      <w:r w:rsidR="009175BC" w:rsidRPr="009175BC">
        <w:t>um lýsingu verðbréfa sem boðin eru í almennu útboði eða tekin til viðskipta á skipulegum markaði</w:t>
      </w:r>
      <w:r>
        <w:t xml:space="preserve">, öðlast </w:t>
      </w:r>
      <w:r w:rsidR="009B4DE8">
        <w:t>þegar gildi</w:t>
      </w:r>
      <w:r>
        <w:t xml:space="preserve">. </w:t>
      </w:r>
    </w:p>
    <w:p w14:paraId="6526A487" w14:textId="77777777" w:rsidR="00827AD7" w:rsidRDefault="00827AD7" w:rsidP="00432659">
      <w:pPr>
        <w:spacing w:line="276" w:lineRule="auto"/>
      </w:pPr>
    </w:p>
    <w:p w14:paraId="1682AD15" w14:textId="77777777" w:rsidR="001F7BC3" w:rsidRDefault="001F7BC3" w:rsidP="00432659">
      <w:pPr>
        <w:pStyle w:val="Fyrirsgn4"/>
        <w:spacing w:line="276" w:lineRule="auto"/>
        <w:rPr>
          <w:color w:val="272727"/>
          <w:szCs w:val="21"/>
        </w:rPr>
      </w:pPr>
    </w:p>
    <w:p w14:paraId="2E36B088" w14:textId="45FAF205" w:rsidR="00827AD7" w:rsidRDefault="00827AD7" w:rsidP="00432659">
      <w:pPr>
        <w:pStyle w:val="Fyrirsgn4"/>
        <w:spacing w:line="276" w:lineRule="auto"/>
      </w:pPr>
      <w:r>
        <w:rPr>
          <w:color w:val="272727"/>
          <w:szCs w:val="21"/>
        </w:rPr>
        <w:t>Fjármála- og efnahagsráðuneytinu</w:t>
      </w:r>
      <w:r w:rsidR="00B87480">
        <w:rPr>
          <w:color w:val="272727"/>
          <w:szCs w:val="21"/>
        </w:rPr>
        <w:t xml:space="preserve">, </w:t>
      </w:r>
      <w:r w:rsidR="009B4DE8">
        <w:rPr>
          <w:color w:val="272727"/>
          <w:szCs w:val="21"/>
        </w:rPr>
        <w:t>[17. desember 2021]</w:t>
      </w:r>
      <w:r>
        <w:rPr>
          <w:color w:val="272727"/>
          <w:szCs w:val="21"/>
        </w:rPr>
        <w:t>.</w:t>
      </w:r>
    </w:p>
    <w:p w14:paraId="031F2A33" w14:textId="77777777" w:rsidR="00827AD7" w:rsidRDefault="00827AD7" w:rsidP="00432659">
      <w:pPr>
        <w:spacing w:line="276" w:lineRule="auto"/>
      </w:pPr>
    </w:p>
    <w:p w14:paraId="5DA2A35E" w14:textId="77777777" w:rsidR="002926D1" w:rsidRDefault="000610BF" w:rsidP="00432659">
      <w:pPr>
        <w:spacing w:line="276" w:lineRule="auto"/>
        <w:ind w:firstLine="0"/>
        <w:jc w:val="center"/>
        <w:rPr>
          <w:lang w:eastAsia="en-GB"/>
        </w:rPr>
      </w:pPr>
      <w:r>
        <w:rPr>
          <w:lang w:eastAsia="en-GB"/>
        </w:rPr>
        <w:t>F.h.r.</w:t>
      </w:r>
    </w:p>
    <w:p w14:paraId="436239DF" w14:textId="77777777" w:rsidR="000610BF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</w:p>
    <w:p w14:paraId="2A52FFFF" w14:textId="77777777" w:rsidR="000610BF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</w:p>
    <w:p w14:paraId="4D33A743" w14:textId="77777777" w:rsidR="000610BF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  <w:r w:rsidRPr="00D20836">
        <w:rPr>
          <w:rFonts w:ascii="Times New Roman" w:hAnsi="Times New Roman"/>
          <w:szCs w:val="21"/>
          <w:lang w:eastAsia="x-none"/>
        </w:rPr>
        <w:t>__________________________</w:t>
      </w:r>
      <w:r>
        <w:rPr>
          <w:rFonts w:ascii="Times New Roman" w:hAnsi="Times New Roman"/>
          <w:szCs w:val="21"/>
          <w:lang w:eastAsia="x-none"/>
        </w:rPr>
        <w:t xml:space="preserve">                                                 </w:t>
      </w:r>
      <w:r w:rsidR="00D83B2B">
        <w:rPr>
          <w:rFonts w:ascii="Times New Roman" w:hAnsi="Times New Roman"/>
          <w:szCs w:val="21"/>
          <w:lang w:eastAsia="x-none"/>
        </w:rPr>
        <w:t xml:space="preserve">  </w:t>
      </w:r>
      <w:r w:rsidRPr="00D20836">
        <w:rPr>
          <w:rFonts w:ascii="Times New Roman" w:hAnsi="Times New Roman"/>
          <w:szCs w:val="21"/>
          <w:lang w:eastAsia="x-none"/>
        </w:rPr>
        <w:t>__________________________</w:t>
      </w:r>
    </w:p>
    <w:p w14:paraId="51A49612" w14:textId="008B39BF" w:rsidR="000610BF" w:rsidRPr="00D20836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  <w:r>
        <w:rPr>
          <w:rFonts w:ascii="Times New Roman" w:hAnsi="Times New Roman"/>
          <w:szCs w:val="21"/>
          <w:lang w:eastAsia="x-none"/>
        </w:rPr>
        <w:t>Guðrún Þorleifsdóttir</w:t>
      </w:r>
      <w:r>
        <w:rPr>
          <w:rFonts w:ascii="Times New Roman" w:hAnsi="Times New Roman"/>
          <w:szCs w:val="21"/>
          <w:lang w:eastAsia="x-none"/>
        </w:rPr>
        <w:tab/>
        <w:t xml:space="preserve">  </w:t>
      </w:r>
      <w:r w:rsidRPr="00D20836">
        <w:rPr>
          <w:rFonts w:ascii="Times New Roman" w:hAnsi="Times New Roman"/>
          <w:szCs w:val="21"/>
          <w:lang w:eastAsia="x-none"/>
        </w:rPr>
        <w:t xml:space="preserve">                                   </w:t>
      </w:r>
      <w:r>
        <w:rPr>
          <w:rFonts w:ascii="Times New Roman" w:hAnsi="Times New Roman"/>
          <w:szCs w:val="21"/>
          <w:lang w:eastAsia="x-none"/>
        </w:rPr>
        <w:t xml:space="preserve">                       </w:t>
      </w:r>
      <w:r w:rsidR="00D83B2B">
        <w:rPr>
          <w:rFonts w:ascii="Times New Roman" w:hAnsi="Times New Roman"/>
          <w:szCs w:val="21"/>
          <w:lang w:eastAsia="x-none"/>
        </w:rPr>
        <w:t xml:space="preserve">  </w:t>
      </w:r>
      <w:r>
        <w:rPr>
          <w:rFonts w:ascii="Times New Roman" w:hAnsi="Times New Roman"/>
          <w:szCs w:val="21"/>
          <w:lang w:eastAsia="x-none"/>
        </w:rPr>
        <w:t xml:space="preserve"> </w:t>
      </w:r>
      <w:r w:rsidR="009175BC">
        <w:rPr>
          <w:rFonts w:ascii="Times New Roman" w:hAnsi="Times New Roman"/>
          <w:szCs w:val="21"/>
          <w:lang w:eastAsia="x-none"/>
        </w:rPr>
        <w:t>Benedikt Hallgrímsson</w:t>
      </w:r>
    </w:p>
    <w:p w14:paraId="321E1D7C" w14:textId="77777777" w:rsidR="000610BF" w:rsidRDefault="000610BF" w:rsidP="00432659">
      <w:pPr>
        <w:spacing w:line="276" w:lineRule="auto"/>
        <w:jc w:val="center"/>
        <w:rPr>
          <w:lang w:eastAsia="en-GB"/>
        </w:rPr>
      </w:pPr>
    </w:p>
    <w:p w14:paraId="485DFBEF" w14:textId="77777777" w:rsidR="000610BF" w:rsidRPr="002926D1" w:rsidRDefault="000610BF" w:rsidP="002926D1">
      <w:pPr>
        <w:rPr>
          <w:lang w:eastAsia="en-GB"/>
        </w:rPr>
      </w:pPr>
    </w:p>
    <w:sectPr w:rsidR="000610BF" w:rsidRPr="002926D1" w:rsidSect="00840702">
      <w:headerReference w:type="default" r:id="rId8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50FC" w14:textId="77777777" w:rsidR="002144EC" w:rsidRDefault="002144EC" w:rsidP="000130AF">
      <w:r>
        <w:separator/>
      </w:r>
    </w:p>
  </w:endnote>
  <w:endnote w:type="continuationSeparator" w:id="0">
    <w:p w14:paraId="0C7382B6" w14:textId="77777777" w:rsidR="002144EC" w:rsidRDefault="002144EC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2145" w14:textId="77777777" w:rsidR="002144EC" w:rsidRDefault="002144EC" w:rsidP="000130AF">
      <w:r>
        <w:separator/>
      </w:r>
    </w:p>
  </w:footnote>
  <w:footnote w:type="continuationSeparator" w:id="0">
    <w:p w14:paraId="05055070" w14:textId="77777777" w:rsidR="002144EC" w:rsidRDefault="002144EC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78DC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009609F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2CC7F4B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1A3C1752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35FC"/>
    <w:multiLevelType w:val="hybridMultilevel"/>
    <w:tmpl w:val="871A75BA"/>
    <w:lvl w:ilvl="0" w:tplc="040F000F">
      <w:start w:val="1"/>
      <w:numFmt w:val="decimal"/>
      <w:lvlText w:val="%1."/>
      <w:lvlJc w:val="left"/>
      <w:pPr>
        <w:ind w:left="757" w:hanging="360"/>
      </w:p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DA670A"/>
    <w:multiLevelType w:val="hybridMultilevel"/>
    <w:tmpl w:val="7A0CAD5A"/>
    <w:lvl w:ilvl="0" w:tplc="040F0019">
      <w:start w:val="1"/>
      <w:numFmt w:val="lowerLetter"/>
      <w:lvlText w:val="%1."/>
      <w:lvlJc w:val="left"/>
      <w:pPr>
        <w:ind w:left="757" w:hanging="360"/>
      </w:p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0036BFF"/>
    <w:multiLevelType w:val="hybridMultilevel"/>
    <w:tmpl w:val="C206FE32"/>
    <w:lvl w:ilvl="0" w:tplc="040F0019">
      <w:start w:val="1"/>
      <w:numFmt w:val="lowerLetter"/>
      <w:lvlText w:val="%1."/>
      <w:lvlJc w:val="left"/>
      <w:pPr>
        <w:ind w:left="757" w:hanging="360"/>
      </w:p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D7"/>
    <w:rsid w:val="000130AF"/>
    <w:rsid w:val="000469DE"/>
    <w:rsid w:val="00054EA9"/>
    <w:rsid w:val="000610BF"/>
    <w:rsid w:val="00086235"/>
    <w:rsid w:val="000A4392"/>
    <w:rsid w:val="000B3DA2"/>
    <w:rsid w:val="00110CD7"/>
    <w:rsid w:val="001134BD"/>
    <w:rsid w:val="00147B4A"/>
    <w:rsid w:val="001627FD"/>
    <w:rsid w:val="001804BC"/>
    <w:rsid w:val="001A05A2"/>
    <w:rsid w:val="001B7372"/>
    <w:rsid w:val="001D64A6"/>
    <w:rsid w:val="001F45AB"/>
    <w:rsid w:val="001F7BC3"/>
    <w:rsid w:val="00212F5D"/>
    <w:rsid w:val="002144EC"/>
    <w:rsid w:val="00241DCD"/>
    <w:rsid w:val="00254B0C"/>
    <w:rsid w:val="002926D1"/>
    <w:rsid w:val="002A0FD9"/>
    <w:rsid w:val="002A2BBD"/>
    <w:rsid w:val="002A4A56"/>
    <w:rsid w:val="002A77D0"/>
    <w:rsid w:val="002E0C78"/>
    <w:rsid w:val="002F32BF"/>
    <w:rsid w:val="0031021D"/>
    <w:rsid w:val="0034638B"/>
    <w:rsid w:val="00391FD9"/>
    <w:rsid w:val="003B1A1A"/>
    <w:rsid w:val="003C5FE9"/>
    <w:rsid w:val="004128D7"/>
    <w:rsid w:val="00432659"/>
    <w:rsid w:val="0043420E"/>
    <w:rsid w:val="004F692E"/>
    <w:rsid w:val="0050133A"/>
    <w:rsid w:val="0054117A"/>
    <w:rsid w:val="00553D4A"/>
    <w:rsid w:val="005A4E70"/>
    <w:rsid w:val="005D7946"/>
    <w:rsid w:val="005F412B"/>
    <w:rsid w:val="00604A65"/>
    <w:rsid w:val="00626B50"/>
    <w:rsid w:val="00637BFE"/>
    <w:rsid w:val="00642983"/>
    <w:rsid w:val="006B4431"/>
    <w:rsid w:val="006D70EA"/>
    <w:rsid w:val="00717432"/>
    <w:rsid w:val="007419BB"/>
    <w:rsid w:val="00752A94"/>
    <w:rsid w:val="007C7926"/>
    <w:rsid w:val="007D1ABF"/>
    <w:rsid w:val="00827AD7"/>
    <w:rsid w:val="00840702"/>
    <w:rsid w:val="009175BC"/>
    <w:rsid w:val="0098711C"/>
    <w:rsid w:val="00990CBD"/>
    <w:rsid w:val="009B4DE8"/>
    <w:rsid w:val="00A06595"/>
    <w:rsid w:val="00A211D0"/>
    <w:rsid w:val="00A668E2"/>
    <w:rsid w:val="00A77D74"/>
    <w:rsid w:val="00A971D0"/>
    <w:rsid w:val="00B113CE"/>
    <w:rsid w:val="00B15D96"/>
    <w:rsid w:val="00B41879"/>
    <w:rsid w:val="00B86F75"/>
    <w:rsid w:val="00B87480"/>
    <w:rsid w:val="00BA17DC"/>
    <w:rsid w:val="00BB6077"/>
    <w:rsid w:val="00BD4E48"/>
    <w:rsid w:val="00BF1E68"/>
    <w:rsid w:val="00BF1EFC"/>
    <w:rsid w:val="00C01933"/>
    <w:rsid w:val="00C06031"/>
    <w:rsid w:val="00C15B2A"/>
    <w:rsid w:val="00C3570D"/>
    <w:rsid w:val="00C611D0"/>
    <w:rsid w:val="00CA01E2"/>
    <w:rsid w:val="00D20E53"/>
    <w:rsid w:val="00D61388"/>
    <w:rsid w:val="00D62C6C"/>
    <w:rsid w:val="00D714EA"/>
    <w:rsid w:val="00D83B2B"/>
    <w:rsid w:val="00DA0481"/>
    <w:rsid w:val="00DB02C0"/>
    <w:rsid w:val="00DC1AD9"/>
    <w:rsid w:val="00DF4C01"/>
    <w:rsid w:val="00E6248C"/>
    <w:rsid w:val="00E87A3B"/>
    <w:rsid w:val="00ED4EFA"/>
    <w:rsid w:val="00EE0E91"/>
    <w:rsid w:val="00EF7EE3"/>
    <w:rsid w:val="00F06DB8"/>
    <w:rsid w:val="00F1205C"/>
    <w:rsid w:val="00F75093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1183972"/>
  <w15:docId w15:val="{A322C176-9482-416A-9C1D-93E49C3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827AD7"/>
    <w:pPr>
      <w:pBdr>
        <w:top w:val="single" w:sz="4" w:space="1" w:color="auto"/>
      </w:pBdr>
      <w:tabs>
        <w:tab w:val="right" w:pos="7796"/>
      </w:tabs>
      <w:ind w:left="6775" w:firstLine="0"/>
      <w:jc w:val="right"/>
    </w:pPr>
    <w:rPr>
      <w:i/>
      <w:szCs w:val="20"/>
      <w:lang w:eastAsia="en-GB"/>
    </w:rPr>
  </w:style>
  <w:style w:type="paragraph" w:styleId="Venjulegtvefur">
    <w:name w:val="Normal (Web)"/>
    <w:basedOn w:val="Venjulegur"/>
    <w:uiPriority w:val="99"/>
    <w:semiHidden/>
    <w:unhideWhenUsed/>
    <w:rsid w:val="00827AD7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C06031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06031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06031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06031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06031"/>
    <w:rPr>
      <w:rFonts w:ascii="Times" w:hAnsi="Times"/>
      <w:b/>
      <w:bCs/>
      <w:noProof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0603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06031"/>
    <w:rPr>
      <w:rFonts w:ascii="Tahoma" w:hAnsi="Tahoma" w:cs="Tahoma"/>
      <w:noProof/>
      <w:sz w:val="16"/>
      <w:szCs w:val="16"/>
      <w:lang w:eastAsia="en-US"/>
    </w:rPr>
  </w:style>
  <w:style w:type="paragraph" w:styleId="Mlsgreinlista">
    <w:name w:val="List Paragraph"/>
    <w:basedOn w:val="Venjulegur"/>
    <w:uiPriority w:val="34"/>
    <w:qFormat/>
    <w:rsid w:val="0043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93FA-2C6D-4852-A1A2-4AAA99CE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 um gildistöku reglugerða Evrópuþingsins og ráðsins sem breyta reglugerð (ESB) nr. 260/2012 um að koma á tæknilegum og viðskiptalegum kröfum fyrir millifærslur fjármuna og beingreiðslur í evrum og um breytingu á reglugerð (EB) nr. 924/2009.</vt:lpstr>
      <vt:lpstr>Reglugerð um gildistöku reglugerða Evrópuþingsins og ráðsins sem breyta reglugerð (ESB) nr. 260/2012 um að koma á tæknilegum og viðskiptalegum kröfum fyrir millifærslur fjármuna og beingreiðslur í evrum og um breytingu á reglugerð (EB) nr. 924/2009.</vt:lpstr>
    </vt:vector>
  </TitlesOfParts>
  <Company>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gildistöku reglugerða Evrópuþingsins og ráðsins sem breyta reglugerð (ESB) nr. 260/2012 um að koma á tæknilegum og viðskiptalegum kröfum fyrir millifærslur fjármuna og beingreiðslur í evrum og um breytingu á reglugerð (EB) nr. 924/2009.</dc:title>
  <dc:subject/>
  <dc:creator>Fjármála- og efnahagsráðuneyti</dc:creator>
  <cp:keywords/>
  <dc:description/>
  <cp:lastModifiedBy>Benedikt Hallgrímsson</cp:lastModifiedBy>
  <cp:revision>2</cp:revision>
  <cp:lastPrinted>2016-11-11T16:01:00Z</cp:lastPrinted>
  <dcterms:created xsi:type="dcterms:W3CDTF">2021-11-26T10:58:00Z</dcterms:created>
  <dcterms:modified xsi:type="dcterms:W3CDTF">2021-11-26T10:58:00Z</dcterms:modified>
</cp:coreProperties>
</file>