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FBBB" w14:textId="77777777" w:rsidR="007F2DDF" w:rsidRDefault="007F2DDF">
      <w:r w:rsidRPr="007F2DDF">
        <w:t xml:space="preserve">Tekið var tillit til umsagna eins og unnt var. Þannig hafa verið gerðar breytingar á 2. gr. með það að markmiði að gera ljóst að ætlunin er að verndar- og orkunýtingaráætlun taki bæði til landsvæða og virkjunarkosta í vindorku sem hafa uppsett rafafl 10 MW eða meira eða vind-orkumannvirki í hæstu stöðu er yfir 100 metrar að hæð, jafnvel þótt slíkt mannvirki sé minna en 10 MW að stærð. </w:t>
      </w:r>
    </w:p>
    <w:p w14:paraId="0F95DE36" w14:textId="77777777" w:rsidR="007F2DDF" w:rsidRDefault="007F2DDF">
      <w:r w:rsidRPr="007F2DDF">
        <w:t xml:space="preserve">Einnig hafa verið gerðar breytingar á 3. gr. til að skerpa á orðalagi. Tilgangur þeirrar breytingar var að skýrt væri að gildissvið frumvarpsins ætti einungis við um virkjunarkosti og landsvæði í vindorku en ekki aðra virkjunarkosti samkvæmt lögunum. </w:t>
      </w:r>
    </w:p>
    <w:p w14:paraId="49DC82E2" w14:textId="505608A1" w:rsidR="007F2DDF" w:rsidRDefault="007F2DDF">
      <w:r w:rsidRPr="007F2DDF">
        <w:t>Í d-lið 1. mgr. 5. gr. var gerð breyting til að skýra frekar aðkomu Náttúrufræðistofnunar Íslands að ákvörðun um skilyrði töluliðarins. Það er verkefnisstjórn rammaáætlunar sem kannar hvort skilyrðið sé uppfyllt en hún getur hins vegar leitað til stofnunarinnar við mat á þeim skilyrðum sem fjallað er um í töluliðnum.</w:t>
      </w:r>
    </w:p>
    <w:sectPr w:rsidR="007F2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DF"/>
    <w:rsid w:val="007F2D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6365"/>
  <w15:chartTrackingRefBased/>
  <w15:docId w15:val="{6766071D-31A0-452F-9E22-2D63F1D3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Hafsteinn S. Hafsteinsson</dc:creator>
  <cp:keywords/>
  <dc:description/>
  <cp:lastModifiedBy>Hafsteinn S. Hafsteinsson</cp:lastModifiedBy>
  <cp:revision>1</cp:revision>
  <dcterms:created xsi:type="dcterms:W3CDTF">2025-11-18T10:14:00Z</dcterms:created>
  <dcterms:modified xsi:type="dcterms:W3CDTF">2025-11-18T10:15:00Z</dcterms:modified>
</cp:coreProperties>
</file>