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B53" w:rsidRDefault="00FE3B53" w:rsidP="00D15CA6">
      <w:pPr>
        <w:jc w:val="right"/>
        <w:rPr>
          <w:rFonts w:ascii="Times New Roman" w:hAnsi="Times New Roman" w:cs="Times New Roman"/>
        </w:rPr>
      </w:pPr>
    </w:p>
    <w:p w:rsidR="00D15CA6" w:rsidRPr="00D15CA6" w:rsidRDefault="00D15CA6" w:rsidP="00D15CA6">
      <w:pPr>
        <w:jc w:val="right"/>
        <w:rPr>
          <w:rFonts w:ascii="Times New Roman" w:hAnsi="Times New Roman" w:cs="Times New Roman"/>
        </w:rPr>
      </w:pPr>
      <w:r w:rsidRPr="00D15CA6">
        <w:rPr>
          <w:rFonts w:ascii="Times New Roman" w:hAnsi="Times New Roman" w:cs="Times New Roman"/>
        </w:rPr>
        <w:t xml:space="preserve">Viðauki. </w:t>
      </w:r>
      <w:bookmarkStart w:id="0" w:name="_Hlk518384772"/>
    </w:p>
    <w:p w:rsidR="00D15CA6" w:rsidRDefault="00D15CA6" w:rsidP="00D15CA6">
      <w:pPr>
        <w:rPr>
          <w:rFonts w:ascii="Times New Roman" w:eastAsia="Calibri" w:hAnsi="Times New Roman" w:cs="Times New Roman"/>
          <w:b/>
          <w:sz w:val="21"/>
        </w:rPr>
      </w:pPr>
    </w:p>
    <w:p w:rsidR="00D15CA6" w:rsidRDefault="00D15CA6" w:rsidP="00D15CA6">
      <w:pPr>
        <w:rPr>
          <w:rFonts w:ascii="Times New Roman" w:eastAsia="Calibri" w:hAnsi="Times New Roman" w:cs="Times New Roman"/>
          <w:b/>
          <w:sz w:val="21"/>
        </w:rPr>
      </w:pPr>
      <w:r w:rsidRPr="00D15CA6">
        <w:rPr>
          <w:rFonts w:ascii="Times New Roman" w:eastAsia="Calibri" w:hAnsi="Times New Roman" w:cs="Times New Roman"/>
          <w:b/>
          <w:sz w:val="21"/>
        </w:rPr>
        <w:t>Reglur um ríkisaðstoð</w:t>
      </w:r>
    </w:p>
    <w:p w:rsidR="00D15CA6" w:rsidRDefault="00D15CA6" w:rsidP="00D15CA6">
      <w:pPr>
        <w:spacing w:after="0" w:line="240" w:lineRule="auto"/>
        <w:jc w:val="both"/>
        <w:rPr>
          <w:rFonts w:ascii="Times New Roman" w:eastAsia="Calibri" w:hAnsi="Times New Roman" w:cs="Times New Roman"/>
          <w:b/>
          <w:sz w:val="21"/>
        </w:rPr>
      </w:pPr>
    </w:p>
    <w:p w:rsidR="00D15CA6" w:rsidRPr="00D15CA6" w:rsidRDefault="00D15CA6" w:rsidP="00D15CA6">
      <w:pPr>
        <w:pStyle w:val="Millifyrirsgn1"/>
        <w:rPr>
          <w:b w:val="0"/>
          <w:u w:val="single"/>
        </w:rPr>
      </w:pPr>
      <w:r w:rsidRPr="00D15CA6">
        <w:rPr>
          <w:b w:val="0"/>
          <w:u w:val="single"/>
        </w:rPr>
        <w:t>Efnisyfirlit</w:t>
      </w:r>
    </w:p>
    <w:p w:rsidR="00D15CA6" w:rsidRDefault="00D15CA6" w:rsidP="00D15CA6">
      <w:pPr>
        <w:pStyle w:val="Millifyrirsgn2"/>
        <w:numPr>
          <w:ilvl w:val="0"/>
          <w:numId w:val="2"/>
        </w:numPr>
      </w:pPr>
      <w:r>
        <w:t>Hugtakið ríkisaðstoð</w:t>
      </w:r>
    </w:p>
    <w:p w:rsidR="00D15CA6" w:rsidRDefault="00D15CA6" w:rsidP="00D15CA6">
      <w:pPr>
        <w:pStyle w:val="Millifyrirsgn2"/>
        <w:numPr>
          <w:ilvl w:val="0"/>
          <w:numId w:val="2"/>
        </w:numPr>
      </w:pPr>
      <w:r>
        <w:t>Veiting ríkisaðstoðar</w:t>
      </w:r>
    </w:p>
    <w:p w:rsidR="00D15CA6" w:rsidRDefault="00D15CA6" w:rsidP="00D15CA6">
      <w:pPr>
        <w:pStyle w:val="Listeafsnit"/>
        <w:numPr>
          <w:ilvl w:val="0"/>
          <w:numId w:val="2"/>
        </w:numPr>
        <w:rPr>
          <w:i/>
        </w:rPr>
      </w:pPr>
      <w:r>
        <w:rPr>
          <w:i/>
        </w:rPr>
        <w:t>E</w:t>
      </w:r>
      <w:r w:rsidRPr="00813BED">
        <w:rPr>
          <w:i/>
        </w:rPr>
        <w:t>ftirlit með ríkisaðstoð</w:t>
      </w:r>
    </w:p>
    <w:p w:rsidR="00D15CA6" w:rsidRDefault="00D15CA6" w:rsidP="00D15CA6">
      <w:pPr>
        <w:pStyle w:val="Listeafsnit"/>
        <w:numPr>
          <w:ilvl w:val="0"/>
          <w:numId w:val="2"/>
        </w:numPr>
        <w:rPr>
          <w:i/>
        </w:rPr>
      </w:pPr>
      <w:r w:rsidRPr="00813BED">
        <w:rPr>
          <w:i/>
        </w:rPr>
        <w:t>Ríkisaðstoð sem samrýmist framkvæmd EES-samningsins</w:t>
      </w:r>
    </w:p>
    <w:p w:rsidR="00D15CA6" w:rsidRDefault="00D15CA6" w:rsidP="00D15CA6">
      <w:pPr>
        <w:pStyle w:val="Millifyrirsgn2"/>
        <w:numPr>
          <w:ilvl w:val="0"/>
          <w:numId w:val="2"/>
        </w:numPr>
      </w:pPr>
      <w:r>
        <w:t>Þjónusta í almannaþágu sem hefur almenna efnahagslega þýðingu</w:t>
      </w:r>
    </w:p>
    <w:p w:rsidR="00D15CA6" w:rsidRPr="00813BED" w:rsidRDefault="00D15CA6" w:rsidP="00D15CA6">
      <w:pPr>
        <w:pStyle w:val="Millifyrirsgn2"/>
        <w:numPr>
          <w:ilvl w:val="0"/>
          <w:numId w:val="2"/>
        </w:numPr>
      </w:pPr>
      <w:r w:rsidRPr="00813BED">
        <w:t>Gagnsæi í veitingu ríkisaðstoðar</w:t>
      </w:r>
    </w:p>
    <w:p w:rsidR="00D15CA6" w:rsidRDefault="00D15CA6" w:rsidP="00D15CA6">
      <w:pPr>
        <w:pStyle w:val="Listeafsnit"/>
        <w:numPr>
          <w:ilvl w:val="0"/>
          <w:numId w:val="2"/>
        </w:numPr>
        <w:rPr>
          <w:i/>
        </w:rPr>
      </w:pPr>
      <w:r w:rsidRPr="00813BED">
        <w:rPr>
          <w:i/>
        </w:rPr>
        <w:t>Innlendir dómstólar</w:t>
      </w:r>
    </w:p>
    <w:p w:rsidR="00ED47A1" w:rsidRPr="00ED47A1" w:rsidRDefault="00ED47A1" w:rsidP="00ED47A1">
      <w:pPr>
        <w:rPr>
          <w:i/>
        </w:rPr>
      </w:pPr>
    </w:p>
    <w:p w:rsidR="00D15CA6" w:rsidRPr="00D15CA6" w:rsidRDefault="00D15CA6" w:rsidP="00D15CA6">
      <w:pPr>
        <w:spacing w:after="0" w:line="240" w:lineRule="auto"/>
        <w:jc w:val="both"/>
        <w:rPr>
          <w:rFonts w:ascii="Times New Roman" w:eastAsia="Calibri" w:hAnsi="Times New Roman" w:cs="Times New Roman"/>
          <w:b/>
          <w:sz w:val="21"/>
        </w:rPr>
      </w:pPr>
    </w:p>
    <w:p w:rsidR="00D15CA6" w:rsidRPr="00D15CA6" w:rsidRDefault="00D15CA6" w:rsidP="00D15CA6">
      <w:pPr>
        <w:numPr>
          <w:ilvl w:val="0"/>
          <w:numId w:val="1"/>
        </w:numPr>
        <w:spacing w:after="0" w:line="240" w:lineRule="auto"/>
        <w:jc w:val="both"/>
        <w:rPr>
          <w:rFonts w:ascii="Times New Roman" w:eastAsia="Calibri" w:hAnsi="Times New Roman" w:cs="Times New Roman"/>
          <w:i/>
          <w:sz w:val="21"/>
        </w:rPr>
      </w:pPr>
      <w:r w:rsidRPr="00D15CA6">
        <w:rPr>
          <w:rFonts w:ascii="Times New Roman" w:eastAsia="Calibri" w:hAnsi="Times New Roman" w:cs="Times New Roman"/>
          <w:i/>
          <w:sz w:val="21"/>
        </w:rPr>
        <w:t>Hugtakið ríkisaðstoð</w:t>
      </w:r>
    </w:p>
    <w:bookmarkEnd w:id="0"/>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Skilgreining </w:t>
      </w:r>
      <w:r w:rsidR="00ED47A1">
        <w:rPr>
          <w:rFonts w:ascii="Times New Roman" w:eastAsia="Calibri" w:hAnsi="Times New Roman" w:cs="Times New Roman"/>
          <w:sz w:val="21"/>
        </w:rPr>
        <w:t xml:space="preserve">hugtaksins </w:t>
      </w:r>
      <w:r w:rsidRPr="00D15CA6">
        <w:rPr>
          <w:rFonts w:ascii="Times New Roman" w:eastAsia="Calibri" w:hAnsi="Times New Roman" w:cs="Times New Roman"/>
          <w:sz w:val="21"/>
        </w:rPr>
        <w:t>ríkisaðstoð byggir á 61. gr. EES-samningsins. Í hnotskurn nær það til ráðstafana (a) opinberra aðila sem hafa í för með sér beinan eða óbeinan ávinning (b) til handa ákveðnum fyrirtækjum. Fyrirtæki telst í þessu sambandi hver sá aðili sem hefur með höndum efnahagslega starfsemi, án tillits til félagaforms. Það er jafnframt skilgreiningaratriði að ráðstöfunin (c) raski eða sé til þess fallin að raska samkeppni og (d) hafi áhrif á viðskipti milli samningsaðila EES-samningsins.</w:t>
      </w:r>
      <w:r w:rsidRPr="00D15CA6">
        <w:rPr>
          <w:rFonts w:ascii="Times New Roman" w:eastAsia="Calibri" w:hAnsi="Times New Roman" w:cs="Times New Roman"/>
          <w:sz w:val="21"/>
          <w:vertAlign w:val="superscript"/>
        </w:rPr>
        <w:footnoteReference w:id="1"/>
      </w:r>
      <w:r w:rsidRPr="00D15CA6">
        <w:rPr>
          <w:rFonts w:ascii="Times New Roman" w:eastAsia="Calibri" w:hAnsi="Times New Roman" w:cs="Times New Roman"/>
          <w:sz w:val="21"/>
        </w:rPr>
        <w:t xml:space="preserve"> Að meginreglu til er veiting ríkisaðstoðar ósamrýmanleg framkvæmd EES-samningsins og hún er því óheimil nema á annan veg sé mælt í samningnum, sbr. einkum 2. og 3. mgr. 61. gr. hans. Þær undanþágur sem leiða af samningnum eru þó viðamiklar.</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Skilgreiningin á ríkisaðstoðarhugtakinu er víðtæk og undir hana falla margs konar ráðstafanir sem veita einu eða fleiri fyrirtækjum efnahagslegan ávinning í einhverju formi umfram önnur sem eru í sömu stöðu. Um getur verið að ræða hvers konar veitingu ríkisfjármuna (</w:t>
      </w:r>
      <w:r w:rsidRPr="00D15CA6">
        <w:rPr>
          <w:rFonts w:ascii="Times New Roman" w:eastAsia="Calibri" w:hAnsi="Times New Roman" w:cs="Times New Roman"/>
          <w:i/>
          <w:sz w:val="21"/>
        </w:rPr>
        <w:t xml:space="preserve">e. </w:t>
      </w:r>
      <w:proofErr w:type="spellStart"/>
      <w:r w:rsidRPr="00D15CA6">
        <w:rPr>
          <w:rFonts w:ascii="Times New Roman" w:eastAsia="Calibri" w:hAnsi="Times New Roman" w:cs="Times New Roman"/>
          <w:i/>
          <w:sz w:val="21"/>
        </w:rPr>
        <w:t>transfer</w:t>
      </w:r>
      <w:proofErr w:type="spellEnd"/>
      <w:r w:rsidRPr="00D15CA6">
        <w:rPr>
          <w:rFonts w:ascii="Times New Roman" w:eastAsia="Calibri" w:hAnsi="Times New Roman" w:cs="Times New Roman"/>
          <w:i/>
          <w:sz w:val="21"/>
        </w:rPr>
        <w:t xml:space="preserve"> of </w:t>
      </w:r>
      <w:proofErr w:type="spellStart"/>
      <w:r w:rsidRPr="00D15CA6">
        <w:rPr>
          <w:rFonts w:ascii="Times New Roman" w:eastAsia="Calibri" w:hAnsi="Times New Roman" w:cs="Times New Roman"/>
          <w:i/>
          <w:sz w:val="21"/>
        </w:rPr>
        <w:t>public</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resources</w:t>
      </w:r>
      <w:proofErr w:type="spellEnd"/>
      <w:r w:rsidRPr="00D15CA6">
        <w:rPr>
          <w:rFonts w:ascii="Times New Roman" w:eastAsia="Calibri" w:hAnsi="Times New Roman" w:cs="Times New Roman"/>
          <w:i/>
          <w:sz w:val="21"/>
        </w:rPr>
        <w:t xml:space="preserve">, d. </w:t>
      </w:r>
      <w:proofErr w:type="spellStart"/>
      <w:r w:rsidRPr="00D15CA6">
        <w:rPr>
          <w:rFonts w:ascii="Times New Roman" w:eastAsia="Calibri" w:hAnsi="Times New Roman" w:cs="Times New Roman"/>
          <w:i/>
          <w:sz w:val="21"/>
        </w:rPr>
        <w:t>overførsel</w:t>
      </w:r>
      <w:proofErr w:type="spellEnd"/>
      <w:r w:rsidRPr="00D15CA6">
        <w:rPr>
          <w:rFonts w:ascii="Times New Roman" w:eastAsia="Calibri" w:hAnsi="Times New Roman" w:cs="Times New Roman"/>
          <w:i/>
          <w:sz w:val="21"/>
        </w:rPr>
        <w:t xml:space="preserve"> af </w:t>
      </w:r>
      <w:proofErr w:type="spellStart"/>
      <w:r w:rsidRPr="00D15CA6">
        <w:rPr>
          <w:rFonts w:ascii="Times New Roman" w:eastAsia="Calibri" w:hAnsi="Times New Roman" w:cs="Times New Roman"/>
          <w:i/>
          <w:sz w:val="21"/>
        </w:rPr>
        <w:t>statslige</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midler</w:t>
      </w:r>
      <w:proofErr w:type="spellEnd"/>
      <w:r w:rsidRPr="00D15CA6">
        <w:rPr>
          <w:rFonts w:ascii="Times New Roman" w:eastAsia="Calibri" w:hAnsi="Times New Roman" w:cs="Times New Roman"/>
          <w:sz w:val="21"/>
        </w:rPr>
        <w:t xml:space="preserve">), t.a.m. beina styrki og fjárveitingar úr ríkissjóði, sjóðum sveitarfélaga eða frá einkaréttarlegum aðilum í eigu og undir stjórn opinberra aðila. Til þess að um ríkisaðstoð sé að ræða verður ráðstöfun jafnframt að vera sértæk </w:t>
      </w:r>
      <w:r w:rsidRPr="00D15CA6">
        <w:rPr>
          <w:rFonts w:ascii="Times New Roman" w:eastAsia="Calibri" w:hAnsi="Times New Roman" w:cs="Times New Roman"/>
          <w:i/>
          <w:sz w:val="21"/>
        </w:rPr>
        <w:t xml:space="preserve">(e. </w:t>
      </w:r>
      <w:proofErr w:type="spellStart"/>
      <w:r w:rsidRPr="00D15CA6">
        <w:rPr>
          <w:rFonts w:ascii="Times New Roman" w:eastAsia="Calibri" w:hAnsi="Times New Roman" w:cs="Times New Roman"/>
          <w:i/>
          <w:sz w:val="21"/>
        </w:rPr>
        <w:t>selective</w:t>
      </w:r>
      <w:proofErr w:type="spellEnd"/>
      <w:r w:rsidRPr="00D15CA6">
        <w:rPr>
          <w:rFonts w:ascii="Times New Roman" w:eastAsia="Calibri" w:hAnsi="Times New Roman" w:cs="Times New Roman"/>
          <w:i/>
          <w:sz w:val="21"/>
        </w:rPr>
        <w:t xml:space="preserve">, d. </w:t>
      </w:r>
      <w:proofErr w:type="spellStart"/>
      <w:r w:rsidRPr="00D15CA6">
        <w:rPr>
          <w:rFonts w:ascii="Times New Roman" w:eastAsia="Calibri" w:hAnsi="Times New Roman" w:cs="Times New Roman"/>
          <w:i/>
          <w:sz w:val="21"/>
        </w:rPr>
        <w:t>selektiv</w:t>
      </w:r>
      <w:proofErr w:type="spellEnd"/>
      <w:r w:rsidRPr="00D15CA6">
        <w:rPr>
          <w:rFonts w:ascii="Times New Roman" w:eastAsia="Calibri" w:hAnsi="Times New Roman" w:cs="Times New Roman"/>
          <w:sz w:val="21"/>
        </w:rPr>
        <w:t xml:space="preserve">), þ.e. beint að tilteknum fyrirtækjum, hópum fyrirtækja eða atvinnugreinum. Auk beins stuðnings má nefna óbeinar ívilnanir s.s. undanþágu frá sköttum og gjöldum, undanþágu frá </w:t>
      </w:r>
      <w:proofErr w:type="spellStart"/>
      <w:r w:rsidRPr="00D15CA6">
        <w:rPr>
          <w:rFonts w:ascii="Times New Roman" w:eastAsia="Calibri" w:hAnsi="Times New Roman" w:cs="Times New Roman"/>
          <w:sz w:val="21"/>
        </w:rPr>
        <w:t>lögboðnu</w:t>
      </w:r>
      <w:proofErr w:type="spellEnd"/>
      <w:r w:rsidRPr="00D15CA6">
        <w:rPr>
          <w:rFonts w:ascii="Times New Roman" w:eastAsia="Calibri" w:hAnsi="Times New Roman" w:cs="Times New Roman"/>
          <w:sz w:val="21"/>
        </w:rPr>
        <w:t xml:space="preserve"> eftirliti og undanþágu frá eðlilegum arðsemiskröfum. Slíkar ráðstafanir geta falið í sér ríkisaðstoð með því að létta af atvinnurekstri kostnaði sem hann undir eðlilegum kringumstæðum hefði þurft að bera. Sérreglur sem taka til eins fyrirtækis eða hóps fyrirtækja, t.a.m. á tilteknu sviði atvinnulífsins, geta talist sértækar ráðstafanir sem fela í sér ríkisaðstoð en lækkun eða niðurfelling skatta gagnvart öllum gjaldendum og skattskyldum aðilum sem eins er ástatt um telst á hinn bóginn almenn ráðstöfun </w:t>
      </w:r>
      <w:r w:rsidR="009048AF">
        <w:rPr>
          <w:rFonts w:ascii="Times New Roman" w:eastAsia="Calibri" w:hAnsi="Times New Roman" w:cs="Times New Roman"/>
          <w:sz w:val="21"/>
        </w:rPr>
        <w:t>sem fellur utan ríkisaðstoðarhugtaksins</w:t>
      </w:r>
      <w:r w:rsidRPr="00D15CA6">
        <w:rPr>
          <w:rFonts w:ascii="Times New Roman" w:eastAsia="Calibri" w:hAnsi="Times New Roman" w:cs="Times New Roman"/>
          <w:sz w:val="21"/>
        </w:rPr>
        <w:t>.</w:t>
      </w:r>
    </w:p>
    <w:p w:rsidR="00D15CA6" w:rsidRPr="00D15CA6" w:rsidRDefault="00BB27AD" w:rsidP="00D15CA6">
      <w:pPr>
        <w:spacing w:after="0" w:line="240" w:lineRule="auto"/>
        <w:ind w:firstLine="284"/>
        <w:jc w:val="both"/>
        <w:rPr>
          <w:rFonts w:ascii="Times New Roman" w:eastAsia="Calibri" w:hAnsi="Times New Roman" w:cs="Times New Roman"/>
          <w:sz w:val="21"/>
        </w:rPr>
      </w:pPr>
      <w:r>
        <w:rPr>
          <w:rFonts w:ascii="Times New Roman" w:eastAsia="Calibri" w:hAnsi="Times New Roman" w:cs="Times New Roman"/>
          <w:sz w:val="21"/>
        </w:rPr>
        <w:t>Við mat á því</w:t>
      </w:r>
      <w:r w:rsidR="00D15CA6" w:rsidRPr="00D15CA6">
        <w:rPr>
          <w:rFonts w:ascii="Times New Roman" w:eastAsia="Calibri" w:hAnsi="Times New Roman" w:cs="Times New Roman"/>
          <w:sz w:val="21"/>
        </w:rPr>
        <w:t xml:space="preserve"> hvort ívilnun sé til staðar er horft til þess hvort ávinningur sé umfram það sem eðlilegt myndi teljast í viðskiptum einkaaðila. Þannig felur útleiga á fasteign ekki í sér ríkisaðstoð þegar leiguverð er </w:t>
      </w:r>
      <w:r w:rsidR="00ED47A1">
        <w:rPr>
          <w:rFonts w:ascii="Times New Roman" w:eastAsia="Calibri" w:hAnsi="Times New Roman" w:cs="Times New Roman"/>
          <w:sz w:val="21"/>
        </w:rPr>
        <w:t xml:space="preserve">ákvarðað </w:t>
      </w:r>
      <w:r w:rsidR="00D15CA6" w:rsidRPr="00D15CA6">
        <w:rPr>
          <w:rFonts w:ascii="Times New Roman" w:eastAsia="Calibri" w:hAnsi="Times New Roman" w:cs="Times New Roman"/>
          <w:sz w:val="21"/>
        </w:rPr>
        <w:t xml:space="preserve">á markaðsforsendum. Þegar lagt er mat á hvort viðskipti opinbers aðila séu á markaðsforsendum er ráðstöfun </w:t>
      </w:r>
      <w:r w:rsidR="00405C68">
        <w:rPr>
          <w:rFonts w:ascii="Times New Roman" w:eastAsia="Calibri" w:hAnsi="Times New Roman" w:cs="Times New Roman"/>
          <w:sz w:val="21"/>
        </w:rPr>
        <w:t xml:space="preserve">almennt </w:t>
      </w:r>
      <w:r w:rsidR="00D15CA6" w:rsidRPr="00D15CA6">
        <w:rPr>
          <w:rFonts w:ascii="Times New Roman" w:eastAsia="Calibri" w:hAnsi="Times New Roman" w:cs="Times New Roman"/>
          <w:sz w:val="21"/>
        </w:rPr>
        <w:t>borin saman við ætlaða hegðun markaðsaðila við sömu aðstæður</w:t>
      </w:r>
      <w:r w:rsidR="00405C68">
        <w:rPr>
          <w:rFonts w:ascii="Times New Roman" w:eastAsia="Calibri" w:hAnsi="Times New Roman" w:cs="Times New Roman"/>
          <w:sz w:val="21"/>
        </w:rPr>
        <w:t>, nema um jafngildar ráðstafanir (</w:t>
      </w:r>
      <w:r w:rsidR="00405C68" w:rsidRPr="00405C68">
        <w:rPr>
          <w:rFonts w:ascii="Times New Roman" w:eastAsia="Calibri" w:hAnsi="Times New Roman" w:cs="Times New Roman"/>
          <w:i/>
          <w:sz w:val="21"/>
        </w:rPr>
        <w:t xml:space="preserve">pari </w:t>
      </w:r>
      <w:proofErr w:type="spellStart"/>
      <w:r w:rsidR="00405C68" w:rsidRPr="00405C68">
        <w:rPr>
          <w:rFonts w:ascii="Times New Roman" w:eastAsia="Calibri" w:hAnsi="Times New Roman" w:cs="Times New Roman"/>
          <w:i/>
          <w:sz w:val="21"/>
        </w:rPr>
        <w:t>passu</w:t>
      </w:r>
      <w:proofErr w:type="spellEnd"/>
      <w:r w:rsidR="00405C68">
        <w:rPr>
          <w:rFonts w:ascii="Times New Roman" w:eastAsia="Calibri" w:hAnsi="Times New Roman" w:cs="Times New Roman"/>
          <w:sz w:val="21"/>
        </w:rPr>
        <w:t>) opinbers aðila og einkaaðila sé að ræða</w:t>
      </w:r>
      <w:r w:rsidR="00D15CA6" w:rsidRPr="00D15CA6">
        <w:rPr>
          <w:rFonts w:ascii="Times New Roman" w:eastAsia="Calibri" w:hAnsi="Times New Roman" w:cs="Times New Roman"/>
          <w:sz w:val="21"/>
        </w:rPr>
        <w:t>. Hér er á ferðinni svonefnd meginregla um rekstraraðila í markaðshagkerfi (</w:t>
      </w:r>
      <w:r w:rsidR="00D15CA6" w:rsidRPr="00D15CA6">
        <w:rPr>
          <w:rFonts w:ascii="Times New Roman" w:eastAsia="Calibri" w:hAnsi="Times New Roman" w:cs="Times New Roman"/>
          <w:i/>
          <w:sz w:val="21"/>
        </w:rPr>
        <w:t xml:space="preserve">e. </w:t>
      </w:r>
      <w:proofErr w:type="spellStart"/>
      <w:r w:rsidR="00D15CA6" w:rsidRPr="00D15CA6">
        <w:rPr>
          <w:rFonts w:ascii="Times New Roman" w:eastAsia="Calibri" w:hAnsi="Times New Roman" w:cs="Times New Roman"/>
          <w:i/>
          <w:sz w:val="21"/>
        </w:rPr>
        <w:t>market</w:t>
      </w:r>
      <w:proofErr w:type="spellEnd"/>
      <w:r w:rsidR="00D15CA6" w:rsidRPr="00D15CA6">
        <w:rPr>
          <w:rFonts w:ascii="Times New Roman" w:eastAsia="Calibri" w:hAnsi="Times New Roman" w:cs="Times New Roman"/>
          <w:i/>
          <w:sz w:val="21"/>
        </w:rPr>
        <w:t xml:space="preserve"> </w:t>
      </w:r>
      <w:proofErr w:type="spellStart"/>
      <w:r w:rsidR="00D15CA6" w:rsidRPr="00D15CA6">
        <w:rPr>
          <w:rFonts w:ascii="Times New Roman" w:eastAsia="Calibri" w:hAnsi="Times New Roman" w:cs="Times New Roman"/>
          <w:i/>
          <w:sz w:val="21"/>
        </w:rPr>
        <w:t>economy</w:t>
      </w:r>
      <w:proofErr w:type="spellEnd"/>
      <w:r w:rsidR="00D15CA6" w:rsidRPr="00D15CA6">
        <w:rPr>
          <w:rFonts w:ascii="Times New Roman" w:eastAsia="Calibri" w:hAnsi="Times New Roman" w:cs="Times New Roman"/>
          <w:i/>
          <w:sz w:val="21"/>
        </w:rPr>
        <w:t xml:space="preserve"> </w:t>
      </w:r>
      <w:proofErr w:type="spellStart"/>
      <w:r w:rsidR="00D15CA6" w:rsidRPr="00D15CA6">
        <w:rPr>
          <w:rFonts w:ascii="Times New Roman" w:eastAsia="Calibri" w:hAnsi="Times New Roman" w:cs="Times New Roman"/>
          <w:i/>
          <w:sz w:val="21"/>
        </w:rPr>
        <w:t>operator</w:t>
      </w:r>
      <w:proofErr w:type="spellEnd"/>
      <w:r w:rsidR="00D15CA6" w:rsidRPr="00D15CA6">
        <w:rPr>
          <w:rFonts w:ascii="Times New Roman" w:eastAsia="Calibri" w:hAnsi="Times New Roman" w:cs="Times New Roman"/>
          <w:i/>
          <w:sz w:val="21"/>
        </w:rPr>
        <w:t xml:space="preserve"> </w:t>
      </w:r>
      <w:proofErr w:type="spellStart"/>
      <w:r w:rsidR="00D15CA6" w:rsidRPr="00D15CA6">
        <w:rPr>
          <w:rFonts w:ascii="Times New Roman" w:eastAsia="Calibri" w:hAnsi="Times New Roman" w:cs="Times New Roman"/>
          <w:i/>
          <w:sz w:val="21"/>
        </w:rPr>
        <w:t>principle</w:t>
      </w:r>
      <w:proofErr w:type="spellEnd"/>
      <w:r w:rsidR="00ED47A1">
        <w:rPr>
          <w:rFonts w:ascii="Times New Roman" w:eastAsia="Calibri" w:hAnsi="Times New Roman" w:cs="Times New Roman"/>
          <w:i/>
          <w:sz w:val="21"/>
        </w:rPr>
        <w:t xml:space="preserve"> - MEOP</w:t>
      </w:r>
      <w:r w:rsidR="00D15CA6" w:rsidRPr="00D15CA6">
        <w:rPr>
          <w:rFonts w:ascii="Times New Roman" w:eastAsia="Calibri" w:hAnsi="Times New Roman" w:cs="Times New Roman"/>
          <w:i/>
          <w:sz w:val="21"/>
        </w:rPr>
        <w:t xml:space="preserve">, d. </w:t>
      </w:r>
      <w:proofErr w:type="spellStart"/>
      <w:r w:rsidR="00D15CA6" w:rsidRPr="00D15CA6">
        <w:rPr>
          <w:rFonts w:ascii="Times New Roman" w:eastAsia="Calibri" w:hAnsi="Times New Roman" w:cs="Times New Roman"/>
          <w:i/>
          <w:sz w:val="21"/>
        </w:rPr>
        <w:t>princip</w:t>
      </w:r>
      <w:proofErr w:type="spellEnd"/>
      <w:r w:rsidR="00D15CA6" w:rsidRPr="00D15CA6">
        <w:rPr>
          <w:rFonts w:ascii="Times New Roman" w:eastAsia="Calibri" w:hAnsi="Times New Roman" w:cs="Times New Roman"/>
          <w:i/>
          <w:sz w:val="21"/>
        </w:rPr>
        <w:t xml:space="preserve"> </w:t>
      </w:r>
      <w:proofErr w:type="spellStart"/>
      <w:r w:rsidR="00D15CA6" w:rsidRPr="00D15CA6">
        <w:rPr>
          <w:rFonts w:ascii="Times New Roman" w:eastAsia="Calibri" w:hAnsi="Times New Roman" w:cs="Times New Roman"/>
          <w:i/>
          <w:sz w:val="21"/>
        </w:rPr>
        <w:t>om</w:t>
      </w:r>
      <w:proofErr w:type="spellEnd"/>
      <w:r w:rsidR="00D15CA6" w:rsidRPr="00D15CA6">
        <w:rPr>
          <w:rFonts w:ascii="Times New Roman" w:eastAsia="Calibri" w:hAnsi="Times New Roman" w:cs="Times New Roman"/>
          <w:i/>
          <w:sz w:val="21"/>
        </w:rPr>
        <w:t xml:space="preserve"> </w:t>
      </w:r>
      <w:proofErr w:type="spellStart"/>
      <w:r w:rsidR="00D15CA6" w:rsidRPr="00D15CA6">
        <w:rPr>
          <w:rFonts w:ascii="Times New Roman" w:eastAsia="Calibri" w:hAnsi="Times New Roman" w:cs="Times New Roman"/>
          <w:i/>
          <w:sz w:val="21"/>
        </w:rPr>
        <w:t>den</w:t>
      </w:r>
      <w:proofErr w:type="spellEnd"/>
      <w:r w:rsidR="00D15CA6" w:rsidRPr="00D15CA6">
        <w:rPr>
          <w:rFonts w:ascii="Times New Roman" w:eastAsia="Calibri" w:hAnsi="Times New Roman" w:cs="Times New Roman"/>
          <w:i/>
          <w:sz w:val="21"/>
        </w:rPr>
        <w:t xml:space="preserve"> </w:t>
      </w:r>
      <w:proofErr w:type="spellStart"/>
      <w:r w:rsidR="00D15CA6" w:rsidRPr="00D15CA6">
        <w:rPr>
          <w:rFonts w:ascii="Times New Roman" w:eastAsia="Calibri" w:hAnsi="Times New Roman" w:cs="Times New Roman"/>
          <w:i/>
          <w:sz w:val="21"/>
        </w:rPr>
        <w:t>markedsøkonomiske</w:t>
      </w:r>
      <w:proofErr w:type="spellEnd"/>
      <w:r w:rsidR="00D15CA6" w:rsidRPr="00D15CA6">
        <w:rPr>
          <w:rFonts w:ascii="Times New Roman" w:eastAsia="Calibri" w:hAnsi="Times New Roman" w:cs="Times New Roman"/>
          <w:i/>
          <w:sz w:val="21"/>
        </w:rPr>
        <w:t xml:space="preserve"> </w:t>
      </w:r>
      <w:proofErr w:type="spellStart"/>
      <w:r w:rsidR="00D15CA6" w:rsidRPr="00D15CA6">
        <w:rPr>
          <w:rFonts w:ascii="Times New Roman" w:eastAsia="Calibri" w:hAnsi="Times New Roman" w:cs="Times New Roman"/>
          <w:i/>
          <w:sz w:val="21"/>
        </w:rPr>
        <w:t>aktør</w:t>
      </w:r>
      <w:proofErr w:type="spellEnd"/>
      <w:r w:rsidR="00D15CA6" w:rsidRPr="00D15CA6">
        <w:rPr>
          <w:rFonts w:ascii="Times New Roman" w:eastAsia="Calibri" w:hAnsi="Times New Roman" w:cs="Times New Roman"/>
          <w:sz w:val="21"/>
        </w:rPr>
        <w:t>) og er henni beitt þegar kemur að fjárfestingum hins opinbera, fasteignaviðskiptu</w:t>
      </w:r>
      <w:bookmarkStart w:id="1" w:name="_GoBack"/>
      <w:bookmarkEnd w:id="1"/>
      <w:r w:rsidR="00D15CA6" w:rsidRPr="00D15CA6">
        <w:rPr>
          <w:rFonts w:ascii="Times New Roman" w:eastAsia="Calibri" w:hAnsi="Times New Roman" w:cs="Times New Roman"/>
          <w:sz w:val="21"/>
        </w:rPr>
        <w:t>m, sölu á vöru eða þjónustu og þegar samið er um eftirgjöf eða endurskipulagningu skulda.</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Hugtakið </w:t>
      </w:r>
      <w:r w:rsidRPr="00D15CA6">
        <w:rPr>
          <w:rFonts w:ascii="Times New Roman" w:eastAsia="Calibri" w:hAnsi="Times New Roman" w:cs="Times New Roman"/>
          <w:i/>
          <w:sz w:val="21"/>
        </w:rPr>
        <w:t>ríkisaðstoð</w:t>
      </w:r>
      <w:r w:rsidRPr="00D15CA6">
        <w:rPr>
          <w:rFonts w:ascii="Times New Roman" w:eastAsia="Calibri" w:hAnsi="Times New Roman" w:cs="Times New Roman"/>
          <w:sz w:val="21"/>
        </w:rPr>
        <w:t xml:space="preserve"> er almennara en </w:t>
      </w:r>
      <w:r w:rsidRPr="00D15CA6">
        <w:rPr>
          <w:rFonts w:ascii="Times New Roman" w:eastAsia="Calibri" w:hAnsi="Times New Roman" w:cs="Times New Roman"/>
          <w:i/>
          <w:sz w:val="21"/>
        </w:rPr>
        <w:t>ríkisstyrkur</w:t>
      </w:r>
      <w:r w:rsidRPr="00D15CA6">
        <w:rPr>
          <w:rFonts w:ascii="Times New Roman" w:eastAsia="Calibri" w:hAnsi="Times New Roman" w:cs="Times New Roman"/>
          <w:sz w:val="21"/>
        </w:rPr>
        <w:t xml:space="preserve">, enda tekur það ekki aðeins til beins fjárhagslegs ávinnings heldur einnig til ráðstafana á vegum ríkisins sem draga úr útgjöldum sem fyrirtæki þurfa almennt að bera. Slík ráðstöfun, sem í einhverri mynd felur í sér tekjutap fyrir ríkið eða óbeina yfirfærslu </w:t>
      </w:r>
      <w:r w:rsidRPr="00D15CA6">
        <w:rPr>
          <w:rFonts w:ascii="Times New Roman" w:eastAsia="Calibri" w:hAnsi="Times New Roman" w:cs="Times New Roman"/>
          <w:sz w:val="21"/>
        </w:rPr>
        <w:lastRenderedPageBreak/>
        <w:t>ríkisfjármuna, getur haft sömu áhrif og styrkur. Ítarlega er gerð grein fyrir hugtakinu ríkisaðstoð í leiðbeinandi reglum ESA þar um.</w:t>
      </w:r>
      <w:r w:rsidRPr="00D15CA6">
        <w:rPr>
          <w:rFonts w:ascii="Times New Roman" w:eastAsia="Calibri" w:hAnsi="Times New Roman" w:cs="Times New Roman"/>
          <w:sz w:val="21"/>
          <w:vertAlign w:val="superscript"/>
        </w:rPr>
        <w:footnoteReference w:id="2"/>
      </w:r>
    </w:p>
    <w:p w:rsidR="00D15CA6" w:rsidRPr="00D15CA6" w:rsidRDefault="00D15CA6" w:rsidP="00D15CA6">
      <w:pPr>
        <w:spacing w:after="0" w:line="240" w:lineRule="auto"/>
        <w:jc w:val="both"/>
        <w:rPr>
          <w:rFonts w:ascii="Times New Roman" w:eastAsia="Calibri" w:hAnsi="Times New Roman" w:cs="Times New Roman"/>
          <w:i/>
          <w:sz w:val="21"/>
        </w:rPr>
      </w:pPr>
    </w:p>
    <w:p w:rsidR="00D15CA6" w:rsidRPr="00D15CA6" w:rsidRDefault="00D15CA6" w:rsidP="009048AF">
      <w:pPr>
        <w:keepNext/>
        <w:numPr>
          <w:ilvl w:val="0"/>
          <w:numId w:val="1"/>
        </w:numPr>
        <w:spacing w:after="0" w:line="240" w:lineRule="auto"/>
        <w:ind w:left="714" w:hanging="357"/>
        <w:jc w:val="both"/>
        <w:rPr>
          <w:rFonts w:ascii="Times New Roman" w:eastAsia="Calibri" w:hAnsi="Times New Roman" w:cs="Times New Roman"/>
          <w:i/>
          <w:sz w:val="21"/>
        </w:rPr>
      </w:pPr>
      <w:bookmarkStart w:id="2" w:name="_Hlk518384798"/>
      <w:r w:rsidRPr="00D15CA6">
        <w:rPr>
          <w:rFonts w:ascii="Times New Roman" w:eastAsia="Calibri" w:hAnsi="Times New Roman" w:cs="Times New Roman"/>
          <w:i/>
          <w:sz w:val="21"/>
        </w:rPr>
        <w:t>Veiting ríkisaðstoðar</w:t>
      </w:r>
      <w:bookmarkEnd w:id="2"/>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Þótt ríkisaðstoð sé almennt óheimil eru undanþágur yfirgripsmiklar og má einkum nefna þær sem mælt er fyrir um í 2. og 3. mgr. 61. gr. og 2. mgr. 59. gr. samningsins. Leiðbeinandi reglur ESA um ríkisaðstoð, sem byggja á þessum undanþáguheimildum, hafa það að markmiði að ríkisaðstoð sé beitt í þágu viðurkenndra markmiða á borð við eflingu menningar, rannsókna og þróunar</w:t>
      </w:r>
      <w:r w:rsidR="00F53E3C">
        <w:rPr>
          <w:rFonts w:ascii="Times New Roman" w:eastAsia="Calibri" w:hAnsi="Times New Roman" w:cs="Times New Roman"/>
          <w:sz w:val="21"/>
        </w:rPr>
        <w:t>, umhverfisverndar</w:t>
      </w:r>
      <w:r w:rsidRPr="00D15CA6">
        <w:rPr>
          <w:rFonts w:ascii="Times New Roman" w:eastAsia="Calibri" w:hAnsi="Times New Roman" w:cs="Times New Roman"/>
          <w:sz w:val="21"/>
        </w:rPr>
        <w:t xml:space="preserve"> og dreifðari byggða. Jafnframt </w:t>
      </w:r>
      <w:r w:rsidR="00F53E3C">
        <w:rPr>
          <w:rFonts w:ascii="Times New Roman" w:eastAsia="Calibri" w:hAnsi="Times New Roman" w:cs="Times New Roman"/>
          <w:sz w:val="21"/>
        </w:rPr>
        <w:t>er rauður þráður í þeim</w:t>
      </w:r>
      <w:r w:rsidRPr="00D15CA6">
        <w:rPr>
          <w:rFonts w:ascii="Times New Roman" w:eastAsia="Calibri" w:hAnsi="Times New Roman" w:cs="Times New Roman"/>
          <w:sz w:val="21"/>
        </w:rPr>
        <w:t xml:space="preserve"> að jákvæð áhrif </w:t>
      </w:r>
      <w:r w:rsidR="00B31936">
        <w:rPr>
          <w:rFonts w:ascii="Times New Roman" w:eastAsia="Calibri" w:hAnsi="Times New Roman" w:cs="Times New Roman"/>
          <w:sz w:val="21"/>
        </w:rPr>
        <w:t xml:space="preserve">aðstoðar </w:t>
      </w:r>
      <w:r w:rsidRPr="00D15CA6">
        <w:rPr>
          <w:rFonts w:ascii="Times New Roman" w:eastAsia="Calibri" w:hAnsi="Times New Roman" w:cs="Times New Roman"/>
          <w:sz w:val="21"/>
        </w:rPr>
        <w:t xml:space="preserve">skuli vega þyngra en sú röskun sem ráðstafanir kunna að hafa í för með sér á samkeppni og viðskipti </w:t>
      </w:r>
      <w:r w:rsidR="00B31936">
        <w:rPr>
          <w:rFonts w:ascii="Times New Roman" w:eastAsia="Calibri" w:hAnsi="Times New Roman" w:cs="Times New Roman"/>
          <w:sz w:val="21"/>
        </w:rPr>
        <w:t xml:space="preserve">á </w:t>
      </w:r>
      <w:r w:rsidRPr="00D15CA6">
        <w:rPr>
          <w:rFonts w:ascii="Times New Roman" w:eastAsia="Calibri" w:hAnsi="Times New Roman" w:cs="Times New Roman"/>
          <w:sz w:val="21"/>
        </w:rPr>
        <w:t>milli EES-ríkja.</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Greinarmunur er gerður á ólöglegri aðstoð og ósamrýmanlegri aðstoð (</w:t>
      </w:r>
      <w:r w:rsidRPr="00D15CA6">
        <w:rPr>
          <w:rFonts w:ascii="Times New Roman" w:eastAsia="Calibri" w:hAnsi="Times New Roman" w:cs="Times New Roman"/>
          <w:i/>
          <w:sz w:val="21"/>
        </w:rPr>
        <w:t xml:space="preserve">e. </w:t>
      </w:r>
      <w:proofErr w:type="spellStart"/>
      <w:r w:rsidRPr="00D15CA6">
        <w:rPr>
          <w:rFonts w:ascii="Times New Roman" w:eastAsia="Calibri" w:hAnsi="Times New Roman" w:cs="Times New Roman"/>
          <w:i/>
          <w:sz w:val="21"/>
        </w:rPr>
        <w:t>unlawful</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and</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incompatible</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aid</w:t>
      </w:r>
      <w:proofErr w:type="spellEnd"/>
      <w:r w:rsidRPr="00D15CA6">
        <w:rPr>
          <w:rFonts w:ascii="Times New Roman" w:eastAsia="Calibri" w:hAnsi="Times New Roman" w:cs="Times New Roman"/>
          <w:i/>
          <w:sz w:val="21"/>
        </w:rPr>
        <w:t xml:space="preserve">. d. </w:t>
      </w:r>
      <w:proofErr w:type="spellStart"/>
      <w:r w:rsidRPr="00D15CA6">
        <w:rPr>
          <w:rFonts w:ascii="Times New Roman" w:eastAsia="Calibri" w:hAnsi="Times New Roman" w:cs="Times New Roman"/>
          <w:i/>
          <w:sz w:val="21"/>
        </w:rPr>
        <w:t>ulovlig</w:t>
      </w:r>
      <w:proofErr w:type="spellEnd"/>
      <w:r w:rsidRPr="00D15CA6">
        <w:rPr>
          <w:rFonts w:ascii="Times New Roman" w:eastAsia="Calibri" w:hAnsi="Times New Roman" w:cs="Times New Roman"/>
          <w:i/>
          <w:sz w:val="21"/>
        </w:rPr>
        <w:t xml:space="preserve"> og </w:t>
      </w:r>
      <w:proofErr w:type="spellStart"/>
      <w:r w:rsidRPr="00D15CA6">
        <w:rPr>
          <w:rFonts w:ascii="Times New Roman" w:eastAsia="Calibri" w:hAnsi="Times New Roman" w:cs="Times New Roman"/>
          <w:i/>
          <w:sz w:val="21"/>
        </w:rPr>
        <w:t>uforenelig</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støtte</w:t>
      </w:r>
      <w:proofErr w:type="spellEnd"/>
      <w:r w:rsidRPr="00D15CA6">
        <w:rPr>
          <w:rFonts w:ascii="Times New Roman" w:eastAsia="Calibri" w:hAnsi="Times New Roman" w:cs="Times New Roman"/>
          <w:sz w:val="21"/>
        </w:rPr>
        <w:t>). Þannig er ólögleg ríkisaðstoð sú sem veitt er í andstöðu við biðstöðuskyldu (</w:t>
      </w:r>
      <w:r w:rsidRPr="00D15CA6">
        <w:rPr>
          <w:rFonts w:ascii="Times New Roman" w:eastAsia="Calibri" w:hAnsi="Times New Roman" w:cs="Times New Roman"/>
          <w:i/>
          <w:sz w:val="21"/>
        </w:rPr>
        <w:t>e. stand-</w:t>
      </w:r>
      <w:proofErr w:type="spellStart"/>
      <w:r w:rsidRPr="00D15CA6">
        <w:rPr>
          <w:rFonts w:ascii="Times New Roman" w:eastAsia="Calibri" w:hAnsi="Times New Roman" w:cs="Times New Roman"/>
          <w:i/>
          <w:sz w:val="21"/>
        </w:rPr>
        <w:t>still</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obligation</w:t>
      </w:r>
      <w:proofErr w:type="spellEnd"/>
      <w:r w:rsidRPr="00D15CA6">
        <w:rPr>
          <w:rFonts w:ascii="Times New Roman" w:eastAsia="Calibri" w:hAnsi="Times New Roman" w:cs="Times New Roman"/>
          <w:i/>
          <w:sz w:val="21"/>
        </w:rPr>
        <w:t>, d. stand-</w:t>
      </w:r>
      <w:proofErr w:type="spellStart"/>
      <w:r w:rsidRPr="00D15CA6">
        <w:rPr>
          <w:rFonts w:ascii="Times New Roman" w:eastAsia="Calibri" w:hAnsi="Times New Roman" w:cs="Times New Roman"/>
          <w:i/>
          <w:sz w:val="21"/>
        </w:rPr>
        <w:t>still</w:t>
      </w:r>
      <w:proofErr w:type="spellEnd"/>
      <w:r w:rsidRPr="00D15CA6">
        <w:rPr>
          <w:rFonts w:ascii="Times New Roman" w:eastAsia="Calibri" w:hAnsi="Times New Roman" w:cs="Times New Roman"/>
          <w:i/>
          <w:sz w:val="21"/>
        </w:rPr>
        <w:t>-</w:t>
      </w:r>
      <w:proofErr w:type="spellStart"/>
      <w:r w:rsidRPr="00D15CA6">
        <w:rPr>
          <w:rFonts w:ascii="Times New Roman" w:eastAsia="Calibri" w:hAnsi="Times New Roman" w:cs="Times New Roman"/>
          <w:i/>
          <w:sz w:val="21"/>
        </w:rPr>
        <w:t>forpligtelse</w:t>
      </w:r>
      <w:proofErr w:type="spellEnd"/>
      <w:r w:rsidRPr="00D15CA6">
        <w:rPr>
          <w:rFonts w:ascii="Times New Roman" w:eastAsia="Calibri" w:hAnsi="Times New Roman" w:cs="Times New Roman"/>
          <w:sz w:val="21"/>
        </w:rPr>
        <w:t>) sem mælt er fyrir um í 3. mgr. 1. gr., sbr. 3. gr. II. hluta bókunar 3 við SED</w:t>
      </w:r>
      <w:r w:rsidR="009048AF">
        <w:rPr>
          <w:rStyle w:val="Fodnotehenvisning"/>
          <w:rFonts w:ascii="Times New Roman" w:eastAsia="Calibri" w:hAnsi="Times New Roman" w:cs="Times New Roman"/>
          <w:sz w:val="21"/>
        </w:rPr>
        <w:footnoteReference w:id="3"/>
      </w:r>
      <w:r w:rsidRPr="00D15CA6">
        <w:rPr>
          <w:rFonts w:ascii="Times New Roman" w:eastAsia="Calibri" w:hAnsi="Times New Roman" w:cs="Times New Roman"/>
          <w:sz w:val="21"/>
        </w:rPr>
        <w:t xml:space="preserve">. Undir þá skilgreiningu fellur ríkisaðstoð sem ekki hefur sætt tilkynningu til ESA og ekki er undanþegin tilkynningarskyldu. Ósamrýmanleg ríkisaðstoð er sú sem ekki samrýmist framkvæmd EES-samningsins s.s. á grundvelli undanþága 2. og 3. mgr. 61. gr. hans. Ólögleg ríkisaðstoð getur verið samrýmanleg framkvæmd EES-samningsins og getur </w:t>
      </w:r>
      <w:r w:rsidR="00F53E3C">
        <w:rPr>
          <w:rFonts w:ascii="Times New Roman" w:eastAsia="Calibri" w:hAnsi="Times New Roman" w:cs="Times New Roman"/>
          <w:sz w:val="21"/>
        </w:rPr>
        <w:t xml:space="preserve">þannig </w:t>
      </w:r>
      <w:r w:rsidRPr="00D15CA6">
        <w:rPr>
          <w:rFonts w:ascii="Times New Roman" w:eastAsia="Calibri" w:hAnsi="Times New Roman" w:cs="Times New Roman"/>
          <w:sz w:val="21"/>
        </w:rPr>
        <w:t>orðið lögleg að fenginni jákvæðri niðurstöðu ESA</w:t>
      </w:r>
      <w:r w:rsidR="00F53E3C">
        <w:rPr>
          <w:rFonts w:ascii="Times New Roman" w:eastAsia="Calibri" w:hAnsi="Times New Roman" w:cs="Times New Roman"/>
          <w:sz w:val="21"/>
        </w:rPr>
        <w:t>. Þannig getur háttað ef</w:t>
      </w:r>
      <w:r w:rsidRPr="00D15CA6">
        <w:rPr>
          <w:rFonts w:ascii="Times New Roman" w:eastAsia="Calibri" w:hAnsi="Times New Roman" w:cs="Times New Roman"/>
          <w:sz w:val="21"/>
        </w:rPr>
        <w:t xml:space="preserve"> hin ólöglega ríkisaðstoð er tilkynnt </w:t>
      </w:r>
      <w:r w:rsidR="00F53E3C">
        <w:rPr>
          <w:rFonts w:ascii="Times New Roman" w:eastAsia="Calibri" w:hAnsi="Times New Roman" w:cs="Times New Roman"/>
          <w:sz w:val="21"/>
        </w:rPr>
        <w:t xml:space="preserve">til ESA </w:t>
      </w:r>
      <w:r w:rsidRPr="00D15CA6">
        <w:rPr>
          <w:rFonts w:ascii="Times New Roman" w:eastAsia="Calibri" w:hAnsi="Times New Roman" w:cs="Times New Roman"/>
          <w:sz w:val="21"/>
        </w:rPr>
        <w:t>eftir á</w:t>
      </w:r>
      <w:r w:rsidR="00F53E3C">
        <w:rPr>
          <w:rFonts w:ascii="Times New Roman" w:eastAsia="Calibri" w:hAnsi="Times New Roman" w:cs="Times New Roman"/>
          <w:sz w:val="21"/>
        </w:rPr>
        <w:t>,</w:t>
      </w:r>
      <w:r w:rsidRPr="00D15CA6">
        <w:rPr>
          <w:rFonts w:ascii="Times New Roman" w:eastAsia="Calibri" w:hAnsi="Times New Roman" w:cs="Times New Roman"/>
          <w:sz w:val="21"/>
        </w:rPr>
        <w:t xml:space="preserve"> eða hún er tekin til meðferðar af ESA í kjölfar kvörtunar eða að eigin frumkvæði stofnunarinnar. </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Eftirfylgni með ríkisaðstoðarreglum er að nokkru leyti í höndum markaðarins með því að gert er ráð fyrir að fyrirtæki hugi að reglunum í samskiptum sínum við opinbera aðila sem og að samkeppnisaðilar </w:t>
      </w:r>
      <w:r w:rsidR="00F53E3C">
        <w:rPr>
          <w:rFonts w:ascii="Times New Roman" w:eastAsia="Calibri" w:hAnsi="Times New Roman" w:cs="Times New Roman"/>
          <w:sz w:val="21"/>
        </w:rPr>
        <w:t xml:space="preserve">kvarti til ESA </w:t>
      </w:r>
      <w:r w:rsidRPr="00D15CA6">
        <w:rPr>
          <w:rFonts w:ascii="Times New Roman" w:eastAsia="Calibri" w:hAnsi="Times New Roman" w:cs="Times New Roman"/>
          <w:sz w:val="21"/>
        </w:rPr>
        <w:t xml:space="preserve">þegar þeir telja brotið gegn reglunum í þágu keppinauta. Eftir sem áður er útfærsla ráðstafana sem kunna að fela í sér ríkisaðstoð á hendi stjórnvalda hverju sinni og ber þeim að ganga úr skugga um að þær séu lausar við ríkisaðstoð eða, eftir atvikum, ríkisaðstoð sem </w:t>
      </w:r>
      <w:r w:rsidR="00F44CEF">
        <w:rPr>
          <w:rFonts w:ascii="Times New Roman" w:eastAsia="Calibri" w:hAnsi="Times New Roman" w:cs="Times New Roman"/>
          <w:sz w:val="21"/>
        </w:rPr>
        <w:t xml:space="preserve">þær hafa að geyma </w:t>
      </w:r>
      <w:r w:rsidRPr="00D15CA6">
        <w:rPr>
          <w:rFonts w:ascii="Times New Roman" w:eastAsia="Calibri" w:hAnsi="Times New Roman" w:cs="Times New Roman"/>
          <w:sz w:val="21"/>
        </w:rPr>
        <w:t>samrýmist EES-samningnum. Stjórnvöld eru skuldbundin til að leita samþykkis ESA þegar um tilkynningarskylda ríkisaðstoð er að ræða</w:t>
      </w:r>
      <w:r w:rsidRPr="00D15CA6">
        <w:rPr>
          <w:rFonts w:ascii="Times New Roman" w:eastAsia="Calibri" w:hAnsi="Times New Roman" w:cs="Times New Roman"/>
          <w:sz w:val="21"/>
          <w:vertAlign w:val="superscript"/>
        </w:rPr>
        <w:footnoteReference w:id="4"/>
      </w:r>
      <w:r w:rsidRPr="00D15CA6">
        <w:rPr>
          <w:rFonts w:ascii="Times New Roman" w:eastAsia="Calibri" w:hAnsi="Times New Roman" w:cs="Times New Roman"/>
          <w:sz w:val="21"/>
        </w:rPr>
        <w:t xml:space="preserve"> og á þeim hvílir biðstöðuskylda líkt og </w:t>
      </w:r>
      <w:r w:rsidR="00F44CEF">
        <w:rPr>
          <w:rFonts w:ascii="Times New Roman" w:eastAsia="Calibri" w:hAnsi="Times New Roman" w:cs="Times New Roman"/>
          <w:sz w:val="21"/>
        </w:rPr>
        <w:t>að framan</w:t>
      </w:r>
      <w:r w:rsidRPr="00D15CA6">
        <w:rPr>
          <w:rFonts w:ascii="Times New Roman" w:eastAsia="Calibri" w:hAnsi="Times New Roman" w:cs="Times New Roman"/>
          <w:sz w:val="21"/>
        </w:rPr>
        <w:t xml:space="preserve"> var nefnt, eða kvöð um biðstöðu. Sé ríkisaðstoð veitt í bága við biðstöðuskylduna telst hún ólögleg fyrir þær sakir, en sem fyrr segir er ekki útilokað að hún verði á síðari stigum talin samrýmanleg að mati ESA og verði þar með lögleg. Jafnframt er sá möguleiki fyrir hendi þegar um vafatilvik er að ræða að stjórnvöld tilkynni ráðstafanir til ESA, sem þau telja ekki fela í sér ríkisaðstoð, í þágu réttarvissu (</w:t>
      </w:r>
      <w:r w:rsidRPr="00D15CA6">
        <w:rPr>
          <w:rFonts w:ascii="Times New Roman" w:eastAsia="Calibri" w:hAnsi="Times New Roman" w:cs="Times New Roman"/>
          <w:i/>
          <w:sz w:val="21"/>
        </w:rPr>
        <w:t xml:space="preserve">e. for </w:t>
      </w:r>
      <w:proofErr w:type="spellStart"/>
      <w:r w:rsidRPr="00D15CA6">
        <w:rPr>
          <w:rFonts w:ascii="Times New Roman" w:eastAsia="Calibri" w:hAnsi="Times New Roman" w:cs="Times New Roman"/>
          <w:i/>
          <w:sz w:val="21"/>
        </w:rPr>
        <w:t>legal</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certainty</w:t>
      </w:r>
      <w:proofErr w:type="spellEnd"/>
      <w:r w:rsidRPr="00D15CA6">
        <w:rPr>
          <w:rFonts w:ascii="Times New Roman" w:eastAsia="Calibri" w:hAnsi="Times New Roman" w:cs="Times New Roman"/>
          <w:i/>
          <w:sz w:val="21"/>
        </w:rPr>
        <w:t xml:space="preserve">, d. af </w:t>
      </w:r>
      <w:proofErr w:type="spellStart"/>
      <w:r w:rsidRPr="00D15CA6">
        <w:rPr>
          <w:rFonts w:ascii="Times New Roman" w:eastAsia="Calibri" w:hAnsi="Times New Roman" w:cs="Times New Roman"/>
          <w:i/>
          <w:sz w:val="21"/>
        </w:rPr>
        <w:t>hensyn</w:t>
      </w:r>
      <w:proofErr w:type="spellEnd"/>
      <w:r w:rsidRPr="00D15CA6">
        <w:rPr>
          <w:rFonts w:ascii="Times New Roman" w:eastAsia="Calibri" w:hAnsi="Times New Roman" w:cs="Times New Roman"/>
          <w:i/>
          <w:sz w:val="21"/>
        </w:rPr>
        <w:t xml:space="preserve"> til </w:t>
      </w:r>
      <w:proofErr w:type="spellStart"/>
      <w:r w:rsidRPr="00D15CA6">
        <w:rPr>
          <w:rFonts w:ascii="Times New Roman" w:eastAsia="Calibri" w:hAnsi="Times New Roman" w:cs="Times New Roman"/>
          <w:i/>
          <w:sz w:val="21"/>
        </w:rPr>
        <w:t>retssikkerheden</w:t>
      </w:r>
      <w:proofErr w:type="spellEnd"/>
      <w:r w:rsidRPr="00D15CA6">
        <w:rPr>
          <w:rFonts w:ascii="Times New Roman" w:eastAsia="Calibri" w:hAnsi="Times New Roman" w:cs="Times New Roman"/>
          <w:sz w:val="21"/>
        </w:rPr>
        <w:t>).</w:t>
      </w:r>
      <w:r w:rsidR="00F44CEF">
        <w:rPr>
          <w:rFonts w:ascii="Times New Roman" w:eastAsia="Calibri" w:hAnsi="Times New Roman" w:cs="Times New Roman"/>
          <w:sz w:val="21"/>
        </w:rPr>
        <w:t xml:space="preserve"> Með því er leitað eftir staðfestingu ESA á að fyrirhuguð ráðstöfun hafi ekki að geyma ríkisaðstoð.</w:t>
      </w:r>
      <w:r w:rsidRPr="00D15CA6">
        <w:rPr>
          <w:rFonts w:ascii="Times New Roman" w:eastAsia="Calibri" w:hAnsi="Times New Roman" w:cs="Times New Roman"/>
          <w:sz w:val="21"/>
        </w:rPr>
        <w:t xml:space="preserve"> Með SED og EES-samningnum er ESA áskilið vald til þess að ákvarða annars vegar hvort ráðstafanir feli í sér ríkisaðstoð í skilningi samningsins og hins vegar hvort </w:t>
      </w:r>
      <w:r w:rsidR="00F44CEF">
        <w:rPr>
          <w:rFonts w:ascii="Times New Roman" w:eastAsia="Calibri" w:hAnsi="Times New Roman" w:cs="Times New Roman"/>
          <w:sz w:val="21"/>
        </w:rPr>
        <w:t>ríkisaðstoð</w:t>
      </w:r>
      <w:r w:rsidRPr="00D15CA6">
        <w:rPr>
          <w:rFonts w:ascii="Times New Roman" w:eastAsia="Calibri" w:hAnsi="Times New Roman" w:cs="Times New Roman"/>
          <w:sz w:val="21"/>
        </w:rPr>
        <w:t xml:space="preserve"> samrýmist framkvæmd EES-samningsins og sé þar með heimil. </w:t>
      </w:r>
    </w:p>
    <w:p w:rsidR="00D15CA6" w:rsidRPr="00D15CA6" w:rsidRDefault="00D15CA6" w:rsidP="00D15CA6">
      <w:pPr>
        <w:spacing w:after="0" w:line="240" w:lineRule="auto"/>
        <w:ind w:firstLine="284"/>
        <w:jc w:val="both"/>
        <w:rPr>
          <w:rFonts w:ascii="Times New Roman" w:eastAsia="Calibri" w:hAnsi="Times New Roman" w:cs="Times New Roman"/>
          <w:sz w:val="21"/>
        </w:rPr>
      </w:pPr>
      <w:proofErr w:type="spellStart"/>
      <w:r w:rsidRPr="00D15CA6">
        <w:rPr>
          <w:rFonts w:ascii="Times New Roman" w:eastAsia="Calibri" w:hAnsi="Times New Roman" w:cs="Times New Roman"/>
          <w:sz w:val="21"/>
        </w:rPr>
        <w:t>Aðstoðarþegar</w:t>
      </w:r>
      <w:proofErr w:type="spellEnd"/>
      <w:r w:rsidRPr="00D15CA6">
        <w:rPr>
          <w:rFonts w:ascii="Times New Roman" w:eastAsia="Calibri" w:hAnsi="Times New Roman" w:cs="Times New Roman"/>
          <w:sz w:val="21"/>
        </w:rPr>
        <w:t xml:space="preserve"> geta verið aðilar eða rekstrareiningar sem hafa með höndum atvinnurekstur, óháð formlegri stöðu þeirra samkvæmt landslögum eða því hvort aðeins hluti starfsemi þeirra er efnahagslegs eðlis. Alla jafna er þó um að ræða fyrirtæki í skilningi íslenskra laga. Það hvort starfsemi felur í sér atvinnurekstur ræðst að öllu leyti af eðli hennar og getur þiggjandi ríkisaðstoðar sem dæmi verið íþróttafélag eða félagasamtök sem ekki eru rekin í hagnaðarskyni, enda sé sala á vörum eða þjónustu á markaði hluti af starfsemi þeirra. Sérstök sjónarmið gilda reyndar um efnahagslega starfsemi sem er til viðbótar eða undirskipuð </w:t>
      </w:r>
      <w:r w:rsidRPr="00D15CA6">
        <w:rPr>
          <w:rFonts w:ascii="Times New Roman" w:eastAsia="Calibri" w:hAnsi="Times New Roman" w:cs="Times New Roman"/>
          <w:i/>
          <w:sz w:val="21"/>
        </w:rPr>
        <w:t xml:space="preserve">(e. </w:t>
      </w:r>
      <w:proofErr w:type="spellStart"/>
      <w:r w:rsidRPr="00D15CA6">
        <w:rPr>
          <w:rFonts w:ascii="Times New Roman" w:eastAsia="Calibri" w:hAnsi="Times New Roman" w:cs="Times New Roman"/>
          <w:i/>
          <w:sz w:val="21"/>
        </w:rPr>
        <w:t>ancillary</w:t>
      </w:r>
      <w:proofErr w:type="spellEnd"/>
      <w:r w:rsidRPr="00D15CA6">
        <w:rPr>
          <w:rFonts w:ascii="Times New Roman" w:eastAsia="Calibri" w:hAnsi="Times New Roman" w:cs="Times New Roman"/>
          <w:i/>
          <w:sz w:val="21"/>
        </w:rPr>
        <w:t xml:space="preserve">, d. </w:t>
      </w:r>
      <w:proofErr w:type="spellStart"/>
      <w:r w:rsidRPr="00D15CA6">
        <w:rPr>
          <w:rFonts w:ascii="Times New Roman" w:eastAsia="Calibri" w:hAnsi="Times New Roman" w:cs="Times New Roman"/>
          <w:i/>
          <w:color w:val="000000"/>
          <w:sz w:val="21"/>
        </w:rPr>
        <w:t>accessorisk</w:t>
      </w:r>
      <w:proofErr w:type="spellEnd"/>
      <w:r w:rsidRPr="00D15CA6">
        <w:rPr>
          <w:rFonts w:ascii="Times New Roman" w:eastAsia="Calibri" w:hAnsi="Times New Roman" w:cs="Times New Roman"/>
          <w:i/>
          <w:color w:val="000000"/>
          <w:sz w:val="21"/>
        </w:rPr>
        <w:t>)</w:t>
      </w:r>
      <w:r w:rsidRPr="00D15CA6">
        <w:rPr>
          <w:rFonts w:ascii="Times New Roman" w:eastAsia="Calibri" w:hAnsi="Times New Roman" w:cs="Times New Roman"/>
          <w:sz w:val="21"/>
        </w:rPr>
        <w:t xml:space="preserve"> meginstarfsemi sem ekki er af efnahagslegum toga. Lögaðilar sem teljast til sömu samstæðu eða tilheyra hópi tengdra viðskiptavina, eins og það er t.a.m. skilgreint í lögum um fjármálafyrirtæki, geta talist sem einn aðili í ríkisaðstoðarmáli. </w:t>
      </w:r>
    </w:p>
    <w:p w:rsidR="00D15CA6" w:rsidRPr="00D15CA6" w:rsidRDefault="00D15CA6" w:rsidP="00D15CA6">
      <w:pPr>
        <w:tabs>
          <w:tab w:val="left" w:pos="1230"/>
        </w:tabs>
        <w:spacing w:after="0" w:line="240" w:lineRule="auto"/>
        <w:jc w:val="both"/>
        <w:rPr>
          <w:rFonts w:ascii="Times New Roman" w:eastAsia="Calibri" w:hAnsi="Times New Roman" w:cs="Times New Roman"/>
          <w:sz w:val="21"/>
        </w:rPr>
      </w:pPr>
      <w:r w:rsidRPr="00D15CA6">
        <w:rPr>
          <w:rFonts w:ascii="Times New Roman" w:eastAsia="Calibri" w:hAnsi="Times New Roman" w:cs="Times New Roman"/>
          <w:sz w:val="21"/>
        </w:rPr>
        <w:tab/>
      </w:r>
    </w:p>
    <w:p w:rsidR="00D15CA6" w:rsidRPr="00D15CA6" w:rsidRDefault="00B31936" w:rsidP="00D15CA6">
      <w:pPr>
        <w:numPr>
          <w:ilvl w:val="0"/>
          <w:numId w:val="1"/>
        </w:numPr>
        <w:spacing w:after="0" w:line="240" w:lineRule="auto"/>
        <w:jc w:val="both"/>
        <w:rPr>
          <w:rFonts w:ascii="Times New Roman" w:eastAsia="Calibri" w:hAnsi="Times New Roman" w:cs="Times New Roman"/>
          <w:i/>
          <w:sz w:val="21"/>
        </w:rPr>
      </w:pPr>
      <w:bookmarkStart w:id="3" w:name="_Hlk518384856"/>
      <w:r>
        <w:rPr>
          <w:rFonts w:ascii="Times New Roman" w:eastAsia="Calibri" w:hAnsi="Times New Roman" w:cs="Times New Roman"/>
          <w:i/>
          <w:sz w:val="21"/>
        </w:rPr>
        <w:t>E</w:t>
      </w:r>
      <w:r w:rsidR="00D15CA6" w:rsidRPr="00D15CA6">
        <w:rPr>
          <w:rFonts w:ascii="Times New Roman" w:eastAsia="Calibri" w:hAnsi="Times New Roman" w:cs="Times New Roman"/>
          <w:i/>
          <w:sz w:val="21"/>
        </w:rPr>
        <w:t xml:space="preserve">ftirlit </w:t>
      </w:r>
      <w:bookmarkEnd w:id="3"/>
      <w:r>
        <w:rPr>
          <w:rFonts w:ascii="Times New Roman" w:eastAsia="Calibri" w:hAnsi="Times New Roman" w:cs="Times New Roman"/>
          <w:i/>
          <w:sz w:val="21"/>
        </w:rPr>
        <w:t>og aðild</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Samkvæmt bókun 3 við SED skal ESA hafa eftirlit með ríkisaðstoð í samvinnu við EFTA-ríkin. Meginþáttur í þeirri samvinnu er </w:t>
      </w:r>
      <w:r w:rsidR="00F44CEF">
        <w:rPr>
          <w:rFonts w:ascii="Times New Roman" w:eastAsia="Calibri" w:hAnsi="Times New Roman" w:cs="Times New Roman"/>
          <w:sz w:val="21"/>
        </w:rPr>
        <w:t>skylda til</w:t>
      </w:r>
      <w:r w:rsidRPr="00D15CA6">
        <w:rPr>
          <w:rFonts w:ascii="Times New Roman" w:eastAsia="Calibri" w:hAnsi="Times New Roman" w:cs="Times New Roman"/>
          <w:sz w:val="21"/>
        </w:rPr>
        <w:t xml:space="preserve"> að tilkynna </w:t>
      </w:r>
      <w:proofErr w:type="spellStart"/>
      <w:r w:rsidRPr="00D15CA6">
        <w:rPr>
          <w:rFonts w:ascii="Times New Roman" w:eastAsia="Calibri" w:hAnsi="Times New Roman" w:cs="Times New Roman"/>
          <w:sz w:val="21"/>
        </w:rPr>
        <w:t>fyrirfram</w:t>
      </w:r>
      <w:proofErr w:type="spellEnd"/>
      <w:r w:rsidRPr="00D15CA6">
        <w:rPr>
          <w:rFonts w:ascii="Times New Roman" w:eastAsia="Calibri" w:hAnsi="Times New Roman" w:cs="Times New Roman"/>
          <w:sz w:val="21"/>
        </w:rPr>
        <w:t xml:space="preserve"> til stofnunarinnar áætlanir um að veita eða breyta ríkisaðstoð, hvort sem um er að ræða staka aðstoð eða ríkisaðstoðarkerfi. Dæmi um staka aðstoð er t.a.m. leiga á húsnæði í eigu sveitarfélags til fyrirtækis, á verði sem er lægra en markaðsverð. Einnig fjárfestingarsamningur ríkis eða sveitarfélags við </w:t>
      </w:r>
      <w:r w:rsidR="004F5DA7">
        <w:rPr>
          <w:rFonts w:ascii="Times New Roman" w:eastAsia="Calibri" w:hAnsi="Times New Roman" w:cs="Times New Roman"/>
          <w:sz w:val="21"/>
        </w:rPr>
        <w:t xml:space="preserve">tiltekið </w:t>
      </w:r>
      <w:r w:rsidRPr="00D15CA6">
        <w:rPr>
          <w:rFonts w:ascii="Times New Roman" w:eastAsia="Calibri" w:hAnsi="Times New Roman" w:cs="Times New Roman"/>
          <w:sz w:val="21"/>
        </w:rPr>
        <w:t>fyrirtæki, sem kveður á um frávik frá opinberum gjöldum eða aðrar ívilnanir. Dæmi um ríkisaðstoðarkerfi er t.a.m. styrkir til nýsköpunar sem eru í boði fyrir öll þau fyrirtæki sem uppfylla skilyrði styrkveitingar eða lækkun á sköttum fyrir tiltekinn hóp fyrirtækja.</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lastRenderedPageBreak/>
        <w:t>Þá eru viðamiklar breytingar á yfirstandandi aðstoð (</w:t>
      </w:r>
      <w:r w:rsidRPr="00D15CA6">
        <w:rPr>
          <w:rFonts w:ascii="Times New Roman" w:eastAsia="Calibri" w:hAnsi="Times New Roman" w:cs="Times New Roman"/>
          <w:i/>
          <w:sz w:val="21"/>
        </w:rPr>
        <w:t xml:space="preserve">e. </w:t>
      </w:r>
      <w:proofErr w:type="spellStart"/>
      <w:r w:rsidRPr="00D15CA6">
        <w:rPr>
          <w:rFonts w:ascii="Times New Roman" w:eastAsia="Calibri" w:hAnsi="Times New Roman" w:cs="Times New Roman"/>
          <w:i/>
          <w:sz w:val="21"/>
        </w:rPr>
        <w:t>existing</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aid</w:t>
      </w:r>
      <w:proofErr w:type="spellEnd"/>
      <w:r w:rsidRPr="00D15CA6">
        <w:rPr>
          <w:rFonts w:ascii="Times New Roman" w:eastAsia="Calibri" w:hAnsi="Times New Roman" w:cs="Times New Roman"/>
          <w:i/>
          <w:sz w:val="21"/>
        </w:rPr>
        <w:t xml:space="preserve"> d. </w:t>
      </w:r>
      <w:proofErr w:type="spellStart"/>
      <w:r w:rsidRPr="00D15CA6">
        <w:rPr>
          <w:rFonts w:ascii="Times New Roman" w:eastAsia="Calibri" w:hAnsi="Times New Roman" w:cs="Times New Roman"/>
          <w:i/>
          <w:sz w:val="21"/>
        </w:rPr>
        <w:t>eksisterende</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støtte</w:t>
      </w:r>
      <w:proofErr w:type="spellEnd"/>
      <w:r w:rsidRPr="00D15CA6">
        <w:rPr>
          <w:rFonts w:ascii="Times New Roman" w:eastAsia="Calibri" w:hAnsi="Times New Roman" w:cs="Times New Roman"/>
          <w:sz w:val="21"/>
        </w:rPr>
        <w:t>) tilkynningarskyldar, en yfirstandandi aðstoð er í megindráttum aðstoð sem hafin er fyrir gildistöku EES-samningsins eða aðstoðarkerfi sem áður hafa hlotið samþykki ESA.</w:t>
      </w:r>
      <w:r w:rsidR="004F5DA7">
        <w:rPr>
          <w:rFonts w:ascii="Times New Roman" w:eastAsia="Calibri" w:hAnsi="Times New Roman" w:cs="Times New Roman"/>
          <w:sz w:val="21"/>
        </w:rPr>
        <w:t xml:space="preserve"> </w:t>
      </w:r>
      <w:r w:rsidR="004F5DA7" w:rsidRPr="00D15CA6">
        <w:rPr>
          <w:rFonts w:ascii="Times New Roman" w:hAnsi="Times New Roman" w:cs="Times New Roman"/>
        </w:rPr>
        <w:t>Breytingar teljast verulegar ef helstu þáttum kerfisins hefur verið breytt, s.s. eðli hagræðisins, markmiði ráðstöfunarinnar, lagagrundvelli, mengi aðstoðarþeg</w:t>
      </w:r>
      <w:r w:rsidR="004F5DA7">
        <w:rPr>
          <w:rFonts w:ascii="Times New Roman" w:hAnsi="Times New Roman" w:cs="Times New Roman"/>
        </w:rPr>
        <w:t>a</w:t>
      </w:r>
      <w:r w:rsidR="004F5DA7" w:rsidRPr="00D15CA6">
        <w:rPr>
          <w:rFonts w:ascii="Times New Roman" w:hAnsi="Times New Roman" w:cs="Times New Roman"/>
        </w:rPr>
        <w:t xml:space="preserve"> eða fjármögnunarleiðum. Slíkar breytin</w:t>
      </w:r>
      <w:r w:rsidR="004F5DA7">
        <w:rPr>
          <w:rFonts w:ascii="Times New Roman" w:hAnsi="Times New Roman" w:cs="Times New Roman"/>
        </w:rPr>
        <w:t>g</w:t>
      </w:r>
      <w:r w:rsidR="004F5DA7" w:rsidRPr="00D15CA6">
        <w:rPr>
          <w:rFonts w:ascii="Times New Roman" w:hAnsi="Times New Roman" w:cs="Times New Roman"/>
        </w:rPr>
        <w:t>ar ber að tilkynna sérstaklega sem nýja aðstoð. Breytingar á formi og stjórnsýsluumgjörð leiða ekki til þess að aðstoð verði talin sem ný.</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Með tilkynningarferlinu er sannreynt af ESA hvort </w:t>
      </w:r>
      <w:r w:rsidR="00B31936">
        <w:rPr>
          <w:rFonts w:ascii="Times New Roman" w:eastAsia="Calibri" w:hAnsi="Times New Roman" w:cs="Times New Roman"/>
          <w:sz w:val="21"/>
        </w:rPr>
        <w:t xml:space="preserve">um </w:t>
      </w:r>
      <w:r w:rsidRPr="00D15CA6">
        <w:rPr>
          <w:rFonts w:ascii="Times New Roman" w:eastAsia="Calibri" w:hAnsi="Times New Roman" w:cs="Times New Roman"/>
          <w:sz w:val="21"/>
        </w:rPr>
        <w:t xml:space="preserve">ríkisaðstoð sé </w:t>
      </w:r>
      <w:r w:rsidR="00B31936">
        <w:rPr>
          <w:rFonts w:ascii="Times New Roman" w:eastAsia="Calibri" w:hAnsi="Times New Roman" w:cs="Times New Roman"/>
          <w:sz w:val="21"/>
        </w:rPr>
        <w:t xml:space="preserve">að ræða og ef svo er, hvort hún sé </w:t>
      </w:r>
      <w:r w:rsidRPr="00D15CA6">
        <w:rPr>
          <w:rFonts w:ascii="Times New Roman" w:eastAsia="Calibri" w:hAnsi="Times New Roman" w:cs="Times New Roman"/>
          <w:sz w:val="21"/>
        </w:rPr>
        <w:t>samrýmanleg framkvæmd EES-samningsins. Með sama hætti sannreynir framkvæmdastjórn ESB hvort ríkisaðstoð sem veitt er af aðildarríkjum ESB sé samrýmanleg innri markaðnum. Heimildir ESA og málsmeðferðarreglur er að meginstefnu til að finna í SED og bókun 3 við hann en heimildir framkvæmdastjórnarinnar í 108. gr. sáttmálans um starfshætti Evrópusambandsins (SUSE) og reglugerð ráðsins (ESB) 2015/1589 (málsmeðferðarreglugerðinni).</w:t>
      </w:r>
    </w:p>
    <w:p w:rsidR="00B31936" w:rsidRDefault="00D15CA6" w:rsidP="00F36653">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Telji þau yfirvöld sem ábyrgð bera á ráðstöfunum að þær falli undir ákvæði 1. mgr. 61. gr. EES-samningsins, ber </w:t>
      </w:r>
      <w:r w:rsidR="002F20C7">
        <w:rPr>
          <w:rFonts w:ascii="Times New Roman" w:eastAsia="Calibri" w:hAnsi="Times New Roman" w:cs="Times New Roman"/>
          <w:sz w:val="21"/>
        </w:rPr>
        <w:t xml:space="preserve">almennt </w:t>
      </w:r>
      <w:r w:rsidRPr="00D15CA6">
        <w:rPr>
          <w:rFonts w:ascii="Times New Roman" w:eastAsia="Calibri" w:hAnsi="Times New Roman" w:cs="Times New Roman"/>
          <w:sz w:val="21"/>
        </w:rPr>
        <w:t xml:space="preserve">að tilkynna um þær til ESA. Á Íslandi veitir fjármála- og efnahagsráðuneytið ráðgjöf og fyrirsvar vegna samskipta við ESA í ríkisaðstoðarmálum, en endanlegt mat á því hvort ráðstöfun feli í sér ríkisaðstoð er engu að síður á hendi þess stjórnvalds sem ábyrgð ber á viðkomandi ráðstöfunum. Tilkynningar um ríkisaðstoð eru útbúnar á samræmdan hátt í samstarfi þess stjórnvald sem ber ábyrgð á fyrirhuguðum ráðstöfunum og fjármála- og efnahagsráðuneytisins. </w:t>
      </w:r>
      <w:r w:rsidR="00F36653">
        <w:rPr>
          <w:rFonts w:ascii="Times New Roman" w:eastAsia="Calibri" w:hAnsi="Times New Roman" w:cs="Times New Roman"/>
          <w:sz w:val="21"/>
        </w:rPr>
        <w:t xml:space="preserve">Ráðuneytið </w:t>
      </w:r>
      <w:r w:rsidR="00F36653" w:rsidRPr="00F36653">
        <w:rPr>
          <w:rFonts w:ascii="Times New Roman" w:eastAsia="Calibri" w:hAnsi="Times New Roman" w:cs="Times New Roman"/>
          <w:sz w:val="21"/>
        </w:rPr>
        <w:t>sér</w:t>
      </w:r>
      <w:r w:rsidR="00F36653">
        <w:rPr>
          <w:rFonts w:ascii="Times New Roman" w:eastAsia="Calibri" w:hAnsi="Times New Roman" w:cs="Times New Roman"/>
          <w:sz w:val="21"/>
        </w:rPr>
        <w:t xml:space="preserve"> þannig</w:t>
      </w:r>
      <w:r w:rsidR="00F36653" w:rsidRPr="00F36653">
        <w:rPr>
          <w:rFonts w:ascii="Times New Roman" w:eastAsia="Calibri" w:hAnsi="Times New Roman" w:cs="Times New Roman"/>
          <w:sz w:val="21"/>
        </w:rPr>
        <w:t xml:space="preserve"> um að koma tilkynningum og upplýsingum annarra stjórnvalda</w:t>
      </w:r>
      <w:r w:rsidR="00F36653">
        <w:rPr>
          <w:rFonts w:ascii="Times New Roman" w:eastAsia="Calibri" w:hAnsi="Times New Roman" w:cs="Times New Roman"/>
          <w:sz w:val="21"/>
        </w:rPr>
        <w:t xml:space="preserve"> </w:t>
      </w:r>
      <w:r w:rsidR="00F36653" w:rsidRPr="00F36653">
        <w:rPr>
          <w:rFonts w:ascii="Times New Roman" w:eastAsia="Calibri" w:hAnsi="Times New Roman" w:cs="Times New Roman"/>
          <w:sz w:val="21"/>
        </w:rPr>
        <w:t>til ESA</w:t>
      </w:r>
      <w:r w:rsidR="00F36653">
        <w:rPr>
          <w:rFonts w:ascii="Times New Roman" w:eastAsia="Calibri" w:hAnsi="Times New Roman" w:cs="Times New Roman"/>
          <w:sz w:val="21"/>
        </w:rPr>
        <w:t xml:space="preserve"> og hefur </w:t>
      </w:r>
      <w:r w:rsidR="00F36653" w:rsidRPr="00F36653">
        <w:rPr>
          <w:rFonts w:ascii="Times New Roman" w:eastAsia="Calibri" w:hAnsi="Times New Roman" w:cs="Times New Roman"/>
          <w:sz w:val="21"/>
        </w:rPr>
        <w:t>milligöngu, í málum sem tekin eru til skoðunar í</w:t>
      </w:r>
      <w:r w:rsidR="00F36653">
        <w:rPr>
          <w:rFonts w:ascii="Times New Roman" w:eastAsia="Calibri" w:hAnsi="Times New Roman" w:cs="Times New Roman"/>
          <w:sz w:val="21"/>
        </w:rPr>
        <w:t xml:space="preserve"> </w:t>
      </w:r>
      <w:r w:rsidR="00F36653" w:rsidRPr="00F36653">
        <w:rPr>
          <w:rFonts w:ascii="Times New Roman" w:eastAsia="Calibri" w:hAnsi="Times New Roman" w:cs="Times New Roman"/>
          <w:sz w:val="21"/>
        </w:rPr>
        <w:t>kjölfar kvartana eða að frumkvæði ESA, um að koma á framfæri svörum annarra stjórnvalda við</w:t>
      </w:r>
      <w:r w:rsidR="00F36653">
        <w:rPr>
          <w:rFonts w:ascii="Times New Roman" w:eastAsia="Calibri" w:hAnsi="Times New Roman" w:cs="Times New Roman"/>
          <w:sz w:val="21"/>
        </w:rPr>
        <w:t xml:space="preserve"> </w:t>
      </w:r>
      <w:r w:rsidR="00F36653" w:rsidRPr="00F36653">
        <w:rPr>
          <w:rFonts w:ascii="Times New Roman" w:eastAsia="Calibri" w:hAnsi="Times New Roman" w:cs="Times New Roman"/>
          <w:sz w:val="21"/>
        </w:rPr>
        <w:t xml:space="preserve">upplýsingabeiðnum ESA. </w:t>
      </w:r>
      <w:r w:rsidR="00F36653">
        <w:rPr>
          <w:rFonts w:ascii="Times New Roman" w:eastAsia="Calibri" w:hAnsi="Times New Roman" w:cs="Times New Roman"/>
          <w:sz w:val="21"/>
        </w:rPr>
        <w:t>Ábyrgð og a</w:t>
      </w:r>
      <w:r w:rsidR="00F36653" w:rsidRPr="00F36653">
        <w:rPr>
          <w:rFonts w:ascii="Times New Roman" w:eastAsia="Calibri" w:hAnsi="Times New Roman" w:cs="Times New Roman"/>
          <w:sz w:val="21"/>
        </w:rPr>
        <w:t xml:space="preserve">ðild er hjá </w:t>
      </w:r>
      <w:r w:rsidR="00F36653">
        <w:rPr>
          <w:rFonts w:ascii="Times New Roman" w:eastAsia="Calibri" w:hAnsi="Times New Roman" w:cs="Times New Roman"/>
          <w:sz w:val="21"/>
        </w:rPr>
        <w:t xml:space="preserve">viðkomandi stjórnvaldi </w:t>
      </w:r>
      <w:r w:rsidR="00F36653" w:rsidRPr="00F36653">
        <w:rPr>
          <w:rFonts w:ascii="Times New Roman" w:eastAsia="Calibri" w:hAnsi="Times New Roman" w:cs="Times New Roman"/>
          <w:sz w:val="21"/>
        </w:rPr>
        <w:t>og forræði á málatilbúnaði í</w:t>
      </w:r>
      <w:r w:rsidR="00F36653">
        <w:rPr>
          <w:rFonts w:ascii="Times New Roman" w:eastAsia="Calibri" w:hAnsi="Times New Roman" w:cs="Times New Roman"/>
          <w:sz w:val="21"/>
        </w:rPr>
        <w:t xml:space="preserve"> </w:t>
      </w:r>
      <w:r w:rsidR="00F36653" w:rsidRPr="00F36653">
        <w:rPr>
          <w:rFonts w:ascii="Times New Roman" w:eastAsia="Calibri" w:hAnsi="Times New Roman" w:cs="Times New Roman"/>
          <w:sz w:val="21"/>
        </w:rPr>
        <w:t>höndum þeirra</w:t>
      </w:r>
      <w:r w:rsidR="00F36653">
        <w:rPr>
          <w:rFonts w:ascii="Times New Roman" w:eastAsia="Calibri" w:hAnsi="Times New Roman" w:cs="Times New Roman"/>
          <w:sz w:val="21"/>
        </w:rPr>
        <w:t xml:space="preserve">, eftir atvikum í samstarfi við </w:t>
      </w:r>
      <w:r w:rsidR="00F36653" w:rsidRPr="00F36653">
        <w:rPr>
          <w:rFonts w:ascii="Times New Roman" w:eastAsia="Calibri" w:hAnsi="Times New Roman" w:cs="Times New Roman"/>
          <w:sz w:val="21"/>
        </w:rPr>
        <w:t>viðkomandi fyrirtæk</w:t>
      </w:r>
      <w:r w:rsidR="00F36653">
        <w:rPr>
          <w:rFonts w:ascii="Times New Roman" w:eastAsia="Calibri" w:hAnsi="Times New Roman" w:cs="Times New Roman"/>
          <w:sz w:val="21"/>
        </w:rPr>
        <w:t>i, þ.e. meinta ríkisaðstoðarþega</w:t>
      </w:r>
      <w:r w:rsidR="00F36653" w:rsidRPr="00F36653">
        <w:rPr>
          <w:rFonts w:ascii="Times New Roman" w:eastAsia="Calibri" w:hAnsi="Times New Roman" w:cs="Times New Roman"/>
          <w:sz w:val="21"/>
        </w:rPr>
        <w:t>.</w:t>
      </w:r>
    </w:p>
    <w:p w:rsid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Óheimilt er að hrinda ráðstöfunum í framkvæmd fyrr en niðurstaða ESA liggur fyrir, líkt og kveðið er á um í 3. mgr. 1. gr. I. hluta bókunar 3, sbr. umfjöllun um biðstöðuskyldu í kafla </w:t>
      </w:r>
      <w:r w:rsidR="002F20C7">
        <w:rPr>
          <w:rFonts w:ascii="Times New Roman" w:eastAsia="Calibri" w:hAnsi="Times New Roman" w:cs="Times New Roman"/>
          <w:sz w:val="21"/>
        </w:rPr>
        <w:t xml:space="preserve">2 </w:t>
      </w:r>
      <w:r w:rsidRPr="00D15CA6">
        <w:rPr>
          <w:rFonts w:ascii="Times New Roman" w:eastAsia="Calibri" w:hAnsi="Times New Roman" w:cs="Times New Roman"/>
          <w:sz w:val="21"/>
        </w:rPr>
        <w:t>að framan. Málsmeðferð ríkisaðstoðarmála tekur að jafnaði 2-6 mánuði frá því tilkynning er móttekin.</w:t>
      </w:r>
      <w:r w:rsidR="002F20C7">
        <w:rPr>
          <w:rFonts w:ascii="Times New Roman" w:eastAsia="Calibri" w:hAnsi="Times New Roman" w:cs="Times New Roman"/>
          <w:sz w:val="21"/>
        </w:rPr>
        <w:t xml:space="preserve"> </w:t>
      </w:r>
      <w:r w:rsidRPr="00D15CA6">
        <w:rPr>
          <w:rFonts w:ascii="Times New Roman" w:eastAsia="Calibri" w:hAnsi="Times New Roman" w:cs="Times New Roman"/>
          <w:sz w:val="21"/>
        </w:rPr>
        <w:t>Veiting ríkisaðstoðar er</w:t>
      </w:r>
      <w:r w:rsidR="002F20C7">
        <w:rPr>
          <w:rFonts w:ascii="Times New Roman" w:eastAsia="Calibri" w:hAnsi="Times New Roman" w:cs="Times New Roman"/>
          <w:sz w:val="21"/>
        </w:rPr>
        <w:t xml:space="preserve"> þó</w:t>
      </w:r>
      <w:r w:rsidRPr="00D15CA6">
        <w:rPr>
          <w:rFonts w:ascii="Times New Roman" w:eastAsia="Calibri" w:hAnsi="Times New Roman" w:cs="Times New Roman"/>
          <w:sz w:val="21"/>
        </w:rPr>
        <w:t xml:space="preserve"> heimil án undangenginnar tilkynningar til ESA, falli ráðstöfun undir eina af reglugerðum um hópundanþágur, sem teknar hafa verið upp í EES-samninginn</w:t>
      </w:r>
      <w:r w:rsidR="00F36653">
        <w:rPr>
          <w:rFonts w:ascii="Times New Roman" w:eastAsia="Calibri" w:hAnsi="Times New Roman" w:cs="Times New Roman"/>
          <w:sz w:val="21"/>
        </w:rPr>
        <w:t xml:space="preserve">, sbr. nánar </w:t>
      </w:r>
      <w:r w:rsidRPr="00D15CA6">
        <w:rPr>
          <w:rFonts w:ascii="Times New Roman" w:eastAsia="Calibri" w:hAnsi="Times New Roman" w:cs="Times New Roman"/>
          <w:sz w:val="21"/>
        </w:rPr>
        <w:t>umfjöllun um efnisreglur í kafla</w:t>
      </w:r>
      <w:r w:rsidR="002F20C7">
        <w:rPr>
          <w:rFonts w:ascii="Times New Roman" w:eastAsia="Calibri" w:hAnsi="Times New Roman" w:cs="Times New Roman"/>
          <w:sz w:val="21"/>
        </w:rPr>
        <w:t xml:space="preserve"> </w:t>
      </w:r>
      <w:r w:rsidRPr="00D15CA6">
        <w:rPr>
          <w:rFonts w:ascii="Times New Roman" w:eastAsia="Calibri" w:hAnsi="Times New Roman" w:cs="Times New Roman"/>
          <w:sz w:val="21"/>
        </w:rPr>
        <w:t xml:space="preserve">4 hér á eftir. </w:t>
      </w:r>
    </w:p>
    <w:p w:rsidR="00B31936" w:rsidRPr="00D15CA6" w:rsidRDefault="00B31936" w:rsidP="00B3193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Mál sem varða veitingu ríkisaðstoðar </w:t>
      </w:r>
      <w:r>
        <w:rPr>
          <w:rFonts w:ascii="Times New Roman" w:eastAsia="Calibri" w:hAnsi="Times New Roman" w:cs="Times New Roman"/>
          <w:sz w:val="21"/>
        </w:rPr>
        <w:t xml:space="preserve">koma </w:t>
      </w:r>
      <w:r w:rsidRPr="00D15CA6">
        <w:rPr>
          <w:rFonts w:ascii="Times New Roman" w:eastAsia="Calibri" w:hAnsi="Times New Roman" w:cs="Times New Roman"/>
          <w:sz w:val="21"/>
        </w:rPr>
        <w:t>til skoðunar hjá skrifstofu samkeppnismála og ríkisaðstoðar hjá ESA (</w:t>
      </w:r>
      <w:r w:rsidRPr="00F36653">
        <w:rPr>
          <w:rFonts w:ascii="Times New Roman" w:eastAsia="Calibri" w:hAnsi="Times New Roman" w:cs="Times New Roman"/>
          <w:i/>
          <w:sz w:val="21"/>
        </w:rPr>
        <w:t xml:space="preserve">e. </w:t>
      </w:r>
      <w:proofErr w:type="spellStart"/>
      <w:r w:rsidRPr="00F36653">
        <w:rPr>
          <w:rFonts w:ascii="Times New Roman" w:eastAsia="Calibri" w:hAnsi="Times New Roman" w:cs="Times New Roman"/>
          <w:i/>
          <w:sz w:val="21"/>
        </w:rPr>
        <w:t>Competition</w:t>
      </w:r>
      <w:proofErr w:type="spellEnd"/>
      <w:r w:rsidRPr="00F36653">
        <w:rPr>
          <w:rFonts w:ascii="Times New Roman" w:eastAsia="Calibri" w:hAnsi="Times New Roman" w:cs="Times New Roman"/>
          <w:i/>
          <w:sz w:val="21"/>
        </w:rPr>
        <w:t xml:space="preserve"> </w:t>
      </w:r>
      <w:proofErr w:type="spellStart"/>
      <w:r w:rsidRPr="00F36653">
        <w:rPr>
          <w:rFonts w:ascii="Times New Roman" w:eastAsia="Calibri" w:hAnsi="Times New Roman" w:cs="Times New Roman"/>
          <w:i/>
          <w:sz w:val="21"/>
        </w:rPr>
        <w:t>and</w:t>
      </w:r>
      <w:proofErr w:type="spellEnd"/>
      <w:r w:rsidRPr="00F36653">
        <w:rPr>
          <w:rFonts w:ascii="Times New Roman" w:eastAsia="Calibri" w:hAnsi="Times New Roman" w:cs="Times New Roman"/>
          <w:i/>
          <w:sz w:val="21"/>
        </w:rPr>
        <w:t xml:space="preserve"> State Aid </w:t>
      </w:r>
      <w:proofErr w:type="spellStart"/>
      <w:r w:rsidRPr="00F36653">
        <w:rPr>
          <w:rFonts w:ascii="Times New Roman" w:eastAsia="Calibri" w:hAnsi="Times New Roman" w:cs="Times New Roman"/>
          <w:i/>
          <w:sz w:val="21"/>
        </w:rPr>
        <w:t>Directorate</w:t>
      </w:r>
      <w:proofErr w:type="spellEnd"/>
      <w:r w:rsidRPr="00F36653">
        <w:rPr>
          <w:rFonts w:ascii="Times New Roman" w:eastAsia="Calibri" w:hAnsi="Times New Roman" w:cs="Times New Roman"/>
          <w:i/>
          <w:sz w:val="21"/>
        </w:rPr>
        <w:t xml:space="preserve">, d. </w:t>
      </w:r>
      <w:proofErr w:type="spellStart"/>
      <w:r w:rsidRPr="00F36653">
        <w:rPr>
          <w:rFonts w:ascii="Times New Roman" w:eastAsia="Calibri" w:hAnsi="Times New Roman" w:cs="Times New Roman"/>
          <w:i/>
          <w:sz w:val="21"/>
        </w:rPr>
        <w:t>Direktorat</w:t>
      </w:r>
      <w:proofErr w:type="spellEnd"/>
      <w:r w:rsidRPr="00F36653">
        <w:rPr>
          <w:rFonts w:ascii="Times New Roman" w:eastAsia="Calibri" w:hAnsi="Times New Roman" w:cs="Times New Roman"/>
          <w:i/>
          <w:sz w:val="21"/>
        </w:rPr>
        <w:t xml:space="preserve"> for </w:t>
      </w:r>
      <w:proofErr w:type="spellStart"/>
      <w:r w:rsidRPr="00F36653">
        <w:rPr>
          <w:rFonts w:ascii="Times New Roman" w:eastAsia="Calibri" w:hAnsi="Times New Roman" w:cs="Times New Roman"/>
          <w:i/>
          <w:sz w:val="21"/>
        </w:rPr>
        <w:t>Konkurrence</w:t>
      </w:r>
      <w:proofErr w:type="spellEnd"/>
      <w:r w:rsidRPr="00F36653">
        <w:rPr>
          <w:rFonts w:ascii="Times New Roman" w:eastAsia="Calibri" w:hAnsi="Times New Roman" w:cs="Times New Roman"/>
          <w:i/>
          <w:sz w:val="21"/>
        </w:rPr>
        <w:t xml:space="preserve"> og </w:t>
      </w:r>
      <w:proofErr w:type="spellStart"/>
      <w:r w:rsidRPr="00F36653">
        <w:rPr>
          <w:rFonts w:ascii="Times New Roman" w:eastAsia="Calibri" w:hAnsi="Times New Roman" w:cs="Times New Roman"/>
          <w:i/>
          <w:sz w:val="21"/>
        </w:rPr>
        <w:t>Statsstøtt</w:t>
      </w:r>
      <w:r w:rsidRPr="00D15CA6">
        <w:rPr>
          <w:rFonts w:ascii="Times New Roman" w:eastAsia="Calibri" w:hAnsi="Times New Roman" w:cs="Times New Roman"/>
          <w:i/>
          <w:sz w:val="21"/>
        </w:rPr>
        <w:t>e</w:t>
      </w:r>
      <w:proofErr w:type="spellEnd"/>
      <w:r w:rsidRPr="00D15CA6">
        <w:rPr>
          <w:rFonts w:ascii="Times New Roman" w:eastAsia="Calibri" w:hAnsi="Times New Roman" w:cs="Times New Roman"/>
          <w:sz w:val="21"/>
        </w:rPr>
        <w:t xml:space="preserve">) að undangenginni tilkynningu frá stjórnvöldum, að frumkvæði stofnunarinnar </w:t>
      </w:r>
      <w:r>
        <w:rPr>
          <w:rFonts w:ascii="Times New Roman" w:eastAsia="Calibri" w:hAnsi="Times New Roman" w:cs="Times New Roman"/>
          <w:sz w:val="21"/>
        </w:rPr>
        <w:t xml:space="preserve">sjálfrar </w:t>
      </w:r>
      <w:r w:rsidRPr="00D15CA6">
        <w:rPr>
          <w:rFonts w:ascii="Times New Roman" w:eastAsia="Calibri" w:hAnsi="Times New Roman" w:cs="Times New Roman"/>
          <w:sz w:val="21"/>
        </w:rPr>
        <w:t xml:space="preserve">eða í kjölfar kvartana frá aðilum á markaði. Afleiðingar þess að ríkisaðstoð telst ósamrýmanleg framkvæmd EES-samningsins að mati ESA eru að jafnaði þær að endurheimta ber jafnvirði hennar úr hendi </w:t>
      </w:r>
      <w:proofErr w:type="spellStart"/>
      <w:r w:rsidRPr="00D15CA6">
        <w:rPr>
          <w:rFonts w:ascii="Times New Roman" w:eastAsia="Calibri" w:hAnsi="Times New Roman" w:cs="Times New Roman"/>
          <w:sz w:val="21"/>
        </w:rPr>
        <w:t>þiggjanda</w:t>
      </w:r>
      <w:proofErr w:type="spellEnd"/>
      <w:r w:rsidRPr="00D15CA6">
        <w:rPr>
          <w:rFonts w:ascii="Times New Roman" w:eastAsia="Calibri" w:hAnsi="Times New Roman" w:cs="Times New Roman"/>
          <w:sz w:val="21"/>
        </w:rPr>
        <w:t xml:space="preserve"> aðstoðarinnar ásamt vöxtum og er þannig leitast við að jafna út þá röskun sem leiddi af aðstoðinni. Af þeim sökum er það ekki síst í þágu þess sem þiggur ríkisaðstoð að lögmæti hennar sé ekki vafa undirorpið, þ.e. að </w:t>
      </w:r>
      <w:r>
        <w:rPr>
          <w:rFonts w:ascii="Times New Roman" w:eastAsia="Calibri" w:hAnsi="Times New Roman" w:cs="Times New Roman"/>
          <w:sz w:val="21"/>
        </w:rPr>
        <w:t xml:space="preserve">kannað sé áður en hún kemur til framkvæmdar hvort hún </w:t>
      </w:r>
      <w:r w:rsidRPr="00D15CA6">
        <w:rPr>
          <w:rFonts w:ascii="Times New Roman" w:eastAsia="Calibri" w:hAnsi="Times New Roman" w:cs="Times New Roman"/>
          <w:sz w:val="21"/>
        </w:rPr>
        <w:t xml:space="preserve">sé samrýmanleg EES-samningnum. </w:t>
      </w:r>
    </w:p>
    <w:p w:rsidR="00D15CA6" w:rsidRPr="00D15CA6" w:rsidRDefault="00D15CA6" w:rsidP="00D15CA6">
      <w:pPr>
        <w:spacing w:after="0" w:line="240" w:lineRule="auto"/>
        <w:ind w:firstLine="284"/>
        <w:jc w:val="both"/>
        <w:rPr>
          <w:rFonts w:ascii="Times New Roman" w:eastAsia="Calibri" w:hAnsi="Times New Roman" w:cs="Times New Roman"/>
          <w:sz w:val="21"/>
          <w:highlight w:val="cyan"/>
        </w:rPr>
      </w:pPr>
      <w:r w:rsidRPr="00D15CA6">
        <w:rPr>
          <w:rFonts w:ascii="Times New Roman" w:eastAsia="Calibri" w:hAnsi="Times New Roman" w:cs="Times New Roman"/>
          <w:sz w:val="21"/>
        </w:rPr>
        <w:t>Formleg rannsókn (</w:t>
      </w:r>
      <w:r w:rsidRPr="00D15CA6">
        <w:rPr>
          <w:rFonts w:ascii="Times New Roman" w:eastAsia="Calibri" w:hAnsi="Times New Roman" w:cs="Times New Roman"/>
          <w:i/>
          <w:sz w:val="21"/>
        </w:rPr>
        <w:t xml:space="preserve">e. formal </w:t>
      </w:r>
      <w:proofErr w:type="spellStart"/>
      <w:r w:rsidRPr="00D15CA6">
        <w:rPr>
          <w:rFonts w:ascii="Times New Roman" w:eastAsia="Calibri" w:hAnsi="Times New Roman" w:cs="Times New Roman"/>
          <w:i/>
          <w:sz w:val="21"/>
        </w:rPr>
        <w:t>investigation</w:t>
      </w:r>
      <w:proofErr w:type="spellEnd"/>
      <w:r w:rsidRPr="00D15CA6">
        <w:rPr>
          <w:rFonts w:ascii="Times New Roman" w:eastAsia="Calibri" w:hAnsi="Times New Roman" w:cs="Times New Roman"/>
          <w:i/>
          <w:sz w:val="21"/>
        </w:rPr>
        <w:t xml:space="preserve">, d. </w:t>
      </w:r>
      <w:proofErr w:type="spellStart"/>
      <w:r w:rsidRPr="00D15CA6">
        <w:rPr>
          <w:rFonts w:ascii="Times New Roman" w:eastAsia="Calibri" w:hAnsi="Times New Roman" w:cs="Times New Roman"/>
          <w:i/>
          <w:sz w:val="21"/>
        </w:rPr>
        <w:t>formelle</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undersøgelsesprocedure</w:t>
      </w:r>
      <w:proofErr w:type="spellEnd"/>
      <w:r w:rsidRPr="00D15CA6">
        <w:rPr>
          <w:rFonts w:ascii="Times New Roman" w:eastAsia="Calibri" w:hAnsi="Times New Roman" w:cs="Times New Roman"/>
          <w:sz w:val="21"/>
        </w:rPr>
        <w:t>) er ítarleg athugun af hálfu ESA sem sett er í gang</w:t>
      </w:r>
      <w:r w:rsidR="00B31936">
        <w:rPr>
          <w:rFonts w:ascii="Times New Roman" w:eastAsia="Calibri" w:hAnsi="Times New Roman" w:cs="Times New Roman"/>
          <w:sz w:val="21"/>
        </w:rPr>
        <w:t>, að undangenginni f</w:t>
      </w:r>
      <w:r w:rsidR="00F36653">
        <w:rPr>
          <w:rFonts w:ascii="Times New Roman" w:eastAsia="Calibri" w:hAnsi="Times New Roman" w:cs="Times New Roman"/>
          <w:sz w:val="21"/>
        </w:rPr>
        <w:t>or</w:t>
      </w:r>
      <w:r w:rsidR="00B31936">
        <w:rPr>
          <w:rFonts w:ascii="Times New Roman" w:eastAsia="Calibri" w:hAnsi="Times New Roman" w:cs="Times New Roman"/>
          <w:sz w:val="21"/>
        </w:rPr>
        <w:t>athugun,</w:t>
      </w:r>
      <w:r w:rsidRPr="00D15CA6">
        <w:rPr>
          <w:rFonts w:ascii="Times New Roman" w:eastAsia="Calibri" w:hAnsi="Times New Roman" w:cs="Times New Roman"/>
          <w:sz w:val="21"/>
        </w:rPr>
        <w:t xml:space="preserve"> þegar vafi þykir leika á því að ráðstafanir samrýmist ríkisaðstoðarreglum. Ákvörðun um að hefja formlega rannsókn er birt í EES-</w:t>
      </w:r>
      <w:proofErr w:type="spellStart"/>
      <w:r w:rsidRPr="00D15CA6">
        <w:rPr>
          <w:rFonts w:ascii="Times New Roman" w:eastAsia="Calibri" w:hAnsi="Times New Roman" w:cs="Times New Roman"/>
          <w:sz w:val="21"/>
        </w:rPr>
        <w:t>viðbætinum</w:t>
      </w:r>
      <w:proofErr w:type="spellEnd"/>
      <w:r w:rsidRPr="00D15CA6">
        <w:rPr>
          <w:rFonts w:ascii="Times New Roman" w:eastAsia="Calibri" w:hAnsi="Times New Roman" w:cs="Times New Roman"/>
          <w:sz w:val="21"/>
        </w:rPr>
        <w:t xml:space="preserve"> og hefur að geyma ítarlegar upplýsingar um þær ráðstafanir sem til rannsóknar eru. Undanfari </w:t>
      </w:r>
      <w:r w:rsidR="00F36653">
        <w:rPr>
          <w:rFonts w:ascii="Times New Roman" w:eastAsia="Calibri" w:hAnsi="Times New Roman" w:cs="Times New Roman"/>
          <w:sz w:val="21"/>
        </w:rPr>
        <w:t>formlegrar</w:t>
      </w:r>
      <w:r w:rsidRPr="00D15CA6">
        <w:rPr>
          <w:rFonts w:ascii="Times New Roman" w:eastAsia="Calibri" w:hAnsi="Times New Roman" w:cs="Times New Roman"/>
          <w:sz w:val="21"/>
        </w:rPr>
        <w:t xml:space="preserve"> rannsóknar</w:t>
      </w:r>
      <w:r w:rsidR="00F36653">
        <w:rPr>
          <w:rFonts w:ascii="Times New Roman" w:eastAsia="Calibri" w:hAnsi="Times New Roman" w:cs="Times New Roman"/>
          <w:sz w:val="21"/>
        </w:rPr>
        <w:t>, for</w:t>
      </w:r>
      <w:r w:rsidRPr="00D15CA6">
        <w:rPr>
          <w:rFonts w:ascii="Times New Roman" w:eastAsia="Calibri" w:hAnsi="Times New Roman" w:cs="Times New Roman"/>
          <w:sz w:val="21"/>
        </w:rPr>
        <w:t>athugun</w:t>
      </w:r>
      <w:r w:rsidR="00F36653">
        <w:rPr>
          <w:rFonts w:ascii="Times New Roman" w:eastAsia="Calibri" w:hAnsi="Times New Roman" w:cs="Times New Roman"/>
          <w:sz w:val="21"/>
        </w:rPr>
        <w:t xml:space="preserve"> á ráðstöfunum,</w:t>
      </w:r>
      <w:r w:rsidRPr="00D15CA6">
        <w:rPr>
          <w:rFonts w:ascii="Times New Roman" w:eastAsia="Calibri" w:hAnsi="Times New Roman" w:cs="Times New Roman"/>
          <w:sz w:val="21"/>
        </w:rPr>
        <w:t xml:space="preserve"> getur hafist að frumkvæði stofnunarinnar, vegna kvörtunar eða í kjölfar tilkynningar stjórnvalda. </w:t>
      </w:r>
      <w:r w:rsidR="00F36653">
        <w:rPr>
          <w:rFonts w:ascii="Times New Roman" w:eastAsia="Calibri" w:hAnsi="Times New Roman" w:cs="Times New Roman"/>
          <w:sz w:val="21"/>
        </w:rPr>
        <w:t xml:space="preserve">Sé niðurstaða </w:t>
      </w:r>
      <w:r w:rsidRPr="00D15CA6">
        <w:rPr>
          <w:rFonts w:ascii="Times New Roman" w:eastAsia="Calibri" w:hAnsi="Times New Roman" w:cs="Times New Roman"/>
          <w:sz w:val="21"/>
        </w:rPr>
        <w:t xml:space="preserve">ESA að aðstoð </w:t>
      </w:r>
      <w:r w:rsidR="00F36653">
        <w:rPr>
          <w:rFonts w:ascii="Times New Roman" w:eastAsia="Calibri" w:hAnsi="Times New Roman" w:cs="Times New Roman"/>
          <w:sz w:val="21"/>
        </w:rPr>
        <w:t xml:space="preserve">sem þegar hefur verið hrint í framkvæmd </w:t>
      </w:r>
      <w:r w:rsidRPr="00D15CA6">
        <w:rPr>
          <w:rFonts w:ascii="Times New Roman" w:eastAsia="Calibri" w:hAnsi="Times New Roman" w:cs="Times New Roman"/>
          <w:sz w:val="21"/>
        </w:rPr>
        <w:t xml:space="preserve">sé ósamrýmanleg EES-samningnum </w:t>
      </w:r>
      <w:r w:rsidR="00F36653">
        <w:rPr>
          <w:rFonts w:ascii="Times New Roman" w:eastAsia="Calibri" w:hAnsi="Times New Roman" w:cs="Times New Roman"/>
          <w:sz w:val="21"/>
        </w:rPr>
        <w:t xml:space="preserve">stofnast að jafnaði skylda til að </w:t>
      </w:r>
      <w:r w:rsidRPr="00D15CA6">
        <w:rPr>
          <w:rFonts w:ascii="Times New Roman" w:eastAsia="Calibri" w:hAnsi="Times New Roman" w:cs="Times New Roman"/>
          <w:sz w:val="21"/>
        </w:rPr>
        <w:t>afturkalla hana ásamt vöxtum, til að leiðrétta þá samkeppnisröskun sem af henni hefur hlotist.</w:t>
      </w:r>
      <w:r w:rsidRPr="00D15CA6">
        <w:rPr>
          <w:rFonts w:ascii="Times New Roman" w:eastAsia="Calibri" w:hAnsi="Times New Roman" w:cs="Times New Roman"/>
          <w:sz w:val="21"/>
          <w:highlight w:val="cyan"/>
        </w:rPr>
        <w:t xml:space="preserve"> </w:t>
      </w:r>
    </w:p>
    <w:p w:rsidR="00D15CA6" w:rsidRPr="00D15CA6" w:rsidRDefault="00D15CA6" w:rsidP="00D15CA6">
      <w:pPr>
        <w:spacing w:after="0" w:line="240" w:lineRule="auto"/>
        <w:ind w:firstLine="284"/>
        <w:jc w:val="both"/>
        <w:rPr>
          <w:rFonts w:ascii="Times New Roman" w:eastAsia="Calibri" w:hAnsi="Times New Roman" w:cs="Times New Roman"/>
          <w:b/>
          <w:sz w:val="21"/>
        </w:rPr>
      </w:pPr>
      <w:r w:rsidRPr="00D15CA6">
        <w:rPr>
          <w:rFonts w:ascii="Times New Roman" w:eastAsia="Calibri" w:hAnsi="Times New Roman" w:cs="Times New Roman"/>
          <w:sz w:val="21"/>
        </w:rPr>
        <w:t>Aðild að ríkisaðstoðarmáli sem er til rannsóknar af hálfu ESA er</w:t>
      </w:r>
      <w:r w:rsidR="002458AD">
        <w:rPr>
          <w:rFonts w:ascii="Times New Roman" w:eastAsia="Calibri" w:hAnsi="Times New Roman" w:cs="Times New Roman"/>
          <w:sz w:val="21"/>
        </w:rPr>
        <w:t xml:space="preserve"> að forminu til</w:t>
      </w:r>
      <w:r w:rsidRPr="00D15CA6">
        <w:rPr>
          <w:rFonts w:ascii="Times New Roman" w:eastAsia="Calibri" w:hAnsi="Times New Roman" w:cs="Times New Roman"/>
          <w:sz w:val="21"/>
        </w:rPr>
        <w:t xml:space="preserve"> einvörðungu hjá ESA og viðkomandi ríki. Sömuleiðis er það á valdi ríkisins hvort og hvernig ESA er tilkynnt um ríkisaðstoð. Þótt </w:t>
      </w:r>
      <w:r w:rsidR="00F36653">
        <w:rPr>
          <w:rFonts w:ascii="Times New Roman" w:eastAsia="Calibri" w:hAnsi="Times New Roman" w:cs="Times New Roman"/>
          <w:sz w:val="21"/>
        </w:rPr>
        <w:t xml:space="preserve">formlegt </w:t>
      </w:r>
      <w:r w:rsidRPr="00D15CA6">
        <w:rPr>
          <w:rFonts w:ascii="Times New Roman" w:eastAsia="Calibri" w:hAnsi="Times New Roman" w:cs="Times New Roman"/>
          <w:sz w:val="21"/>
        </w:rPr>
        <w:t xml:space="preserve">forræði máls sé þannig hjá stjórnvöldum þá eru upplýsingaskipti milli stjórnvalda og fyrirtækja sem í hlut eiga hluti af eðlilegri málsmeðferð í ríkisaðstoðarmálum sem ESA hefur til skoðunar. Jafnframt er það eðlileg hagsmunagæsla af hálfu fyrirtækis að það hugi að því hvort viðskipti þess við opinbera aðila kunni að fela í sér ríkisaðstoð í skilningi EES-samningsins og leggi </w:t>
      </w:r>
      <w:r w:rsidR="002E1B42">
        <w:rPr>
          <w:rFonts w:ascii="Times New Roman" w:eastAsia="Calibri" w:hAnsi="Times New Roman" w:cs="Times New Roman"/>
          <w:sz w:val="21"/>
        </w:rPr>
        <w:t xml:space="preserve">jafnframt </w:t>
      </w:r>
      <w:r w:rsidRPr="00D15CA6">
        <w:rPr>
          <w:rFonts w:ascii="Times New Roman" w:eastAsia="Calibri" w:hAnsi="Times New Roman" w:cs="Times New Roman"/>
          <w:sz w:val="21"/>
        </w:rPr>
        <w:t xml:space="preserve">sitt af mörkum ef til </w:t>
      </w:r>
      <w:r w:rsidR="002E1B42">
        <w:rPr>
          <w:rFonts w:ascii="Times New Roman" w:eastAsia="Calibri" w:hAnsi="Times New Roman" w:cs="Times New Roman"/>
          <w:sz w:val="21"/>
        </w:rPr>
        <w:t>málsmeðferðar</w:t>
      </w:r>
      <w:r w:rsidRPr="00D15CA6">
        <w:rPr>
          <w:rFonts w:ascii="Times New Roman" w:eastAsia="Calibri" w:hAnsi="Times New Roman" w:cs="Times New Roman"/>
          <w:sz w:val="21"/>
        </w:rPr>
        <w:t xml:space="preserve"> ESA kemur. Rati mál í formlega rannsókn þá hefur </w:t>
      </w:r>
      <w:r w:rsidR="002F20C7">
        <w:rPr>
          <w:rFonts w:ascii="Times New Roman" w:eastAsia="Calibri" w:hAnsi="Times New Roman" w:cs="Times New Roman"/>
          <w:sz w:val="21"/>
        </w:rPr>
        <w:t xml:space="preserve">meintur </w:t>
      </w:r>
      <w:proofErr w:type="spellStart"/>
      <w:r w:rsidR="002F20C7">
        <w:rPr>
          <w:rFonts w:ascii="Times New Roman" w:eastAsia="Calibri" w:hAnsi="Times New Roman" w:cs="Times New Roman"/>
          <w:sz w:val="21"/>
        </w:rPr>
        <w:t>ríkisaðstoðarþegi</w:t>
      </w:r>
      <w:proofErr w:type="spellEnd"/>
      <w:r w:rsidRPr="00D15CA6">
        <w:rPr>
          <w:rFonts w:ascii="Times New Roman" w:eastAsia="Calibri" w:hAnsi="Times New Roman" w:cs="Times New Roman"/>
          <w:sz w:val="21"/>
        </w:rPr>
        <w:t xml:space="preserve"> kost á að koma athugasemdum sínum að hjá stofnuninni líkt og </w:t>
      </w:r>
      <w:r w:rsidR="002E1B42">
        <w:rPr>
          <w:rFonts w:ascii="Times New Roman" w:eastAsia="Calibri" w:hAnsi="Times New Roman" w:cs="Times New Roman"/>
          <w:sz w:val="21"/>
        </w:rPr>
        <w:t xml:space="preserve">aðrir </w:t>
      </w:r>
      <w:r w:rsidRPr="00D15CA6">
        <w:rPr>
          <w:rFonts w:ascii="Times New Roman" w:eastAsia="Calibri" w:hAnsi="Times New Roman" w:cs="Times New Roman"/>
          <w:sz w:val="21"/>
        </w:rPr>
        <w:t>hagsmunaaðil</w:t>
      </w:r>
      <w:r w:rsidR="002E1B42">
        <w:rPr>
          <w:rFonts w:ascii="Times New Roman" w:eastAsia="Calibri" w:hAnsi="Times New Roman" w:cs="Times New Roman"/>
          <w:sz w:val="21"/>
        </w:rPr>
        <w:t>ar</w:t>
      </w:r>
      <w:r w:rsidRPr="00D15CA6">
        <w:rPr>
          <w:rFonts w:ascii="Times New Roman" w:eastAsia="Calibri" w:hAnsi="Times New Roman" w:cs="Times New Roman"/>
          <w:sz w:val="21"/>
        </w:rPr>
        <w:t xml:space="preserve">. Komist ESA að niðurstöðu sem hefur áhrif á réttarstöðu </w:t>
      </w:r>
      <w:proofErr w:type="spellStart"/>
      <w:r w:rsidRPr="00D15CA6">
        <w:rPr>
          <w:rFonts w:ascii="Times New Roman" w:eastAsia="Calibri" w:hAnsi="Times New Roman" w:cs="Times New Roman"/>
          <w:sz w:val="21"/>
        </w:rPr>
        <w:t>þiggjanda</w:t>
      </w:r>
      <w:proofErr w:type="spellEnd"/>
      <w:r w:rsidRPr="00D15CA6">
        <w:rPr>
          <w:rFonts w:ascii="Times New Roman" w:eastAsia="Calibri" w:hAnsi="Times New Roman" w:cs="Times New Roman"/>
          <w:sz w:val="21"/>
        </w:rPr>
        <w:t xml:space="preserve"> getur hann skotið ákvörðuninni til EFTA-dómstólsins til ógildingar. Kæruréttur vegna ákvarðana ESA </w:t>
      </w:r>
      <w:r w:rsidR="002E1B42">
        <w:rPr>
          <w:rFonts w:ascii="Times New Roman" w:eastAsia="Calibri" w:hAnsi="Times New Roman" w:cs="Times New Roman"/>
          <w:sz w:val="21"/>
        </w:rPr>
        <w:t>er í</w:t>
      </w:r>
      <w:r w:rsidRPr="00D15CA6">
        <w:rPr>
          <w:rFonts w:ascii="Times New Roman" w:eastAsia="Calibri" w:hAnsi="Times New Roman" w:cs="Times New Roman"/>
          <w:sz w:val="21"/>
        </w:rPr>
        <w:t xml:space="preserve"> höndum viðkomandi ríkis, </w:t>
      </w:r>
      <w:proofErr w:type="spellStart"/>
      <w:r w:rsidRPr="00D15CA6">
        <w:rPr>
          <w:rFonts w:ascii="Times New Roman" w:eastAsia="Calibri" w:hAnsi="Times New Roman" w:cs="Times New Roman"/>
          <w:sz w:val="21"/>
        </w:rPr>
        <w:t>þiggjanda</w:t>
      </w:r>
      <w:proofErr w:type="spellEnd"/>
      <w:r w:rsidRPr="00D15CA6">
        <w:rPr>
          <w:rFonts w:ascii="Times New Roman" w:eastAsia="Calibri" w:hAnsi="Times New Roman" w:cs="Times New Roman"/>
          <w:sz w:val="21"/>
        </w:rPr>
        <w:t xml:space="preserve"> ríkisaðstoðar og annarra hagsmunaaðila, einkum samkeppnisaðila. Algengt er að mál til ógildingar á ákvörðun ESA um </w:t>
      </w:r>
      <w:r w:rsidR="00667422">
        <w:rPr>
          <w:rFonts w:ascii="Times New Roman" w:eastAsia="Calibri" w:hAnsi="Times New Roman" w:cs="Times New Roman"/>
          <w:sz w:val="21"/>
        </w:rPr>
        <w:t xml:space="preserve">að ríkisaðstoð sé ósamrýmanleg </w:t>
      </w:r>
      <w:r w:rsidRPr="00D15CA6">
        <w:rPr>
          <w:rFonts w:ascii="Times New Roman" w:eastAsia="Calibri" w:hAnsi="Times New Roman" w:cs="Times New Roman"/>
          <w:sz w:val="21"/>
        </w:rPr>
        <w:t xml:space="preserve">séu höfðuð af ríkinu, af </w:t>
      </w:r>
      <w:proofErr w:type="spellStart"/>
      <w:r w:rsidRPr="00D15CA6">
        <w:rPr>
          <w:rFonts w:ascii="Times New Roman" w:eastAsia="Calibri" w:hAnsi="Times New Roman" w:cs="Times New Roman"/>
          <w:sz w:val="21"/>
        </w:rPr>
        <w:t>þiggjanda</w:t>
      </w:r>
      <w:proofErr w:type="spellEnd"/>
      <w:r w:rsidRPr="00D15CA6">
        <w:rPr>
          <w:rFonts w:ascii="Times New Roman" w:eastAsia="Calibri" w:hAnsi="Times New Roman" w:cs="Times New Roman"/>
          <w:sz w:val="21"/>
        </w:rPr>
        <w:t xml:space="preserve"> eða þeim báðum og í þeim tilvikum eru málin sameinuð fyrir dómstólnum.</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Afleiðingar þess að brotið er gegn reglum EES-samningsins um ríkisaðstoð eru um margt ólíkar afleiðingum brota gegn samkeppnisreglum samningsins. Þannig eru það aðildarríki EES-samningsins, en </w:t>
      </w:r>
      <w:r w:rsidRPr="00D15CA6">
        <w:rPr>
          <w:rFonts w:ascii="Times New Roman" w:eastAsia="Calibri" w:hAnsi="Times New Roman" w:cs="Times New Roman"/>
          <w:sz w:val="21"/>
        </w:rPr>
        <w:lastRenderedPageBreak/>
        <w:t xml:space="preserve">ekki fyrirtæki eða samtök fyrirtækja, sem geta talist brotleg við ríkisaðstoðarreglur. Hafi fyrirtæki í eigu eða undir stjórn opinberra aðila sem veitt hefur ríkisaðstoð telst það hluti ríkisins í þessum skilningi. Komist ESA að þeirri niðurstöðu að ríkisaðstoð hafi verið veitt sem ekki samrýmist EES-samningnum, ber stjórnvöldum að endurheimta hana, ásamt vöxtum, í því skyni að koma eftir því sem frekast er unnt aftur á þeim markaðsskilyrðum sem voru fyrir hendi áður en aðstoðin var veitt og láta jafnframt af frekari ráðstöfunum. </w:t>
      </w:r>
      <w:proofErr w:type="spellStart"/>
      <w:r w:rsidRPr="00D15CA6">
        <w:rPr>
          <w:rFonts w:ascii="Times New Roman" w:eastAsia="Calibri" w:hAnsi="Times New Roman" w:cs="Times New Roman"/>
          <w:sz w:val="21"/>
        </w:rPr>
        <w:t>Þiggjanda</w:t>
      </w:r>
      <w:proofErr w:type="spellEnd"/>
      <w:r w:rsidRPr="00D15CA6">
        <w:rPr>
          <w:rFonts w:ascii="Times New Roman" w:eastAsia="Calibri" w:hAnsi="Times New Roman" w:cs="Times New Roman"/>
          <w:sz w:val="21"/>
        </w:rPr>
        <w:t xml:space="preserve"> aðstoðar ber að láta af hendi það hagræði sem hann naut, umfram keppinauta sína á markaði, nema þannig standi á að slíkt fari í bága við almennar meginreglur laga. Þær meginreglur sem hér er vísað til eru einkum og sér í lagi réttmætar væntingar og réttaröryggi, en undanþágur frá skyldu til að endurgreiða ósamrýmanlegra aðstoð á grundvelli þessara sjónarmiða eru túlkaðar þröngt. Ekki er um að ræða </w:t>
      </w:r>
      <w:proofErr w:type="spellStart"/>
      <w:r w:rsidRPr="00D15CA6">
        <w:rPr>
          <w:rFonts w:ascii="Times New Roman" w:eastAsia="Calibri" w:hAnsi="Times New Roman" w:cs="Times New Roman"/>
          <w:sz w:val="21"/>
        </w:rPr>
        <w:t>refsikennd</w:t>
      </w:r>
      <w:proofErr w:type="spellEnd"/>
      <w:r w:rsidRPr="00D15CA6">
        <w:rPr>
          <w:rFonts w:ascii="Times New Roman" w:eastAsia="Calibri" w:hAnsi="Times New Roman" w:cs="Times New Roman"/>
          <w:sz w:val="21"/>
        </w:rPr>
        <w:t xml:space="preserve"> viðurlög vegna brota gegn ríkisaðstoðarreglum líkt og er í samkeppnisrétti, hvorki gagnvart viðkomandi ríki né fyrirtækjum sem notið hafa ósamrýmanlegrar ríkisaðstoðar. Fjárhagslegir hagsmunir fyrirtækja geta þó verið gríðarlegir þegar endurheimta þarf ríkisaðstoð</w:t>
      </w:r>
      <w:r w:rsidR="002F20C7">
        <w:rPr>
          <w:rFonts w:ascii="Times New Roman" w:eastAsia="Calibri" w:hAnsi="Times New Roman" w:cs="Times New Roman"/>
          <w:sz w:val="21"/>
        </w:rPr>
        <w:t xml:space="preserve"> úr hendi þeirra</w:t>
      </w:r>
      <w:r w:rsidRPr="00D15CA6">
        <w:rPr>
          <w:rFonts w:ascii="Times New Roman" w:eastAsia="Calibri" w:hAnsi="Times New Roman" w:cs="Times New Roman"/>
          <w:sz w:val="21"/>
        </w:rPr>
        <w:t>.</w:t>
      </w:r>
    </w:p>
    <w:p w:rsidR="00D15CA6" w:rsidRPr="00D15CA6" w:rsidRDefault="00D15CA6" w:rsidP="00D15CA6">
      <w:pPr>
        <w:spacing w:after="0" w:line="240" w:lineRule="auto"/>
        <w:ind w:firstLine="284"/>
        <w:jc w:val="both"/>
        <w:rPr>
          <w:rFonts w:ascii="Times New Roman" w:eastAsia="Calibri" w:hAnsi="Times New Roman" w:cs="Times New Roman"/>
          <w:sz w:val="21"/>
        </w:rPr>
      </w:pPr>
    </w:p>
    <w:p w:rsidR="00D15CA6" w:rsidRPr="00D15CA6" w:rsidRDefault="00D15CA6" w:rsidP="00D15CA6">
      <w:pPr>
        <w:numPr>
          <w:ilvl w:val="0"/>
          <w:numId w:val="1"/>
        </w:numPr>
        <w:spacing w:after="0" w:line="240" w:lineRule="auto"/>
        <w:jc w:val="both"/>
        <w:rPr>
          <w:rFonts w:ascii="Times New Roman" w:eastAsia="Calibri" w:hAnsi="Times New Roman" w:cs="Times New Roman"/>
          <w:i/>
          <w:sz w:val="21"/>
        </w:rPr>
      </w:pPr>
      <w:bookmarkStart w:id="4" w:name="_Hlk518384889"/>
      <w:r w:rsidRPr="00D15CA6">
        <w:rPr>
          <w:rFonts w:ascii="Times New Roman" w:eastAsia="Calibri" w:hAnsi="Times New Roman" w:cs="Times New Roman"/>
          <w:i/>
          <w:sz w:val="21"/>
        </w:rPr>
        <w:t>Ríkisaðstoð sem samrýmist framkvæmd EES-samningsins</w:t>
      </w:r>
      <w:bookmarkEnd w:id="4"/>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Í 2. og 3. mgr. 61. gr. EES-samningsins er kveðið á um undanþágur frá hinu almenna banni við veitingu ríkisaðstoðar, þ.e. undir hvaða kringumstæðum ríkisaðstoð annað hvort telst eða getur talist samrýmanleg framkvæmd EES-samningsins. Þannig skal ríkisaðstoð sem veitt er til að bæta tjón af völdum náttúruhamfara teljast samrýmanleg skv. </w:t>
      </w:r>
      <w:proofErr w:type="spellStart"/>
      <w:r w:rsidRPr="00D15CA6">
        <w:rPr>
          <w:rFonts w:ascii="Times New Roman" w:eastAsia="Calibri" w:hAnsi="Times New Roman" w:cs="Times New Roman"/>
          <w:sz w:val="21"/>
        </w:rPr>
        <w:t>b-lið</w:t>
      </w:r>
      <w:proofErr w:type="spellEnd"/>
      <w:r w:rsidRPr="00D15CA6">
        <w:rPr>
          <w:rFonts w:ascii="Times New Roman" w:eastAsia="Calibri" w:hAnsi="Times New Roman" w:cs="Times New Roman"/>
          <w:sz w:val="21"/>
        </w:rPr>
        <w:t xml:space="preserve"> 2. mgr. og aðstoð til að greiða fyrir þróun ákveðinna greina efnahagslífsins eða ákveðinna efnahagssvæða getur talist samrýmanleg skv. </w:t>
      </w:r>
      <w:proofErr w:type="spellStart"/>
      <w:r w:rsidRPr="00D15CA6">
        <w:rPr>
          <w:rFonts w:ascii="Times New Roman" w:eastAsia="Calibri" w:hAnsi="Times New Roman" w:cs="Times New Roman"/>
          <w:sz w:val="21"/>
        </w:rPr>
        <w:t>c-lið</w:t>
      </w:r>
      <w:proofErr w:type="spellEnd"/>
      <w:r w:rsidRPr="00D15CA6">
        <w:rPr>
          <w:rFonts w:ascii="Times New Roman" w:eastAsia="Calibri" w:hAnsi="Times New Roman" w:cs="Times New Roman"/>
          <w:sz w:val="21"/>
        </w:rPr>
        <w:t xml:space="preserve"> 3. mgr. Ákvæði 61. gr. EES eru hliðstæð ákvæðum 107. gr. SUSE, að því frátöldu að í síðarnefnda sáttmálanum er að finna ákvæði í </w:t>
      </w:r>
      <w:proofErr w:type="spellStart"/>
      <w:r w:rsidRPr="00D15CA6">
        <w:rPr>
          <w:rFonts w:ascii="Times New Roman" w:eastAsia="Calibri" w:hAnsi="Times New Roman" w:cs="Times New Roman"/>
          <w:sz w:val="21"/>
        </w:rPr>
        <w:t>d-lið</w:t>
      </w:r>
      <w:proofErr w:type="spellEnd"/>
      <w:r w:rsidRPr="00D15CA6">
        <w:rPr>
          <w:rFonts w:ascii="Times New Roman" w:eastAsia="Calibri" w:hAnsi="Times New Roman" w:cs="Times New Roman"/>
          <w:sz w:val="21"/>
        </w:rPr>
        <w:t xml:space="preserve"> 3. mgr. 107. gr. um aðstoð til að stuðla að varðveislu menningar og menningararfleifðar, sem bætt var við með </w:t>
      </w:r>
      <w:proofErr w:type="spellStart"/>
      <w:r w:rsidRPr="00D15CA6">
        <w:rPr>
          <w:rFonts w:ascii="Times New Roman" w:eastAsia="Calibri" w:hAnsi="Times New Roman" w:cs="Times New Roman"/>
          <w:sz w:val="21"/>
        </w:rPr>
        <w:t>Maastricth</w:t>
      </w:r>
      <w:proofErr w:type="spellEnd"/>
      <w:r w:rsidRPr="00D15CA6">
        <w:rPr>
          <w:rFonts w:ascii="Times New Roman" w:eastAsia="Calibri" w:hAnsi="Times New Roman" w:cs="Times New Roman"/>
          <w:sz w:val="21"/>
        </w:rPr>
        <w:t xml:space="preserve">-sáttmálanum. Samsvarandi lið er ekki að finna í 61. gr. EES-samningsins, en litið hefur verið svo á að unnt sé að heimila ríkisaðstoð á menningarforsendum með vísan til ákvæða </w:t>
      </w:r>
      <w:proofErr w:type="spellStart"/>
      <w:r w:rsidRPr="00D15CA6">
        <w:rPr>
          <w:rFonts w:ascii="Times New Roman" w:eastAsia="Calibri" w:hAnsi="Times New Roman" w:cs="Times New Roman"/>
          <w:sz w:val="21"/>
        </w:rPr>
        <w:t>c-liðar</w:t>
      </w:r>
      <w:proofErr w:type="spellEnd"/>
      <w:r w:rsidRPr="00D15CA6">
        <w:rPr>
          <w:rFonts w:ascii="Times New Roman" w:eastAsia="Calibri" w:hAnsi="Times New Roman" w:cs="Times New Roman"/>
          <w:sz w:val="21"/>
        </w:rPr>
        <w:t xml:space="preserve"> 3. mgr. 61. gr. EES-samningsins og við mat á slíkum stuðningi sé unnt að notast við sömu viðmið og framkvæmdastjórn ESB notar við mat skv. </w:t>
      </w:r>
      <w:proofErr w:type="spellStart"/>
      <w:r w:rsidRPr="00D15CA6">
        <w:rPr>
          <w:rFonts w:ascii="Times New Roman" w:eastAsia="Calibri" w:hAnsi="Times New Roman" w:cs="Times New Roman"/>
          <w:sz w:val="21"/>
        </w:rPr>
        <w:t>d-lið</w:t>
      </w:r>
      <w:proofErr w:type="spellEnd"/>
      <w:r w:rsidRPr="00D15CA6">
        <w:rPr>
          <w:rFonts w:ascii="Times New Roman" w:eastAsia="Calibri" w:hAnsi="Times New Roman" w:cs="Times New Roman"/>
          <w:sz w:val="21"/>
        </w:rPr>
        <w:t xml:space="preserve"> 3. mgr. 107. gr. SUSE.</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Ríkisaðstoð getur talist samrýmanleg EES-samningnum á grundvelli hópundanþága frá tilkynningarskyldu sem settar eru í reglugerðum ESB og teknar hafa verið upp í XV. viðauka EES-samningsins í samræmi við 63. gr. hans. Hér er sérstaklega um að ræða reglugerð (ESB) nr. 651/2014 um almenna hópundanþágu (</w:t>
      </w:r>
      <w:r w:rsidRPr="00D15CA6">
        <w:rPr>
          <w:rFonts w:ascii="Times New Roman" w:eastAsia="Calibri" w:hAnsi="Times New Roman" w:cs="Times New Roman"/>
          <w:i/>
          <w:sz w:val="21"/>
        </w:rPr>
        <w:t xml:space="preserve">e. General Block </w:t>
      </w:r>
      <w:proofErr w:type="spellStart"/>
      <w:r w:rsidRPr="00D15CA6">
        <w:rPr>
          <w:rFonts w:ascii="Times New Roman" w:eastAsia="Calibri" w:hAnsi="Times New Roman" w:cs="Times New Roman"/>
          <w:i/>
          <w:sz w:val="21"/>
        </w:rPr>
        <w:t>Exemption</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Regulation</w:t>
      </w:r>
      <w:proofErr w:type="spellEnd"/>
      <w:r w:rsidRPr="00D15CA6">
        <w:rPr>
          <w:rFonts w:ascii="Times New Roman" w:eastAsia="Calibri" w:hAnsi="Times New Roman" w:cs="Times New Roman"/>
          <w:i/>
          <w:sz w:val="21"/>
        </w:rPr>
        <w:t xml:space="preserve"> (GBER), d. </w:t>
      </w:r>
      <w:proofErr w:type="spellStart"/>
      <w:r w:rsidRPr="00D15CA6">
        <w:rPr>
          <w:rFonts w:ascii="Times New Roman" w:eastAsia="Calibri" w:hAnsi="Times New Roman" w:cs="Times New Roman"/>
          <w:i/>
          <w:sz w:val="21"/>
        </w:rPr>
        <w:t>generelle</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gruppefritagelsesordning</w:t>
      </w:r>
      <w:proofErr w:type="spellEnd"/>
      <w:r w:rsidRPr="00D15CA6">
        <w:rPr>
          <w:rFonts w:ascii="Times New Roman" w:eastAsia="Calibri" w:hAnsi="Times New Roman" w:cs="Times New Roman"/>
          <w:i/>
          <w:sz w:val="21"/>
        </w:rPr>
        <w:t>)</w:t>
      </w:r>
      <w:r w:rsidRPr="00D15CA6">
        <w:rPr>
          <w:rFonts w:ascii="Times New Roman" w:eastAsia="Calibri" w:hAnsi="Times New Roman" w:cs="Times New Roman"/>
          <w:sz w:val="21"/>
          <w:vertAlign w:val="superscript"/>
        </w:rPr>
        <w:footnoteReference w:id="5"/>
      </w:r>
      <w:r w:rsidRPr="00D15CA6">
        <w:rPr>
          <w:rFonts w:ascii="Times New Roman" w:eastAsia="Calibri" w:hAnsi="Times New Roman" w:cs="Times New Roman"/>
          <w:sz w:val="21"/>
        </w:rPr>
        <w:t xml:space="preserve"> sem tekin hefur verið upp í EES-samninginn með ákvörðun sameiginlegu EES-nefndarinnar. Þróunin hefur verið í þá átt að auka vægi og gildissvið hópundanþága, fækka málum sem háð eru tilkynningu og draga þannig úr stjórnsýslu í ríkisaðstoðarmálum. Reyndin hefur orðið sú að meirihluti allrar ríkisaðstoðar er í dag veittur á grundvelli hópundanþága frá tilkynningarskyldu og aðeins flóknari mál eru tilkynnt til ESA eða framkvæmdastjórnar ESB. </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Auk almennu hópundanþágugerðugerðarinnar er algengt að byggt sé á reglugerð varðandi minniháttaraðstoð (</w:t>
      </w:r>
      <w:r w:rsidRPr="00D15CA6">
        <w:rPr>
          <w:rFonts w:ascii="Times New Roman" w:eastAsia="Calibri" w:hAnsi="Times New Roman" w:cs="Times New Roman"/>
          <w:i/>
          <w:sz w:val="21"/>
        </w:rPr>
        <w:t xml:space="preserve">e. de </w:t>
      </w:r>
      <w:proofErr w:type="spellStart"/>
      <w:r w:rsidRPr="00D15CA6">
        <w:rPr>
          <w:rFonts w:ascii="Times New Roman" w:eastAsia="Calibri" w:hAnsi="Times New Roman" w:cs="Times New Roman"/>
          <w:i/>
          <w:sz w:val="21"/>
        </w:rPr>
        <w:t>minimis</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regulation</w:t>
      </w:r>
      <w:proofErr w:type="spellEnd"/>
      <w:r w:rsidRPr="00D15CA6">
        <w:rPr>
          <w:rFonts w:ascii="Times New Roman" w:eastAsia="Calibri" w:hAnsi="Times New Roman" w:cs="Times New Roman"/>
          <w:i/>
          <w:sz w:val="21"/>
        </w:rPr>
        <w:t xml:space="preserve">, d. de </w:t>
      </w:r>
      <w:proofErr w:type="spellStart"/>
      <w:r w:rsidRPr="00D15CA6">
        <w:rPr>
          <w:rFonts w:ascii="Times New Roman" w:eastAsia="Calibri" w:hAnsi="Times New Roman" w:cs="Times New Roman"/>
          <w:i/>
          <w:sz w:val="21"/>
        </w:rPr>
        <w:t>minimis-forordningen</w:t>
      </w:r>
      <w:proofErr w:type="spellEnd"/>
      <w:r w:rsidRPr="00D15CA6">
        <w:rPr>
          <w:rFonts w:ascii="Times New Roman" w:eastAsia="Calibri" w:hAnsi="Times New Roman" w:cs="Times New Roman"/>
          <w:sz w:val="21"/>
        </w:rPr>
        <w:t>) sem kveður á um með hvaða skilyrðum aðstoð undir 200.000 evrum yfir þriggja ára tímabil teljist ekki ríkisaðstoð í skilningi 1. mgr. 61. gr. EES-samningsins.</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Á Íslandi er nokkuð um svonefnda yfirstandandi aðstoð, þ.e. aðstoðarkerfi sem hófu göngu sína fyrir gildistöku EES-samningsins. Skuldbinding Íslands til þess að leita samþykkis ESA vegna ráðstafana sem fela í sér ríkisaðstoð tekur ekki til slíkrar yfirstandandi aðstoðar heldur eingöngu nýrrar aðstoðar. Undir eftirlitshlutverk ESA fellur hins vegar að taka til skoðunar hvort yfirstandandi aðstoð samræmist ekki (eða samræmist ekki lengur) framkvæmd EES-samningsins og getur stofnunin í þeim tilvikum lagt til breytingar á framkvæmd aðstoðarinnar. </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Leiðbeinandi reglur ESA </w:t>
      </w:r>
      <w:r w:rsidR="00D829D5">
        <w:rPr>
          <w:rFonts w:ascii="Times New Roman" w:eastAsia="Calibri" w:hAnsi="Times New Roman" w:cs="Times New Roman"/>
          <w:sz w:val="21"/>
        </w:rPr>
        <w:t>er unnt að</w:t>
      </w:r>
      <w:r w:rsidR="00023943">
        <w:rPr>
          <w:rFonts w:ascii="Times New Roman" w:eastAsia="Calibri" w:hAnsi="Times New Roman" w:cs="Times New Roman"/>
          <w:sz w:val="21"/>
        </w:rPr>
        <w:t xml:space="preserve"> leggja til grundvallar</w:t>
      </w:r>
      <w:r w:rsidRPr="00D15CA6">
        <w:rPr>
          <w:rFonts w:ascii="Times New Roman" w:eastAsia="Calibri" w:hAnsi="Times New Roman" w:cs="Times New Roman"/>
          <w:sz w:val="21"/>
        </w:rPr>
        <w:t xml:space="preserve"> þegar metið er hvort ráðstafanir </w:t>
      </w:r>
      <w:r w:rsidR="00023943">
        <w:rPr>
          <w:rFonts w:ascii="Times New Roman" w:eastAsia="Calibri" w:hAnsi="Times New Roman" w:cs="Times New Roman"/>
          <w:sz w:val="21"/>
        </w:rPr>
        <w:t>feli í sér ríkisaðstoð og</w:t>
      </w:r>
      <w:r w:rsidR="00FF2648">
        <w:rPr>
          <w:rFonts w:ascii="Times New Roman" w:eastAsia="Calibri" w:hAnsi="Times New Roman" w:cs="Times New Roman"/>
          <w:sz w:val="21"/>
        </w:rPr>
        <w:t>,</w:t>
      </w:r>
      <w:r w:rsidR="00023943">
        <w:rPr>
          <w:rFonts w:ascii="Times New Roman" w:eastAsia="Calibri" w:hAnsi="Times New Roman" w:cs="Times New Roman"/>
          <w:sz w:val="21"/>
        </w:rPr>
        <w:t xml:space="preserve"> ef svo er, hvort þær </w:t>
      </w:r>
      <w:r w:rsidRPr="00D15CA6">
        <w:rPr>
          <w:rFonts w:ascii="Times New Roman" w:eastAsia="Calibri" w:hAnsi="Times New Roman" w:cs="Times New Roman"/>
          <w:sz w:val="21"/>
        </w:rPr>
        <w:t>samrým</w:t>
      </w:r>
      <w:r w:rsidR="00023943">
        <w:rPr>
          <w:rFonts w:ascii="Times New Roman" w:eastAsia="Calibri" w:hAnsi="Times New Roman" w:cs="Times New Roman"/>
          <w:sz w:val="21"/>
        </w:rPr>
        <w:t>i</w:t>
      </w:r>
      <w:r w:rsidRPr="00D15CA6">
        <w:rPr>
          <w:rFonts w:ascii="Times New Roman" w:eastAsia="Calibri" w:hAnsi="Times New Roman" w:cs="Times New Roman"/>
          <w:sz w:val="21"/>
        </w:rPr>
        <w:t xml:space="preserve">st </w:t>
      </w:r>
      <w:r w:rsidR="00023943">
        <w:rPr>
          <w:rFonts w:ascii="Times New Roman" w:eastAsia="Calibri" w:hAnsi="Times New Roman" w:cs="Times New Roman"/>
          <w:sz w:val="21"/>
        </w:rPr>
        <w:t xml:space="preserve">framkvæmd </w:t>
      </w:r>
      <w:r w:rsidRPr="00D15CA6">
        <w:rPr>
          <w:rFonts w:ascii="Times New Roman" w:eastAsia="Calibri" w:hAnsi="Times New Roman" w:cs="Times New Roman"/>
          <w:sz w:val="21"/>
        </w:rPr>
        <w:t>EES-samning</w:t>
      </w:r>
      <w:r w:rsidR="00023943">
        <w:rPr>
          <w:rFonts w:ascii="Times New Roman" w:eastAsia="Calibri" w:hAnsi="Times New Roman" w:cs="Times New Roman"/>
          <w:sz w:val="21"/>
        </w:rPr>
        <w:t>sins</w:t>
      </w:r>
      <w:r w:rsidRPr="00D15CA6">
        <w:rPr>
          <w:rFonts w:ascii="Times New Roman" w:eastAsia="Calibri" w:hAnsi="Times New Roman" w:cs="Times New Roman"/>
          <w:sz w:val="21"/>
        </w:rPr>
        <w:t xml:space="preserve">. Í þeim eru sett fram viðmið sem byggja á stjórnsýsluframkvæmd ESA og framkvæmdastjórnar ESB auk dómafordæma og er reglunum ætlað að taka til algengustu tegunda ríkisaðstoðar, m.t.t. þess </w:t>
      </w:r>
      <w:proofErr w:type="spellStart"/>
      <w:r w:rsidRPr="00D15CA6">
        <w:rPr>
          <w:rFonts w:ascii="Times New Roman" w:eastAsia="Calibri" w:hAnsi="Times New Roman" w:cs="Times New Roman"/>
          <w:sz w:val="21"/>
        </w:rPr>
        <w:t>markaðsbrests</w:t>
      </w:r>
      <w:proofErr w:type="spellEnd"/>
      <w:r w:rsidRPr="00D15CA6">
        <w:rPr>
          <w:rFonts w:ascii="Times New Roman" w:eastAsia="Calibri" w:hAnsi="Times New Roman" w:cs="Times New Roman"/>
          <w:sz w:val="21"/>
        </w:rPr>
        <w:t xml:space="preserve"> og þeirra markmiða sem geta átt við </w:t>
      </w:r>
      <w:r w:rsidR="00FF2648">
        <w:rPr>
          <w:rFonts w:ascii="Times New Roman" w:eastAsia="Calibri" w:hAnsi="Times New Roman" w:cs="Times New Roman"/>
          <w:sz w:val="21"/>
        </w:rPr>
        <w:t xml:space="preserve">á hverju sviði </w:t>
      </w:r>
      <w:r w:rsidRPr="00D15CA6">
        <w:rPr>
          <w:rFonts w:ascii="Times New Roman" w:eastAsia="Calibri" w:hAnsi="Times New Roman" w:cs="Times New Roman"/>
          <w:sz w:val="21"/>
        </w:rPr>
        <w:t>og auðvelda þannig hönnun ráðstafana og tilkynningarferli</w:t>
      </w:r>
      <w:r w:rsidR="00FF2648">
        <w:rPr>
          <w:rFonts w:ascii="Times New Roman" w:eastAsia="Calibri" w:hAnsi="Times New Roman" w:cs="Times New Roman"/>
          <w:sz w:val="21"/>
        </w:rPr>
        <w:t xml:space="preserve"> vegna þeirra</w:t>
      </w:r>
      <w:r w:rsidRPr="00D15CA6">
        <w:rPr>
          <w:rFonts w:ascii="Times New Roman" w:eastAsia="Calibri" w:hAnsi="Times New Roman" w:cs="Times New Roman"/>
          <w:sz w:val="21"/>
        </w:rPr>
        <w:t xml:space="preserve">. Dæmi um svið sem leiðbeinandi reglur </w:t>
      </w:r>
      <w:r w:rsidR="00FF2648">
        <w:rPr>
          <w:rFonts w:ascii="Times New Roman" w:eastAsia="Calibri" w:hAnsi="Times New Roman" w:cs="Times New Roman"/>
          <w:sz w:val="21"/>
        </w:rPr>
        <w:t xml:space="preserve">ESA </w:t>
      </w:r>
      <w:r w:rsidRPr="00D15CA6">
        <w:rPr>
          <w:rFonts w:ascii="Times New Roman" w:eastAsia="Calibri" w:hAnsi="Times New Roman" w:cs="Times New Roman"/>
          <w:sz w:val="21"/>
        </w:rPr>
        <w:t xml:space="preserve">taka til eru ríkisábyrgðir, björgun á illa stöddum fyrirtækjum, áhættufjárfestingar, byggðaaðstoð, útbreiðsla breiðbandskerfa og sala á lóðum og húseignum. Almenna </w:t>
      </w:r>
      <w:r w:rsidRPr="00D15CA6">
        <w:rPr>
          <w:rFonts w:ascii="Times New Roman" w:eastAsia="Calibri" w:hAnsi="Times New Roman" w:cs="Times New Roman"/>
          <w:sz w:val="21"/>
        </w:rPr>
        <w:lastRenderedPageBreak/>
        <w:t>hópundanþágureglugerðin (GBER) sem lýst er að framan tekur mið af sömu sjónarmiðum og lögð eru til grundvallar í leiðbeinandi reglunum.</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Þegar um aðstoðarráðstöfun er að ræða sem ekki er unnt að fella undir hópundanþágu eða leiðbeinandi reglur ESA getur aðstoðin talist samrýmanleg EES-samningnum með </w:t>
      </w:r>
      <w:r w:rsidRPr="00D15CA6">
        <w:rPr>
          <w:rFonts w:ascii="Times New Roman" w:eastAsia="Calibri" w:hAnsi="Times New Roman" w:cs="Times New Roman"/>
          <w:i/>
          <w:sz w:val="21"/>
        </w:rPr>
        <w:t>beinni vísan</w:t>
      </w:r>
      <w:r w:rsidRPr="00D15CA6">
        <w:rPr>
          <w:rFonts w:ascii="Times New Roman" w:eastAsia="Calibri" w:hAnsi="Times New Roman" w:cs="Times New Roman"/>
          <w:sz w:val="21"/>
        </w:rPr>
        <w:t xml:space="preserve"> til ákvæða EES-samningsins</w:t>
      </w:r>
      <w:r w:rsidR="00FF2648">
        <w:rPr>
          <w:rFonts w:ascii="Times New Roman" w:eastAsia="Calibri" w:hAnsi="Times New Roman" w:cs="Times New Roman"/>
          <w:sz w:val="21"/>
        </w:rPr>
        <w:t>, einkum</w:t>
      </w:r>
      <w:r w:rsidR="00FF2648" w:rsidRPr="00D15CA6">
        <w:rPr>
          <w:rFonts w:ascii="Times New Roman" w:eastAsia="Calibri" w:hAnsi="Times New Roman" w:cs="Times New Roman"/>
          <w:sz w:val="21"/>
        </w:rPr>
        <w:t xml:space="preserve"> 2. eða 3. mgr. 61. gr.</w:t>
      </w:r>
      <w:r w:rsidRPr="00D15CA6">
        <w:rPr>
          <w:rFonts w:ascii="Times New Roman" w:eastAsia="Calibri" w:hAnsi="Times New Roman" w:cs="Times New Roman"/>
          <w:sz w:val="21"/>
        </w:rPr>
        <w:t xml:space="preserve">. Þannig getur komið til greina að byggja ákvörðun um veitingu ríkisaðstoðar vegna </w:t>
      </w:r>
      <w:r w:rsidR="00FF2648">
        <w:rPr>
          <w:rFonts w:ascii="Times New Roman" w:eastAsia="Calibri" w:hAnsi="Times New Roman" w:cs="Times New Roman"/>
          <w:sz w:val="21"/>
        </w:rPr>
        <w:t xml:space="preserve">tiltekinna </w:t>
      </w:r>
      <w:r w:rsidRPr="00D15CA6">
        <w:rPr>
          <w:rFonts w:ascii="Times New Roman" w:eastAsia="Calibri" w:hAnsi="Times New Roman" w:cs="Times New Roman"/>
          <w:sz w:val="21"/>
        </w:rPr>
        <w:t xml:space="preserve">framkvæmda beint á </w:t>
      </w:r>
      <w:proofErr w:type="spellStart"/>
      <w:r w:rsidRPr="00D15CA6">
        <w:rPr>
          <w:rFonts w:ascii="Times New Roman" w:eastAsia="Calibri" w:hAnsi="Times New Roman" w:cs="Times New Roman"/>
          <w:sz w:val="21"/>
        </w:rPr>
        <w:t>c-lið</w:t>
      </w:r>
      <w:proofErr w:type="spellEnd"/>
      <w:r w:rsidRPr="00D15CA6">
        <w:rPr>
          <w:rFonts w:ascii="Times New Roman" w:eastAsia="Calibri" w:hAnsi="Times New Roman" w:cs="Times New Roman"/>
          <w:sz w:val="21"/>
        </w:rPr>
        <w:t xml:space="preserve"> 3. mgr. 61. gr. sem heimilar aðstoð til að „greiða fyrir þróun ákveðinna greina efnahagslífsins“.</w:t>
      </w:r>
    </w:p>
    <w:p w:rsidR="00D15CA6" w:rsidRPr="00D15CA6" w:rsidRDefault="00D15CA6" w:rsidP="00D15CA6">
      <w:pPr>
        <w:spacing w:after="0" w:line="240" w:lineRule="auto"/>
        <w:ind w:firstLine="284"/>
        <w:jc w:val="both"/>
        <w:rPr>
          <w:rFonts w:ascii="Times New Roman" w:eastAsia="Calibri" w:hAnsi="Times New Roman" w:cs="Times New Roman"/>
          <w:sz w:val="21"/>
        </w:rPr>
      </w:pPr>
    </w:p>
    <w:p w:rsidR="00D15CA6" w:rsidRPr="00D15CA6" w:rsidRDefault="00D15CA6" w:rsidP="00D15CA6">
      <w:pPr>
        <w:numPr>
          <w:ilvl w:val="0"/>
          <w:numId w:val="1"/>
        </w:numPr>
        <w:spacing w:after="0" w:line="240" w:lineRule="auto"/>
        <w:jc w:val="both"/>
        <w:rPr>
          <w:rFonts w:ascii="Times New Roman" w:eastAsia="Calibri" w:hAnsi="Times New Roman" w:cs="Times New Roman"/>
          <w:i/>
          <w:sz w:val="21"/>
        </w:rPr>
      </w:pPr>
      <w:bookmarkStart w:id="5" w:name="_Hlk518384909"/>
      <w:r w:rsidRPr="00D15CA6">
        <w:rPr>
          <w:rFonts w:ascii="Times New Roman" w:eastAsia="Calibri" w:hAnsi="Times New Roman" w:cs="Times New Roman"/>
          <w:i/>
          <w:sz w:val="21"/>
        </w:rPr>
        <w:t>Þjónusta í almannaþágu sem hefur almenna efnahagslega þýðingu</w:t>
      </w:r>
    </w:p>
    <w:bookmarkEnd w:id="5"/>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Endurgjald fyrir að starfrækja þjónustu sem hefur almenna efnahagslega þýðingu (</w:t>
      </w:r>
      <w:r w:rsidRPr="00D15CA6">
        <w:rPr>
          <w:rFonts w:ascii="Times New Roman" w:eastAsia="Calibri" w:hAnsi="Times New Roman" w:cs="Times New Roman"/>
          <w:i/>
          <w:sz w:val="21"/>
        </w:rPr>
        <w:t xml:space="preserve">e. </w:t>
      </w:r>
      <w:proofErr w:type="spellStart"/>
      <w:r w:rsidRPr="00D15CA6">
        <w:rPr>
          <w:rFonts w:ascii="Times New Roman" w:eastAsia="Calibri" w:hAnsi="Times New Roman" w:cs="Times New Roman"/>
          <w:i/>
          <w:sz w:val="21"/>
        </w:rPr>
        <w:t>services</w:t>
      </w:r>
      <w:proofErr w:type="spellEnd"/>
      <w:r w:rsidRPr="00D15CA6">
        <w:rPr>
          <w:rFonts w:ascii="Times New Roman" w:eastAsia="Calibri" w:hAnsi="Times New Roman" w:cs="Times New Roman"/>
          <w:i/>
          <w:sz w:val="21"/>
        </w:rPr>
        <w:t xml:space="preserve"> of </w:t>
      </w:r>
      <w:proofErr w:type="spellStart"/>
      <w:r w:rsidRPr="00D15CA6">
        <w:rPr>
          <w:rFonts w:ascii="Times New Roman" w:eastAsia="Calibri" w:hAnsi="Times New Roman" w:cs="Times New Roman"/>
          <w:i/>
          <w:sz w:val="21"/>
        </w:rPr>
        <w:t>general</w:t>
      </w:r>
      <w:proofErr w:type="spellEnd"/>
      <w:r w:rsidRPr="00D15CA6">
        <w:rPr>
          <w:rFonts w:ascii="Times New Roman" w:eastAsia="Calibri" w:hAnsi="Times New Roman" w:cs="Times New Roman"/>
          <w:i/>
          <w:sz w:val="21"/>
        </w:rPr>
        <w:t xml:space="preserve"> economic </w:t>
      </w:r>
      <w:proofErr w:type="spellStart"/>
      <w:r w:rsidRPr="00D15CA6">
        <w:rPr>
          <w:rFonts w:ascii="Times New Roman" w:eastAsia="Calibri" w:hAnsi="Times New Roman" w:cs="Times New Roman"/>
          <w:i/>
          <w:sz w:val="21"/>
        </w:rPr>
        <w:t>interest</w:t>
      </w:r>
      <w:proofErr w:type="spellEnd"/>
      <w:r w:rsidRPr="00D15CA6">
        <w:rPr>
          <w:rFonts w:ascii="Times New Roman" w:eastAsia="Calibri" w:hAnsi="Times New Roman" w:cs="Times New Roman"/>
          <w:i/>
          <w:sz w:val="21"/>
        </w:rPr>
        <w:t xml:space="preserve"> – </w:t>
      </w:r>
      <w:proofErr w:type="spellStart"/>
      <w:r w:rsidRPr="00D15CA6">
        <w:rPr>
          <w:rFonts w:ascii="Times New Roman" w:eastAsia="Calibri" w:hAnsi="Times New Roman" w:cs="Times New Roman"/>
          <w:i/>
          <w:sz w:val="21"/>
        </w:rPr>
        <w:t>SGEIs</w:t>
      </w:r>
      <w:proofErr w:type="spellEnd"/>
      <w:r w:rsidRPr="00D15CA6">
        <w:rPr>
          <w:rFonts w:ascii="Times New Roman" w:eastAsia="Calibri" w:hAnsi="Times New Roman" w:cs="Times New Roman"/>
          <w:i/>
          <w:sz w:val="21"/>
        </w:rPr>
        <w:t xml:space="preserve">, d. </w:t>
      </w:r>
      <w:proofErr w:type="spellStart"/>
      <w:r w:rsidRPr="00D15CA6">
        <w:rPr>
          <w:rFonts w:ascii="Times New Roman" w:eastAsia="Calibri" w:hAnsi="Times New Roman" w:cs="Times New Roman"/>
          <w:i/>
          <w:sz w:val="21"/>
        </w:rPr>
        <w:t>tjenesteydelser</w:t>
      </w:r>
      <w:proofErr w:type="spellEnd"/>
      <w:r w:rsidRPr="00D15CA6">
        <w:rPr>
          <w:rFonts w:ascii="Times New Roman" w:eastAsia="Calibri" w:hAnsi="Times New Roman" w:cs="Times New Roman"/>
          <w:i/>
          <w:sz w:val="21"/>
        </w:rPr>
        <w:t xml:space="preserve"> af </w:t>
      </w:r>
      <w:proofErr w:type="spellStart"/>
      <w:r w:rsidRPr="00D15CA6">
        <w:rPr>
          <w:rFonts w:ascii="Times New Roman" w:eastAsia="Calibri" w:hAnsi="Times New Roman" w:cs="Times New Roman"/>
          <w:i/>
          <w:sz w:val="21"/>
        </w:rPr>
        <w:t>almindelig</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økonomisk</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interesse</w:t>
      </w:r>
      <w:proofErr w:type="spellEnd"/>
      <w:r w:rsidRPr="00D15CA6">
        <w:rPr>
          <w:rFonts w:ascii="Times New Roman" w:eastAsia="Calibri" w:hAnsi="Times New Roman" w:cs="Times New Roman"/>
          <w:sz w:val="21"/>
        </w:rPr>
        <w:t xml:space="preserve">) getur undir vissum kringumstæðum fallið undir ákvæði 1. mgr. 61. gr. EES-samningsins. Ákvæði 2. mgr. 59. gr. samningsins tekur til slíkrar þjónustu og fela í sér að reglur samningsins gildi um fyrirtæki sem falið er að veita slíka þjónustu, en bara að því marki sem beiting reglnanna kemur ekki í veg fyrir að þau geti leyst af hendi þau sérstöku verkefni sem þeim eru falin. </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Þjónusta sem hefur almenna efnahagslega þýðingu er efnahagsleg starfsemi sem hefur verið skilgreind af hálfu hins opinbera sem mikilvæg þjónusta í þágu almennings og sem telja má að yrði ekki veitt, eða ekki veitt undir sömu skilyrðum, ef ekki væri fyrir aðkomu eða tilstuðlan hins opinbera (ríkis eða sveitarfélags). Bæði getur verið um að ræða þjónustu sem hinu opinbera er skylt að veita og þjónustu sem hið opinbera telur að ekki verði sinnt með fullnægjandi hætti á markaðslegum forsendum. Sem dæmi um svið slíkrar þjónustu má nefna menningarstarfsemi, húsnæðismál, almenningssamgöngur og rekstur innviða s.s. á sviði fjarskipta.</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Greinarmunur er gerður á þjónustu sem hefur almenna efnahagslega þýðingu (SGEI) og annarri almannaþjónustu sem ekki er efnahagslegs eðlis (SGI). Sem dæmi um hið síðarnefnda má nefna rekstur löggæslu, eftirlit með mengunarvörnum og grunnheilbrigðisþjónustu. Slík þjónusta fellur að jafnaði ekki undir </w:t>
      </w:r>
      <w:proofErr w:type="spellStart"/>
      <w:r w:rsidRPr="00D15CA6">
        <w:rPr>
          <w:rFonts w:ascii="Times New Roman" w:eastAsia="Calibri" w:hAnsi="Times New Roman" w:cs="Times New Roman"/>
          <w:sz w:val="21"/>
        </w:rPr>
        <w:t>samkeppnis</w:t>
      </w:r>
      <w:proofErr w:type="spellEnd"/>
      <w:r w:rsidRPr="00D15CA6">
        <w:rPr>
          <w:rFonts w:ascii="Times New Roman" w:eastAsia="Calibri" w:hAnsi="Times New Roman" w:cs="Times New Roman"/>
          <w:sz w:val="21"/>
        </w:rPr>
        <w:t>- og ríkisaðstoðarreglur EES en það fer þó eftir áherslum og umgjörð í hverju landi.</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Afleiddar reglur um þjónustu sem hefur almenna efnahagslega þýðingu hafa að geyma viðmið um endurgjald til aðila sem starfrækja þjónustuna. Árið 2013 tók gildi endurskoðað regluverk um ríkisaðstoð í tengslum við endurgjald sem greitt er fyrir </w:t>
      </w:r>
      <w:proofErr w:type="spellStart"/>
      <w:r w:rsidRPr="00D15CA6">
        <w:rPr>
          <w:rFonts w:ascii="Times New Roman" w:eastAsia="Calibri" w:hAnsi="Times New Roman" w:cs="Times New Roman"/>
          <w:sz w:val="21"/>
        </w:rPr>
        <w:t>starfrækslu</w:t>
      </w:r>
      <w:proofErr w:type="spellEnd"/>
      <w:r w:rsidRPr="00D15CA6">
        <w:rPr>
          <w:rFonts w:ascii="Times New Roman" w:eastAsia="Calibri" w:hAnsi="Times New Roman" w:cs="Times New Roman"/>
          <w:sz w:val="21"/>
        </w:rPr>
        <w:t xml:space="preserve"> þjónustu sem hefur almenna efnahagslega þýðingu, svonefndur SGEI-pakki (e. </w:t>
      </w:r>
      <w:proofErr w:type="spellStart"/>
      <w:r w:rsidRPr="00D15CA6">
        <w:rPr>
          <w:rFonts w:ascii="Times New Roman" w:eastAsia="Calibri" w:hAnsi="Times New Roman" w:cs="Times New Roman"/>
          <w:sz w:val="21"/>
        </w:rPr>
        <w:t>state</w:t>
      </w:r>
      <w:proofErr w:type="spellEnd"/>
      <w:r w:rsidRPr="00D15CA6">
        <w:rPr>
          <w:rFonts w:ascii="Times New Roman" w:eastAsia="Calibri" w:hAnsi="Times New Roman" w:cs="Times New Roman"/>
          <w:sz w:val="21"/>
        </w:rPr>
        <w:t xml:space="preserve"> </w:t>
      </w:r>
      <w:proofErr w:type="spellStart"/>
      <w:r w:rsidRPr="00D15CA6">
        <w:rPr>
          <w:rFonts w:ascii="Times New Roman" w:eastAsia="Calibri" w:hAnsi="Times New Roman" w:cs="Times New Roman"/>
          <w:sz w:val="21"/>
        </w:rPr>
        <w:t>aid</w:t>
      </w:r>
      <w:proofErr w:type="spellEnd"/>
      <w:r w:rsidRPr="00D15CA6">
        <w:rPr>
          <w:rFonts w:ascii="Times New Roman" w:eastAsia="Calibri" w:hAnsi="Times New Roman" w:cs="Times New Roman"/>
          <w:sz w:val="21"/>
        </w:rPr>
        <w:t xml:space="preserve"> </w:t>
      </w:r>
      <w:proofErr w:type="spellStart"/>
      <w:r w:rsidRPr="00D15CA6">
        <w:rPr>
          <w:rFonts w:ascii="Times New Roman" w:eastAsia="Calibri" w:hAnsi="Times New Roman" w:cs="Times New Roman"/>
          <w:sz w:val="21"/>
        </w:rPr>
        <w:t>package</w:t>
      </w:r>
      <w:proofErr w:type="spellEnd"/>
      <w:r w:rsidRPr="00D15CA6">
        <w:rPr>
          <w:rFonts w:ascii="Times New Roman" w:eastAsia="Calibri" w:hAnsi="Times New Roman" w:cs="Times New Roman"/>
          <w:sz w:val="21"/>
        </w:rPr>
        <w:t xml:space="preserve"> for SGEI, d. SGEI-</w:t>
      </w:r>
      <w:proofErr w:type="spellStart"/>
      <w:r w:rsidRPr="00D15CA6">
        <w:rPr>
          <w:rFonts w:ascii="Times New Roman" w:eastAsia="Calibri" w:hAnsi="Times New Roman" w:cs="Times New Roman"/>
          <w:sz w:val="21"/>
        </w:rPr>
        <w:t>pakken</w:t>
      </w:r>
      <w:proofErr w:type="spellEnd"/>
      <w:r w:rsidRPr="00D15CA6">
        <w:rPr>
          <w:rFonts w:ascii="Times New Roman" w:eastAsia="Calibri" w:hAnsi="Times New Roman" w:cs="Times New Roman"/>
          <w:sz w:val="21"/>
        </w:rPr>
        <w:t>). Regluverkið skiptist í fjórar megingerðir:</w:t>
      </w:r>
    </w:p>
    <w:p w:rsidR="00D15CA6" w:rsidRPr="00D15CA6" w:rsidRDefault="00D15CA6" w:rsidP="00D15CA6">
      <w:pPr>
        <w:spacing w:after="0" w:line="240" w:lineRule="auto"/>
        <w:ind w:left="284"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i. </w:t>
      </w:r>
      <w:r w:rsidRPr="00D15CA6">
        <w:rPr>
          <w:rFonts w:ascii="Times New Roman" w:eastAsia="Calibri" w:hAnsi="Times New Roman" w:cs="Times New Roman"/>
          <w:i/>
          <w:sz w:val="21"/>
        </w:rPr>
        <w:t>Kafli</w:t>
      </w:r>
      <w:r w:rsidRPr="00D15CA6">
        <w:rPr>
          <w:rFonts w:ascii="Times New Roman" w:eastAsia="Calibri" w:hAnsi="Times New Roman" w:cs="Times New Roman"/>
          <w:sz w:val="21"/>
        </w:rPr>
        <w:t xml:space="preserve"> í leiðbeinandi reglum ESA, um beitingu reglna um ríkisaðstoð gagnvart endurgjaldi sem greitt er fyrir að starfrækja þjónustu með almenna efnahagslega þýðingu. Kaflinn samsvarar samnefndri orðsendingu framkvæmdastjórnar ESB (e. </w:t>
      </w:r>
      <w:proofErr w:type="spellStart"/>
      <w:r w:rsidRPr="00D15CA6">
        <w:rPr>
          <w:rFonts w:ascii="Times New Roman" w:eastAsia="Calibri" w:hAnsi="Times New Roman" w:cs="Times New Roman"/>
          <w:sz w:val="21"/>
        </w:rPr>
        <w:t>communication</w:t>
      </w:r>
      <w:proofErr w:type="spellEnd"/>
      <w:r w:rsidRPr="00D15CA6">
        <w:rPr>
          <w:rFonts w:ascii="Times New Roman" w:eastAsia="Calibri" w:hAnsi="Times New Roman" w:cs="Times New Roman"/>
          <w:sz w:val="21"/>
        </w:rPr>
        <w:t xml:space="preserve">, d. </w:t>
      </w:r>
      <w:proofErr w:type="spellStart"/>
      <w:r w:rsidRPr="00D15CA6">
        <w:rPr>
          <w:rFonts w:ascii="Times New Roman" w:eastAsia="Calibri" w:hAnsi="Times New Roman" w:cs="Times New Roman"/>
          <w:sz w:val="21"/>
        </w:rPr>
        <w:t>meddelse</w:t>
      </w:r>
      <w:proofErr w:type="spellEnd"/>
      <w:r w:rsidRPr="00D15CA6">
        <w:rPr>
          <w:rFonts w:ascii="Times New Roman" w:eastAsia="Calibri" w:hAnsi="Times New Roman" w:cs="Times New Roman"/>
          <w:sz w:val="21"/>
        </w:rPr>
        <w:t>). Gerðin hefur þann tilgang að skýra helstu meginreglur sem lagðar eru til grundvallar í tengslum við endurgjald sem greitt er fyrir almannaþjónustu.</w:t>
      </w:r>
    </w:p>
    <w:p w:rsidR="00D15CA6" w:rsidRPr="00D15CA6" w:rsidRDefault="00D15CA6" w:rsidP="00D15CA6">
      <w:pPr>
        <w:spacing w:after="0" w:line="240" w:lineRule="auto"/>
        <w:ind w:left="284"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ii. </w:t>
      </w:r>
      <w:r w:rsidRPr="00D15CA6">
        <w:rPr>
          <w:rFonts w:ascii="Times New Roman" w:eastAsia="Calibri" w:hAnsi="Times New Roman" w:cs="Times New Roman"/>
          <w:i/>
          <w:sz w:val="21"/>
        </w:rPr>
        <w:t>Ákvörðun</w:t>
      </w:r>
      <w:r w:rsidRPr="00D15CA6">
        <w:rPr>
          <w:rFonts w:ascii="Times New Roman" w:eastAsia="Calibri" w:hAnsi="Times New Roman" w:cs="Times New Roman"/>
          <w:sz w:val="21"/>
        </w:rPr>
        <w:t xml:space="preserve"> framkvæmdastjórnarinnar 2012/21/ESB um beitingu 2. mgr. 106. gr. sáttmálans um starfshætti Evrópusambandsins gagnvart ríkisaðstoð í formi bóta til tiltekinna fyrirtækja sem veita opinbera þjónustu sem hefur almenna efnahagslega þýðingu. Ákvörðunin hefur verið tekin upp í EES-samninginn með ákvörðun sameiginlegu EES-nefndarinnar nr. 66/2012 frá 30. mars 2012. Að því er EES-samninginn varðar eru ákvæði 2. mgr. 59. gr. samningsins sambærileg við 2. mgr. 106. gr. SUSE. SGEI-ákvörðunin felur í sér hópundanþágu, þ.e.a.s. hún kveður á um undir hvaða skilyrðum tilteknar tegundir endurgjalds fyrir almannaþjónustu geta talist samrýmanlegar framkvæmd EES-samningsins með vísan til 2. mgr. 59. gr. EES-samningsins og undanþegnar tilkynningarskyldu til ESA.</w:t>
      </w:r>
    </w:p>
    <w:p w:rsidR="00D15CA6" w:rsidRPr="00D15CA6" w:rsidRDefault="00D15CA6" w:rsidP="00D15CA6">
      <w:pPr>
        <w:spacing w:after="0" w:line="240" w:lineRule="auto"/>
        <w:ind w:left="284"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iii. </w:t>
      </w:r>
      <w:r w:rsidRPr="00D15CA6">
        <w:rPr>
          <w:rFonts w:ascii="Times New Roman" w:eastAsia="Calibri" w:hAnsi="Times New Roman" w:cs="Times New Roman"/>
          <w:i/>
          <w:sz w:val="21"/>
        </w:rPr>
        <w:t>Kafli</w:t>
      </w:r>
      <w:r w:rsidRPr="00D15CA6">
        <w:rPr>
          <w:rFonts w:ascii="Times New Roman" w:eastAsia="Calibri" w:hAnsi="Times New Roman" w:cs="Times New Roman"/>
          <w:sz w:val="21"/>
        </w:rPr>
        <w:t xml:space="preserve"> </w:t>
      </w:r>
      <w:r w:rsidRPr="00D15CA6">
        <w:rPr>
          <w:rFonts w:ascii="Times New Roman" w:eastAsia="Calibri" w:hAnsi="Times New Roman" w:cs="Times New Roman"/>
          <w:i/>
          <w:sz w:val="21"/>
        </w:rPr>
        <w:t>um rammaákvæði</w:t>
      </w:r>
      <w:r w:rsidRPr="00D15CA6">
        <w:rPr>
          <w:rFonts w:ascii="Times New Roman" w:eastAsia="Calibri" w:hAnsi="Times New Roman" w:cs="Times New Roman"/>
          <w:sz w:val="21"/>
        </w:rPr>
        <w:t>, í leiðbeinandi reglum ESA, um ríkisaðstoð sem er fólgin í endurgjaldi fyrir almannaþjónustu. Kaflinn samsvarar samnefndri orðsendingu framkvæmdastjórnar ESB. Rammaákvæðin kveða á um með hvaða skilyrðum endurgjald fyrir almannaþjónustu sem ekki fellur undir ákvörðun 2012/21/EB getur talist samrýmanleg framkvæmd innra markaðarins með vísan til 2. mgr. 59. gr. EES-samningsins, en endurgjald af því tagi er tilkynningarskylt til ESA. Hér fellur einkum undir endurgjald sem nemur háum fjárhæðum til aðila annarra en þeirra sem veita félagsþjónustu.</w:t>
      </w:r>
    </w:p>
    <w:p w:rsidR="00D15CA6" w:rsidRPr="00D15CA6" w:rsidRDefault="00D15CA6" w:rsidP="00D15CA6">
      <w:pPr>
        <w:spacing w:after="0" w:line="240" w:lineRule="auto"/>
        <w:ind w:left="284"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iv. </w:t>
      </w:r>
      <w:r w:rsidRPr="00D15CA6">
        <w:rPr>
          <w:rFonts w:ascii="Times New Roman" w:eastAsia="Calibri" w:hAnsi="Times New Roman" w:cs="Times New Roman"/>
          <w:i/>
          <w:sz w:val="21"/>
        </w:rPr>
        <w:t>Reglugerð</w:t>
      </w:r>
      <w:r w:rsidRPr="00D15CA6">
        <w:rPr>
          <w:rFonts w:ascii="Times New Roman" w:eastAsia="Calibri" w:hAnsi="Times New Roman" w:cs="Times New Roman"/>
          <w:sz w:val="21"/>
        </w:rPr>
        <w:t xml:space="preserve"> framkvæmdastjórnarinnar (ESB) nr. 360/2012 um beitingu 107. og 108. gr. sáttmálans um starfshætti Evrópusambandsins</w:t>
      </w:r>
      <w:r w:rsidRPr="00D15CA6">
        <w:rPr>
          <w:rFonts w:ascii="Times New Roman" w:eastAsia="Calibri" w:hAnsi="Times New Roman" w:cs="Times New Roman"/>
          <w:sz w:val="21"/>
          <w:vertAlign w:val="superscript"/>
        </w:rPr>
        <w:footnoteReference w:id="6"/>
      </w:r>
      <w:r w:rsidRPr="00D15CA6">
        <w:rPr>
          <w:rFonts w:ascii="Times New Roman" w:eastAsia="Calibri" w:hAnsi="Times New Roman" w:cs="Times New Roman"/>
          <w:sz w:val="21"/>
        </w:rPr>
        <w:t xml:space="preserve"> gagnvart minniháttaraðstoð sem veitt er fyrirtækjum sem starfrækja þjónustu er hefur almenna efnahagslega þýðingu. Reglugerðin hefur verið tekin upp í EES-samninginn með ákvörðun sameiginlegu EES-nefndarinnar nr. 225/2012 frá 7. desember 2012. Í gerðinni er kveðið á um með hvaða skilyrðum smávægilegt endurgjald fyrir almannaþjónustu (undir 500.000 evrum á 3 ára </w:t>
      </w:r>
      <w:r w:rsidRPr="00D15CA6">
        <w:rPr>
          <w:rFonts w:ascii="Times New Roman" w:eastAsia="Calibri" w:hAnsi="Times New Roman" w:cs="Times New Roman"/>
          <w:sz w:val="21"/>
        </w:rPr>
        <w:lastRenderedPageBreak/>
        <w:t>tímabili) telst ekki hafa áhrif á viðskipti milli EES-ríkjanna og/eða ekki raska eða vera til þess fallið að raska samkeppni. Að skilyrðum reglugerðarinnar uppfylltum fellur endurgjaldið ekki undir 1. mgr. 61. gr. EES-samningsins og telst því ekki ríkisaðstoð.</w:t>
      </w:r>
    </w:p>
    <w:p w:rsidR="00D15CA6" w:rsidRPr="00D15CA6" w:rsidRDefault="00D15CA6" w:rsidP="00D15CA6">
      <w:pPr>
        <w:spacing w:after="0" w:line="240" w:lineRule="auto"/>
        <w:jc w:val="both"/>
        <w:rPr>
          <w:rFonts w:ascii="Times New Roman" w:eastAsia="Calibri" w:hAnsi="Times New Roman" w:cs="Times New Roman"/>
          <w:sz w:val="21"/>
        </w:rPr>
      </w:pPr>
    </w:p>
    <w:p w:rsidR="00D15CA6" w:rsidRPr="00D15CA6" w:rsidRDefault="00D15CA6" w:rsidP="00D15CA6">
      <w:pPr>
        <w:numPr>
          <w:ilvl w:val="0"/>
          <w:numId w:val="1"/>
        </w:numPr>
        <w:spacing w:after="0" w:line="240" w:lineRule="auto"/>
        <w:jc w:val="both"/>
        <w:rPr>
          <w:rFonts w:ascii="Times New Roman" w:eastAsia="Calibri" w:hAnsi="Times New Roman" w:cs="Times New Roman"/>
          <w:i/>
          <w:sz w:val="21"/>
        </w:rPr>
      </w:pPr>
      <w:r w:rsidRPr="00D15CA6">
        <w:rPr>
          <w:rFonts w:ascii="Times New Roman" w:eastAsia="Calibri" w:hAnsi="Times New Roman" w:cs="Times New Roman"/>
          <w:i/>
          <w:sz w:val="21"/>
        </w:rPr>
        <w:t>Gagnsæi í veitingu ríkisaðstoðar</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Ríkisaðstoðarreglur EES-samningsins taka einungis til aðila í samkeppnisrekstri (aðila sem stunda starfsemi í atvinnuskyni, þ.e. selja vörur eða þjónustu á markaði). Starfsemi getur talist í atvinnuskyni í skilningi EES-samningsins án tillits til þess hvort hún er stunduð af einkaaðilum eða hvort hún er hluti af starfsemi hins opinbera. Skilgreining á fyrirtæki í skilningi EES-reglna um ríkisaðstoð miðast við hvort starfsemi sem um ræðir sé fólgin í því að bjóða vörur og þjónustu til sölu á tilteknum markaði. Það er ekki skilgreiningaratriði hvort starfsemin fer fram í hagnaðarskyni eða í hvaða formi hún er rekin. Ákvarðanir um réttindi og skyldur einkaaðila sem tekin er í skjóli opinbers valds (s.s. stjórnsýsluákvarðanir) falla á hinn bóginn almennt ekki undir starfsemi í atvinnuskyni.</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Hluti af regluverki EES-samningsins um ríkisaðstoð er tilskipun framkvæmdastjórnar Evrópusambandsins 2006/111/EB frá 16. nóvember 2006 um gagnsæi fjármálatengsla milli aðildarríkjanna og opinberra fyrirtækja, svo og gagnsæi í fjármálum tiltekinna fyrirtækja, gjarnan nefnd fjármálagagnsæistilskipun (e. </w:t>
      </w:r>
      <w:r w:rsidRPr="00D15CA6">
        <w:rPr>
          <w:rFonts w:ascii="Times New Roman" w:eastAsia="Calibri" w:hAnsi="Times New Roman" w:cs="Times New Roman"/>
          <w:i/>
          <w:sz w:val="21"/>
        </w:rPr>
        <w:t xml:space="preserve">Financial </w:t>
      </w:r>
      <w:proofErr w:type="spellStart"/>
      <w:r w:rsidRPr="00D15CA6">
        <w:rPr>
          <w:rFonts w:ascii="Times New Roman" w:eastAsia="Calibri" w:hAnsi="Times New Roman" w:cs="Times New Roman"/>
          <w:i/>
          <w:sz w:val="21"/>
        </w:rPr>
        <w:t>Transparency</w:t>
      </w:r>
      <w:proofErr w:type="spellEnd"/>
      <w:r w:rsidRPr="00D15CA6">
        <w:rPr>
          <w:rFonts w:ascii="Times New Roman" w:eastAsia="Calibri" w:hAnsi="Times New Roman" w:cs="Times New Roman"/>
          <w:i/>
          <w:sz w:val="21"/>
        </w:rPr>
        <w:t xml:space="preserve"> </w:t>
      </w:r>
      <w:proofErr w:type="spellStart"/>
      <w:r w:rsidRPr="00D15CA6">
        <w:rPr>
          <w:rFonts w:ascii="Times New Roman" w:eastAsia="Calibri" w:hAnsi="Times New Roman" w:cs="Times New Roman"/>
          <w:i/>
          <w:sz w:val="21"/>
        </w:rPr>
        <w:t>Directive</w:t>
      </w:r>
      <w:proofErr w:type="spellEnd"/>
      <w:r w:rsidRPr="00D15CA6">
        <w:rPr>
          <w:rFonts w:ascii="Times New Roman" w:eastAsia="Calibri" w:hAnsi="Times New Roman" w:cs="Times New Roman"/>
          <w:sz w:val="21"/>
        </w:rPr>
        <w:t xml:space="preserve"> d. </w:t>
      </w:r>
      <w:proofErr w:type="spellStart"/>
      <w:r w:rsidRPr="00D15CA6">
        <w:rPr>
          <w:rFonts w:ascii="Times New Roman" w:eastAsia="Calibri" w:hAnsi="Times New Roman" w:cs="Times New Roman"/>
          <w:i/>
          <w:sz w:val="21"/>
        </w:rPr>
        <w:t>gennemskuelighedsdirektivet</w:t>
      </w:r>
      <w:proofErr w:type="spellEnd"/>
      <w:r w:rsidRPr="00D15CA6">
        <w:rPr>
          <w:rFonts w:ascii="Times New Roman" w:eastAsia="Calibri" w:hAnsi="Times New Roman" w:cs="Times New Roman"/>
          <w:sz w:val="21"/>
        </w:rPr>
        <w:t>).</w:t>
      </w:r>
      <w:r w:rsidRPr="00D15CA6">
        <w:rPr>
          <w:rFonts w:ascii="Times New Roman" w:eastAsia="Calibri" w:hAnsi="Times New Roman" w:cs="Times New Roman"/>
          <w:sz w:val="21"/>
          <w:vertAlign w:val="superscript"/>
        </w:rPr>
        <w:footnoteReference w:id="7"/>
      </w:r>
      <w:r w:rsidRPr="00D15CA6">
        <w:rPr>
          <w:rFonts w:ascii="Times New Roman" w:eastAsia="Calibri" w:hAnsi="Times New Roman" w:cs="Times New Roman"/>
          <w:sz w:val="21"/>
        </w:rPr>
        <w:t xml:space="preserve"> Samkvæmt tilskipuninni, sem hefur verið innleidd í íslenskan rétt með stoð í samkeppnislögum og lögum um fjárreiður ríkisins, sbr. nú lög um opinber fjármál, ber að tryggja gagnsæi í fjármögnun hins opinbera á starfsemi fyrirtækja sem og ráðstöfun slíkra fjármuna af hálfu fyrirtækjanna. Ríkjum ber að gera ráðstafanir til að tryggja gagnsæi þegar fyrirtæki, sem hið opinbera hefur veitt sérstakan rétt eða einkarétt eða falið umboð til að sinna almannaþjónustu sem hefur almenna efnahagslega þýðingu (SGEI) gegn endurgjaldi, sinnir einnig annarri starfsemi, sem getur talist til atvinnurekstrar. Áskilnaðurinn nær til þess að (a) viðhafa ber aðskilnað í eigin reikningum slíkra aðila, milli almannaþjónustu og annarrar starfsemi, (b) standa rétt að skiptingu útgjalda og ráðstöfun tekna á grundvelli bókhaldsreglna og (c) ekki fari milli mála eftir hvaða bókhaldsreglum aðskildir reikningar eru færðir. </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Í þessu sambandi má einnig nefna að Samkeppniseftirlitið hefur, skv. 14. gr. samkeppnislaga, heimildir til að mæla fyrir um fjárhagslegan aðskilnað opinberra fyrirtækja og fyrirtækja sem starfa í skjóli einkaleyfis þannig að sá hluti rekstrar sem er í frjálsri samkeppni sé skilinn frá.</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Með opinberri birtingu ákvarðana ESA er stuðlað að gegnsæi í málum sem koma til kasta stofnunarinnar, sbr. athugasemdir við 6. mgr. 3. gr. frumvarpsins. Þá er sérstaklega kveðið á um gagnsæi varðandi veitingu ríkisaðstoðar í leiðbeinandi reglum ESA og í reglugerðum ESB sem teknar hafa verið upp í EES-samninginn. Árið 2014 voru gagnsæiskröfur samræmdar og frá 1. júlí 2016 var innleitt það almenna viðmið að birta skuli </w:t>
      </w:r>
      <w:r w:rsidR="00AD099D">
        <w:rPr>
          <w:rFonts w:ascii="Times New Roman" w:eastAsia="Calibri" w:hAnsi="Times New Roman" w:cs="Times New Roman"/>
          <w:sz w:val="21"/>
        </w:rPr>
        <w:t>opinberlega</w:t>
      </w:r>
      <w:r w:rsidRPr="00D15CA6">
        <w:rPr>
          <w:rFonts w:ascii="Times New Roman" w:eastAsia="Calibri" w:hAnsi="Times New Roman" w:cs="Times New Roman"/>
          <w:sz w:val="21"/>
        </w:rPr>
        <w:t xml:space="preserve"> eftirfarandi upplýsingar um veitingu ríkisaðstoðar sem nemur 500.000 evrum eða meiru til einstakra fyrirtækja: </w:t>
      </w:r>
    </w:p>
    <w:p w:rsidR="00D15CA6" w:rsidRPr="00D15CA6" w:rsidRDefault="00D15CA6" w:rsidP="00AD099D">
      <w:pPr>
        <w:spacing w:after="0" w:line="240" w:lineRule="auto"/>
        <w:ind w:left="709" w:hanging="425"/>
        <w:jc w:val="both"/>
        <w:rPr>
          <w:rFonts w:ascii="Times New Roman" w:eastAsia="Calibri" w:hAnsi="Times New Roman" w:cs="Times New Roman"/>
          <w:sz w:val="21"/>
        </w:rPr>
      </w:pPr>
      <w:r w:rsidRPr="00D15CA6">
        <w:rPr>
          <w:rFonts w:ascii="Times New Roman" w:eastAsia="Calibri" w:hAnsi="Times New Roman" w:cs="Times New Roman"/>
          <w:sz w:val="21"/>
        </w:rPr>
        <w:t xml:space="preserve">i) </w:t>
      </w:r>
      <w:r w:rsidR="00AD099D">
        <w:rPr>
          <w:rFonts w:ascii="Times New Roman" w:eastAsia="Calibri" w:hAnsi="Times New Roman" w:cs="Times New Roman"/>
          <w:sz w:val="21"/>
        </w:rPr>
        <w:tab/>
      </w:r>
      <w:r w:rsidRPr="00D15CA6">
        <w:rPr>
          <w:rFonts w:ascii="Times New Roman" w:eastAsia="Calibri" w:hAnsi="Times New Roman" w:cs="Times New Roman"/>
          <w:sz w:val="21"/>
        </w:rPr>
        <w:t xml:space="preserve">heildartexta viðkomandi aðstoðarkerfis eða ákvörðunar um veitingu stakrar aðstoðar (t.d. lagafrumvarp eða samning), </w:t>
      </w:r>
    </w:p>
    <w:p w:rsidR="00D15CA6" w:rsidRPr="00D15CA6" w:rsidRDefault="00D15CA6" w:rsidP="00AD099D">
      <w:pPr>
        <w:spacing w:after="0" w:line="240" w:lineRule="auto"/>
        <w:ind w:left="709" w:hanging="425"/>
        <w:jc w:val="both"/>
        <w:rPr>
          <w:rFonts w:ascii="Times New Roman" w:eastAsia="Calibri" w:hAnsi="Times New Roman" w:cs="Times New Roman"/>
          <w:sz w:val="21"/>
        </w:rPr>
      </w:pPr>
      <w:r w:rsidRPr="00D15CA6">
        <w:rPr>
          <w:rFonts w:ascii="Times New Roman" w:eastAsia="Calibri" w:hAnsi="Times New Roman" w:cs="Times New Roman"/>
          <w:sz w:val="21"/>
        </w:rPr>
        <w:t xml:space="preserve">ii) </w:t>
      </w:r>
      <w:r w:rsidR="00AD099D">
        <w:rPr>
          <w:rFonts w:ascii="Times New Roman" w:eastAsia="Calibri" w:hAnsi="Times New Roman" w:cs="Times New Roman"/>
          <w:sz w:val="21"/>
        </w:rPr>
        <w:tab/>
      </w:r>
      <w:r w:rsidRPr="00D15CA6">
        <w:rPr>
          <w:rFonts w:ascii="Times New Roman" w:eastAsia="Calibri" w:hAnsi="Times New Roman" w:cs="Times New Roman"/>
          <w:sz w:val="21"/>
        </w:rPr>
        <w:t xml:space="preserve">upplýsingar um veitanda aðstoðar, </w:t>
      </w:r>
    </w:p>
    <w:p w:rsidR="00D15CA6" w:rsidRPr="00D15CA6" w:rsidRDefault="00D15CA6" w:rsidP="00AD099D">
      <w:pPr>
        <w:spacing w:after="0" w:line="240" w:lineRule="auto"/>
        <w:ind w:left="709" w:hanging="425"/>
        <w:jc w:val="both"/>
        <w:rPr>
          <w:rFonts w:ascii="Times New Roman" w:eastAsia="Calibri" w:hAnsi="Times New Roman" w:cs="Times New Roman"/>
          <w:sz w:val="21"/>
        </w:rPr>
      </w:pPr>
      <w:r w:rsidRPr="00D15CA6">
        <w:rPr>
          <w:rFonts w:ascii="Times New Roman" w:eastAsia="Calibri" w:hAnsi="Times New Roman" w:cs="Times New Roman"/>
          <w:sz w:val="21"/>
        </w:rPr>
        <w:t>iii)</w:t>
      </w:r>
      <w:r w:rsidR="00AD099D">
        <w:rPr>
          <w:rFonts w:ascii="Times New Roman" w:eastAsia="Calibri" w:hAnsi="Times New Roman" w:cs="Times New Roman"/>
          <w:sz w:val="21"/>
        </w:rPr>
        <w:tab/>
      </w:r>
      <w:r w:rsidRPr="00D15CA6">
        <w:rPr>
          <w:rFonts w:ascii="Times New Roman" w:eastAsia="Calibri" w:hAnsi="Times New Roman" w:cs="Times New Roman"/>
          <w:sz w:val="21"/>
        </w:rPr>
        <w:t xml:space="preserve">upplýsingar um viðtakendur ríkisaðstoðar, </w:t>
      </w:r>
    </w:p>
    <w:p w:rsidR="00D15CA6" w:rsidRPr="00D15CA6" w:rsidRDefault="00D15CA6" w:rsidP="00AD099D">
      <w:pPr>
        <w:spacing w:after="0" w:line="240" w:lineRule="auto"/>
        <w:ind w:left="709" w:hanging="425"/>
        <w:jc w:val="both"/>
        <w:rPr>
          <w:rFonts w:ascii="Times New Roman" w:eastAsia="Calibri" w:hAnsi="Times New Roman" w:cs="Times New Roman"/>
          <w:sz w:val="21"/>
        </w:rPr>
      </w:pPr>
      <w:r w:rsidRPr="00D15CA6">
        <w:rPr>
          <w:rFonts w:ascii="Times New Roman" w:eastAsia="Calibri" w:hAnsi="Times New Roman" w:cs="Times New Roman"/>
          <w:sz w:val="21"/>
        </w:rPr>
        <w:t>iv)</w:t>
      </w:r>
      <w:r w:rsidR="00AD099D">
        <w:rPr>
          <w:rFonts w:ascii="Times New Roman" w:eastAsia="Calibri" w:hAnsi="Times New Roman" w:cs="Times New Roman"/>
          <w:sz w:val="21"/>
        </w:rPr>
        <w:tab/>
      </w:r>
      <w:r w:rsidRPr="00D15CA6">
        <w:rPr>
          <w:rFonts w:ascii="Times New Roman" w:eastAsia="Calibri" w:hAnsi="Times New Roman" w:cs="Times New Roman"/>
          <w:sz w:val="21"/>
        </w:rPr>
        <w:t xml:space="preserve">form og upphæð aðstoðar til hvers aðstoðarþega, </w:t>
      </w:r>
    </w:p>
    <w:p w:rsidR="00D15CA6" w:rsidRPr="00D15CA6" w:rsidRDefault="00D15CA6" w:rsidP="00AD099D">
      <w:pPr>
        <w:spacing w:after="0" w:line="240" w:lineRule="auto"/>
        <w:ind w:left="709" w:hanging="425"/>
        <w:jc w:val="both"/>
        <w:rPr>
          <w:rFonts w:ascii="Times New Roman" w:eastAsia="Calibri" w:hAnsi="Times New Roman" w:cs="Times New Roman"/>
          <w:sz w:val="21"/>
        </w:rPr>
      </w:pPr>
      <w:r w:rsidRPr="00D15CA6">
        <w:rPr>
          <w:rFonts w:ascii="Times New Roman" w:eastAsia="Calibri" w:hAnsi="Times New Roman" w:cs="Times New Roman"/>
          <w:sz w:val="21"/>
        </w:rPr>
        <w:t>v)</w:t>
      </w:r>
      <w:r w:rsidR="00AD099D">
        <w:rPr>
          <w:rFonts w:ascii="Times New Roman" w:eastAsia="Calibri" w:hAnsi="Times New Roman" w:cs="Times New Roman"/>
          <w:sz w:val="21"/>
        </w:rPr>
        <w:tab/>
      </w:r>
      <w:r w:rsidRPr="00D15CA6">
        <w:rPr>
          <w:rFonts w:ascii="Times New Roman" w:eastAsia="Calibri" w:hAnsi="Times New Roman" w:cs="Times New Roman"/>
          <w:sz w:val="21"/>
        </w:rPr>
        <w:t>hvenær aðstoðin er veitt,</w:t>
      </w:r>
    </w:p>
    <w:p w:rsidR="00D15CA6" w:rsidRPr="00D15CA6" w:rsidRDefault="00D15CA6" w:rsidP="00AD099D">
      <w:pPr>
        <w:spacing w:after="0" w:line="240" w:lineRule="auto"/>
        <w:ind w:left="709" w:hanging="425"/>
        <w:jc w:val="both"/>
        <w:rPr>
          <w:rFonts w:ascii="Times New Roman" w:eastAsia="Calibri" w:hAnsi="Times New Roman" w:cs="Times New Roman"/>
          <w:sz w:val="21"/>
        </w:rPr>
      </w:pPr>
      <w:r w:rsidRPr="00D15CA6">
        <w:rPr>
          <w:rFonts w:ascii="Times New Roman" w:eastAsia="Calibri" w:hAnsi="Times New Roman" w:cs="Times New Roman"/>
          <w:sz w:val="21"/>
        </w:rPr>
        <w:t>vi)</w:t>
      </w:r>
      <w:r w:rsidR="00AD099D">
        <w:rPr>
          <w:rFonts w:ascii="Times New Roman" w:eastAsia="Calibri" w:hAnsi="Times New Roman" w:cs="Times New Roman"/>
          <w:sz w:val="21"/>
        </w:rPr>
        <w:tab/>
      </w:r>
      <w:r w:rsidRPr="00D15CA6">
        <w:rPr>
          <w:rFonts w:ascii="Times New Roman" w:eastAsia="Calibri" w:hAnsi="Times New Roman" w:cs="Times New Roman"/>
          <w:sz w:val="21"/>
        </w:rPr>
        <w:t>hvort um er að ræða lítil/</w:t>
      </w:r>
      <w:proofErr w:type="spellStart"/>
      <w:r w:rsidRPr="00D15CA6">
        <w:rPr>
          <w:rFonts w:ascii="Times New Roman" w:eastAsia="Calibri" w:hAnsi="Times New Roman" w:cs="Times New Roman"/>
          <w:sz w:val="21"/>
        </w:rPr>
        <w:t>millistór</w:t>
      </w:r>
      <w:proofErr w:type="spellEnd"/>
      <w:r w:rsidRPr="00D15CA6">
        <w:rPr>
          <w:rFonts w:ascii="Times New Roman" w:eastAsia="Calibri" w:hAnsi="Times New Roman" w:cs="Times New Roman"/>
          <w:sz w:val="21"/>
        </w:rPr>
        <w:t xml:space="preserve"> fyrirtæki eða stór fyrirtæki og </w:t>
      </w:r>
    </w:p>
    <w:p w:rsidR="00D15CA6" w:rsidRPr="00D15CA6" w:rsidRDefault="00D15CA6" w:rsidP="00AD099D">
      <w:pPr>
        <w:spacing w:after="0" w:line="240" w:lineRule="auto"/>
        <w:ind w:left="709" w:hanging="425"/>
        <w:jc w:val="both"/>
        <w:rPr>
          <w:rFonts w:ascii="Times New Roman" w:eastAsia="Calibri" w:hAnsi="Times New Roman" w:cs="Times New Roman"/>
          <w:sz w:val="21"/>
        </w:rPr>
      </w:pPr>
      <w:r w:rsidRPr="00D15CA6">
        <w:rPr>
          <w:rFonts w:ascii="Times New Roman" w:eastAsia="Calibri" w:hAnsi="Times New Roman" w:cs="Times New Roman"/>
          <w:sz w:val="21"/>
        </w:rPr>
        <w:t>vii)</w:t>
      </w:r>
      <w:r w:rsidR="00AD099D">
        <w:rPr>
          <w:rFonts w:ascii="Times New Roman" w:eastAsia="Calibri" w:hAnsi="Times New Roman" w:cs="Times New Roman"/>
          <w:sz w:val="21"/>
        </w:rPr>
        <w:tab/>
      </w:r>
      <w:r w:rsidRPr="00D15CA6">
        <w:rPr>
          <w:rFonts w:ascii="Times New Roman" w:eastAsia="Calibri" w:hAnsi="Times New Roman" w:cs="Times New Roman"/>
          <w:sz w:val="21"/>
        </w:rPr>
        <w:t>atvinnugreinaflokkun (NACE</w:t>
      </w:r>
      <w:r w:rsidR="00AD099D">
        <w:rPr>
          <w:rFonts w:ascii="Times New Roman" w:eastAsia="Calibri" w:hAnsi="Times New Roman" w:cs="Times New Roman"/>
          <w:sz w:val="21"/>
        </w:rPr>
        <w:t>,</w:t>
      </w:r>
      <w:r w:rsidRPr="00D15CA6">
        <w:rPr>
          <w:rFonts w:ascii="Times New Roman" w:eastAsia="Calibri" w:hAnsi="Times New Roman" w:cs="Times New Roman"/>
          <w:sz w:val="21"/>
        </w:rPr>
        <w:t xml:space="preserve"> sbr. íslenska flokkunarkerfið ÍSAT2008).</w:t>
      </w:r>
    </w:p>
    <w:p w:rsidR="00D15CA6" w:rsidRPr="00114479" w:rsidRDefault="00D15CA6" w:rsidP="00D15CA6">
      <w:pPr>
        <w:spacing w:after="0" w:line="240" w:lineRule="auto"/>
        <w:jc w:val="both"/>
        <w:rPr>
          <w:rFonts w:ascii="Times New Roman" w:eastAsia="Calibri" w:hAnsi="Times New Roman" w:cs="Times New Roman"/>
          <w:sz w:val="21"/>
        </w:rPr>
      </w:pPr>
      <w:r w:rsidRPr="00114479">
        <w:rPr>
          <w:rFonts w:ascii="Times New Roman" w:eastAsia="Calibri" w:hAnsi="Times New Roman" w:cs="Times New Roman"/>
          <w:sz w:val="21"/>
        </w:rPr>
        <w:t>Að öðru leyti er undir stjórnvöldum og viðkomandi lögaðilum að hvaða marki upplýsingar um ráðstafanir sem fela í sér ríkisaðstoð eru opinberaðar, t.d. með ákvæðum um birtingu upplýsinga í lögum, stjórnvaldsfyrirmælum eða samningum.</w:t>
      </w:r>
    </w:p>
    <w:p w:rsidR="00D15CA6" w:rsidRPr="00D15CA6" w:rsidRDefault="00D15CA6" w:rsidP="00D15CA6">
      <w:pPr>
        <w:spacing w:after="0" w:line="240" w:lineRule="auto"/>
        <w:ind w:firstLine="284"/>
        <w:jc w:val="both"/>
        <w:rPr>
          <w:rFonts w:ascii="Times New Roman" w:eastAsia="Calibri" w:hAnsi="Times New Roman" w:cs="Times New Roman"/>
          <w:sz w:val="21"/>
        </w:rPr>
      </w:pPr>
    </w:p>
    <w:p w:rsidR="00D15CA6" w:rsidRPr="00D15CA6" w:rsidRDefault="00D15CA6" w:rsidP="00D15CA6">
      <w:pPr>
        <w:spacing w:after="0" w:line="240" w:lineRule="auto"/>
        <w:jc w:val="both"/>
        <w:rPr>
          <w:rFonts w:ascii="Times New Roman" w:eastAsia="Calibri" w:hAnsi="Times New Roman" w:cs="Times New Roman"/>
          <w:i/>
          <w:sz w:val="21"/>
        </w:rPr>
      </w:pPr>
      <w:bookmarkStart w:id="6" w:name="_Hlk518384939"/>
      <w:r w:rsidRPr="00D15CA6">
        <w:rPr>
          <w:rFonts w:ascii="Times New Roman" w:eastAsia="Calibri" w:hAnsi="Times New Roman" w:cs="Times New Roman"/>
          <w:i/>
          <w:sz w:val="21"/>
        </w:rPr>
        <w:t>7. Innlendir dómstólar</w:t>
      </w:r>
      <w:bookmarkEnd w:id="6"/>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Dómstólar ESB hafa slegið því föstu að til þess að ákvæði 3. mgr. 108. gr. SUSE (sem samsvarar 3. mgr. 1. gr. I. hluta bókunar 3 við SED) hafi tilætluð réttaráhrif geti innlendum dómstólum, með hliðsjón af meginreglunni um samstarf af heilindum</w:t>
      </w:r>
      <w:r w:rsidR="00AD099D">
        <w:rPr>
          <w:rFonts w:ascii="Times New Roman" w:eastAsia="Calibri" w:hAnsi="Times New Roman" w:cs="Times New Roman"/>
          <w:sz w:val="21"/>
        </w:rPr>
        <w:t>,</w:t>
      </w:r>
      <w:r w:rsidR="00FB036B">
        <w:rPr>
          <w:rFonts w:ascii="Times New Roman" w:eastAsia="Calibri" w:hAnsi="Times New Roman" w:cs="Times New Roman"/>
          <w:sz w:val="21"/>
        </w:rPr>
        <w:t xml:space="preserve"> </w:t>
      </w:r>
      <w:r w:rsidRPr="00D15CA6">
        <w:rPr>
          <w:rFonts w:ascii="Times New Roman" w:eastAsia="Calibri" w:hAnsi="Times New Roman" w:cs="Times New Roman"/>
          <w:sz w:val="21"/>
        </w:rPr>
        <w:t>borið skylda til að stöðva tímabundið veitingu aðstoðar við tilteknar aðstæður. Sjá m.a. forúrskurð Dómstóls Evrópusambandsins í máli C</w:t>
      </w:r>
      <w:r w:rsidRPr="00D15CA6">
        <w:rPr>
          <w:rFonts w:ascii="MS Gothic" w:eastAsia="MS Gothic" w:hAnsi="MS Gothic" w:cs="MS Gothic" w:hint="eastAsia"/>
          <w:sz w:val="21"/>
        </w:rPr>
        <w:t>‑</w:t>
      </w:r>
      <w:r w:rsidRPr="00D15CA6">
        <w:rPr>
          <w:rFonts w:ascii="Times New Roman" w:eastAsia="Calibri" w:hAnsi="Times New Roman" w:cs="Times New Roman"/>
          <w:sz w:val="21"/>
        </w:rPr>
        <w:t xml:space="preserve">284/12 (Deutsche </w:t>
      </w:r>
      <w:proofErr w:type="spellStart"/>
      <w:r w:rsidRPr="00D15CA6">
        <w:rPr>
          <w:rFonts w:ascii="Times New Roman" w:eastAsia="Calibri" w:hAnsi="Times New Roman" w:cs="Times New Roman"/>
          <w:sz w:val="21"/>
        </w:rPr>
        <w:t>Lufthansa</w:t>
      </w:r>
      <w:proofErr w:type="spellEnd"/>
      <w:r w:rsidRPr="00D15CA6">
        <w:rPr>
          <w:rFonts w:ascii="Times New Roman" w:eastAsia="Calibri" w:hAnsi="Times New Roman" w:cs="Times New Roman"/>
          <w:sz w:val="21"/>
        </w:rPr>
        <w:t xml:space="preserve"> AG) frá </w:t>
      </w:r>
      <w:r w:rsidRPr="00D15CA6">
        <w:rPr>
          <w:rFonts w:ascii="Times New Roman" w:eastAsia="Calibri" w:hAnsi="Times New Roman" w:cs="Times New Roman"/>
          <w:sz w:val="21"/>
        </w:rPr>
        <w:lastRenderedPageBreak/>
        <w:t>21. nóvember 2013. Ekki er nauðsynlegt að mæla sérstaklega fyrir um slíkar heimildir íslenskra dómstóla í frumvarpi þessu</w:t>
      </w:r>
      <w:r w:rsidR="00AD099D">
        <w:rPr>
          <w:rFonts w:ascii="Times New Roman" w:eastAsia="Calibri" w:hAnsi="Times New Roman" w:cs="Times New Roman"/>
          <w:sz w:val="21"/>
        </w:rPr>
        <w:t xml:space="preserve">, heldur vísast </w:t>
      </w:r>
      <w:r w:rsidRPr="00D15CA6">
        <w:rPr>
          <w:rFonts w:ascii="Times New Roman" w:eastAsia="Calibri" w:hAnsi="Times New Roman" w:cs="Times New Roman"/>
          <w:sz w:val="21"/>
        </w:rPr>
        <w:t xml:space="preserve">til þess að samkvæmt lögum um meðferð einkamála er þeim sem sýnt geta fram á </w:t>
      </w:r>
      <w:proofErr w:type="spellStart"/>
      <w:r w:rsidRPr="00D15CA6">
        <w:rPr>
          <w:rFonts w:ascii="Times New Roman" w:eastAsia="Calibri" w:hAnsi="Times New Roman" w:cs="Times New Roman"/>
          <w:sz w:val="21"/>
        </w:rPr>
        <w:t>lögvarða</w:t>
      </w:r>
      <w:proofErr w:type="spellEnd"/>
      <w:r w:rsidRPr="00D15CA6">
        <w:rPr>
          <w:rFonts w:ascii="Times New Roman" w:eastAsia="Calibri" w:hAnsi="Times New Roman" w:cs="Times New Roman"/>
          <w:sz w:val="21"/>
        </w:rPr>
        <w:t xml:space="preserve"> hagsmuni af því að skorið sé úr um tilvist eða efni réttinda eða réttarsambands heimilt að leita viðurkenningardóms um kröfur sínar í þeim efnum, sbr. 25. gr. laga um meðferð einkamála nr. 91/1991. </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Hlutverk innlendra dómstóla og eftirlitsaðila með ríkisaðstoð eru skýrð í forúrskurði Evrópudómstólsins í máli C-574/14 frá 15. september 2016, í mgr. 31-41, þar sem útlistað er að </w:t>
      </w:r>
      <w:r w:rsidR="00AD099D">
        <w:rPr>
          <w:rFonts w:ascii="Times New Roman" w:eastAsia="Calibri" w:hAnsi="Times New Roman" w:cs="Times New Roman"/>
          <w:sz w:val="21"/>
        </w:rPr>
        <w:t xml:space="preserve">þessi hlutverk </w:t>
      </w:r>
      <w:r w:rsidRPr="00D15CA6">
        <w:rPr>
          <w:rFonts w:ascii="Times New Roman" w:eastAsia="Calibri" w:hAnsi="Times New Roman" w:cs="Times New Roman"/>
          <w:sz w:val="21"/>
        </w:rPr>
        <w:t>séu aðskilin en myndi saman eina heild. Þau sjónarmið sem fram koma í dómnum eiga við að breyttu breytanda um samsvarandi ákvæði EES-réttar: Dómstólar hafi mikilvægu hlutverki að gegna í að standa vörð um réttindi einstaklinga og fyrirtækja þegar um möguleg brot gegn tilkynningarskyldu er að ræða og geti í slíkum tilvikum staðið frammi fyrir túlkun á hugtakinu ríkisaðstoð. Ákvörðunarvald um hvort ráðstöfun samrýmist framkvæmd EES-samningsins (eða samrýmist innri markaðnum, þegar um aðildarríki ESB er að ræða) fellur ekki innan lögsögu innlendra dómstóla heldur er það hluti af einkavaldheimildum Eftirlitsstofnunar EFTA (og framkvæmdastjórnar ESB) og háð endurskoðun viðkomandi dómstóla EFTA og ESB.</w:t>
      </w:r>
      <w:r w:rsidR="00AD099D">
        <w:rPr>
          <w:rFonts w:ascii="Times New Roman" w:eastAsia="Calibri" w:hAnsi="Times New Roman" w:cs="Times New Roman"/>
          <w:sz w:val="21"/>
        </w:rPr>
        <w:t xml:space="preserve"> </w:t>
      </w:r>
      <w:r w:rsidRPr="00D15CA6">
        <w:rPr>
          <w:rFonts w:ascii="Times New Roman" w:eastAsia="Calibri" w:hAnsi="Times New Roman" w:cs="Times New Roman"/>
          <w:sz w:val="21"/>
        </w:rPr>
        <w:t>Fram kom í forúrskurðinum að innlendum dómstólum bæri að forðast að taka ákvarðanir sem samrýmdust ekki ákvörðunum framkvæmdastjórnar ESB í málaflokknum, jafnvel þegar um frumniðurstöður stofnunarinnar er að ræða. Þetta leiði af 3. mgr. 4. gr. SUSE, sem fjallar um meginregluna um samstarf af heilindum.</w:t>
      </w:r>
      <w:r w:rsidRPr="00D15CA6">
        <w:rPr>
          <w:rFonts w:ascii="Times New Roman" w:eastAsia="Calibri" w:hAnsi="Times New Roman" w:cs="Times New Roman"/>
          <w:sz w:val="21"/>
          <w:vertAlign w:val="superscript"/>
        </w:rPr>
        <w:footnoteReference w:id="8"/>
      </w:r>
      <w:r w:rsidRPr="00D15CA6">
        <w:rPr>
          <w:rFonts w:ascii="Times New Roman" w:eastAsia="Calibri" w:hAnsi="Times New Roman" w:cs="Times New Roman"/>
          <w:sz w:val="21"/>
        </w:rPr>
        <w:t xml:space="preserve"> </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Til samanburðar við samkeppnisrétt má nefna að í 1. </w:t>
      </w:r>
      <w:proofErr w:type="spellStart"/>
      <w:r w:rsidRPr="00D15CA6">
        <w:rPr>
          <w:rFonts w:ascii="Times New Roman" w:eastAsia="Calibri" w:hAnsi="Times New Roman" w:cs="Times New Roman"/>
          <w:sz w:val="21"/>
        </w:rPr>
        <w:t>málsl</w:t>
      </w:r>
      <w:proofErr w:type="spellEnd"/>
      <w:r w:rsidRPr="00D15CA6">
        <w:rPr>
          <w:rFonts w:ascii="Times New Roman" w:eastAsia="Calibri" w:hAnsi="Times New Roman" w:cs="Times New Roman"/>
          <w:sz w:val="21"/>
        </w:rPr>
        <w:t>. 1. mgr. 27. gr. samkeppnislaga er sérstaklega kveðið á um að þegar innlendir dómstólar fjalla um samninga, ákvarðanir eða aðgerðir skv. 53. og 54. gr. EES-samningsins, í máli sem Eftirlitsstofnun EFTA hefur þegar tekið ákvörðun í, megi úrlausn hans ekki brjóta í bága við þá ákvörðun. Í ákvæðinu eru innleidd ákvæði 1. mgr. 16. gr. bókunar 4 við SED.</w:t>
      </w:r>
      <w:r w:rsidRPr="00D15CA6">
        <w:rPr>
          <w:rFonts w:ascii="Times New Roman" w:eastAsia="Calibri" w:hAnsi="Times New Roman" w:cs="Times New Roman"/>
          <w:sz w:val="21"/>
          <w:vertAlign w:val="superscript"/>
        </w:rPr>
        <w:footnoteReference w:id="9"/>
      </w:r>
      <w:r w:rsidRPr="00D15CA6">
        <w:rPr>
          <w:rFonts w:ascii="Times New Roman" w:eastAsia="Calibri" w:hAnsi="Times New Roman" w:cs="Times New Roman"/>
          <w:sz w:val="21"/>
        </w:rPr>
        <w:t xml:space="preserve">. Bókun 4 fjallar um störf og valdsvið eftirlitsstofnunar EFTA á sviði samkeppni. Ekki þykir þörf á að árétta í frumvarpi þessu að í samræmi við skuldbindingar Íslands samkvæmt bókun 3 við SED er ekki unnt að bera álitaefni um hvort ráðstöfun hafi falið í sér ríkisaðstoð undir innlenda dómstóla, hafi ESA tekið ákvörðun varðandi sömu ráðstafanir, þar sem ekki er unnt að krefjast ógildingar á ákvörðun ESA fyrir innlendum dómstólum. Móttakandi ríkisaðstoðar samkvæmt ákvörðun ESA hefur rétt til að krefjast ógildingar á ákvörðuninni fyrir EFTA-dómstólnum í samræmi við ákvæði SED, enda þótt henni sé formlega beint að viðkomandi EFTA-ríki. Hið sama </w:t>
      </w:r>
      <w:r w:rsidR="00AD099D">
        <w:rPr>
          <w:rFonts w:ascii="Times New Roman" w:eastAsia="Calibri" w:hAnsi="Times New Roman" w:cs="Times New Roman"/>
          <w:sz w:val="21"/>
        </w:rPr>
        <w:t xml:space="preserve">getur átt við </w:t>
      </w:r>
      <w:r w:rsidRPr="00D15CA6">
        <w:rPr>
          <w:rFonts w:ascii="Times New Roman" w:eastAsia="Calibri" w:hAnsi="Times New Roman" w:cs="Times New Roman"/>
          <w:sz w:val="21"/>
        </w:rPr>
        <w:t xml:space="preserve">um samkeppnisaðila sem </w:t>
      </w:r>
      <w:r w:rsidR="00AD099D">
        <w:rPr>
          <w:rFonts w:ascii="Times New Roman" w:eastAsia="Calibri" w:hAnsi="Times New Roman" w:cs="Times New Roman"/>
          <w:sz w:val="21"/>
        </w:rPr>
        <w:t xml:space="preserve">eru </w:t>
      </w:r>
      <w:r w:rsidRPr="00D15CA6">
        <w:rPr>
          <w:rFonts w:ascii="Times New Roman" w:eastAsia="Calibri" w:hAnsi="Times New Roman" w:cs="Times New Roman"/>
          <w:sz w:val="21"/>
        </w:rPr>
        <w:t>ósáttir við ákvörðun ESA um að ríkisaðstoð teljist samrýmanleg EES-samningnum eða um að ráðstöfun feli ekki í sér aðstoð, enda hafi þeir beinna og einstaklingsbundinna hagsmuna að gæta.</w:t>
      </w:r>
      <w:r w:rsidRPr="00D15CA6">
        <w:rPr>
          <w:rFonts w:ascii="Times New Roman" w:eastAsia="Calibri" w:hAnsi="Times New Roman" w:cs="Times New Roman"/>
          <w:sz w:val="21"/>
          <w:vertAlign w:val="superscript"/>
        </w:rPr>
        <w:footnoteReference w:id="10"/>
      </w:r>
      <w:r w:rsidRPr="00D15CA6">
        <w:rPr>
          <w:rFonts w:ascii="Times New Roman" w:eastAsia="Calibri" w:hAnsi="Times New Roman" w:cs="Times New Roman"/>
          <w:sz w:val="21"/>
        </w:rPr>
        <w:t xml:space="preserve"> Sé þetta úrræði ekki nýtt innan tilskilins frests er ekki unnt að leita til innlendra dómstóla í því skyni að fá efnislegri niðurstöðu ESA hnekkt.</w:t>
      </w:r>
      <w:r w:rsidRPr="00D15CA6">
        <w:rPr>
          <w:rFonts w:ascii="Times New Roman" w:eastAsia="Calibri" w:hAnsi="Times New Roman" w:cs="Times New Roman"/>
          <w:sz w:val="21"/>
          <w:vertAlign w:val="superscript"/>
        </w:rPr>
        <w:footnoteReference w:id="11"/>
      </w:r>
      <w:r w:rsidRPr="00D15CA6">
        <w:rPr>
          <w:rFonts w:ascii="Times New Roman" w:eastAsia="Calibri" w:hAnsi="Times New Roman" w:cs="Times New Roman"/>
          <w:sz w:val="21"/>
        </w:rPr>
        <w:t xml:space="preserve"> </w:t>
      </w:r>
      <w:r w:rsidR="00AD099D">
        <w:rPr>
          <w:rFonts w:ascii="Times New Roman" w:eastAsia="Calibri" w:hAnsi="Times New Roman" w:cs="Times New Roman"/>
          <w:sz w:val="21"/>
        </w:rPr>
        <w:t>G</w:t>
      </w:r>
      <w:r w:rsidRPr="00D15CA6">
        <w:rPr>
          <w:rFonts w:ascii="Times New Roman" w:eastAsia="Calibri" w:hAnsi="Times New Roman" w:cs="Times New Roman"/>
          <w:sz w:val="21"/>
        </w:rPr>
        <w:t xml:space="preserve">eta </w:t>
      </w:r>
      <w:r w:rsidR="00AD099D">
        <w:rPr>
          <w:rFonts w:ascii="Times New Roman" w:eastAsia="Calibri" w:hAnsi="Times New Roman" w:cs="Times New Roman"/>
          <w:sz w:val="21"/>
        </w:rPr>
        <w:t xml:space="preserve">má </w:t>
      </w:r>
      <w:r w:rsidRPr="00D15CA6">
        <w:rPr>
          <w:rFonts w:ascii="Times New Roman" w:eastAsia="Calibri" w:hAnsi="Times New Roman" w:cs="Times New Roman"/>
          <w:sz w:val="21"/>
        </w:rPr>
        <w:t xml:space="preserve">þess að vísun máls til EFTA-dómstólsins frestar ekki fullnustu ákvörðunarinnar nema samkvæmt ákvörðun dómstólsins. </w:t>
      </w:r>
    </w:p>
    <w:p w:rsidR="00D15CA6" w:rsidRPr="00D15CA6" w:rsidRDefault="00D15CA6" w:rsidP="00D15CA6">
      <w:pPr>
        <w:spacing w:after="0" w:line="240" w:lineRule="auto"/>
        <w:ind w:firstLine="284"/>
        <w:jc w:val="both"/>
        <w:rPr>
          <w:rFonts w:ascii="Times New Roman" w:eastAsia="Calibri" w:hAnsi="Times New Roman" w:cs="Times New Roman"/>
          <w:sz w:val="21"/>
        </w:rPr>
      </w:pPr>
      <w:r w:rsidRPr="00D15CA6">
        <w:rPr>
          <w:rFonts w:ascii="Times New Roman" w:eastAsia="Calibri" w:hAnsi="Times New Roman" w:cs="Times New Roman"/>
          <w:sz w:val="21"/>
        </w:rPr>
        <w:t xml:space="preserve"> Í 2. </w:t>
      </w:r>
      <w:proofErr w:type="spellStart"/>
      <w:r w:rsidRPr="00D15CA6">
        <w:rPr>
          <w:rFonts w:ascii="Times New Roman" w:eastAsia="Calibri" w:hAnsi="Times New Roman" w:cs="Times New Roman"/>
          <w:sz w:val="21"/>
        </w:rPr>
        <w:t>málsl</w:t>
      </w:r>
      <w:proofErr w:type="spellEnd"/>
      <w:r w:rsidRPr="00D15CA6">
        <w:rPr>
          <w:rFonts w:ascii="Times New Roman" w:eastAsia="Calibri" w:hAnsi="Times New Roman" w:cs="Times New Roman"/>
          <w:sz w:val="21"/>
        </w:rPr>
        <w:t>. 1. mgr. 27. gr. samkeppnislaga greinir að innlendir dómstólar skuli forðast að leysa úr máli á annan veg en sem Eftirlitsstofnun EFTA kann að gera í máli sem hún hefur til meðferðar, að því er varðar framangreind ákvæði EES-samningsins. Jafnframt að dómstóll geti í þessu skyni frestað meðferð málsins. Sambærileg ákvæði eru ekki tekin upp í frumvarpi þessu, ef frá eru talin ákvæði 6. gr. frumvarpsins um endurskoðun ákvarðana um sektir og févíti. Telja verður að það leiði af 3. gr. laga nr. 2/1993 og ákvæð</w:t>
      </w:r>
      <w:r w:rsidR="00AD099D">
        <w:rPr>
          <w:rFonts w:ascii="Times New Roman" w:eastAsia="Calibri" w:hAnsi="Times New Roman" w:cs="Times New Roman"/>
          <w:sz w:val="21"/>
        </w:rPr>
        <w:t>um</w:t>
      </w:r>
      <w:r w:rsidRPr="00D15CA6">
        <w:rPr>
          <w:rFonts w:ascii="Times New Roman" w:eastAsia="Calibri" w:hAnsi="Times New Roman" w:cs="Times New Roman"/>
          <w:sz w:val="21"/>
        </w:rPr>
        <w:t xml:space="preserve"> 61. gr. EES-samningsins, að dómstólar geti leyst úr málum til samræmis við skuldbindingar Íslands samkvæmt EES-samningnum. Líkt og ráða má af dómi Hæstaréttar í máli nr. 79/2010, frá 9. desember 2010, ber dómstólum svo sem framast er unnt, að horfa til sameiginlegra reglna sem gilda eiga á Evrópska efnahagssvæðinu, við úrlausn mála. </w:t>
      </w:r>
      <w:r w:rsidR="00AD099D">
        <w:rPr>
          <w:rFonts w:ascii="Times New Roman" w:eastAsia="Calibri" w:hAnsi="Times New Roman" w:cs="Times New Roman"/>
          <w:sz w:val="21"/>
        </w:rPr>
        <w:t xml:space="preserve">Ganga má </w:t>
      </w:r>
      <w:r w:rsidRPr="00D15CA6">
        <w:rPr>
          <w:rFonts w:ascii="Times New Roman" w:eastAsia="Calibri" w:hAnsi="Times New Roman" w:cs="Times New Roman"/>
          <w:sz w:val="21"/>
        </w:rPr>
        <w:t>út frá því að dómstólar muni forðast að leysa úr máli á annan veg en ætla megi að ESA kunni að gera í máli sem þar er til meðferðar. Að sama skapi er gengið út frá því að heimildir dómstóla til frestunar á máli á grundvelli þess að efni sem varðar úrslit málsins verulega hafi réttilega verði lagt til úrlausnar stjórnvalds geti átt við þegar mál sem 61. og 62. gr. EES-samningsins eru til meðferðar fyrir innlendum dómstólum.</w:t>
      </w:r>
    </w:p>
    <w:p w:rsidR="00D15CA6" w:rsidRDefault="00D15CA6"/>
    <w:sectPr w:rsidR="00D15CA6" w:rsidSect="00B31C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357" w:rsidRDefault="00627357" w:rsidP="00D15CA6">
      <w:pPr>
        <w:spacing w:after="0" w:line="240" w:lineRule="auto"/>
      </w:pPr>
      <w:r>
        <w:separator/>
      </w:r>
    </w:p>
  </w:endnote>
  <w:endnote w:type="continuationSeparator" w:id="0">
    <w:p w:rsidR="00627357" w:rsidRDefault="00627357" w:rsidP="00D1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357" w:rsidRDefault="00627357" w:rsidP="00D15CA6">
      <w:pPr>
        <w:spacing w:after="0" w:line="240" w:lineRule="auto"/>
      </w:pPr>
      <w:r>
        <w:separator/>
      </w:r>
    </w:p>
  </w:footnote>
  <w:footnote w:type="continuationSeparator" w:id="0">
    <w:p w:rsidR="00627357" w:rsidRDefault="00627357" w:rsidP="00D15CA6">
      <w:pPr>
        <w:spacing w:after="0" w:line="240" w:lineRule="auto"/>
      </w:pPr>
      <w:r>
        <w:continuationSeparator/>
      </w:r>
    </w:p>
  </w:footnote>
  <w:footnote w:id="1">
    <w:p w:rsidR="00D15CA6" w:rsidRPr="00D15CA6" w:rsidRDefault="00D15CA6" w:rsidP="00D15CA6">
      <w:pPr>
        <w:pStyle w:val="Fodnotetekst"/>
        <w:rPr>
          <w:rFonts w:ascii="Times New Roman" w:hAnsi="Times New Roman" w:cs="Times New Roman"/>
        </w:rPr>
      </w:pPr>
      <w:r w:rsidRPr="00D15CA6">
        <w:rPr>
          <w:rStyle w:val="Fodnotehenvisning"/>
          <w:rFonts w:ascii="Times New Roman" w:hAnsi="Times New Roman" w:cs="Times New Roman"/>
        </w:rPr>
        <w:footnoteRef/>
      </w:r>
      <w:r w:rsidRPr="00D15CA6">
        <w:rPr>
          <w:rFonts w:ascii="Times New Roman" w:hAnsi="Times New Roman" w:cs="Times New Roman"/>
        </w:rPr>
        <w:t xml:space="preserve"> Í framkvæmd þarf lítið að koma til svo tvö síðarnefndu skilyrðin </w:t>
      </w:r>
      <w:r w:rsidR="00ED47A1">
        <w:rPr>
          <w:rFonts w:ascii="Times New Roman" w:hAnsi="Times New Roman" w:cs="Times New Roman"/>
        </w:rPr>
        <w:t>teljist</w:t>
      </w:r>
      <w:r w:rsidRPr="00D15CA6">
        <w:rPr>
          <w:rFonts w:ascii="Times New Roman" w:hAnsi="Times New Roman" w:cs="Times New Roman"/>
        </w:rPr>
        <w:t xml:space="preserve"> uppfyllt.</w:t>
      </w:r>
    </w:p>
  </w:footnote>
  <w:footnote w:id="2">
    <w:p w:rsidR="00D15CA6" w:rsidRPr="00D15CA6" w:rsidRDefault="00D15CA6" w:rsidP="00D15CA6">
      <w:pPr>
        <w:pStyle w:val="Fodnotetekst"/>
        <w:rPr>
          <w:rFonts w:ascii="Times New Roman" w:hAnsi="Times New Roman" w:cs="Times New Roman"/>
        </w:rPr>
      </w:pPr>
      <w:r w:rsidRPr="00D15CA6">
        <w:rPr>
          <w:rStyle w:val="Fodnotehenvisning"/>
          <w:rFonts w:ascii="Times New Roman" w:hAnsi="Times New Roman" w:cs="Times New Roman"/>
        </w:rPr>
        <w:footnoteRef/>
      </w:r>
      <w:r w:rsidRPr="00D15CA6">
        <w:rPr>
          <w:rFonts w:ascii="Times New Roman" w:hAnsi="Times New Roman" w:cs="Times New Roman"/>
        </w:rPr>
        <w:t xml:space="preserve"> Leiðbeinandi reglur</w:t>
      </w:r>
      <w:r w:rsidR="00F53E3C">
        <w:rPr>
          <w:rFonts w:ascii="Times New Roman" w:hAnsi="Times New Roman" w:cs="Times New Roman"/>
        </w:rPr>
        <w:t xml:space="preserve"> um hugtakið ríkisaðstoð</w:t>
      </w:r>
      <w:r w:rsidRPr="00D15CA6">
        <w:rPr>
          <w:rFonts w:ascii="Times New Roman" w:hAnsi="Times New Roman" w:cs="Times New Roman"/>
        </w:rPr>
        <w:t xml:space="preserve"> komu út í íslenskri þýðingu í desember 2017</w:t>
      </w:r>
      <w:r w:rsidR="00F53E3C">
        <w:rPr>
          <w:rFonts w:ascii="Times New Roman" w:hAnsi="Times New Roman" w:cs="Times New Roman"/>
        </w:rPr>
        <w:t xml:space="preserve">, sbr. </w:t>
      </w:r>
      <w:r w:rsidR="00F53E3C" w:rsidRPr="00F53E3C">
        <w:rPr>
          <w:rFonts w:ascii="Times New Roman" w:hAnsi="Times New Roman" w:cs="Times New Roman"/>
        </w:rPr>
        <w:t xml:space="preserve">EES-viðbætir við Stjórnartíðindi Evrópusambandsins </w:t>
      </w:r>
      <w:r w:rsidR="00F53E3C">
        <w:rPr>
          <w:rFonts w:ascii="Times New Roman" w:hAnsi="Times New Roman" w:cs="Times New Roman"/>
        </w:rPr>
        <w:t>nr. 82/2017</w:t>
      </w:r>
      <w:r w:rsidR="00ED47A1">
        <w:rPr>
          <w:rFonts w:ascii="Times New Roman" w:hAnsi="Times New Roman" w:cs="Times New Roman"/>
        </w:rPr>
        <w:t>. Þ</w:t>
      </w:r>
      <w:r w:rsidR="00F53E3C">
        <w:rPr>
          <w:rFonts w:ascii="Times New Roman" w:hAnsi="Times New Roman" w:cs="Times New Roman"/>
        </w:rPr>
        <w:t>ær</w:t>
      </w:r>
      <w:r w:rsidRPr="00D15CA6">
        <w:rPr>
          <w:rFonts w:ascii="Times New Roman" w:hAnsi="Times New Roman" w:cs="Times New Roman"/>
        </w:rPr>
        <w:t xml:space="preserve"> byggja á samsvarandi orðsendingu framkvæmdastjórnar ESB.</w:t>
      </w:r>
      <w:r w:rsidR="00F53E3C">
        <w:rPr>
          <w:rFonts w:ascii="Times New Roman" w:hAnsi="Times New Roman" w:cs="Times New Roman"/>
        </w:rPr>
        <w:t xml:space="preserve"> </w:t>
      </w:r>
    </w:p>
  </w:footnote>
  <w:footnote w:id="3">
    <w:p w:rsidR="009048AF" w:rsidRPr="009048AF" w:rsidRDefault="009048AF">
      <w:pPr>
        <w:pStyle w:val="Fodnotetekst"/>
        <w:rPr>
          <w:rFonts w:ascii="Times New Roman" w:hAnsi="Times New Roman" w:cs="Times New Roman"/>
        </w:rPr>
      </w:pPr>
      <w:r w:rsidRPr="009048AF">
        <w:rPr>
          <w:rStyle w:val="Fodnotehenvisning"/>
          <w:rFonts w:ascii="Times New Roman" w:hAnsi="Times New Roman" w:cs="Times New Roman"/>
        </w:rPr>
        <w:footnoteRef/>
      </w:r>
      <w:r w:rsidRPr="009048AF">
        <w:rPr>
          <w:rFonts w:ascii="Times New Roman" w:hAnsi="Times New Roman" w:cs="Times New Roman"/>
        </w:rPr>
        <w:t xml:space="preserve"> Samningur EFTA</w:t>
      </w:r>
      <w:r w:rsidR="00F44CEF">
        <w:rPr>
          <w:rFonts w:ascii="Times New Roman" w:hAnsi="Times New Roman" w:cs="Times New Roman"/>
        </w:rPr>
        <w:t>-</w:t>
      </w:r>
      <w:r w:rsidRPr="009048AF">
        <w:rPr>
          <w:rFonts w:ascii="Times New Roman" w:hAnsi="Times New Roman" w:cs="Times New Roman"/>
        </w:rPr>
        <w:t>ríkjanna um eftirlitsstofnun og dómstól.</w:t>
      </w:r>
    </w:p>
  </w:footnote>
  <w:footnote w:id="4">
    <w:p w:rsidR="00D15CA6" w:rsidRPr="00D15CA6" w:rsidRDefault="00D15CA6" w:rsidP="00D15CA6">
      <w:pPr>
        <w:pStyle w:val="Fodnotetekst"/>
        <w:rPr>
          <w:rFonts w:ascii="Times New Roman" w:hAnsi="Times New Roman" w:cs="Times New Roman"/>
        </w:rPr>
      </w:pPr>
      <w:r w:rsidRPr="00D15CA6">
        <w:rPr>
          <w:rStyle w:val="Fodnotehenvisning"/>
          <w:rFonts w:ascii="Times New Roman" w:hAnsi="Times New Roman" w:cs="Times New Roman"/>
        </w:rPr>
        <w:footnoteRef/>
      </w:r>
      <w:r w:rsidRPr="00D15CA6">
        <w:rPr>
          <w:rFonts w:ascii="Times New Roman" w:hAnsi="Times New Roman" w:cs="Times New Roman"/>
        </w:rPr>
        <w:t xml:space="preserve"> Stærstur hluti þeirrar ríkisaðstoðar sem ekki er háður tilkynningarskyldu er skilgreindur í svokallaðri almennri hópundanþágureglugerð (GBER), sem vikið er að í 4. kafla.</w:t>
      </w:r>
    </w:p>
  </w:footnote>
  <w:footnote w:id="5">
    <w:p w:rsidR="00D15CA6" w:rsidRPr="00D15CA6" w:rsidRDefault="00D15CA6" w:rsidP="00D15CA6">
      <w:pPr>
        <w:pStyle w:val="Fodnotetekst"/>
        <w:rPr>
          <w:rFonts w:ascii="Times New Roman" w:hAnsi="Times New Roman" w:cs="Times New Roman"/>
        </w:rPr>
      </w:pPr>
      <w:r w:rsidRPr="00D15CA6">
        <w:rPr>
          <w:rStyle w:val="Fodnotehenvisning"/>
          <w:rFonts w:ascii="Times New Roman" w:hAnsi="Times New Roman" w:cs="Times New Roman"/>
        </w:rPr>
        <w:footnoteRef/>
      </w:r>
      <w:r w:rsidRPr="00D15CA6">
        <w:rPr>
          <w:rFonts w:ascii="Times New Roman" w:hAnsi="Times New Roman" w:cs="Times New Roman"/>
        </w:rPr>
        <w:t xml:space="preserve"> Reglugerð framkvæmdastjórnarinnar (ESB) nr. 651/2014 frá 21. maí 2014 þar sem tilgreindir eru tilteknir flokkar aðstoðar sem samrýmast sameiginlega markaðnum til beitingar 107. og 108. gr. sáttmálans. Samkvæmt þeirri aðlögun sem leiðir af ákvörðun sameiginlegu EES-nefndarinnar um upptöku gerðarinnar í EES-samninginn kemur 61. gr. EES-samningsins í stað 107. gr. SUSE og 3. mgr. 1. gr. bókunar 3 við SED í stað 108. gr. SUSE.</w:t>
      </w:r>
    </w:p>
  </w:footnote>
  <w:footnote w:id="6">
    <w:p w:rsidR="00D15CA6" w:rsidRPr="00D15CA6" w:rsidRDefault="00D15CA6" w:rsidP="00D15CA6">
      <w:pPr>
        <w:pStyle w:val="Fodnotetekst"/>
        <w:rPr>
          <w:rFonts w:ascii="Times New Roman" w:hAnsi="Times New Roman" w:cs="Times New Roman"/>
        </w:rPr>
      </w:pPr>
      <w:r w:rsidRPr="00D15CA6">
        <w:rPr>
          <w:rStyle w:val="Fodnotehenvisning"/>
          <w:rFonts w:ascii="Times New Roman" w:hAnsi="Times New Roman" w:cs="Times New Roman"/>
        </w:rPr>
        <w:footnoteRef/>
      </w:r>
      <w:r w:rsidRPr="00D15CA6">
        <w:rPr>
          <w:rFonts w:ascii="Times New Roman" w:hAnsi="Times New Roman" w:cs="Times New Roman"/>
        </w:rPr>
        <w:t xml:space="preserve"> Að því er EES-samninginn varðar eru ákvæði 61. gr. samningsins sambærileg við 107. gr. gr. SUSE og ákvæði 3. mgr. 1. gr. bókunar 3 við samninginn um eftirlitsstofnun og dómstól sambærileg ákvæðum 108. gr. SUSE.</w:t>
      </w:r>
    </w:p>
  </w:footnote>
  <w:footnote w:id="7">
    <w:p w:rsidR="00D15CA6" w:rsidRPr="00D15CA6" w:rsidRDefault="00D15CA6" w:rsidP="00D15CA6">
      <w:pPr>
        <w:pStyle w:val="Fodnotetekst"/>
        <w:rPr>
          <w:rFonts w:ascii="Times New Roman" w:hAnsi="Times New Roman" w:cs="Times New Roman"/>
        </w:rPr>
      </w:pPr>
      <w:r w:rsidRPr="00D15CA6">
        <w:rPr>
          <w:rStyle w:val="Fodnotehenvisning"/>
          <w:rFonts w:ascii="Times New Roman" w:hAnsi="Times New Roman" w:cs="Times New Roman"/>
        </w:rPr>
        <w:footnoteRef/>
      </w:r>
      <w:r w:rsidRPr="00D15CA6">
        <w:rPr>
          <w:rFonts w:ascii="Times New Roman" w:hAnsi="Times New Roman" w:cs="Times New Roman"/>
        </w:rPr>
        <w:t xml:space="preserve"> Geta má þess að önnur óskyld tilskipun ESB hefur gengið undir nafninu gagnsæistilskipunin (e. </w:t>
      </w:r>
      <w:proofErr w:type="spellStart"/>
      <w:r w:rsidRPr="00D15CA6">
        <w:rPr>
          <w:rFonts w:ascii="Times New Roman" w:hAnsi="Times New Roman" w:cs="Times New Roman"/>
          <w:i/>
        </w:rPr>
        <w:t>Transparency</w:t>
      </w:r>
      <w:proofErr w:type="spellEnd"/>
      <w:r w:rsidRPr="00D15CA6">
        <w:rPr>
          <w:rFonts w:ascii="Times New Roman" w:hAnsi="Times New Roman" w:cs="Times New Roman"/>
          <w:i/>
        </w:rPr>
        <w:t xml:space="preserve"> </w:t>
      </w:r>
      <w:proofErr w:type="spellStart"/>
      <w:r w:rsidRPr="00D15CA6">
        <w:rPr>
          <w:rFonts w:ascii="Times New Roman" w:hAnsi="Times New Roman" w:cs="Times New Roman"/>
          <w:i/>
        </w:rPr>
        <w:t>Directive</w:t>
      </w:r>
      <w:proofErr w:type="spellEnd"/>
      <w:r w:rsidRPr="00D15CA6">
        <w:rPr>
          <w:rFonts w:ascii="Times New Roman" w:hAnsi="Times New Roman" w:cs="Times New Roman"/>
          <w:i/>
        </w:rPr>
        <w:t>,</w:t>
      </w:r>
      <w:r w:rsidRPr="00D15CA6">
        <w:rPr>
          <w:rFonts w:ascii="Times New Roman" w:hAnsi="Times New Roman" w:cs="Times New Roman"/>
        </w:rPr>
        <w:t xml:space="preserve"> d. </w:t>
      </w:r>
      <w:proofErr w:type="spellStart"/>
      <w:r w:rsidRPr="00D15CA6">
        <w:rPr>
          <w:rFonts w:ascii="Times New Roman" w:hAnsi="Times New Roman" w:cs="Times New Roman"/>
          <w:i/>
        </w:rPr>
        <w:t>gennemsigtighedsdirektivet</w:t>
      </w:r>
      <w:proofErr w:type="spellEnd"/>
      <w:r w:rsidRPr="00D15CA6">
        <w:rPr>
          <w:rFonts w:ascii="Times New Roman" w:hAnsi="Times New Roman" w:cs="Times New Roman"/>
        </w:rPr>
        <w:t xml:space="preserve">), tilskipun Evrópuþingsins og ráðsins 2004/109/EB um </w:t>
      </w:r>
      <w:proofErr w:type="spellStart"/>
      <w:r w:rsidRPr="00D15CA6">
        <w:rPr>
          <w:rFonts w:ascii="Times New Roman" w:hAnsi="Times New Roman" w:cs="Times New Roman"/>
        </w:rPr>
        <w:t>samræmingu</w:t>
      </w:r>
      <w:proofErr w:type="spellEnd"/>
      <w:r w:rsidRPr="00D15CA6">
        <w:rPr>
          <w:rFonts w:ascii="Times New Roman" w:hAnsi="Times New Roman" w:cs="Times New Roman"/>
        </w:rPr>
        <w:t xml:space="preserve"> krafna um gagnsæi í tengslum við upplýsingar um útgefendur verðbréfa sem eru skráð á skipulegan markað og um breytingu á tilskipun 2001/34/EB.</w:t>
      </w:r>
    </w:p>
  </w:footnote>
  <w:footnote w:id="8">
    <w:p w:rsidR="00D15CA6" w:rsidRPr="00D15CA6" w:rsidRDefault="00D15CA6" w:rsidP="00D15CA6">
      <w:pPr>
        <w:pStyle w:val="Fodnotetekst"/>
        <w:rPr>
          <w:rFonts w:ascii="Times New Roman" w:hAnsi="Times New Roman" w:cs="Times New Roman"/>
        </w:rPr>
      </w:pPr>
      <w:r w:rsidRPr="00D15CA6">
        <w:rPr>
          <w:rStyle w:val="Fodnotehenvisning"/>
          <w:rFonts w:ascii="Times New Roman" w:hAnsi="Times New Roman" w:cs="Times New Roman"/>
        </w:rPr>
        <w:footnoteRef/>
      </w:r>
      <w:r w:rsidRPr="00D15CA6">
        <w:rPr>
          <w:rFonts w:ascii="Times New Roman" w:hAnsi="Times New Roman" w:cs="Times New Roman"/>
        </w:rPr>
        <w:t xml:space="preserve"> Sama regla felst í 3. gr. EES-samningsins, sjá m.a. dóm EFTA-dómstólsins í máli E-3/04 frá 14. desember 2004, 30. mgr.</w:t>
      </w:r>
    </w:p>
  </w:footnote>
  <w:footnote w:id="9">
    <w:p w:rsidR="00D15CA6" w:rsidRPr="00D15CA6" w:rsidRDefault="00D15CA6" w:rsidP="00D15CA6">
      <w:pPr>
        <w:pStyle w:val="Fodnotetekst"/>
        <w:rPr>
          <w:rFonts w:ascii="Times New Roman" w:hAnsi="Times New Roman" w:cs="Times New Roman"/>
        </w:rPr>
      </w:pPr>
      <w:r w:rsidRPr="00D15CA6">
        <w:rPr>
          <w:rStyle w:val="Fodnotehenvisning"/>
          <w:rFonts w:ascii="Times New Roman" w:hAnsi="Times New Roman" w:cs="Times New Roman"/>
        </w:rPr>
        <w:footnoteRef/>
      </w:r>
      <w:r w:rsidRPr="00D15CA6">
        <w:rPr>
          <w:rFonts w:ascii="Times New Roman" w:hAnsi="Times New Roman" w:cs="Times New Roman"/>
        </w:rPr>
        <w:t xml:space="preserve"> Samanber 1. mgr. 16. gr. reglugerðar ráðsins (EB) nr. 1/2003, um framkvæmd samkeppnisreglna sem mælt er fyrir um í 81. og 82. gr. Rómarsáttmálans (samanber nú 101. og 102. gr. SUSE), sem samsvara 53. og 54. gr. EES-samningsins.</w:t>
      </w:r>
    </w:p>
  </w:footnote>
  <w:footnote w:id="10">
    <w:p w:rsidR="00D15CA6" w:rsidRPr="00D15CA6" w:rsidRDefault="00D15CA6" w:rsidP="00D15CA6">
      <w:pPr>
        <w:pStyle w:val="Fodnotetekst"/>
        <w:rPr>
          <w:rFonts w:ascii="Times New Roman" w:hAnsi="Times New Roman" w:cs="Times New Roman"/>
        </w:rPr>
      </w:pPr>
      <w:r w:rsidRPr="00D15CA6">
        <w:rPr>
          <w:rStyle w:val="Fodnotehenvisning"/>
          <w:rFonts w:ascii="Times New Roman" w:hAnsi="Times New Roman" w:cs="Times New Roman"/>
        </w:rPr>
        <w:footnoteRef/>
      </w:r>
      <w:r w:rsidRPr="00D15CA6">
        <w:rPr>
          <w:rFonts w:ascii="Times New Roman" w:hAnsi="Times New Roman" w:cs="Times New Roman"/>
        </w:rPr>
        <w:t xml:space="preserve"> Miðað er við að ríkisaðstoð þurfi að hafa haft umtalsverð áhrif á markaðshlutdeild kæranda til að svo sé, sbr. ákvörðun dómstóls Evrópusambandsins í máli C-274/12 P (</w:t>
      </w:r>
      <w:proofErr w:type="spellStart"/>
      <w:r w:rsidRPr="00D15CA6">
        <w:rPr>
          <w:rFonts w:ascii="Times New Roman" w:hAnsi="Times New Roman" w:cs="Times New Roman"/>
        </w:rPr>
        <w:t>Telefónica</w:t>
      </w:r>
      <w:proofErr w:type="spellEnd"/>
      <w:r w:rsidRPr="00D15CA6">
        <w:rPr>
          <w:rFonts w:ascii="Times New Roman" w:hAnsi="Times New Roman" w:cs="Times New Roman"/>
        </w:rPr>
        <w:t xml:space="preserve"> SA gegn framkvæmdastjórn ESB), sbr. einnig úrskurð EFTA-dómstólsins í máli E-4/15 (SFF gegn ESA)</w:t>
      </w:r>
    </w:p>
  </w:footnote>
  <w:footnote w:id="11">
    <w:p w:rsidR="00D15CA6" w:rsidRPr="00D15CA6" w:rsidRDefault="00D15CA6" w:rsidP="00D15CA6">
      <w:pPr>
        <w:pStyle w:val="Fodnotetekst"/>
        <w:rPr>
          <w:rFonts w:ascii="Times New Roman" w:hAnsi="Times New Roman" w:cs="Times New Roman"/>
        </w:rPr>
      </w:pPr>
      <w:r w:rsidRPr="00D15CA6">
        <w:rPr>
          <w:rStyle w:val="Fodnotehenvisning"/>
          <w:rFonts w:ascii="Times New Roman" w:hAnsi="Times New Roman" w:cs="Times New Roman"/>
        </w:rPr>
        <w:footnoteRef/>
      </w:r>
      <w:r w:rsidRPr="00D15CA6">
        <w:rPr>
          <w:rFonts w:ascii="Times New Roman" w:hAnsi="Times New Roman" w:cs="Times New Roman"/>
        </w:rPr>
        <w:t xml:space="preserve"> Sjá í tengslum við þetta atriði dóm EFTA-dómstólsins í máli E-2/05 (ESA gegn Íslandi) og einnig forúrskurð dómstóls Evrópusambandsins í máli C-188/92 (TWD gegn Sambandslýðveldinu Þýskalandi).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36D9"/>
    <w:multiLevelType w:val="hybridMultilevel"/>
    <w:tmpl w:val="10EEBB1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77084887"/>
    <w:multiLevelType w:val="hybridMultilevel"/>
    <w:tmpl w:val="27901CA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A6"/>
    <w:rsid w:val="00023943"/>
    <w:rsid w:val="00114479"/>
    <w:rsid w:val="002458AD"/>
    <w:rsid w:val="00285A41"/>
    <w:rsid w:val="002E1B42"/>
    <w:rsid w:val="002F20C7"/>
    <w:rsid w:val="00405C68"/>
    <w:rsid w:val="004512C9"/>
    <w:rsid w:val="004F5DA7"/>
    <w:rsid w:val="005E5461"/>
    <w:rsid w:val="0062377A"/>
    <w:rsid w:val="00627357"/>
    <w:rsid w:val="00667422"/>
    <w:rsid w:val="00782C9C"/>
    <w:rsid w:val="00880EA2"/>
    <w:rsid w:val="009048AF"/>
    <w:rsid w:val="009406A2"/>
    <w:rsid w:val="00AD099D"/>
    <w:rsid w:val="00B035D8"/>
    <w:rsid w:val="00B21ED3"/>
    <w:rsid w:val="00B31936"/>
    <w:rsid w:val="00B31C6F"/>
    <w:rsid w:val="00BB27AD"/>
    <w:rsid w:val="00D15CA6"/>
    <w:rsid w:val="00D829D5"/>
    <w:rsid w:val="00DE1175"/>
    <w:rsid w:val="00E06446"/>
    <w:rsid w:val="00E450C0"/>
    <w:rsid w:val="00ED47A1"/>
    <w:rsid w:val="00F36653"/>
    <w:rsid w:val="00F44CEF"/>
    <w:rsid w:val="00F53E3C"/>
    <w:rsid w:val="00F561AF"/>
    <w:rsid w:val="00FB036B"/>
    <w:rsid w:val="00FE3B53"/>
    <w:rsid w:val="00FF2648"/>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BB3D"/>
  <w15:chartTrackingRefBased/>
  <w15:docId w15:val="{170ECCF2-6F9F-40B2-9812-4D65282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15CA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15CA6"/>
    <w:rPr>
      <w:sz w:val="20"/>
      <w:szCs w:val="20"/>
    </w:rPr>
  </w:style>
  <w:style w:type="character" w:styleId="Fodnotehenvisning">
    <w:name w:val="footnote reference"/>
    <w:uiPriority w:val="99"/>
    <w:semiHidden/>
    <w:unhideWhenUsed/>
    <w:rsid w:val="00D15CA6"/>
    <w:rPr>
      <w:vertAlign w:val="superscript"/>
    </w:rPr>
  </w:style>
  <w:style w:type="paragraph" w:customStyle="1" w:styleId="Millifyrirsgn2">
    <w:name w:val="Millifyrirsögn 2"/>
    <w:basedOn w:val="Normal"/>
    <w:next w:val="Normal"/>
    <w:link w:val="Millifyrirsgn2Staf"/>
    <w:qFormat/>
    <w:rsid w:val="00D15CA6"/>
    <w:pPr>
      <w:spacing w:after="0" w:line="240" w:lineRule="auto"/>
      <w:jc w:val="both"/>
    </w:pPr>
    <w:rPr>
      <w:rFonts w:ascii="Times New Roman" w:eastAsia="Calibri" w:hAnsi="Times New Roman" w:cs="Times New Roman"/>
      <w:i/>
      <w:sz w:val="21"/>
    </w:rPr>
  </w:style>
  <w:style w:type="paragraph" w:customStyle="1" w:styleId="Millifyrirsgn1">
    <w:name w:val="Millifyrirsögn 1"/>
    <w:basedOn w:val="Normal"/>
    <w:next w:val="Normal"/>
    <w:qFormat/>
    <w:rsid w:val="00D15CA6"/>
    <w:pPr>
      <w:spacing w:after="0" w:line="240" w:lineRule="auto"/>
      <w:jc w:val="both"/>
    </w:pPr>
    <w:rPr>
      <w:rFonts w:ascii="Times New Roman" w:eastAsia="Calibri" w:hAnsi="Times New Roman" w:cs="Times New Roman"/>
      <w:b/>
      <w:sz w:val="21"/>
    </w:rPr>
  </w:style>
  <w:style w:type="paragraph" w:styleId="Listeafsnit">
    <w:name w:val="List Paragraph"/>
    <w:basedOn w:val="Normal"/>
    <w:uiPriority w:val="99"/>
    <w:unhideWhenUsed/>
    <w:qFormat/>
    <w:rsid w:val="00D15CA6"/>
    <w:pPr>
      <w:spacing w:after="0" w:line="240" w:lineRule="auto"/>
      <w:ind w:left="720" w:firstLine="284"/>
      <w:contextualSpacing/>
      <w:jc w:val="both"/>
    </w:pPr>
    <w:rPr>
      <w:rFonts w:ascii="Times New Roman" w:eastAsia="Calibri" w:hAnsi="Times New Roman" w:cs="Times New Roman"/>
      <w:sz w:val="21"/>
    </w:rPr>
  </w:style>
  <w:style w:type="character" w:customStyle="1" w:styleId="Millifyrirsgn2Staf">
    <w:name w:val="Millifyrirsögn 2 Staf"/>
    <w:basedOn w:val="Standardskrifttypeiafsnit"/>
    <w:link w:val="Millifyrirsgn2"/>
    <w:rsid w:val="00D15CA6"/>
    <w:rPr>
      <w:rFonts w:ascii="Times New Roman" w:eastAsia="Calibri" w:hAnsi="Times New Roman" w:cs="Times New Roman"/>
      <w:i/>
      <w:sz w:val="21"/>
    </w:rPr>
  </w:style>
  <w:style w:type="paragraph" w:styleId="Sidehoved">
    <w:name w:val="header"/>
    <w:basedOn w:val="Normal"/>
    <w:link w:val="SidehovedTegn"/>
    <w:uiPriority w:val="99"/>
    <w:unhideWhenUsed/>
    <w:rsid w:val="00880EA2"/>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880EA2"/>
  </w:style>
  <w:style w:type="paragraph" w:styleId="Sidefod">
    <w:name w:val="footer"/>
    <w:basedOn w:val="Normal"/>
    <w:link w:val="SidefodTegn"/>
    <w:uiPriority w:val="99"/>
    <w:unhideWhenUsed/>
    <w:rsid w:val="00880EA2"/>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8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22710-1331-4F56-9163-9BAE53FF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4849</Words>
  <Characters>27640</Characters>
  <Application>Microsoft Office Word</Application>
  <DocSecurity>0</DocSecurity>
  <Lines>230</Lines>
  <Paragraphs>64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Haraldur Steinþórsson</dc:creator>
  <cp:keywords/>
  <dc:description/>
  <cp:lastModifiedBy>Haraldur Steinþórsson</cp:lastModifiedBy>
  <cp:revision>12</cp:revision>
  <dcterms:created xsi:type="dcterms:W3CDTF">2018-10-15T10:41:00Z</dcterms:created>
  <dcterms:modified xsi:type="dcterms:W3CDTF">2018-11-30T17:21:00Z</dcterms:modified>
</cp:coreProperties>
</file>