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61FECE90" w:rsidR="00E71F27" w:rsidRDefault="00E71F27" w:rsidP="00E71F27">
      <w:pPr>
        <w:pStyle w:val="Nmeringsskjalsmls"/>
      </w:pPr>
      <w:bookmarkStart w:id="0" w:name="_Toc303616026"/>
      <w:bookmarkStart w:id="1" w:name="_Toc303616027"/>
      <w:r>
        <w:t>1</w:t>
      </w:r>
      <w:r w:rsidR="00301215">
        <w:t>5</w:t>
      </w:r>
      <w:r w:rsidR="00732859">
        <w:t>7</w:t>
      </w:r>
      <w:r>
        <w:t xml:space="preserve">. löggjafarþing </w:t>
      </w:r>
      <w:bookmarkEnd w:id="0"/>
      <w:r>
        <w:t>20</w:t>
      </w:r>
      <w:r w:rsidR="00301215">
        <w:t>2</w:t>
      </w:r>
      <w:r w:rsidR="002954CE">
        <w:t>5</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D9A1132" w:rsidR="00E71F27" w:rsidRPr="002675EE" w:rsidRDefault="005145F0" w:rsidP="002675EE">
      <w:pPr>
        <w:pStyle w:val="Fyrirsgn-undirfyrirsgn"/>
      </w:pPr>
      <w:r>
        <w:t>u</w:t>
      </w:r>
      <w:r w:rsidR="00E71F27" w:rsidRPr="002675EE">
        <w:t>m</w:t>
      </w:r>
      <w:r w:rsidR="00C45A0F">
        <w:t xml:space="preserve"> breytingu á skipalögum nr. 66/2021</w:t>
      </w:r>
    </w:p>
    <w:p w14:paraId="1A2DC9F1" w14:textId="77777777" w:rsidR="005D5AEE" w:rsidRPr="005D5AEE" w:rsidRDefault="005D5AEE" w:rsidP="005D5AEE"/>
    <w:p w14:paraId="69A8EA8E" w14:textId="2FF6ED9D" w:rsidR="00E71F27" w:rsidRDefault="00E71F27" w:rsidP="00E71F27">
      <w:pPr>
        <w:pStyle w:val="Frrherra"/>
      </w:pPr>
      <w:r>
        <w:t>Fr</w:t>
      </w:r>
      <w:r w:rsidR="00C45A0F">
        <w:t>á innviða</w:t>
      </w:r>
      <w:r>
        <w:t xml:space="preserve">ráðherra. </w:t>
      </w:r>
    </w:p>
    <w:p w14:paraId="103B38C8" w14:textId="77777777" w:rsidR="00E71F27" w:rsidRPr="005B08E3" w:rsidRDefault="00E71F27" w:rsidP="00E71F27"/>
    <w:p w14:paraId="4AFE1969" w14:textId="77777777" w:rsidR="00E71F27" w:rsidRDefault="00E71F27" w:rsidP="00E71F27"/>
    <w:p w14:paraId="779B7765" w14:textId="34401502" w:rsidR="0016181B" w:rsidRDefault="0016181B" w:rsidP="00943B67">
      <w:pPr>
        <w:pStyle w:val="Greinarnmer"/>
      </w:pPr>
      <w:r>
        <w:t>1. gr.</w:t>
      </w:r>
    </w:p>
    <w:p w14:paraId="1972B5BC" w14:textId="30104987" w:rsidR="0016181B" w:rsidRDefault="00B5249F" w:rsidP="0016181B">
      <w:r>
        <w:t xml:space="preserve">Eftirfarandi breyting verður á </w:t>
      </w:r>
      <w:r w:rsidR="0016181B">
        <w:t>3. gr. laganna</w:t>
      </w:r>
      <w:r>
        <w:t>:</w:t>
      </w:r>
    </w:p>
    <w:p w14:paraId="3C81EA9E" w14:textId="3232ADD8" w:rsidR="0016181B" w:rsidRDefault="00625882" w:rsidP="0016181B">
      <w:r>
        <w:t xml:space="preserve">a. Við greinina bætist ný </w:t>
      </w:r>
      <w:proofErr w:type="spellStart"/>
      <w:r w:rsidR="007723BD">
        <w:t>orðskýring</w:t>
      </w:r>
      <w:proofErr w:type="spellEnd"/>
      <w:r>
        <w:t xml:space="preserve"> í viðeigandi stafrófsröð, svohljóðandi:</w:t>
      </w:r>
      <w:r w:rsidR="00474FD4">
        <w:t xml:space="preserve"> </w:t>
      </w:r>
      <w:r w:rsidR="0016181B">
        <w:rPr>
          <w:i/>
          <w:iCs/>
        </w:rPr>
        <w:t>V</w:t>
      </w:r>
      <w:r w:rsidR="0016181B" w:rsidRPr="0016181B">
        <w:rPr>
          <w:i/>
          <w:iCs/>
        </w:rPr>
        <w:t>iðurkennd stofnun</w:t>
      </w:r>
      <w:r w:rsidR="0016181B">
        <w:t xml:space="preserve"> er </w:t>
      </w:r>
      <w:r w:rsidR="0016181B" w:rsidRPr="0016181B">
        <w:t xml:space="preserve">stofnun sem hlotið hefur viðurkenningu í samræmi við </w:t>
      </w:r>
      <w:r w:rsidR="00B72A6A">
        <w:t>r</w:t>
      </w:r>
      <w:r w:rsidR="00B72A6A" w:rsidRPr="00B72A6A">
        <w:t>eglugerð Evrópuþingsins og ráðsins (EB) nr. 391/2009 frá 23. apríl 2009 um sameiginlegar reglur og staðla fyrir stofnanir sem sjá um skipaskoðun og -eftirlit</w:t>
      </w:r>
      <w:r w:rsidR="00B72A6A">
        <w:t>.</w:t>
      </w:r>
    </w:p>
    <w:p w14:paraId="13CEF001" w14:textId="1CA9E107" w:rsidR="00625882" w:rsidRDefault="00625882" w:rsidP="00625882">
      <w:r>
        <w:t xml:space="preserve">b. </w:t>
      </w:r>
      <w:r w:rsidR="007723BD">
        <w:t>Orðskýring</w:t>
      </w:r>
      <w:r>
        <w:t xml:space="preserve"> á viðurkenndu flokkunarfélagi fellur brott. </w:t>
      </w:r>
    </w:p>
    <w:p w14:paraId="62797196" w14:textId="191259F5" w:rsidR="00625882" w:rsidRPr="00ED029C" w:rsidRDefault="00625882" w:rsidP="00625882">
      <w:pPr>
        <w:rPr>
          <w:color w:val="242424"/>
          <w:shd w:val="clear" w:color="auto" w:fill="FFFFFF"/>
        </w:rPr>
      </w:pPr>
      <w:r>
        <w:t xml:space="preserve">c. </w:t>
      </w:r>
      <w:r>
        <w:rPr>
          <w:color w:val="242424"/>
          <w:shd w:val="clear" w:color="auto" w:fill="FFFFFF"/>
        </w:rPr>
        <w:t>Í stað orðanna „viðurkennt flokkunarfélag“, og sömu orða hvarvetna í öllum beygingarföllum í lögunum, kemur, í viðeigandi beygingarfalli: viðurkennd stofnun.</w:t>
      </w:r>
    </w:p>
    <w:p w14:paraId="2F2FC5A6" w14:textId="6807770F" w:rsidR="00625882" w:rsidRDefault="00625882" w:rsidP="0016181B"/>
    <w:p w14:paraId="39703D41" w14:textId="77777777" w:rsidR="00337B28" w:rsidRPr="0016181B" w:rsidRDefault="00337B28" w:rsidP="0016181B"/>
    <w:p w14:paraId="690CD9D9" w14:textId="5055689F" w:rsidR="00C35574" w:rsidRDefault="0016181B" w:rsidP="00943B67">
      <w:pPr>
        <w:pStyle w:val="Greinarnmer"/>
      </w:pPr>
      <w:r>
        <w:t>2</w:t>
      </w:r>
      <w:r w:rsidR="00C35574">
        <w:t>. gr.</w:t>
      </w:r>
    </w:p>
    <w:p w14:paraId="181CF9EA" w14:textId="7AAD72B2" w:rsidR="00C35574" w:rsidRDefault="00E84B75" w:rsidP="00943B67">
      <w:r>
        <w:t>Við lögin bætist ný grein ásamt fyrirsögn, svohljóðandi:</w:t>
      </w:r>
    </w:p>
    <w:p w14:paraId="3ACFE267" w14:textId="7A99451A" w:rsidR="00E84B75" w:rsidRDefault="00BA5427" w:rsidP="00E84B75">
      <w:pPr>
        <w:pStyle w:val="Greinarfyrirsgn"/>
      </w:pPr>
      <w:r>
        <w:t xml:space="preserve">Valdheimildir Eftirlitsstofnunar EFTA </w:t>
      </w:r>
      <w:r w:rsidR="00602581">
        <w:t xml:space="preserve">og EFTA dómstólsins </w:t>
      </w:r>
      <w:r>
        <w:t>við framkvæmd</w:t>
      </w:r>
      <w:r w:rsidR="00E84B75">
        <w:t xml:space="preserve"> sameiginlegra reglna og staðla fyrir stofnanir sem sjá um skipaskoðun og -eftirlit samkvæmt samningnum um Evrópska efnahagssvæðið</w:t>
      </w:r>
    </w:p>
    <w:p w14:paraId="31029E07" w14:textId="216ED7E1" w:rsidR="00602581" w:rsidRDefault="00C63BA5" w:rsidP="00E84B75">
      <w:r>
        <w:t xml:space="preserve">Eftirlitsstofnun EFTA er heimilt að leggja sekt </w:t>
      </w:r>
      <w:r w:rsidR="00602581">
        <w:t xml:space="preserve">eða févíti </w:t>
      </w:r>
      <w:r>
        <w:t>á viðurkennda stofn</w:t>
      </w:r>
      <w:r w:rsidR="00602581">
        <w:t>un</w:t>
      </w:r>
      <w:r>
        <w:t xml:space="preserve"> </w:t>
      </w:r>
      <w:r w:rsidR="000456B6">
        <w:t xml:space="preserve">sem </w:t>
      </w:r>
      <w:r w:rsidR="00ED029C">
        <w:t>hefur verið viðurkennd á grundvelli beiðni frá EFTA-ríki</w:t>
      </w:r>
      <w:r w:rsidR="000456B6">
        <w:t xml:space="preserve"> </w:t>
      </w:r>
      <w:r>
        <w:t xml:space="preserve">í samræmi við </w:t>
      </w:r>
      <w:r w:rsidR="00C17AE8">
        <w:t>r</w:t>
      </w:r>
      <w:r w:rsidR="00C17AE8" w:rsidRPr="00C17AE8">
        <w:t xml:space="preserve">eglugerð </w:t>
      </w:r>
      <w:r w:rsidR="00C363A4">
        <w:t xml:space="preserve">sem ráðherra setur. </w:t>
      </w:r>
    </w:p>
    <w:p w14:paraId="7AE74C13" w14:textId="02B7190F" w:rsidR="00434F76" w:rsidRDefault="00602581" w:rsidP="00E84B75">
      <w:r>
        <w:t>EFTA dómstól</w:t>
      </w:r>
      <w:r w:rsidR="00A9048F">
        <w:t>l</w:t>
      </w:r>
      <w:r>
        <w:t>inn skal hafa lögsögu til að endurskoða ákvarðanir Eftirlitsstofnunar E</w:t>
      </w:r>
      <w:r w:rsidR="001E5630">
        <w:t>FTA</w:t>
      </w:r>
      <w:r>
        <w:t xml:space="preserve"> um sektir eða févíti skv. 1. mgr.</w:t>
      </w:r>
    </w:p>
    <w:p w14:paraId="3650F1F2" w14:textId="77777777" w:rsidR="00ED029C" w:rsidRDefault="00ED029C" w:rsidP="00ED029C">
      <w:r>
        <w:t xml:space="preserve">Ráðherra skal setja reglugerð um framkvæmd sameiginlegra reglna og staðla fyrir stofnanir sem sjá um skipaskoðun og -eftirlit og frekari skilyrði ákvarðana Eftirlitsstofnunar EFTA. </w:t>
      </w:r>
    </w:p>
    <w:p w14:paraId="03363826" w14:textId="77777777" w:rsidR="00B72A6A" w:rsidRDefault="00B72A6A" w:rsidP="00ED029C"/>
    <w:p w14:paraId="58B8478B" w14:textId="77777777" w:rsidR="00B72A6A" w:rsidRDefault="00B72A6A" w:rsidP="00B72A6A">
      <w:pPr>
        <w:pStyle w:val="Greinarnmer"/>
      </w:pPr>
      <w:r>
        <w:t xml:space="preserve">3. gr. </w:t>
      </w:r>
    </w:p>
    <w:p w14:paraId="309D7358" w14:textId="474ACACE" w:rsidR="00B72A6A" w:rsidRDefault="00B72A6A" w:rsidP="00B72A6A">
      <w:r>
        <w:t>Lög þessi eru sett til innleiðingar á r</w:t>
      </w:r>
      <w:r w:rsidRPr="00B72A6A">
        <w:t>eglugerð Evrópuþingsins og ráðsins (EB) nr. 391/2009 frá 23. apríl 2009 um sameiginlegar reglur og staðla fyrir stofnanir sem sjá um skipaskoðun og -eftirlit</w:t>
      </w:r>
      <w:r>
        <w:t xml:space="preserve">, sem birt er í EES-viðbæti við Stjórnartíðindi Evrópusambandsins nr. 11 frá 1. febrúar 2024, bls. 410-422, eins og hún var tekin upp í EES-samninginn með ákvörðun sameiginlegu EES-nefndarinnar nr. 326/2023 frá 8. desember 2023. </w:t>
      </w:r>
    </w:p>
    <w:p w14:paraId="7F64CA78" w14:textId="77777777" w:rsidR="00B72A6A" w:rsidRDefault="00B72A6A" w:rsidP="00ED029C"/>
    <w:p w14:paraId="4713CF2C" w14:textId="77777777" w:rsidR="005F19B0" w:rsidRDefault="005F19B0" w:rsidP="00ED029C">
      <w:pPr>
        <w:ind w:firstLine="0"/>
      </w:pPr>
    </w:p>
    <w:p w14:paraId="3EA9EA67" w14:textId="0032AA65" w:rsidR="00337B28" w:rsidRDefault="00B72A6A" w:rsidP="00337B28">
      <w:pPr>
        <w:pStyle w:val="Greinarnmer"/>
      </w:pPr>
      <w:r>
        <w:t>4</w:t>
      </w:r>
      <w:r w:rsidR="00337B28">
        <w:t xml:space="preserve">. gr. </w:t>
      </w:r>
    </w:p>
    <w:p w14:paraId="2AAC3B6F" w14:textId="134F25A3" w:rsidR="00C35574" w:rsidRDefault="00625882" w:rsidP="00943B67">
      <w:r>
        <w:t>Lög þessi öðlast þegar gildi.</w:t>
      </w:r>
    </w:p>
    <w:p w14:paraId="30E6B64A" w14:textId="77777777" w:rsidR="00625882" w:rsidRDefault="00625882"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0C71593F" w14:textId="76BAB7F7" w:rsidR="0020433C" w:rsidRPr="007370D9" w:rsidRDefault="00E71F27" w:rsidP="001E5630">
      <w:pPr>
        <w:pStyle w:val="Millifyrirsgn1"/>
      </w:pPr>
      <w:r>
        <w:t>1</w:t>
      </w:r>
      <w:r w:rsidR="00D0740D">
        <w:t xml:space="preserve">. Inngangur. </w:t>
      </w:r>
    </w:p>
    <w:p w14:paraId="793F0CC3" w14:textId="79F6D18E" w:rsidR="001E5630" w:rsidRDefault="001E5630" w:rsidP="0020433C">
      <w:r w:rsidRPr="001E5630">
        <w:t xml:space="preserve">Með frumvarpi um breytingu á skipalögum nr. 66/2021 er ætlunin að tryggja lagastoð fyrir innleiðingu </w:t>
      </w:r>
      <w:r w:rsidR="00486CB3">
        <w:t>r</w:t>
      </w:r>
      <w:r w:rsidR="00486CB3" w:rsidRPr="00486CB3">
        <w:t>eglugerð</w:t>
      </w:r>
      <w:r w:rsidR="00486CB3">
        <w:t>ar</w:t>
      </w:r>
      <w:r w:rsidR="00486CB3" w:rsidRPr="00486CB3">
        <w:t xml:space="preserve"> Evrópuþingsins og ráðsins (EB) nr. 391/2009 frá 23. apríl 2009 um sameiginlegar reglur og staðla fyrir stofnanir sem sjá um skipaskoðun og -eftirlit</w:t>
      </w:r>
      <w:r w:rsidR="00486CB3">
        <w:t>.</w:t>
      </w:r>
    </w:p>
    <w:p w14:paraId="4F27AF95" w14:textId="77E689F8" w:rsidR="001E5630" w:rsidRDefault="001E5630" w:rsidP="001E5630">
      <w:r>
        <w:t xml:space="preserve">Reglugerð Evrópuþingsins og ráðsins (EB) nr. 391/2009 frá 23. apríl 2009 um sameiginlegar reglur og staðla fyrir stofnanir sem sjá um skipaskoðun og -eftirlit er hluti af endurútgáfu </w:t>
      </w:r>
      <w:r w:rsidR="00315681">
        <w:t>t</w:t>
      </w:r>
      <w:r w:rsidR="00315681" w:rsidRPr="00315681">
        <w:t>ilskipu</w:t>
      </w:r>
      <w:r w:rsidR="00315681">
        <w:t>nar</w:t>
      </w:r>
      <w:r w:rsidR="00315681" w:rsidRPr="00315681">
        <w:t xml:space="preserve"> ráðsins 94/57/EB frá 22. nóvember 1994 um sameiginlegar reglur og staðla fyrir stofnanir sem sjá um skipaeftirlit og -skoðun og fyrir tilheyrandi starfsemi siglingamálayfirvalda</w:t>
      </w:r>
      <w:r>
        <w:t xml:space="preserve">. Sú tilskipun er innleidd hér á landi með reglugerð nr. 142/2004 um viðurkenningu flokkunarfélaga og um reglur og staðla fyrir stofnanir sem sjá um skipaeftirlit og -skoðun. Þar sem eldri tilskipun hefur verið breytt í veigamiklum atriðum var ákveðið að endurútgefa </w:t>
      </w:r>
      <w:r w:rsidR="00A9048F">
        <w:t>Evrópugerðina</w:t>
      </w:r>
      <w:r>
        <w:t xml:space="preserve"> til að skýra og styrkja ýmis efnisatriði. </w:t>
      </w:r>
    </w:p>
    <w:p w14:paraId="4087D25A" w14:textId="77777777" w:rsidR="001E5630" w:rsidRDefault="001E5630" w:rsidP="001E5630">
      <w:r>
        <w:t xml:space="preserve">Helstu nýmæli reglugerðar (EB) nr. 391/2009 eru breytingar á valdi framkvæmdastjórnar ESB, eða Eftirlitsstofnunar EFTA (ESA) í tilviki EFTA-ríkjanna, til að leggja á sektir og févíti ef viðurkenndar stofnanir (stofnanir sem sjá um skipaskoðun og -eftirlit og hafa verið viðurkenndar til þeirra starfa) uppfylla ekki þau skilyrði sem kveðið er á um í reglugerðinni. </w:t>
      </w:r>
    </w:p>
    <w:p w14:paraId="359D9DC3" w14:textId="77777777" w:rsidR="001E5630" w:rsidRDefault="001E5630" w:rsidP="001E5630">
      <w:r>
        <w:t xml:space="preserve">Farið hefur verið eftir reglum um þinglega meðferð EES-mála þar sem um er að ræða ESB-gerð sem varðar stjórnskipuleg álitamál og háð er samþykki Alþingis. Forsætisráðuneytið, innviðaráðuneytið og utanríkisráðuneytið lögðu fyrir utanríkismálanefnd Alþingis álitsgerð um reglur um eftirlit með skipum, með tilliti til stjórnarskrár Íslands árið 2016. Þá fengu reglugerðin og álitsgerð ráðuneytanna þriggja efnislega umfjöllun í umhverfis- og samgöngunefnd og stjórnskipunar- og eftirlitsnefnd. </w:t>
      </w:r>
    </w:p>
    <w:p w14:paraId="2F0C767F" w14:textId="02EA4B7D" w:rsidR="00956676" w:rsidRDefault="001E5630" w:rsidP="001E5630">
      <w:r>
        <w:t>Í áliti meiri hluta stjórnskipunar- og eftirlitsnefndar Alþingis frá 23. febrúar 2017 kemur fram að talið er að framsalið sem um ræðir sé á afmörkuðu og vel skilgreindu sviði og ekki mjög íþyngjandi fyrir íslenska ríkið eða þegna þess. Þá taldi meiri hlutinn það vera til bóta að leggja á févíti og sektir áður en til afturköllunar kemur og til þess fallið að tryggja meiri sanngirni. Meiri hluti nefndarinnar tók undir sjónarmið í álitsgerð ráðuneytanna og gerði ekki athugasemdir við upptöku gerðarinnar í EES-samninginn. Umhverfis- og -samgöngunefnd gaf einnig út álit um upptöku gerðarinnar í EES-samninginn 25. maí 2016.  Það álit tekur á efnisreglum gerðarinnar og taldi nefndin að hagsmunir innlendra skipafyrirtækja sem reglurnar taka til felist í því að efnisreglur gerðarinnar verði teknar upp í landsrétt.</w:t>
      </w:r>
    </w:p>
    <w:p w14:paraId="715EABD3" w14:textId="77777777" w:rsidR="001E5630" w:rsidRDefault="001E5630" w:rsidP="001E5630"/>
    <w:p w14:paraId="1D19EC54" w14:textId="0AB62F8F" w:rsidR="00FB6100" w:rsidRPr="007370D9" w:rsidRDefault="00E71F27" w:rsidP="0020433C">
      <w:pPr>
        <w:pStyle w:val="Millifyrirsgn1"/>
      </w:pPr>
      <w:r>
        <w:t>2</w:t>
      </w:r>
      <w:r w:rsidR="00D0740D">
        <w:t xml:space="preserve">. Tilefni og nauðsyn lagasetningar. </w:t>
      </w:r>
    </w:p>
    <w:p w14:paraId="0FD764B0" w14:textId="5AE7E568" w:rsidR="00D0740D" w:rsidRDefault="001E5630" w:rsidP="00D0740D">
      <w:r>
        <w:t xml:space="preserve">Breyting á lögum er nauðsynleg til að innleiðing reglugerðar (EB) nr. 391/2009 í íslenskan rétt verði möguleg. Lagastoð fyrir því framsali valdheimilda til Eftirlitsstofnunar EFTA og EFTA dómstólsins að stofnunin geti lagt sektir og févíti á viðurkenndar stofnanir og dómstóllinn hafi lögsögu í þeim málum er ekki fyrir hendi í núverandi lögum.  </w:t>
      </w:r>
    </w:p>
    <w:p w14:paraId="0F4270B3" w14:textId="77777777" w:rsidR="001E5630" w:rsidRDefault="001E5630" w:rsidP="001E5630">
      <w:pPr>
        <w:ind w:firstLine="0"/>
      </w:pPr>
    </w:p>
    <w:p w14:paraId="553E7221" w14:textId="77777777" w:rsidR="00D0740D" w:rsidRDefault="00E71F27" w:rsidP="00D0740D">
      <w:pPr>
        <w:pStyle w:val="Millifyrirsgn1"/>
      </w:pPr>
      <w:r>
        <w:t>3</w:t>
      </w:r>
      <w:r w:rsidR="00D0740D">
        <w:t xml:space="preserve">. Meginefni frumvarpsins. </w:t>
      </w:r>
    </w:p>
    <w:p w14:paraId="3B506EBA" w14:textId="522FEB90" w:rsidR="00152C29" w:rsidRDefault="00152C29" w:rsidP="00D0740D">
      <w:r>
        <w:t xml:space="preserve">Frumvarpið er þrjár greinar, auk gildistökuákvæðis. Lagt er til að 3. gr. laganna verði breytt á þann veg að í stað </w:t>
      </w:r>
      <w:proofErr w:type="spellStart"/>
      <w:r>
        <w:t>orðskýringar</w:t>
      </w:r>
      <w:proofErr w:type="spellEnd"/>
      <w:r>
        <w:t xml:space="preserve"> á </w:t>
      </w:r>
      <w:r w:rsidR="006F0FE4">
        <w:t xml:space="preserve">viðurkenndu </w:t>
      </w:r>
      <w:r>
        <w:t xml:space="preserve">flokkunarfélagi komi </w:t>
      </w:r>
      <w:proofErr w:type="spellStart"/>
      <w:r>
        <w:t>orðskýring</w:t>
      </w:r>
      <w:proofErr w:type="spellEnd"/>
      <w:r>
        <w:t xml:space="preserve"> á viðurkenndri stofnun. Er það í samræmi við núverandi orðfæri í Evrópugerðum og í samningum Alþjóðasiglingamálastofnunarinnar. </w:t>
      </w:r>
      <w:r w:rsidR="005E3D4B">
        <w:t xml:space="preserve">Einnig er lagt til að í stað orðanna viðurkennt flokkunarfélag hvarvetna í lögunum komi viðurkennd stofnun. </w:t>
      </w:r>
    </w:p>
    <w:p w14:paraId="57A12B0E" w14:textId="2547D52D" w:rsidR="00152C29" w:rsidRDefault="00152C29" w:rsidP="00D0740D">
      <w:r>
        <w:lastRenderedPageBreak/>
        <w:t xml:space="preserve">Þá er lagt til að við lögin bætist ný grein sem kveður á um valdheimildir Eftirlitsstofnunar EFTA (ESA) og EFTA-dómstólsins. Samkvæmt greininni skal ESA hafa heimild til þess að leggja sektir og févíti á viðurkennda stofnun sem hefur verið viðurkennd á grundvelli beiðni </w:t>
      </w:r>
      <w:r w:rsidR="005E3D4B">
        <w:t xml:space="preserve">um viðurkenningu </w:t>
      </w:r>
      <w:r>
        <w:t>frá EFTA-ríki</w:t>
      </w:r>
      <w:r w:rsidR="005E3D4B">
        <w:t xml:space="preserve">. </w:t>
      </w:r>
    </w:p>
    <w:p w14:paraId="2F79E0BB" w14:textId="136CCA4F" w:rsidR="00152C29" w:rsidRDefault="00152C29" w:rsidP="00D0740D">
      <w:r>
        <w:t xml:space="preserve">Markmið með lagasetningunni er að innleiða með fullnægjandi hætti þau ákvæði reglugerðar (EB) nr. 391/2009 sem kalla á lagabreytingu. Ekki verður gengið lengra við innleiðingu en þörf krefur. Framsalið er mjög afmarkað og nær aðeins til viðurkenndra stofnana samkvæmt Evrópugerðinni og aðeins þeirra sem hafa verið viðurkenndar í framhaldi af beiðni EFTA-ríkis. Engar slíkar stofnanir eru til í dag og ólíklegt er að slíkar stofnanir verði til. </w:t>
      </w:r>
    </w:p>
    <w:p w14:paraId="366169B8" w14:textId="6CBA0755" w:rsidR="005E3D4B" w:rsidRDefault="005E3D4B" w:rsidP="005E3D4B">
      <w:r>
        <w:t>Í sama tilgangi var gerð sambærileg breyting á lögum í norskum rétti. Við lög um öryggi skipa þar í landi, nr. 9/2007, (</w:t>
      </w:r>
      <w:proofErr w:type="spellStart"/>
      <w:r w:rsidRPr="005E3D4B">
        <w:rPr>
          <w:i/>
          <w:iCs/>
        </w:rPr>
        <w:t>lov</w:t>
      </w:r>
      <w:proofErr w:type="spellEnd"/>
      <w:r w:rsidRPr="005E3D4B">
        <w:rPr>
          <w:i/>
          <w:iCs/>
        </w:rPr>
        <w:t xml:space="preserve"> </w:t>
      </w:r>
      <w:proofErr w:type="spellStart"/>
      <w:r w:rsidRPr="005E3D4B">
        <w:rPr>
          <w:i/>
          <w:iCs/>
        </w:rPr>
        <w:t>om</w:t>
      </w:r>
      <w:proofErr w:type="spellEnd"/>
      <w:r w:rsidRPr="005E3D4B">
        <w:rPr>
          <w:i/>
          <w:iCs/>
        </w:rPr>
        <w:t xml:space="preserve"> </w:t>
      </w:r>
      <w:proofErr w:type="spellStart"/>
      <w:r w:rsidRPr="005E3D4B">
        <w:rPr>
          <w:i/>
          <w:iCs/>
        </w:rPr>
        <w:t>skipssikkerhet</w:t>
      </w:r>
      <w:proofErr w:type="spellEnd"/>
      <w:r>
        <w:t xml:space="preserve">) var bætt við svohljóðandi ákvæði: </w:t>
      </w:r>
    </w:p>
    <w:p w14:paraId="3CE0FF9D" w14:textId="6CE8B47F" w:rsidR="005E3D4B" w:rsidRDefault="005E3D4B" w:rsidP="005E3D4B">
      <w:r>
        <w:t>„</w:t>
      </w:r>
      <w:r w:rsidRPr="005E3D4B">
        <w:rPr>
          <w:i/>
          <w:iCs/>
        </w:rPr>
        <w:t xml:space="preserve">41 </w:t>
      </w:r>
      <w:proofErr w:type="spellStart"/>
      <w:r w:rsidRPr="005E3D4B">
        <w:rPr>
          <w:i/>
          <w:iCs/>
        </w:rPr>
        <w:t>a.Myndighet</w:t>
      </w:r>
      <w:proofErr w:type="spellEnd"/>
      <w:r w:rsidRPr="005E3D4B">
        <w:rPr>
          <w:i/>
          <w:iCs/>
        </w:rPr>
        <w:t xml:space="preserve"> lagt til </w:t>
      </w:r>
      <w:proofErr w:type="spellStart"/>
      <w:r w:rsidRPr="005E3D4B">
        <w:rPr>
          <w:i/>
          <w:iCs/>
        </w:rPr>
        <w:t>EFTAs</w:t>
      </w:r>
      <w:proofErr w:type="spellEnd"/>
      <w:r w:rsidRPr="005E3D4B">
        <w:rPr>
          <w:i/>
          <w:iCs/>
        </w:rPr>
        <w:t xml:space="preserve"> </w:t>
      </w:r>
      <w:proofErr w:type="spellStart"/>
      <w:r w:rsidRPr="005E3D4B">
        <w:rPr>
          <w:i/>
          <w:iCs/>
        </w:rPr>
        <w:t>overvåkningsorgan</w:t>
      </w:r>
      <w:proofErr w:type="spellEnd"/>
      <w:r w:rsidRPr="005E3D4B">
        <w:rPr>
          <w:i/>
          <w:iCs/>
        </w:rPr>
        <w:t xml:space="preserve"> og EFTA-</w:t>
      </w:r>
      <w:proofErr w:type="spellStart"/>
      <w:r w:rsidRPr="005E3D4B">
        <w:rPr>
          <w:i/>
          <w:iCs/>
        </w:rPr>
        <w:t>domstolen</w:t>
      </w:r>
      <w:proofErr w:type="spellEnd"/>
    </w:p>
    <w:p w14:paraId="074B7D28" w14:textId="52217BCE" w:rsidR="005E3D4B" w:rsidRPr="005E3D4B" w:rsidRDefault="005E3D4B" w:rsidP="005E3D4B">
      <w:pPr>
        <w:rPr>
          <w:i/>
          <w:iCs/>
        </w:rPr>
      </w:pPr>
      <w:proofErr w:type="spellStart"/>
      <w:r w:rsidRPr="005E3D4B">
        <w:rPr>
          <w:i/>
          <w:iCs/>
        </w:rPr>
        <w:t>EFTAs</w:t>
      </w:r>
      <w:proofErr w:type="spellEnd"/>
      <w:r w:rsidRPr="005E3D4B">
        <w:rPr>
          <w:i/>
          <w:iCs/>
        </w:rPr>
        <w:t xml:space="preserve"> </w:t>
      </w:r>
      <w:proofErr w:type="spellStart"/>
      <w:r w:rsidRPr="005E3D4B">
        <w:rPr>
          <w:i/>
          <w:iCs/>
        </w:rPr>
        <w:t>overvåkningsorgan</w:t>
      </w:r>
      <w:proofErr w:type="spellEnd"/>
      <w:r w:rsidRPr="005E3D4B">
        <w:rPr>
          <w:i/>
          <w:iCs/>
        </w:rPr>
        <w:t xml:space="preserve"> og EFTA-</w:t>
      </w:r>
      <w:proofErr w:type="spellStart"/>
      <w:r w:rsidRPr="005E3D4B">
        <w:rPr>
          <w:i/>
          <w:iCs/>
        </w:rPr>
        <w:t>domstolen</w:t>
      </w:r>
      <w:proofErr w:type="spellEnd"/>
      <w:r w:rsidRPr="005E3D4B">
        <w:rPr>
          <w:i/>
          <w:iCs/>
        </w:rPr>
        <w:t xml:space="preserve"> kan </w:t>
      </w:r>
      <w:proofErr w:type="spellStart"/>
      <w:r w:rsidRPr="005E3D4B">
        <w:rPr>
          <w:i/>
          <w:iCs/>
        </w:rPr>
        <w:t>ilegge</w:t>
      </w:r>
      <w:proofErr w:type="spellEnd"/>
      <w:r w:rsidRPr="005E3D4B">
        <w:rPr>
          <w:i/>
          <w:iCs/>
        </w:rPr>
        <w:t xml:space="preserve"> </w:t>
      </w:r>
      <w:proofErr w:type="spellStart"/>
      <w:r w:rsidRPr="005E3D4B">
        <w:rPr>
          <w:i/>
          <w:iCs/>
        </w:rPr>
        <w:t>foretak</w:t>
      </w:r>
      <w:proofErr w:type="spellEnd"/>
      <w:r w:rsidRPr="005E3D4B">
        <w:rPr>
          <w:i/>
          <w:iCs/>
        </w:rPr>
        <w:t xml:space="preserve"> </w:t>
      </w:r>
      <w:proofErr w:type="spellStart"/>
      <w:r w:rsidRPr="005E3D4B">
        <w:rPr>
          <w:i/>
          <w:iCs/>
        </w:rPr>
        <w:t>eller</w:t>
      </w:r>
      <w:proofErr w:type="spellEnd"/>
      <w:r w:rsidRPr="005E3D4B">
        <w:rPr>
          <w:i/>
          <w:iCs/>
        </w:rPr>
        <w:t xml:space="preserve"> </w:t>
      </w:r>
      <w:proofErr w:type="spellStart"/>
      <w:r w:rsidRPr="005E3D4B">
        <w:rPr>
          <w:i/>
          <w:iCs/>
        </w:rPr>
        <w:t>sammenslutninger</w:t>
      </w:r>
      <w:proofErr w:type="spellEnd"/>
      <w:r w:rsidRPr="005E3D4B">
        <w:rPr>
          <w:i/>
          <w:iCs/>
        </w:rPr>
        <w:t xml:space="preserve"> </w:t>
      </w:r>
      <w:proofErr w:type="spellStart"/>
      <w:r w:rsidRPr="005E3D4B">
        <w:rPr>
          <w:i/>
          <w:iCs/>
        </w:rPr>
        <w:t>av</w:t>
      </w:r>
      <w:proofErr w:type="spellEnd"/>
      <w:r w:rsidRPr="005E3D4B">
        <w:rPr>
          <w:i/>
          <w:iCs/>
        </w:rPr>
        <w:t xml:space="preserve"> </w:t>
      </w:r>
      <w:proofErr w:type="spellStart"/>
      <w:r w:rsidRPr="005E3D4B">
        <w:rPr>
          <w:i/>
          <w:iCs/>
        </w:rPr>
        <w:t>foretak</w:t>
      </w:r>
      <w:proofErr w:type="spellEnd"/>
      <w:r w:rsidRPr="005E3D4B">
        <w:rPr>
          <w:i/>
          <w:iCs/>
        </w:rPr>
        <w:t xml:space="preserve"> </w:t>
      </w:r>
      <w:proofErr w:type="spellStart"/>
      <w:r w:rsidRPr="005E3D4B">
        <w:rPr>
          <w:i/>
          <w:iCs/>
        </w:rPr>
        <w:t>økonomiske</w:t>
      </w:r>
      <w:proofErr w:type="spellEnd"/>
      <w:r w:rsidRPr="005E3D4B">
        <w:rPr>
          <w:i/>
          <w:iCs/>
        </w:rPr>
        <w:t xml:space="preserve"> </w:t>
      </w:r>
      <w:proofErr w:type="spellStart"/>
      <w:r w:rsidRPr="005E3D4B">
        <w:rPr>
          <w:i/>
          <w:iCs/>
        </w:rPr>
        <w:t>reaksjoner</w:t>
      </w:r>
      <w:proofErr w:type="spellEnd"/>
      <w:r w:rsidRPr="005E3D4B">
        <w:rPr>
          <w:i/>
          <w:iCs/>
        </w:rPr>
        <w:t xml:space="preserve"> som </w:t>
      </w:r>
      <w:proofErr w:type="spellStart"/>
      <w:r w:rsidRPr="005E3D4B">
        <w:rPr>
          <w:i/>
          <w:iCs/>
        </w:rPr>
        <w:t>nevnt</w:t>
      </w:r>
      <w:proofErr w:type="spellEnd"/>
      <w:r w:rsidRPr="005E3D4B">
        <w:rPr>
          <w:i/>
          <w:iCs/>
        </w:rPr>
        <w:t xml:space="preserve"> i </w:t>
      </w:r>
      <w:proofErr w:type="spellStart"/>
      <w:r w:rsidRPr="005E3D4B">
        <w:rPr>
          <w:i/>
          <w:iCs/>
        </w:rPr>
        <w:t>artikkel</w:t>
      </w:r>
      <w:proofErr w:type="spellEnd"/>
      <w:r w:rsidRPr="005E3D4B">
        <w:rPr>
          <w:i/>
          <w:iCs/>
        </w:rPr>
        <w:t xml:space="preserve"> 6 i </w:t>
      </w:r>
      <w:proofErr w:type="spellStart"/>
      <w:r w:rsidRPr="005E3D4B">
        <w:rPr>
          <w:i/>
          <w:iCs/>
        </w:rPr>
        <w:t>forordning</w:t>
      </w:r>
      <w:proofErr w:type="spellEnd"/>
      <w:r w:rsidRPr="005E3D4B">
        <w:rPr>
          <w:i/>
          <w:iCs/>
        </w:rPr>
        <w:t xml:space="preserve"> (EF) nr. 391/2009 </w:t>
      </w:r>
      <w:proofErr w:type="spellStart"/>
      <w:r w:rsidRPr="005E3D4B">
        <w:rPr>
          <w:i/>
          <w:iCs/>
        </w:rPr>
        <w:t>av</w:t>
      </w:r>
      <w:proofErr w:type="spellEnd"/>
      <w:r w:rsidRPr="005E3D4B">
        <w:rPr>
          <w:i/>
          <w:iCs/>
        </w:rPr>
        <w:t xml:space="preserve"> 23. </w:t>
      </w:r>
      <w:proofErr w:type="spellStart"/>
      <w:r w:rsidRPr="005E3D4B">
        <w:rPr>
          <w:i/>
          <w:iCs/>
        </w:rPr>
        <w:t>april</w:t>
      </w:r>
      <w:proofErr w:type="spellEnd"/>
      <w:r w:rsidRPr="005E3D4B">
        <w:rPr>
          <w:i/>
          <w:iCs/>
        </w:rPr>
        <w:t xml:space="preserve"> 2009 </w:t>
      </w:r>
      <w:proofErr w:type="spellStart"/>
      <w:r w:rsidRPr="005E3D4B">
        <w:rPr>
          <w:i/>
          <w:iCs/>
        </w:rPr>
        <w:t>om</w:t>
      </w:r>
      <w:proofErr w:type="spellEnd"/>
      <w:r w:rsidRPr="005E3D4B">
        <w:rPr>
          <w:i/>
          <w:iCs/>
        </w:rPr>
        <w:t xml:space="preserve"> felles </w:t>
      </w:r>
      <w:proofErr w:type="spellStart"/>
      <w:r w:rsidRPr="005E3D4B">
        <w:rPr>
          <w:i/>
          <w:iCs/>
        </w:rPr>
        <w:t>regler</w:t>
      </w:r>
      <w:proofErr w:type="spellEnd"/>
      <w:r w:rsidRPr="005E3D4B">
        <w:rPr>
          <w:i/>
          <w:iCs/>
        </w:rPr>
        <w:t xml:space="preserve"> og standarder for </w:t>
      </w:r>
      <w:proofErr w:type="spellStart"/>
      <w:r w:rsidRPr="005E3D4B">
        <w:rPr>
          <w:i/>
          <w:iCs/>
        </w:rPr>
        <w:t>klasseselskap</w:t>
      </w:r>
      <w:proofErr w:type="spellEnd"/>
      <w:r w:rsidRPr="005E3D4B">
        <w:rPr>
          <w:i/>
          <w:iCs/>
        </w:rPr>
        <w:t xml:space="preserve"> og </w:t>
      </w:r>
      <w:proofErr w:type="spellStart"/>
      <w:r w:rsidRPr="005E3D4B">
        <w:rPr>
          <w:i/>
          <w:iCs/>
        </w:rPr>
        <w:t>inspeksjon</w:t>
      </w:r>
      <w:proofErr w:type="spellEnd"/>
      <w:r w:rsidRPr="005E3D4B">
        <w:rPr>
          <w:i/>
          <w:iCs/>
        </w:rPr>
        <w:t xml:space="preserve"> </w:t>
      </w:r>
      <w:proofErr w:type="spellStart"/>
      <w:r w:rsidRPr="005E3D4B">
        <w:rPr>
          <w:i/>
          <w:iCs/>
        </w:rPr>
        <w:t>av</w:t>
      </w:r>
      <w:proofErr w:type="spellEnd"/>
      <w:r w:rsidRPr="005E3D4B">
        <w:rPr>
          <w:i/>
          <w:iCs/>
        </w:rPr>
        <w:t xml:space="preserve"> skip, </w:t>
      </w:r>
      <w:proofErr w:type="spellStart"/>
      <w:r w:rsidRPr="005E3D4B">
        <w:rPr>
          <w:i/>
          <w:iCs/>
        </w:rPr>
        <w:t>slik</w:t>
      </w:r>
      <w:proofErr w:type="spellEnd"/>
      <w:r w:rsidRPr="005E3D4B">
        <w:rPr>
          <w:i/>
          <w:iCs/>
        </w:rPr>
        <w:t xml:space="preserve"> </w:t>
      </w:r>
      <w:proofErr w:type="spellStart"/>
      <w:r w:rsidRPr="005E3D4B">
        <w:rPr>
          <w:i/>
          <w:iCs/>
        </w:rPr>
        <w:t>denne</w:t>
      </w:r>
      <w:proofErr w:type="spellEnd"/>
      <w:r w:rsidRPr="005E3D4B">
        <w:rPr>
          <w:i/>
          <w:iCs/>
        </w:rPr>
        <w:t xml:space="preserve"> er </w:t>
      </w:r>
      <w:proofErr w:type="spellStart"/>
      <w:r w:rsidRPr="005E3D4B">
        <w:rPr>
          <w:i/>
          <w:iCs/>
        </w:rPr>
        <w:t>tatt</w:t>
      </w:r>
      <w:proofErr w:type="spellEnd"/>
      <w:r w:rsidRPr="005E3D4B">
        <w:rPr>
          <w:i/>
          <w:iCs/>
        </w:rPr>
        <w:t xml:space="preserve"> inn i EØS-</w:t>
      </w:r>
      <w:proofErr w:type="spellStart"/>
      <w:r w:rsidRPr="005E3D4B">
        <w:rPr>
          <w:i/>
          <w:iCs/>
        </w:rPr>
        <w:t>avtalen</w:t>
      </w:r>
      <w:proofErr w:type="spellEnd"/>
      <w:r w:rsidRPr="005E3D4B">
        <w:rPr>
          <w:i/>
          <w:iCs/>
        </w:rPr>
        <w:t xml:space="preserve"> </w:t>
      </w:r>
      <w:proofErr w:type="spellStart"/>
      <w:r w:rsidRPr="005E3D4B">
        <w:rPr>
          <w:i/>
          <w:iCs/>
        </w:rPr>
        <w:t>vedlegg</w:t>
      </w:r>
      <w:proofErr w:type="spellEnd"/>
      <w:r w:rsidRPr="005E3D4B">
        <w:rPr>
          <w:i/>
          <w:iCs/>
        </w:rPr>
        <w:t xml:space="preserve"> XIII, </w:t>
      </w:r>
      <w:proofErr w:type="spellStart"/>
      <w:r w:rsidRPr="005E3D4B">
        <w:rPr>
          <w:i/>
          <w:iCs/>
        </w:rPr>
        <w:t>kapittel</w:t>
      </w:r>
      <w:proofErr w:type="spellEnd"/>
      <w:r w:rsidRPr="005E3D4B">
        <w:rPr>
          <w:i/>
          <w:iCs/>
        </w:rPr>
        <w:t xml:space="preserve"> V, </w:t>
      </w:r>
      <w:proofErr w:type="spellStart"/>
      <w:r w:rsidRPr="005E3D4B">
        <w:rPr>
          <w:i/>
          <w:iCs/>
        </w:rPr>
        <w:t>pkt</w:t>
      </w:r>
      <w:proofErr w:type="spellEnd"/>
      <w:r w:rsidRPr="005E3D4B">
        <w:rPr>
          <w:i/>
          <w:iCs/>
        </w:rPr>
        <w:t>. 55e.</w:t>
      </w:r>
    </w:p>
    <w:p w14:paraId="4D2EDDAA" w14:textId="2ED750D0" w:rsidR="00D0740D" w:rsidRPr="005E3D4B" w:rsidRDefault="005E3D4B" w:rsidP="005E3D4B">
      <w:proofErr w:type="spellStart"/>
      <w:r w:rsidRPr="005E3D4B">
        <w:rPr>
          <w:i/>
          <w:iCs/>
        </w:rPr>
        <w:t>Departementet</w:t>
      </w:r>
      <w:proofErr w:type="spellEnd"/>
      <w:r w:rsidRPr="005E3D4B">
        <w:rPr>
          <w:i/>
          <w:iCs/>
        </w:rPr>
        <w:t xml:space="preserve"> kan </w:t>
      </w:r>
      <w:proofErr w:type="spellStart"/>
      <w:r w:rsidRPr="005E3D4B">
        <w:rPr>
          <w:i/>
          <w:iCs/>
        </w:rPr>
        <w:t>gi</w:t>
      </w:r>
      <w:proofErr w:type="spellEnd"/>
      <w:r w:rsidRPr="005E3D4B">
        <w:rPr>
          <w:i/>
          <w:iCs/>
        </w:rPr>
        <w:t xml:space="preserve"> forskrift </w:t>
      </w:r>
      <w:proofErr w:type="spellStart"/>
      <w:r w:rsidRPr="005E3D4B">
        <w:rPr>
          <w:i/>
          <w:iCs/>
        </w:rPr>
        <w:t>om</w:t>
      </w:r>
      <w:proofErr w:type="spellEnd"/>
      <w:r w:rsidRPr="005E3D4B">
        <w:rPr>
          <w:i/>
          <w:iCs/>
        </w:rPr>
        <w:t xml:space="preserve"> </w:t>
      </w:r>
      <w:proofErr w:type="spellStart"/>
      <w:r w:rsidRPr="005E3D4B">
        <w:rPr>
          <w:i/>
          <w:iCs/>
        </w:rPr>
        <w:t>gjennomføring</w:t>
      </w:r>
      <w:proofErr w:type="spellEnd"/>
      <w:r w:rsidRPr="005E3D4B">
        <w:rPr>
          <w:i/>
          <w:iCs/>
        </w:rPr>
        <w:t xml:space="preserve"> </w:t>
      </w:r>
      <w:proofErr w:type="spellStart"/>
      <w:r w:rsidRPr="005E3D4B">
        <w:rPr>
          <w:i/>
          <w:iCs/>
        </w:rPr>
        <w:t>av</w:t>
      </w:r>
      <w:proofErr w:type="spellEnd"/>
      <w:r w:rsidRPr="005E3D4B">
        <w:rPr>
          <w:i/>
          <w:iCs/>
        </w:rPr>
        <w:t xml:space="preserve"> </w:t>
      </w:r>
      <w:proofErr w:type="spellStart"/>
      <w:r w:rsidRPr="005E3D4B">
        <w:rPr>
          <w:i/>
          <w:iCs/>
        </w:rPr>
        <w:t>bestemmelser</w:t>
      </w:r>
      <w:proofErr w:type="spellEnd"/>
      <w:r w:rsidRPr="005E3D4B">
        <w:rPr>
          <w:i/>
          <w:iCs/>
        </w:rPr>
        <w:t xml:space="preserve"> som </w:t>
      </w:r>
      <w:proofErr w:type="spellStart"/>
      <w:r w:rsidRPr="005E3D4B">
        <w:rPr>
          <w:i/>
          <w:iCs/>
        </w:rPr>
        <w:t>utfyller</w:t>
      </w:r>
      <w:proofErr w:type="spellEnd"/>
      <w:r w:rsidRPr="005E3D4B">
        <w:rPr>
          <w:i/>
          <w:iCs/>
        </w:rPr>
        <w:t xml:space="preserve"> </w:t>
      </w:r>
      <w:proofErr w:type="spellStart"/>
      <w:r w:rsidRPr="005E3D4B">
        <w:rPr>
          <w:i/>
          <w:iCs/>
        </w:rPr>
        <w:t>bestemmelsen</w:t>
      </w:r>
      <w:proofErr w:type="spellEnd"/>
      <w:r w:rsidRPr="005E3D4B">
        <w:rPr>
          <w:i/>
          <w:iCs/>
        </w:rPr>
        <w:t xml:space="preserve"> </w:t>
      </w:r>
      <w:proofErr w:type="spellStart"/>
      <w:r w:rsidRPr="005E3D4B">
        <w:rPr>
          <w:i/>
          <w:iCs/>
        </w:rPr>
        <w:t>nevnt</w:t>
      </w:r>
      <w:proofErr w:type="spellEnd"/>
      <w:r w:rsidRPr="005E3D4B">
        <w:rPr>
          <w:i/>
          <w:iCs/>
        </w:rPr>
        <w:t xml:space="preserve"> i </w:t>
      </w:r>
      <w:proofErr w:type="spellStart"/>
      <w:r w:rsidRPr="005E3D4B">
        <w:rPr>
          <w:i/>
          <w:iCs/>
        </w:rPr>
        <w:t>første</w:t>
      </w:r>
      <w:proofErr w:type="spellEnd"/>
      <w:r w:rsidRPr="005E3D4B">
        <w:rPr>
          <w:i/>
          <w:iCs/>
        </w:rPr>
        <w:t xml:space="preserve"> </w:t>
      </w:r>
      <w:proofErr w:type="spellStart"/>
      <w:r w:rsidRPr="005E3D4B">
        <w:rPr>
          <w:i/>
          <w:iCs/>
        </w:rPr>
        <w:t>ledd</w:t>
      </w:r>
      <w:proofErr w:type="spellEnd"/>
      <w:r w:rsidRPr="005E3D4B">
        <w:rPr>
          <w:i/>
          <w:iCs/>
        </w:rPr>
        <w:t>.</w:t>
      </w:r>
      <w:r>
        <w:rPr>
          <w:i/>
          <w:iCs/>
        </w:rPr>
        <w:t>“</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1E83A980" w14:textId="4A720944" w:rsidR="00C128B2" w:rsidRDefault="00C128B2" w:rsidP="00F8678E">
      <w:r>
        <w:rPr>
          <w:color w:val="242424"/>
          <w:shd w:val="clear" w:color="auto" w:fill="FFFFFF"/>
        </w:rPr>
        <w:t> Íslenska ríkið er að þjóðarétti skuldbundið til að innleiða Evrópugerðina sem hér um ræðir og er frumvarpið samið með það fyrir augum að tryggja fullnægjandi stoð í lögum til innleiðingar á henni.</w:t>
      </w:r>
    </w:p>
    <w:p w14:paraId="259A97B0" w14:textId="2549EDCF" w:rsidR="00D0740D" w:rsidRDefault="00871BE0" w:rsidP="00F8678E">
      <w:r>
        <w:t xml:space="preserve">Farið hefur fram sérstök umfjöllun um samræmi </w:t>
      </w:r>
      <w:r w:rsidR="00C128B2">
        <w:t xml:space="preserve">efnis frumvarpsins </w:t>
      </w:r>
      <w:r>
        <w:t>við stjórnarskrá</w:t>
      </w:r>
      <w:r w:rsidR="00C128B2">
        <w:t xml:space="preserve">. </w:t>
      </w:r>
      <w:r>
        <w:t xml:space="preserve">Unnin var álitsgerð þriggja ráðuneyta, forsætisráðuneytis, utanríkisráðuneytis og innviðaráðuneytis. Innleiðing Evrópugerðarinnar var borin undir utanríkismálanefnd skv. 5. gr. reglna um þinglega meðferð EES-máls. Í framhaldinu var hún borin undir stjórnskipunar- og eftirlitsnefnd þar sem hún var talin varða stjórnskipuleg álitamál og einnig undir umhverfis- og samgöngunefnd þar sem málaflokkurinn heyrir undir hana. </w:t>
      </w:r>
    </w:p>
    <w:p w14:paraId="5F3F99FA" w14:textId="79883E99" w:rsidR="00C128B2" w:rsidRDefault="00C128B2" w:rsidP="00C128B2">
      <w:r>
        <w:t xml:space="preserve">Almennt hefur Eftirlitsstofnun EFTA ekki heimildir til að leggja á </w:t>
      </w:r>
      <w:r w:rsidR="00B23B58">
        <w:t>sektir</w:t>
      </w:r>
      <w:r>
        <w:t xml:space="preserve"> eða beita innlenda aðila </w:t>
      </w:r>
      <w:r w:rsidR="00B23B58">
        <w:t>févíti</w:t>
      </w:r>
      <w:r>
        <w:t xml:space="preserve"> en fyrir því eru þó ákveðin fordæmi, svo sem 250. gr. laga um loftferðir, nr. 80/2022, sem byggist á eldri heimild í 136. gr. a laga um loftferðir, nr. 60/1998, en er þó víðtækari. Með 250. gr. gildandi loftferðalaga var Eftirlitsstofnun EFTA falin heimild til að leggja sektir </w:t>
      </w:r>
      <w:r w:rsidR="006F0FE4">
        <w:t xml:space="preserve">og févíti </w:t>
      </w:r>
      <w:r>
        <w:t>á einstaklinga eða lögaðila þegar brot er talið af ásetningi eða gáleysi.</w:t>
      </w:r>
    </w:p>
    <w:p w14:paraId="2602F0E7" w14:textId="77777777" w:rsidR="00C128B2" w:rsidRDefault="00C128B2" w:rsidP="00C128B2">
      <w:r>
        <w:t xml:space="preserve">    Þegar Eftirlitsstofnun EFTA var veitt heimild í nýjum loftferðalögum til að leggja á sektir vegna brota á lögunum og reglugerðum settum samkvæmt þeim var meðal annars horft til álitsgerðar Stefáns Más Stefánssonar lagaprófessors um hvort ákvæði sem heimiluðu stofnuninni að leggja sektir á innlenda aðila stæðust ákvæði stjórnarskrár. Í álitsgerðinni segir meðal annars: „Er eðlilegt að líta svo á að ákveðið svigrúm sé fyrir hendi til að túlka viðkomandi stjórnarskrárákvæði þannig að ekki þrengi um of að möguleikum Íslands sem fullvalda þjóðréttaraðila til að tryggja hagsmuni sína sem best í samstarfi og samningum við aðrar þjóðir jafnvel þó að stofn þeirra sé gamall.“ Í minnisblaði sem unnið var af nefndasviði og aðallögfræðingi Alþingis af sama tilefni kom einnig fram að vart yrði séð að með sektarákvæðinu yrði gengið lengra en þegar hefði verið gert í samkeppnismálum samkvæmt samningnum um Evrópska efnahagssvæðið.</w:t>
      </w:r>
    </w:p>
    <w:p w14:paraId="59E082AB" w14:textId="00FD70A1" w:rsidR="00C128B2" w:rsidRDefault="00C128B2" w:rsidP="00C128B2">
      <w:r>
        <w:t xml:space="preserve">    Færa má rök fyrir því að sambærileg sjónarmið og hér hafa verið reifuð gildi um framsal valds til að leggja </w:t>
      </w:r>
      <w:r w:rsidR="007558D2">
        <w:t>sektir og févíti á viðurkenndar stofnanir skv. reglugerð (EB) nr. 391/2009.</w:t>
      </w:r>
      <w:r>
        <w:t xml:space="preserve"> Engin</w:t>
      </w:r>
      <w:r w:rsidR="007558D2">
        <w:t xml:space="preserve"> slík stofnun</w:t>
      </w:r>
      <w:r>
        <w:t xml:space="preserve"> í skilningi reglugerðarinnar er starfandi á Íslandi og er ekki fyrirséð að heimildin komi í framkvæmd til með að hafa bein áhrif á aðra innlenda </w:t>
      </w:r>
      <w:r w:rsidR="007558D2">
        <w:t>aðila</w:t>
      </w:r>
      <w:r>
        <w:t>. Við það má bæta að um er að ræða vel afmarkað framsal á afmörkuðu sviði sem eins og áður segir er ekki gert ráð fyrir að verði íslenskum aðilum íþyngjandi. Þá er auk þess gert ráð fyrir því að Eftirlitsstofnun EFTA fari með samsvarandi heimild gagnvart EFTA-ríkjunum og framkvæmdastjórn Evrópusambandsins fer með gagnvart aðildarríkjum sambandsins og tveggja stoða kerfi samningsins um Evrópska efnahagssvæðið þannig virt.</w:t>
      </w:r>
    </w:p>
    <w:p w14:paraId="5425D363" w14:textId="26EF3C0D" w:rsidR="00C128B2" w:rsidRDefault="00C128B2" w:rsidP="00C128B2">
      <w:r>
        <w:t xml:space="preserve">    Með vísan til framangreinds má telja að lögfesting umræddra heimilda Eftirlitsstofnunar EFTA til að leggja </w:t>
      </w:r>
      <w:r w:rsidR="00F26D8D">
        <w:t xml:space="preserve">sektir og févíti á viðurkenndar stofnanir </w:t>
      </w:r>
      <w:r w:rsidR="003B2D9B">
        <w:t xml:space="preserve">og heimild EFTA-dómstólsins til endurskoðunar þess </w:t>
      </w:r>
      <w:r>
        <w:t>brjóti ekki í bága við stjórnskipunarreglur Íslands.</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1606A9FE" w14:textId="140CD09E" w:rsidR="00833C03" w:rsidRDefault="001E5630" w:rsidP="00152C29">
      <w:r>
        <w:t>Áform um lagasetningu voru kynnt í Samráðsgátt stjórnvald á vefnum Ísland.is frá 26.08.2025</w:t>
      </w:r>
      <w:r w:rsidR="00152C29">
        <w:t xml:space="preserve">-10.09.2025 (mál nr. S-152/2025). Engar umsagnir bárust.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09F3CDB4" w14:textId="3CE8BEA1" w:rsidR="001F69F8" w:rsidRDefault="00542FE8" w:rsidP="00D0740D">
      <w:r>
        <w:t xml:space="preserve">Samþykkt frumvarpsins mun fyrst og fremst hafa þau áhrif að lagastoð fyrir innleiðingu </w:t>
      </w:r>
      <w:r w:rsidR="003B2D9B">
        <w:t>r</w:t>
      </w:r>
      <w:r w:rsidR="003B2D9B" w:rsidRPr="003B2D9B">
        <w:t>eglugerð</w:t>
      </w:r>
      <w:r w:rsidR="003B2D9B">
        <w:t>ar</w:t>
      </w:r>
      <w:r w:rsidR="003B2D9B" w:rsidRPr="003B2D9B">
        <w:t xml:space="preserve"> Evrópuþingsins og ráðsins (EB) nr. 391/2009 frá 23. apríl 2009 um sameiginlegar reglur og staðla fyrir stofnanir sem sjá um skipaskoðun og -eftirlit</w:t>
      </w:r>
      <w:r w:rsidR="003B2D9B">
        <w:t xml:space="preserve"> verður tryggð.</w:t>
      </w:r>
    </w:p>
    <w:p w14:paraId="69271C6C" w14:textId="160C4DA5" w:rsidR="001F69F8" w:rsidRDefault="001F69F8" w:rsidP="001F69F8">
      <w:r>
        <w:t xml:space="preserve">Ekki er gert ráð fyrir að samþykkt frumvarpsins hafi kostnaðarauka fyrir ríkissjóð </w:t>
      </w:r>
      <w:r w:rsidR="008B4187">
        <w:t xml:space="preserve">eða hagaðila </w:t>
      </w:r>
      <w:r>
        <w:t xml:space="preserve">í för með sér. </w:t>
      </w:r>
    </w:p>
    <w:p w14:paraId="72CB60F6" w14:textId="77777777" w:rsidR="00D0740D" w:rsidRDefault="00D0740D" w:rsidP="008B4187">
      <w:pPr>
        <w:ind w:firstLine="0"/>
      </w:pPr>
    </w:p>
    <w:p w14:paraId="234DFCC7" w14:textId="11E318DA" w:rsidR="00C45A0F" w:rsidRPr="00012035" w:rsidRDefault="00C45A0F" w:rsidP="00C45A0F"/>
    <w:sectPr w:rsidR="00C45A0F" w:rsidRPr="00012035" w:rsidSect="00947F0E">
      <w:headerReference w:type="even" r:id="rId8"/>
      <w:headerReference w:type="default" r:id="rId9"/>
      <w:footerReference w:type="even" r:id="rId10"/>
      <w:footerReference w:type="default" r:id="rId11"/>
      <w:headerReference w:type="first" r:id="rId12"/>
      <w:foot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3DFF0" w14:textId="77777777" w:rsidR="006C6CC6" w:rsidRDefault="006C6CC6" w:rsidP="006258D7">
      <w:r>
        <w:separator/>
      </w:r>
    </w:p>
    <w:p w14:paraId="6382BA2D" w14:textId="77777777" w:rsidR="006C6CC6" w:rsidRDefault="006C6CC6"/>
  </w:endnote>
  <w:endnote w:type="continuationSeparator" w:id="0">
    <w:p w14:paraId="456A7D17" w14:textId="77777777" w:rsidR="006C6CC6" w:rsidRDefault="006C6CC6" w:rsidP="006258D7">
      <w:r>
        <w:continuationSeparator/>
      </w:r>
    </w:p>
    <w:p w14:paraId="214DC1C9" w14:textId="77777777" w:rsidR="006C6CC6" w:rsidRDefault="006C6C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CC1E" w14:textId="77777777" w:rsidR="00BD6F45" w:rsidRDefault="00BD6F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A996" w14:textId="77777777" w:rsidR="00BD6F45" w:rsidRDefault="00BD6F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CF00" w14:textId="77777777" w:rsidR="00BD6F45" w:rsidRDefault="00BD6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45DD7" w14:textId="77777777" w:rsidR="006C6CC6" w:rsidRDefault="006C6CC6" w:rsidP="005B4CD6">
      <w:pPr>
        <w:ind w:firstLine="0"/>
      </w:pPr>
      <w:r>
        <w:separator/>
      </w:r>
    </w:p>
    <w:p w14:paraId="3870C3DE" w14:textId="77777777" w:rsidR="006C6CC6" w:rsidRDefault="006C6CC6"/>
  </w:footnote>
  <w:footnote w:type="continuationSeparator" w:id="0">
    <w:p w14:paraId="5FEBB88E" w14:textId="77777777" w:rsidR="006C6CC6" w:rsidRDefault="006C6CC6" w:rsidP="006258D7">
      <w:r>
        <w:continuationSeparator/>
      </w:r>
    </w:p>
    <w:p w14:paraId="711413DF" w14:textId="77777777" w:rsidR="006C6CC6" w:rsidRDefault="006C6C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2794" w14:textId="320B41FF" w:rsidR="00BD6F45" w:rsidRDefault="00484782">
    <w:pPr>
      <w:pStyle w:val="Header"/>
    </w:pPr>
    <w:r>
      <w:rPr>
        <w:noProof/>
      </w:rPr>
      <w:pict w14:anchorId="0B6B6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577641" o:spid="_x0000_s1026"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1EAE3105" w:rsidR="00655EE3" w:rsidRDefault="00484782" w:rsidP="006258D7">
    <w:pPr>
      <w:pStyle w:val="Header"/>
      <w:tabs>
        <w:tab w:val="clear" w:pos="4536"/>
        <w:tab w:val="clear" w:pos="9072"/>
        <w:tab w:val="center" w:pos="3969"/>
        <w:tab w:val="right" w:pos="7797"/>
      </w:tabs>
    </w:pPr>
    <w:r>
      <w:rPr>
        <w:noProof/>
      </w:rPr>
      <w:pict w14:anchorId="4C02E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577642" o:spid="_x0000_s1027"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A9048F">
      <w:rPr>
        <w:b/>
        <w:i/>
        <w:noProof/>
        <w:color w:val="7F7F7F"/>
        <w:sz w:val="24"/>
        <w:szCs w:val="24"/>
      </w:rPr>
      <w:t>23. október 2025</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2D8F50C3" w:rsidR="00655EE3" w:rsidRDefault="00484782" w:rsidP="00655EE3">
    <w:pPr>
      <w:pStyle w:val="Header"/>
      <w:tabs>
        <w:tab w:val="clear" w:pos="4536"/>
        <w:tab w:val="clear" w:pos="9072"/>
        <w:tab w:val="center" w:pos="3969"/>
        <w:tab w:val="right" w:pos="7797"/>
      </w:tabs>
    </w:pPr>
    <w:r>
      <w:rPr>
        <w:noProof/>
      </w:rPr>
      <w:pict w14:anchorId="5053C9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577640" o:spid="_x0000_s1025"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A9048F">
      <w:rPr>
        <w:b/>
        <w:i/>
        <w:noProof/>
        <w:color w:val="7F7F7F"/>
        <w:sz w:val="24"/>
        <w:szCs w:val="24"/>
      </w:rPr>
      <w:t>23. október 2025</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837303555">
    <w:abstractNumId w:val="14"/>
  </w:num>
  <w:num w:numId="2" w16cid:durableId="813909793">
    <w:abstractNumId w:val="11"/>
  </w:num>
  <w:num w:numId="3" w16cid:durableId="529413362">
    <w:abstractNumId w:val="13"/>
  </w:num>
  <w:num w:numId="4" w16cid:durableId="1702129802">
    <w:abstractNumId w:val="3"/>
  </w:num>
  <w:num w:numId="5" w16cid:durableId="2063939713">
    <w:abstractNumId w:val="9"/>
  </w:num>
  <w:num w:numId="6" w16cid:durableId="1869173417">
    <w:abstractNumId w:val="12"/>
  </w:num>
  <w:num w:numId="7" w16cid:durableId="270236759">
    <w:abstractNumId w:val="4"/>
  </w:num>
  <w:num w:numId="8" w16cid:durableId="528497100">
    <w:abstractNumId w:val="2"/>
  </w:num>
  <w:num w:numId="9" w16cid:durableId="1383410280">
    <w:abstractNumId w:val="7"/>
  </w:num>
  <w:num w:numId="10" w16cid:durableId="1501702646">
    <w:abstractNumId w:val="5"/>
  </w:num>
  <w:num w:numId="11" w16cid:durableId="1580673996">
    <w:abstractNumId w:val="6"/>
  </w:num>
  <w:num w:numId="12" w16cid:durableId="599341913">
    <w:abstractNumId w:val="10"/>
  </w:num>
  <w:num w:numId="13" w16cid:durableId="1056590667">
    <w:abstractNumId w:val="1"/>
  </w:num>
  <w:num w:numId="14" w16cid:durableId="2097088220">
    <w:abstractNumId w:val="0"/>
  </w:num>
  <w:num w:numId="15" w16cid:durableId="6536853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28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62DA"/>
    <w:rsid w:val="000300CD"/>
    <w:rsid w:val="00030C42"/>
    <w:rsid w:val="00031B69"/>
    <w:rsid w:val="00036FAB"/>
    <w:rsid w:val="000456B6"/>
    <w:rsid w:val="00055B22"/>
    <w:rsid w:val="000635B3"/>
    <w:rsid w:val="000A7096"/>
    <w:rsid w:val="000A76FE"/>
    <w:rsid w:val="000A7848"/>
    <w:rsid w:val="000B7C9F"/>
    <w:rsid w:val="000D40D8"/>
    <w:rsid w:val="000E16E7"/>
    <w:rsid w:val="000F2FFA"/>
    <w:rsid w:val="000F46B1"/>
    <w:rsid w:val="00117680"/>
    <w:rsid w:val="001222CE"/>
    <w:rsid w:val="00122EE4"/>
    <w:rsid w:val="00132E7E"/>
    <w:rsid w:val="001371CD"/>
    <w:rsid w:val="00137C82"/>
    <w:rsid w:val="00152134"/>
    <w:rsid w:val="00152C29"/>
    <w:rsid w:val="0015772E"/>
    <w:rsid w:val="0016181B"/>
    <w:rsid w:val="00181038"/>
    <w:rsid w:val="001C2672"/>
    <w:rsid w:val="001E5630"/>
    <w:rsid w:val="001F5A18"/>
    <w:rsid w:val="001F69F8"/>
    <w:rsid w:val="0020433C"/>
    <w:rsid w:val="0022006D"/>
    <w:rsid w:val="002224E3"/>
    <w:rsid w:val="0023310A"/>
    <w:rsid w:val="002600CD"/>
    <w:rsid w:val="00260FE0"/>
    <w:rsid w:val="002675EE"/>
    <w:rsid w:val="00270A34"/>
    <w:rsid w:val="0029101E"/>
    <w:rsid w:val="00293FEE"/>
    <w:rsid w:val="002954CE"/>
    <w:rsid w:val="002B1D84"/>
    <w:rsid w:val="002B3385"/>
    <w:rsid w:val="002C30F3"/>
    <w:rsid w:val="002D034E"/>
    <w:rsid w:val="002D0E12"/>
    <w:rsid w:val="002D340A"/>
    <w:rsid w:val="002E7193"/>
    <w:rsid w:val="002F3AFA"/>
    <w:rsid w:val="00301215"/>
    <w:rsid w:val="00313B24"/>
    <w:rsid w:val="00315681"/>
    <w:rsid w:val="003205AC"/>
    <w:rsid w:val="00322F35"/>
    <w:rsid w:val="0032704C"/>
    <w:rsid w:val="00335852"/>
    <w:rsid w:val="00335BDA"/>
    <w:rsid w:val="00337B28"/>
    <w:rsid w:val="003602D2"/>
    <w:rsid w:val="003605BC"/>
    <w:rsid w:val="00367210"/>
    <w:rsid w:val="00381ECF"/>
    <w:rsid w:val="003917F4"/>
    <w:rsid w:val="003A0A09"/>
    <w:rsid w:val="003B2D9B"/>
    <w:rsid w:val="003B68AB"/>
    <w:rsid w:val="003B7AF5"/>
    <w:rsid w:val="003D26E9"/>
    <w:rsid w:val="003D464E"/>
    <w:rsid w:val="003F5B37"/>
    <w:rsid w:val="0040692E"/>
    <w:rsid w:val="00434F76"/>
    <w:rsid w:val="00436458"/>
    <w:rsid w:val="0044714F"/>
    <w:rsid w:val="00474FD4"/>
    <w:rsid w:val="00484782"/>
    <w:rsid w:val="00486509"/>
    <w:rsid w:val="00486CB3"/>
    <w:rsid w:val="004935DC"/>
    <w:rsid w:val="0049606B"/>
    <w:rsid w:val="004B088E"/>
    <w:rsid w:val="004B1530"/>
    <w:rsid w:val="004B3D9B"/>
    <w:rsid w:val="004B6907"/>
    <w:rsid w:val="004C4D11"/>
    <w:rsid w:val="004C568E"/>
    <w:rsid w:val="004D5979"/>
    <w:rsid w:val="004F37F2"/>
    <w:rsid w:val="0050458D"/>
    <w:rsid w:val="00507601"/>
    <w:rsid w:val="0051337B"/>
    <w:rsid w:val="005145F0"/>
    <w:rsid w:val="005303CF"/>
    <w:rsid w:val="005375B7"/>
    <w:rsid w:val="00540322"/>
    <w:rsid w:val="00542FE8"/>
    <w:rsid w:val="00564348"/>
    <w:rsid w:val="0057228A"/>
    <w:rsid w:val="00592BD6"/>
    <w:rsid w:val="005B3DCD"/>
    <w:rsid w:val="005B4CD6"/>
    <w:rsid w:val="005D30CE"/>
    <w:rsid w:val="005D41F6"/>
    <w:rsid w:val="005D5AEE"/>
    <w:rsid w:val="005D7863"/>
    <w:rsid w:val="005E3D4B"/>
    <w:rsid w:val="005F19B0"/>
    <w:rsid w:val="00602581"/>
    <w:rsid w:val="006147E8"/>
    <w:rsid w:val="00625882"/>
    <w:rsid w:val="006258D7"/>
    <w:rsid w:val="00645793"/>
    <w:rsid w:val="006514F9"/>
    <w:rsid w:val="00652C9A"/>
    <w:rsid w:val="006531A1"/>
    <w:rsid w:val="00655AEA"/>
    <w:rsid w:val="00655EE3"/>
    <w:rsid w:val="0066420A"/>
    <w:rsid w:val="00664CC5"/>
    <w:rsid w:val="00684633"/>
    <w:rsid w:val="00693175"/>
    <w:rsid w:val="00694627"/>
    <w:rsid w:val="006A2B62"/>
    <w:rsid w:val="006A31DF"/>
    <w:rsid w:val="006B6B37"/>
    <w:rsid w:val="006C6CC6"/>
    <w:rsid w:val="006E3F50"/>
    <w:rsid w:val="006F069F"/>
    <w:rsid w:val="006F0FE4"/>
    <w:rsid w:val="006F4043"/>
    <w:rsid w:val="006F4D1E"/>
    <w:rsid w:val="006F74FF"/>
    <w:rsid w:val="0070552B"/>
    <w:rsid w:val="00706572"/>
    <w:rsid w:val="00707D37"/>
    <w:rsid w:val="007112B3"/>
    <w:rsid w:val="00717106"/>
    <w:rsid w:val="007176DC"/>
    <w:rsid w:val="00732859"/>
    <w:rsid w:val="007370D9"/>
    <w:rsid w:val="007555E3"/>
    <w:rsid w:val="007558D2"/>
    <w:rsid w:val="00756691"/>
    <w:rsid w:val="00763FBC"/>
    <w:rsid w:val="007723BD"/>
    <w:rsid w:val="007928FB"/>
    <w:rsid w:val="007A08F8"/>
    <w:rsid w:val="007C4E4C"/>
    <w:rsid w:val="007C75A6"/>
    <w:rsid w:val="007D4338"/>
    <w:rsid w:val="007F3B99"/>
    <w:rsid w:val="00803FAF"/>
    <w:rsid w:val="00817C0D"/>
    <w:rsid w:val="00833C03"/>
    <w:rsid w:val="00852033"/>
    <w:rsid w:val="00852FF3"/>
    <w:rsid w:val="0085649B"/>
    <w:rsid w:val="0085674C"/>
    <w:rsid w:val="008577B7"/>
    <w:rsid w:val="008655BA"/>
    <w:rsid w:val="00871BE0"/>
    <w:rsid w:val="00882D45"/>
    <w:rsid w:val="00895423"/>
    <w:rsid w:val="008A54A4"/>
    <w:rsid w:val="008B4187"/>
    <w:rsid w:val="008D0068"/>
    <w:rsid w:val="008E67C1"/>
    <w:rsid w:val="00921A4D"/>
    <w:rsid w:val="00941140"/>
    <w:rsid w:val="00943B67"/>
    <w:rsid w:val="00947F0E"/>
    <w:rsid w:val="00956676"/>
    <w:rsid w:val="009635D7"/>
    <w:rsid w:val="00971B80"/>
    <w:rsid w:val="00984BEF"/>
    <w:rsid w:val="009902B3"/>
    <w:rsid w:val="009926BA"/>
    <w:rsid w:val="00995085"/>
    <w:rsid w:val="0099581A"/>
    <w:rsid w:val="009D7D86"/>
    <w:rsid w:val="009E0B26"/>
    <w:rsid w:val="009F18FF"/>
    <w:rsid w:val="00A10AE9"/>
    <w:rsid w:val="00A141B9"/>
    <w:rsid w:val="00A2280D"/>
    <w:rsid w:val="00A24367"/>
    <w:rsid w:val="00A366EA"/>
    <w:rsid w:val="00A425DE"/>
    <w:rsid w:val="00A47471"/>
    <w:rsid w:val="00A651CC"/>
    <w:rsid w:val="00A74357"/>
    <w:rsid w:val="00A84C9D"/>
    <w:rsid w:val="00A90212"/>
    <w:rsid w:val="00A9048F"/>
    <w:rsid w:val="00AB4DB6"/>
    <w:rsid w:val="00AC2435"/>
    <w:rsid w:val="00AC7C2A"/>
    <w:rsid w:val="00AD0879"/>
    <w:rsid w:val="00AF581E"/>
    <w:rsid w:val="00AF70F3"/>
    <w:rsid w:val="00B00296"/>
    <w:rsid w:val="00B01EAB"/>
    <w:rsid w:val="00B203DC"/>
    <w:rsid w:val="00B20E81"/>
    <w:rsid w:val="00B2346F"/>
    <w:rsid w:val="00B23B58"/>
    <w:rsid w:val="00B5249F"/>
    <w:rsid w:val="00B56947"/>
    <w:rsid w:val="00B72A6A"/>
    <w:rsid w:val="00B93B76"/>
    <w:rsid w:val="00BA2E91"/>
    <w:rsid w:val="00BA5427"/>
    <w:rsid w:val="00BC31E7"/>
    <w:rsid w:val="00BC3809"/>
    <w:rsid w:val="00BD6F45"/>
    <w:rsid w:val="00BE38CA"/>
    <w:rsid w:val="00BF2C1E"/>
    <w:rsid w:val="00BF3D23"/>
    <w:rsid w:val="00BF42DE"/>
    <w:rsid w:val="00C07782"/>
    <w:rsid w:val="00C128B2"/>
    <w:rsid w:val="00C13387"/>
    <w:rsid w:val="00C17AE8"/>
    <w:rsid w:val="00C32A1E"/>
    <w:rsid w:val="00C32B42"/>
    <w:rsid w:val="00C33A3F"/>
    <w:rsid w:val="00C34A72"/>
    <w:rsid w:val="00C350BA"/>
    <w:rsid w:val="00C35574"/>
    <w:rsid w:val="00C36086"/>
    <w:rsid w:val="00C363A4"/>
    <w:rsid w:val="00C433FF"/>
    <w:rsid w:val="00C45A0F"/>
    <w:rsid w:val="00C5393B"/>
    <w:rsid w:val="00C63BA5"/>
    <w:rsid w:val="00C710B1"/>
    <w:rsid w:val="00C73FE3"/>
    <w:rsid w:val="00C85DDA"/>
    <w:rsid w:val="00CA31D0"/>
    <w:rsid w:val="00CA4F06"/>
    <w:rsid w:val="00CC4302"/>
    <w:rsid w:val="00CC7ED2"/>
    <w:rsid w:val="00CD359B"/>
    <w:rsid w:val="00CD54BE"/>
    <w:rsid w:val="00CF52C4"/>
    <w:rsid w:val="00D0740D"/>
    <w:rsid w:val="00D205B5"/>
    <w:rsid w:val="00D25E73"/>
    <w:rsid w:val="00D30781"/>
    <w:rsid w:val="00D337AE"/>
    <w:rsid w:val="00D35006"/>
    <w:rsid w:val="00D45F78"/>
    <w:rsid w:val="00D512A4"/>
    <w:rsid w:val="00D5679C"/>
    <w:rsid w:val="00D92F51"/>
    <w:rsid w:val="00DA0E37"/>
    <w:rsid w:val="00DC0BD0"/>
    <w:rsid w:val="00DD0264"/>
    <w:rsid w:val="00DD303D"/>
    <w:rsid w:val="00DE3AFD"/>
    <w:rsid w:val="00DE41CB"/>
    <w:rsid w:val="00E11B67"/>
    <w:rsid w:val="00E255CC"/>
    <w:rsid w:val="00E40E72"/>
    <w:rsid w:val="00E45CB1"/>
    <w:rsid w:val="00E61D77"/>
    <w:rsid w:val="00E71F27"/>
    <w:rsid w:val="00E7395A"/>
    <w:rsid w:val="00E84B75"/>
    <w:rsid w:val="00E92E2D"/>
    <w:rsid w:val="00EA3363"/>
    <w:rsid w:val="00EA4BBC"/>
    <w:rsid w:val="00EB08F0"/>
    <w:rsid w:val="00EB12F6"/>
    <w:rsid w:val="00EB3C39"/>
    <w:rsid w:val="00EB5F2B"/>
    <w:rsid w:val="00ED029C"/>
    <w:rsid w:val="00ED0D07"/>
    <w:rsid w:val="00ED1890"/>
    <w:rsid w:val="00EF776B"/>
    <w:rsid w:val="00F0592E"/>
    <w:rsid w:val="00F20E3E"/>
    <w:rsid w:val="00F26D8D"/>
    <w:rsid w:val="00F54C9A"/>
    <w:rsid w:val="00F65DF3"/>
    <w:rsid w:val="00F72EF3"/>
    <w:rsid w:val="00F8678E"/>
    <w:rsid w:val="00FB6100"/>
    <w:rsid w:val="00FE1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 w:id="209355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CB017-3417-4D91-97EF-107CC314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4</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Katrín Pálsdóttir</cp:lastModifiedBy>
  <cp:revision>19</cp:revision>
  <dcterms:created xsi:type="dcterms:W3CDTF">2025-07-16T10:49:00Z</dcterms:created>
  <dcterms:modified xsi:type="dcterms:W3CDTF">2025-10-23T13:24:00Z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ies>
</file>