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06C54B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C7DA3F8"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ACFAF3F" wp14:editId="2C82B67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B081EB0"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18E0541"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0E1B808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6FBFDD3" w14:textId="77777777" w:rsidR="00135B40" w:rsidRPr="00E34B42" w:rsidRDefault="00135B40" w:rsidP="00851A99">
            <w:pPr>
              <w:spacing w:before="60" w:after="60"/>
              <w:rPr>
                <w:rFonts w:ascii="Times New Roman" w:hAnsi="Times New Roman" w:cs="Times New Roman"/>
                <w:b/>
                <w:lang w:val="is-IS"/>
              </w:rPr>
            </w:pPr>
            <w:permStart w:id="1307382913"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C456AB4" w14:textId="337639CC"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64988">
                  <w:rPr>
                    <w:rFonts w:ascii="Times New Roman" w:hAnsi="Times New Roman" w:cs="Times New Roman"/>
                    <w:lang w:val="is-IS"/>
                  </w:rPr>
                  <w:t>Frumvarp til laga um breytingu á lögum um skilameðferð lánastofnana og verðbréfafyrirtækja</w:t>
                </w:r>
                <w:r w:rsidR="0058170E">
                  <w:rPr>
                    <w:rFonts w:ascii="Times New Roman" w:hAnsi="Times New Roman" w:cs="Times New Roman"/>
                    <w:lang w:val="is-IS"/>
                  </w:rPr>
                  <w:t xml:space="preserve"> (lágmarkskrafa um eiginfjárgrunn og hæfar skuldbindingar o.fl.)</w:t>
                </w:r>
                <w:r w:rsidR="00264988">
                  <w:rPr>
                    <w:rFonts w:ascii="Times New Roman" w:hAnsi="Times New Roman" w:cs="Times New Roman"/>
                    <w:lang w:val="is-IS"/>
                  </w:rPr>
                  <w:t xml:space="preserve"> </w:t>
                </w:r>
                <w:r w:rsidR="00805105">
                  <w:rPr>
                    <w:rFonts w:ascii="Times New Roman" w:hAnsi="Times New Roman" w:cs="Times New Roman"/>
                    <w:lang w:val="is-IS"/>
                  </w:rPr>
                  <w:t xml:space="preserve"> - </w:t>
                </w:r>
                <w:r w:rsidR="00B60216">
                  <w:rPr>
                    <w:rFonts w:ascii="Times New Roman" w:hAnsi="Times New Roman" w:cs="Times New Roman"/>
                    <w:lang w:val="is-IS"/>
                  </w:rPr>
                  <w:t>FJR</w:t>
                </w:r>
                <w:r w:rsidR="00113611">
                  <w:rPr>
                    <w:rFonts w:ascii="Times New Roman" w:hAnsi="Times New Roman" w:cs="Times New Roman"/>
                    <w:lang w:val="is-IS"/>
                  </w:rPr>
                  <w:t>22110071</w:t>
                </w:r>
              </w:p>
            </w:tc>
          </w:sdtContent>
        </w:sdt>
      </w:tr>
      <w:tr w:rsidR="00E34B42" w:rsidRPr="00E34B42" w14:paraId="5B807CD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1EFF6E" w14:textId="77777777" w:rsidR="00135B40" w:rsidRPr="00E34B42" w:rsidRDefault="00135B40" w:rsidP="0012646E">
            <w:pPr>
              <w:spacing w:before="60" w:after="60"/>
              <w:rPr>
                <w:rFonts w:ascii="Times New Roman" w:hAnsi="Times New Roman" w:cs="Times New Roman"/>
                <w:b/>
                <w:lang w:val="is-IS"/>
              </w:rPr>
            </w:pPr>
            <w:permStart w:id="1985491356" w:edGrp="everyone" w:colFirst="1" w:colLast="1"/>
            <w:permEnd w:id="1307382913"/>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039FBDF" w14:textId="4DA8524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64988">
                  <w:rPr>
                    <w:rFonts w:ascii="Times New Roman" w:hAnsi="Times New Roman" w:cs="Times New Roman"/>
                    <w:lang w:val="is-IS"/>
                  </w:rPr>
                  <w:t>Fjármála- og efnahagsráðuneytið</w:t>
                </w:r>
              </w:p>
            </w:tc>
          </w:sdtContent>
        </w:sdt>
      </w:tr>
      <w:tr w:rsidR="00E34B42" w:rsidRPr="00E34B42" w14:paraId="76776DD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B423459" w14:textId="77777777" w:rsidR="00135B40" w:rsidRPr="00E34B42" w:rsidRDefault="00135B40" w:rsidP="0012646E">
            <w:pPr>
              <w:spacing w:before="60" w:after="60"/>
              <w:rPr>
                <w:rFonts w:ascii="Times New Roman" w:hAnsi="Times New Roman" w:cs="Times New Roman"/>
                <w:b/>
                <w:lang w:val="is-IS"/>
              </w:rPr>
            </w:pPr>
            <w:permStart w:id="136998148" w:edGrp="everyone" w:colFirst="1" w:colLast="1"/>
            <w:permEnd w:id="1985491356"/>
            <w:r w:rsidRPr="00E34B42">
              <w:rPr>
                <w:rFonts w:ascii="Times New Roman" w:hAnsi="Times New Roman" w:cs="Times New Roman"/>
                <w:b/>
                <w:lang w:val="is-IS"/>
              </w:rPr>
              <w:t>Innleiðing EES-gerðar?</w:t>
            </w:r>
          </w:p>
        </w:tc>
        <w:tc>
          <w:tcPr>
            <w:tcW w:w="7479" w:type="dxa"/>
            <w:tcBorders>
              <w:bottom w:val="nil"/>
            </w:tcBorders>
          </w:tcPr>
          <w:p w14:paraId="65DF17EA" w14:textId="5C5947A1" w:rsidR="00135B40" w:rsidRPr="00E34B42" w:rsidRDefault="003762F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64988">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3AA56744" w14:textId="77777777" w:rsidR="00135B40" w:rsidRPr="00E34B42" w:rsidRDefault="003762F9"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C36BA4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EBD147D" w14:textId="77777777" w:rsidR="00135B40" w:rsidRPr="00E34B42" w:rsidRDefault="00135B40" w:rsidP="000D6E33">
            <w:pPr>
              <w:spacing w:before="60" w:after="60"/>
              <w:rPr>
                <w:rFonts w:ascii="Times New Roman" w:hAnsi="Times New Roman" w:cs="Times New Roman"/>
                <w:b/>
                <w:lang w:val="is-IS"/>
              </w:rPr>
            </w:pPr>
            <w:permStart w:id="1074750542" w:edGrp="everyone" w:colFirst="1" w:colLast="1"/>
            <w:permEnd w:id="136998148"/>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6C7DB5A" w14:textId="3390C1D7" w:rsidR="00135B40" w:rsidRPr="00E34B42" w:rsidRDefault="003762F9" w:rsidP="00B65214">
                <w:pPr>
                  <w:spacing w:before="60"/>
                  <w:rPr>
                    <w:rFonts w:ascii="Times New Roman" w:hAnsi="Times New Roman" w:cs="Times New Roman"/>
                    <w:lang w:val="is-IS"/>
                  </w:rPr>
                </w:pPr>
                <w:r>
                  <w:rPr>
                    <w:rFonts w:ascii="Times New Roman" w:hAnsi="Times New Roman" w:cs="Times New Roman"/>
                    <w:lang w:val="is-IS"/>
                  </w:rPr>
                  <w:t>15</w:t>
                </w:r>
                <w:r w:rsidR="00264988">
                  <w:rPr>
                    <w:rFonts w:ascii="Times New Roman" w:hAnsi="Times New Roman" w:cs="Times New Roman"/>
                    <w:lang w:val="is-IS"/>
                  </w:rPr>
                  <w:t xml:space="preserve">. </w:t>
                </w:r>
                <w:r>
                  <w:rPr>
                    <w:rFonts w:ascii="Times New Roman" w:hAnsi="Times New Roman" w:cs="Times New Roman"/>
                    <w:lang w:val="is-IS"/>
                  </w:rPr>
                  <w:t>desember</w:t>
                </w:r>
                <w:r w:rsidR="00264988">
                  <w:rPr>
                    <w:rFonts w:ascii="Times New Roman" w:hAnsi="Times New Roman" w:cs="Times New Roman"/>
                    <w:lang w:val="is-IS"/>
                  </w:rPr>
                  <w:t xml:space="preserve"> 202</w:t>
                </w:r>
                <w:r w:rsidR="00805105">
                  <w:rPr>
                    <w:rFonts w:ascii="Times New Roman" w:hAnsi="Times New Roman" w:cs="Times New Roman"/>
                    <w:lang w:val="is-IS"/>
                  </w:rPr>
                  <w:t>2</w:t>
                </w:r>
              </w:p>
            </w:tc>
          </w:sdtContent>
        </w:sdt>
      </w:tr>
      <w:permEnd w:id="1074750542"/>
    </w:tbl>
    <w:p w14:paraId="2A95F510"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237CFA48" w14:textId="77777777" w:rsidTr="007414CB">
        <w:tc>
          <w:tcPr>
            <w:tcW w:w="9288" w:type="dxa"/>
            <w:shd w:val="clear" w:color="auto" w:fill="92CDDC" w:themeFill="accent5" w:themeFillTint="99"/>
          </w:tcPr>
          <w:p w14:paraId="55E73F87"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52718803" w14:textId="77777777" w:rsidTr="00FD2097">
        <w:trPr>
          <w:trHeight w:val="826"/>
        </w:trPr>
        <w:tc>
          <w:tcPr>
            <w:tcW w:w="9288" w:type="dxa"/>
          </w:tcPr>
          <w:sdt>
            <w:sdtPr>
              <w:rPr>
                <w:rFonts w:ascii="Times New Roman" w:hAnsi="Times New Roman" w:cs="Times New Roman"/>
                <w:b/>
                <w:lang w:val="is-IS"/>
              </w:rPr>
              <w:id w:val="580805120"/>
            </w:sdtPr>
            <w:sdtEndPr/>
            <w:sdtContent>
              <w:permStart w:id="1909204479" w:edGrp="everyone" w:displacedByCustomXml="prev"/>
              <w:p w14:paraId="0C9A66A3" w14:textId="25AADF13"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28998141" w14:textId="4A2AE3C8" w:rsidR="00A05697" w:rsidRPr="00855827" w:rsidRDefault="00264988" w:rsidP="009F0E5E">
                <w:pPr>
                  <w:pStyle w:val="ListParagraph"/>
                  <w:spacing w:before="60" w:after="240"/>
                  <w:ind w:left="0"/>
                  <w:contextualSpacing w:val="0"/>
                  <w:jc w:val="both"/>
                  <w:rPr>
                    <w:rFonts w:ascii="Times New Roman" w:hAnsi="Times New Roman" w:cs="Times New Roman"/>
                    <w:bCs/>
                    <w:lang w:val="is-IS"/>
                  </w:rPr>
                </w:pPr>
                <w:r>
                  <w:rPr>
                    <w:rFonts w:ascii="Times New Roman" w:hAnsi="Times New Roman" w:cs="Times New Roman"/>
                    <w:bCs/>
                    <w:lang w:val="is-IS"/>
                  </w:rPr>
                  <w:t xml:space="preserve">Þann 15. júní 2020 voru samþykkt á Alþingi </w:t>
                </w:r>
                <w:hyperlink r:id="rId12" w:history="1">
                  <w:r w:rsidRPr="00C63C55">
                    <w:rPr>
                      <w:rStyle w:val="Hyperlink"/>
                      <w:rFonts w:ascii="Times New Roman" w:hAnsi="Times New Roman" w:cs="Times New Roman"/>
                      <w:bCs/>
                      <w:lang w:val="is-IS"/>
                    </w:rPr>
                    <w:t xml:space="preserve">lög um skilameðferð lánastofnana og verðbréfafyrirtækja, nr. </w:t>
                  </w:r>
                  <w:r w:rsidR="001B5AA4" w:rsidRPr="00C63C55">
                    <w:rPr>
                      <w:rStyle w:val="Hyperlink"/>
                      <w:rFonts w:ascii="Times New Roman" w:hAnsi="Times New Roman" w:cs="Times New Roman"/>
                      <w:bCs/>
                      <w:lang w:val="is-IS"/>
                    </w:rPr>
                    <w:t>70/2020</w:t>
                  </w:r>
                </w:hyperlink>
                <w:r w:rsidR="00023447">
                  <w:rPr>
                    <w:rFonts w:ascii="Times New Roman" w:hAnsi="Times New Roman" w:cs="Times New Roman"/>
                    <w:bCs/>
                    <w:lang w:val="is-IS"/>
                  </w:rPr>
                  <w:t xml:space="preserve"> (hér eftir einnig SML).</w:t>
                </w:r>
                <w:r>
                  <w:rPr>
                    <w:rFonts w:ascii="Times New Roman" w:hAnsi="Times New Roman" w:cs="Times New Roman"/>
                    <w:bCs/>
                    <w:lang w:val="is-IS"/>
                  </w:rPr>
                  <w:t xml:space="preserve"> Með lögunum</w:t>
                </w:r>
                <w:r w:rsidR="00DB1F01">
                  <w:rPr>
                    <w:rFonts w:ascii="Times New Roman" w:hAnsi="Times New Roman" w:cs="Times New Roman"/>
                    <w:bCs/>
                    <w:lang w:val="is-IS"/>
                  </w:rPr>
                  <w:t xml:space="preserve">, sem </w:t>
                </w:r>
                <w:r w:rsidR="00970773">
                  <w:rPr>
                    <w:rFonts w:ascii="Times New Roman" w:hAnsi="Times New Roman" w:cs="Times New Roman"/>
                    <w:bCs/>
                    <w:lang w:val="is-IS"/>
                  </w:rPr>
                  <w:t>tóku</w:t>
                </w:r>
                <w:r w:rsidR="00DB1F01">
                  <w:rPr>
                    <w:rFonts w:ascii="Times New Roman" w:hAnsi="Times New Roman" w:cs="Times New Roman"/>
                    <w:bCs/>
                    <w:lang w:val="is-IS"/>
                  </w:rPr>
                  <w:t xml:space="preserve"> gildi 1. september 2020,</w:t>
                </w:r>
                <w:r>
                  <w:rPr>
                    <w:rFonts w:ascii="Times New Roman" w:hAnsi="Times New Roman" w:cs="Times New Roman"/>
                    <w:bCs/>
                    <w:lang w:val="is-IS"/>
                  </w:rPr>
                  <w:t xml:space="preserve"> var innleiddur annar áfangi tilskipunar 2014/59/ESB (BRRD) en fyrsti áfangi var innleiddur með </w:t>
                </w:r>
                <w:hyperlink r:id="rId13" w:history="1">
                  <w:r w:rsidRPr="00C63C55">
                    <w:rPr>
                      <w:rStyle w:val="Hyperlink"/>
                      <w:rFonts w:ascii="Times New Roman" w:hAnsi="Times New Roman" w:cs="Times New Roman"/>
                      <w:bCs/>
                      <w:lang w:val="is-IS"/>
                    </w:rPr>
                    <w:t>lögum nr. 54/2018 um breytingu á lögum um fjármálafyrirtæki</w:t>
                  </w:r>
                </w:hyperlink>
                <w:r>
                  <w:rPr>
                    <w:rFonts w:ascii="Times New Roman" w:hAnsi="Times New Roman" w:cs="Times New Roman"/>
                    <w:bCs/>
                    <w:lang w:val="is-IS"/>
                  </w:rPr>
                  <w:t xml:space="preserve">, nr. 161/2002. Á grundvelli laga um skilameðferð lánastofnana og verðbréfafyrirtækja </w:t>
                </w:r>
                <w:r w:rsidR="007D5977">
                  <w:rPr>
                    <w:rFonts w:ascii="Times New Roman" w:hAnsi="Times New Roman" w:cs="Times New Roman"/>
                    <w:bCs/>
                    <w:lang w:val="is-IS"/>
                  </w:rPr>
                  <w:t>var</w:t>
                </w:r>
                <w:r>
                  <w:rPr>
                    <w:rFonts w:ascii="Times New Roman" w:hAnsi="Times New Roman" w:cs="Times New Roman"/>
                    <w:bCs/>
                    <w:lang w:val="is-IS"/>
                  </w:rPr>
                  <w:t xml:space="preserve"> aðgreindri einingu innan Seðlabanka Íslands, svokölluðu skilavaldi, falin framkvæmd laganna. </w:t>
                </w:r>
                <w:r w:rsidR="007D5977">
                  <w:rPr>
                    <w:rFonts w:ascii="Times New Roman" w:hAnsi="Times New Roman" w:cs="Times New Roman"/>
                    <w:bCs/>
                    <w:lang w:val="is-IS"/>
                  </w:rPr>
                  <w:t xml:space="preserve">Lögunum um skilameðferð lánastofnana og verðbréfafyrirtækja hefur að meginstefnu til veðið breytt í tvígang, fyrst með lögum nr. </w:t>
                </w:r>
                <w:hyperlink r:id="rId14" w:history="1">
                  <w:r w:rsidR="007D5977" w:rsidRPr="007D5977">
                    <w:rPr>
                      <w:rStyle w:val="Hyperlink"/>
                      <w:rFonts w:ascii="Times New Roman" w:hAnsi="Times New Roman" w:cs="Times New Roman"/>
                      <w:bCs/>
                      <w:lang w:val="is-IS"/>
                    </w:rPr>
                    <w:t>38/2021 (forgangsröð krafna við skila- og slitameðferð)</w:t>
                  </w:r>
                </w:hyperlink>
                <w:r w:rsidR="007D5977">
                  <w:rPr>
                    <w:rFonts w:ascii="Times New Roman" w:hAnsi="Times New Roman" w:cs="Times New Roman"/>
                    <w:bCs/>
                    <w:lang w:val="is-IS"/>
                  </w:rPr>
                  <w:t xml:space="preserve"> og síðar með lögum </w:t>
                </w:r>
                <w:r w:rsidR="00A93146">
                  <w:rPr>
                    <w:rFonts w:ascii="Times New Roman" w:hAnsi="Times New Roman" w:cs="Times New Roman"/>
                    <w:bCs/>
                    <w:lang w:val="is-IS"/>
                  </w:rPr>
                  <w:t xml:space="preserve">nr. </w:t>
                </w:r>
                <w:hyperlink r:id="rId15" w:history="1">
                  <w:r w:rsidR="00A93146" w:rsidRPr="00A93146">
                    <w:rPr>
                      <w:rStyle w:val="Hyperlink"/>
                      <w:rFonts w:ascii="Times New Roman" w:hAnsi="Times New Roman" w:cs="Times New Roman"/>
                      <w:bCs/>
                      <w:lang w:val="is-IS"/>
                    </w:rPr>
                    <w:t>48/2022 (fjármögnun skilasjóðs, iðgjöld og fyrirkomulag Tryggingasjóðs)</w:t>
                  </w:r>
                </w:hyperlink>
                <w:r w:rsidR="00A93146">
                  <w:rPr>
                    <w:rFonts w:ascii="Times New Roman" w:hAnsi="Times New Roman" w:cs="Times New Roman"/>
                    <w:bCs/>
                    <w:lang w:val="is-IS"/>
                  </w:rPr>
                  <w:t xml:space="preserve"> sem innleiddi þriðja og síðasta áfanga BRRD tilskipunarinnar.</w:t>
                </w:r>
              </w:p>
              <w:p w14:paraId="2F5B50D4" w14:textId="77F3B882" w:rsidR="00633D13" w:rsidRPr="00023447" w:rsidRDefault="003762F9" w:rsidP="00855827">
                <w:pPr>
                  <w:pStyle w:val="ListParagraph"/>
                  <w:spacing w:before="120" w:after="120"/>
                  <w:ind w:left="0"/>
                  <w:contextualSpacing w:val="0"/>
                  <w:jc w:val="both"/>
                  <w:rPr>
                    <w:rFonts w:ascii="Times New Roman" w:hAnsi="Times New Roman" w:cs="Times New Roman"/>
                    <w:bCs/>
                    <w:lang w:val="is-IS"/>
                  </w:rPr>
                </w:pPr>
                <w:hyperlink r:id="rId16" w:history="1">
                  <w:r w:rsidR="00C10B09" w:rsidRPr="00023447">
                    <w:rPr>
                      <w:rStyle w:val="Hyperlink"/>
                      <w:rFonts w:ascii="Times New Roman" w:hAnsi="Times New Roman" w:cs="Times New Roman"/>
                    </w:rPr>
                    <w:t>Tilskipun (ESB) 2019/879</w:t>
                  </w:r>
                </w:hyperlink>
                <w:r w:rsidR="00C10B09" w:rsidRPr="00023447">
                  <w:rPr>
                    <w:rFonts w:ascii="Times New Roman" w:hAnsi="Times New Roman" w:cs="Times New Roman"/>
                  </w:rPr>
                  <w:t xml:space="preserve"> (BRRD II) um breytingu á til</w:t>
                </w:r>
                <w:r w:rsidR="007D5977" w:rsidRPr="00023447">
                  <w:rPr>
                    <w:rFonts w:ascii="Times New Roman" w:hAnsi="Times New Roman" w:cs="Times New Roman"/>
                  </w:rPr>
                  <w:t>s</w:t>
                </w:r>
                <w:r w:rsidR="00C10B09" w:rsidRPr="00023447">
                  <w:rPr>
                    <w:rFonts w:ascii="Times New Roman" w:hAnsi="Times New Roman" w:cs="Times New Roman"/>
                  </w:rPr>
                  <w:t>kipun 2014/59/ESB að því er varðar tapþol og endurfjármögnunargetu lánastofnana og verðbréfafyrirtækja og tilskipun 98/26/EB</w:t>
                </w:r>
                <w:r w:rsidR="00A05697" w:rsidRPr="00023447">
                  <w:rPr>
                    <w:rFonts w:ascii="Times New Roman" w:hAnsi="Times New Roman" w:cs="Times New Roman"/>
                    <w:bCs/>
                    <w:lang w:val="is-IS"/>
                  </w:rPr>
                  <w:t xml:space="preserve"> </w:t>
                </w:r>
                <w:r w:rsidR="00ED4390" w:rsidRPr="00023447">
                  <w:rPr>
                    <w:rFonts w:ascii="Times New Roman" w:hAnsi="Times New Roman" w:cs="Times New Roman"/>
                    <w:bCs/>
                    <w:lang w:val="is-IS"/>
                  </w:rPr>
                  <w:t>tók gildi í ríkjum ESB þann 2</w:t>
                </w:r>
                <w:r w:rsidR="00C10B09" w:rsidRPr="00023447">
                  <w:rPr>
                    <w:rFonts w:ascii="Times New Roman" w:hAnsi="Times New Roman" w:cs="Times New Roman"/>
                    <w:bCs/>
                    <w:lang w:val="is-IS"/>
                  </w:rPr>
                  <w:t>7</w:t>
                </w:r>
                <w:r w:rsidR="00ED4390" w:rsidRPr="00023447">
                  <w:rPr>
                    <w:rFonts w:ascii="Times New Roman" w:hAnsi="Times New Roman" w:cs="Times New Roman"/>
                    <w:bCs/>
                    <w:lang w:val="is-IS"/>
                  </w:rPr>
                  <w:t xml:space="preserve">. </w:t>
                </w:r>
                <w:r w:rsidR="00C10B09" w:rsidRPr="00023447">
                  <w:rPr>
                    <w:rFonts w:ascii="Times New Roman" w:hAnsi="Times New Roman" w:cs="Times New Roman"/>
                    <w:bCs/>
                    <w:lang w:val="is-IS"/>
                  </w:rPr>
                  <w:t>júní</w:t>
                </w:r>
                <w:r w:rsidR="00ED4390" w:rsidRPr="00023447">
                  <w:rPr>
                    <w:rFonts w:ascii="Times New Roman" w:hAnsi="Times New Roman" w:cs="Times New Roman"/>
                    <w:bCs/>
                    <w:lang w:val="is-IS"/>
                  </w:rPr>
                  <w:t xml:space="preserve"> 201</w:t>
                </w:r>
                <w:r w:rsidR="00C10B09" w:rsidRPr="00023447">
                  <w:rPr>
                    <w:rFonts w:ascii="Times New Roman" w:hAnsi="Times New Roman" w:cs="Times New Roman"/>
                    <w:bCs/>
                    <w:lang w:val="is-IS"/>
                  </w:rPr>
                  <w:t>9</w:t>
                </w:r>
                <w:r w:rsidR="00ED4390" w:rsidRPr="00023447">
                  <w:rPr>
                    <w:rFonts w:ascii="Times New Roman" w:hAnsi="Times New Roman" w:cs="Times New Roman"/>
                    <w:bCs/>
                    <w:lang w:val="is-IS"/>
                  </w:rPr>
                  <w:t xml:space="preserve"> og var tekin upp í EES-samninginn með</w:t>
                </w:r>
                <w:r w:rsidR="00C10B09" w:rsidRPr="00023447">
                  <w:rPr>
                    <w:rFonts w:ascii="Times New Roman" w:hAnsi="Times New Roman" w:cs="Times New Roman"/>
                    <w:bCs/>
                    <w:lang w:val="is-IS"/>
                  </w:rPr>
                  <w:t xml:space="preserve"> </w:t>
                </w:r>
                <w:hyperlink r:id="rId17" w:history="1">
                  <w:r w:rsidR="00C10B09" w:rsidRPr="00023447">
                    <w:rPr>
                      <w:rStyle w:val="Hyperlink"/>
                      <w:rFonts w:ascii="Times New Roman" w:hAnsi="Times New Roman" w:cs="Times New Roman"/>
                      <w:bCs/>
                      <w:lang w:val="is-IS"/>
                    </w:rPr>
                    <w:t>ákvörðun sameiginlegu EES-nefndarinnar nr. 145/2022 frá 29. apríl 2022</w:t>
                  </w:r>
                </w:hyperlink>
                <w:r w:rsidR="00C10B09" w:rsidRPr="00023447">
                  <w:rPr>
                    <w:rFonts w:ascii="Times New Roman" w:hAnsi="Times New Roman" w:cs="Times New Roman"/>
                    <w:bCs/>
                    <w:lang w:val="is-IS"/>
                  </w:rPr>
                  <w:t>.</w:t>
                </w:r>
                <w:r w:rsidR="00ED4390" w:rsidRPr="00023447">
                  <w:rPr>
                    <w:rFonts w:ascii="Times New Roman" w:hAnsi="Times New Roman" w:cs="Times New Roman"/>
                    <w:bCs/>
                    <w:lang w:val="is-IS"/>
                  </w:rPr>
                  <w:t xml:space="preserve"> </w:t>
                </w:r>
                <w:r w:rsidR="00C10B09" w:rsidRPr="00023447">
                  <w:rPr>
                    <w:rFonts w:ascii="Times New Roman" w:hAnsi="Times New Roman" w:cs="Times New Roman"/>
                    <w:bCs/>
                    <w:lang w:val="is-IS"/>
                  </w:rPr>
                  <w:t xml:space="preserve">Tilskipunin felur í sér heildarendurskoðun á BRRD tilskipuninni. Breytingarnar varða meðal annars fyrirbyggjandi aðgerðir og undirbúning skilameðferðar, einstakar valdheimildir skilavalds við undirbúning og framkvæmd skilameðferðar, endurskipulagningu rekstrar og heimildir til ráðstafana vegna samninga. Veigamestu breytingarnar varða svo reglur um lágmarkskröfu um eiginfjárgrunn og hæfar skuldbindingar. </w:t>
                </w:r>
                <w:r w:rsidR="00633D13" w:rsidRPr="00023447">
                  <w:rPr>
                    <w:rFonts w:ascii="Times New Roman" w:hAnsi="Times New Roman" w:cs="Times New Roman"/>
                    <w:bCs/>
                    <w:lang w:val="is-IS"/>
                  </w:rPr>
                  <w:t>Markmið lágmarkskröfunnar er að fyrirtæki hafi nægt eigið fé og hæfar skuldbindingar til að bregðast við tapi fyrirtækis og endurreisa eiginfjárgrunn þess.</w:t>
                </w:r>
                <w:r w:rsidR="00A93146" w:rsidRPr="00023447">
                  <w:rPr>
                    <w:rFonts w:ascii="Times New Roman" w:hAnsi="Times New Roman" w:cs="Times New Roman"/>
                    <w:bCs/>
                    <w:lang w:val="is-IS"/>
                  </w:rPr>
                  <w:t xml:space="preserve"> Einstök ákvæði í tilskipun (ESB) 2019/879 voru innleidd með </w:t>
                </w:r>
                <w:hyperlink r:id="rId18" w:history="1">
                  <w:r w:rsidR="00A93146" w:rsidRPr="00023447">
                    <w:rPr>
                      <w:rStyle w:val="Hyperlink"/>
                      <w:rFonts w:ascii="Times New Roman" w:hAnsi="Times New Roman" w:cs="Times New Roman"/>
                      <w:bCs/>
                      <w:lang w:val="is-IS"/>
                    </w:rPr>
                    <w:t>lögum nr. 38/2022</w:t>
                  </w:r>
                </w:hyperlink>
                <w:r w:rsidR="00A93146" w:rsidRPr="00023447">
                  <w:rPr>
                    <w:rFonts w:ascii="Times New Roman" w:hAnsi="Times New Roman" w:cs="Times New Roman"/>
                    <w:bCs/>
                    <w:lang w:val="is-IS"/>
                  </w:rPr>
                  <w:t xml:space="preserve"> um breytingu á lögum um fjármálafyrirtæki og fleiri lögum (lánastofnanir og verðbréfafyrirtæki) en að öðru leyti er tilskipunin óinnleidd hér á landi.</w:t>
                </w:r>
              </w:p>
              <w:p w14:paraId="24976505" w14:textId="77777777" w:rsidR="00BB6B1D"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1A6043D3" w14:textId="4DF98A97" w:rsidR="00FD2097" w:rsidRPr="00BB6B1D" w:rsidRDefault="006F2500" w:rsidP="00986788">
                <w:pPr>
                  <w:pStyle w:val="ListParagraph"/>
                  <w:spacing w:before="120" w:after="120"/>
                  <w:ind w:left="0"/>
                  <w:contextualSpacing w:val="0"/>
                  <w:jc w:val="both"/>
                  <w:rPr>
                    <w:rFonts w:ascii="Times New Roman" w:hAnsi="Times New Roman" w:cs="Times New Roman"/>
                    <w:bCs/>
                    <w:lang w:val="is-IS"/>
                  </w:rPr>
                </w:pPr>
                <w:r>
                  <w:rPr>
                    <w:rFonts w:ascii="Times New Roman" w:hAnsi="Times New Roman" w:cs="Times New Roman"/>
                    <w:bCs/>
                    <w:lang w:val="is-IS"/>
                  </w:rPr>
                  <w:t>Að i</w:t>
                </w:r>
                <w:r w:rsidR="00BB6B1D" w:rsidRPr="00BB6B1D">
                  <w:rPr>
                    <w:rFonts w:ascii="Times New Roman" w:hAnsi="Times New Roman" w:cs="Times New Roman"/>
                    <w:bCs/>
                    <w:lang w:val="is-IS"/>
                  </w:rPr>
                  <w:t>nnleið</w:t>
                </w:r>
                <w:r>
                  <w:rPr>
                    <w:rFonts w:ascii="Times New Roman" w:hAnsi="Times New Roman" w:cs="Times New Roman"/>
                    <w:bCs/>
                    <w:lang w:val="is-IS"/>
                  </w:rPr>
                  <w:t>a meginefni</w:t>
                </w:r>
                <w:r w:rsidR="00BB6B1D" w:rsidRPr="00BB6B1D">
                  <w:rPr>
                    <w:rFonts w:ascii="Times New Roman" w:hAnsi="Times New Roman" w:cs="Times New Roman"/>
                    <w:bCs/>
                    <w:lang w:val="is-IS"/>
                  </w:rPr>
                  <w:t xml:space="preserve"> tilskipunar </w:t>
                </w:r>
                <w:r w:rsidR="001261EE">
                  <w:rPr>
                    <w:rFonts w:ascii="Times New Roman" w:hAnsi="Times New Roman" w:cs="Times New Roman"/>
                    <w:bCs/>
                    <w:lang w:val="is-IS"/>
                  </w:rPr>
                  <w:t xml:space="preserve">(ESB) </w:t>
                </w:r>
                <w:r w:rsidR="007D5977">
                  <w:rPr>
                    <w:rFonts w:ascii="Times New Roman" w:hAnsi="Times New Roman" w:cs="Times New Roman"/>
                    <w:bCs/>
                    <w:lang w:val="is-IS"/>
                  </w:rPr>
                  <w:t>2019/879</w:t>
                </w:r>
                <w:r w:rsidR="001261EE">
                  <w:rPr>
                    <w:rFonts w:ascii="Times New Roman" w:hAnsi="Times New Roman" w:cs="Times New Roman"/>
                    <w:bCs/>
                    <w:lang w:val="is-IS"/>
                  </w:rPr>
                  <w:t xml:space="preserve"> </w:t>
                </w:r>
                <w:r>
                  <w:rPr>
                    <w:rFonts w:ascii="Times New Roman" w:hAnsi="Times New Roman" w:cs="Times New Roman"/>
                    <w:bCs/>
                    <w:lang w:val="is-IS"/>
                  </w:rPr>
                  <w:t xml:space="preserve">í íslensk lög. </w:t>
                </w:r>
              </w:p>
              <w:p w14:paraId="55559CA8" w14:textId="77777777" w:rsidR="00BB6B1D"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7A16A980" w14:textId="3C5BD01A" w:rsidR="00CA3381" w:rsidRPr="00E34B42" w:rsidRDefault="006F2500" w:rsidP="009F0E5E">
                <w:pPr>
                  <w:pStyle w:val="ListParagraph"/>
                  <w:spacing w:before="120" w:after="120"/>
                  <w:ind w:left="0"/>
                  <w:contextualSpacing w:val="0"/>
                  <w:jc w:val="both"/>
                  <w:rPr>
                    <w:rFonts w:ascii="Times New Roman" w:hAnsi="Times New Roman" w:cs="Times New Roman"/>
                    <w:b/>
                    <w:lang w:val="is-IS"/>
                  </w:rPr>
                </w:pPr>
                <w:r>
                  <w:rPr>
                    <w:rFonts w:ascii="Times New Roman" w:hAnsi="Times New Roman" w:cs="Times New Roman"/>
                    <w:bCs/>
                    <w:lang w:val="is-IS"/>
                  </w:rPr>
                  <w:t xml:space="preserve">Unnið hefur verið að því í áföngum síðustu ár að laga íslensk lög að BRRD. Tilskipuninni hefur nú verið breytt sem kallar á breytingar á gildandi lögum. </w:t>
                </w:r>
                <w:r w:rsidR="00FC7313">
                  <w:rPr>
                    <w:rFonts w:ascii="Times New Roman" w:hAnsi="Times New Roman" w:cs="Times New Roman"/>
                    <w:b/>
                    <w:lang w:val="is-IS"/>
                  </w:rPr>
                  <w:t xml:space="preserve"> </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1909204479" w:displacedByCustomXml="prev"/>
        </w:tc>
      </w:tr>
      <w:tr w:rsidR="00E34B42" w:rsidRPr="00E34B42" w14:paraId="6F73C220" w14:textId="77777777" w:rsidTr="007414CB">
        <w:tc>
          <w:tcPr>
            <w:tcW w:w="9288" w:type="dxa"/>
            <w:shd w:val="clear" w:color="auto" w:fill="92CDDC" w:themeFill="accent5" w:themeFillTint="99"/>
          </w:tcPr>
          <w:p w14:paraId="687BC64F"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19A4D47C" w14:textId="77777777" w:rsidTr="005E6791">
        <w:trPr>
          <w:trHeight w:val="747"/>
        </w:trPr>
        <w:tc>
          <w:tcPr>
            <w:tcW w:w="9288" w:type="dxa"/>
          </w:tcPr>
          <w:permStart w:id="128354667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6EB4860" w14:textId="26D28388"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5856805F" w14:textId="77777777" w:rsidR="000F14A6" w:rsidRDefault="000F14A6" w:rsidP="000F14A6">
                <w:pPr>
                  <w:spacing w:before="60" w:after="60"/>
                  <w:jc w:val="both"/>
                  <w:rPr>
                    <w:rStyle w:val="normaltextrun"/>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w:t>
                </w:r>
                <w:hyperlink r:id="rId19" w:history="1">
                  <w:r w:rsidRPr="00717175">
                    <w:rPr>
                      <w:rStyle w:val="Hyperlink"/>
                      <w:rFonts w:ascii="Times New Roman" w:eastAsia="Times New Roman" w:hAnsi="Times New Roman" w:cs="Times New Roman"/>
                      <w:shd w:val="clear" w:color="auto" w:fill="FFFFFF"/>
                      <w:lang w:val="is-IS"/>
                    </w:rPr>
                    <w:t>sáttmála Framsóknarflokks, Sjálfstæðisflokks og Vinstrihreyfingarinnar – græns framboðs um ríkisstjórnarsamstarf og eflingu Alþingis</w:t>
                  </w:r>
                </w:hyperlink>
                <w:r w:rsidRPr="00717175">
                  <w:rPr>
                    <w:rStyle w:val="normaltextrun"/>
                    <w:rFonts w:ascii="Times New Roman" w:eastAsia="Times New Roman" w:hAnsi="Times New Roman" w:cs="Times New Roman"/>
                    <w:shd w:val="clear" w:color="auto" w:fill="FFFFFF"/>
                    <w:lang w:val="is-IS"/>
                  </w:rPr>
                  <w:t xml:space="preserve"> segir að fjármálakerfið eigi að vera traust og þjóna samfélaginu á hagkvæman og sanngjarnan hátt. Stefnt sé að auknu trausti á íslenskum fjármálamarkaði, auknu </w:t>
                </w:r>
                <w:r w:rsidRPr="00717175">
                  <w:rPr>
                    <w:rStyle w:val="normaltextrun"/>
                    <w:rFonts w:ascii="Times New Roman" w:eastAsia="Times New Roman" w:hAnsi="Times New Roman" w:cs="Times New Roman"/>
                    <w:shd w:val="clear" w:color="auto" w:fill="FFFFFF"/>
                    <w:lang w:val="is-IS"/>
                  </w:rPr>
                  <w:lastRenderedPageBreak/>
                  <w:t>gagnsæi og fjármálastöðugleika. Unnið verði að frekari skilvirkni í fjármálakerfinu með það að leiðarljósi að lækka kostnað neytenda. Þá telji ríkisstjórnin það eitt mikilvægasta hagsmunamál Íslands að sinna framkvæmd EES-samningsins vel.</w:t>
                </w:r>
              </w:p>
              <w:p w14:paraId="0987AC3C" w14:textId="787912CA" w:rsidR="000F14A6" w:rsidRDefault="000F14A6" w:rsidP="000F14A6">
                <w:pPr>
                  <w:spacing w:before="60" w:after="60"/>
                  <w:jc w:val="both"/>
                  <w:rPr>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umfjöllun um stefnumótun á sviði markaðseftirlits, neytendamála og stjórnsýslu atvinnumála og nýsköpunar í </w:t>
                </w:r>
                <w:hyperlink r:id="rId20" w:history="1">
                  <w:r w:rsidRPr="00717175">
                    <w:rPr>
                      <w:rStyle w:val="Hyperlink"/>
                      <w:rFonts w:ascii="Times New Roman" w:eastAsia="Times New Roman" w:hAnsi="Times New Roman" w:cs="Times New Roman"/>
                      <w:shd w:val="clear" w:color="auto" w:fill="FFFFFF"/>
                      <w:lang w:val="is-IS"/>
                    </w:rPr>
                    <w:t>greinargerð með tillögu til þingsályktunar um fjármálaætlun fyrir árin 202</w:t>
                  </w:r>
                  <w:r>
                    <w:rPr>
                      <w:rStyle w:val="Hyperlink"/>
                      <w:rFonts w:ascii="Times New Roman" w:eastAsia="Times New Roman" w:hAnsi="Times New Roman" w:cs="Times New Roman"/>
                      <w:shd w:val="clear" w:color="auto" w:fill="FFFFFF"/>
                      <w:lang w:val="is-IS"/>
                    </w:rPr>
                    <w:t>1</w:t>
                  </w:r>
                  <w:r w:rsidRPr="00717175">
                    <w:rPr>
                      <w:rStyle w:val="Hyperlink"/>
                      <w:rFonts w:ascii="Times New Roman" w:eastAsia="Times New Roman" w:hAnsi="Times New Roman" w:cs="Times New Roman"/>
                      <w:shd w:val="clear" w:color="auto" w:fill="FFFFFF"/>
                      <w:lang w:val="is-IS"/>
                    </w:rPr>
                    <w:t>–202</w:t>
                  </w:r>
                </w:hyperlink>
                <w:r w:rsidRPr="00F8685C">
                  <w:rPr>
                    <w:rStyle w:val="Hyperlink"/>
                    <w:rFonts w:ascii="Times New Roman" w:eastAsia="Times New Roman" w:hAnsi="Times New Roman" w:cs="Times New Roman"/>
                    <w:shd w:val="clear" w:color="auto" w:fill="FFFFFF"/>
                    <w:lang w:val="is-IS"/>
                  </w:rPr>
                  <w:t>5</w:t>
                </w:r>
                <w:r w:rsidRPr="00717175">
                  <w:rPr>
                    <w:rStyle w:val="normaltextrun"/>
                    <w:rFonts w:ascii="Times New Roman" w:eastAsia="Times New Roman" w:hAnsi="Times New Roman" w:cs="Times New Roman"/>
                    <w:shd w:val="clear" w:color="auto" w:fill="FFFFFF"/>
                    <w:lang w:val="is-IS"/>
                  </w:rPr>
                  <w:t xml:space="preserve"> segir að</w:t>
                </w:r>
                <w:r>
                  <w:rPr>
                    <w:rStyle w:val="normaltextrun"/>
                    <w:rFonts w:ascii="Times New Roman" w:eastAsia="Times New Roman" w:hAnsi="Times New Roman" w:cs="Times New Roman"/>
                    <w:shd w:val="clear" w:color="auto" w:fill="FFFFFF"/>
                    <w:lang w:val="is-IS"/>
                  </w:rPr>
                  <w:t xml:space="preserve"> </w:t>
                </w:r>
                <w:r w:rsidRPr="00B97861">
                  <w:rPr>
                    <w:rStyle w:val="normaltextrun"/>
                    <w:rFonts w:ascii="Times New Roman" w:eastAsia="Times New Roman" w:hAnsi="Times New Roman" w:cs="Times New Roman"/>
                    <w:shd w:val="clear" w:color="auto" w:fill="FFFFFF"/>
                    <w:lang w:val="is-IS"/>
                  </w:rPr>
                  <w:t>traust á fjármálamarkaði og markviss neytendavernd styðj</w:t>
                </w:r>
                <w:r>
                  <w:rPr>
                    <w:rStyle w:val="normaltextrun"/>
                    <w:rFonts w:ascii="Times New Roman" w:eastAsia="Times New Roman" w:hAnsi="Times New Roman" w:cs="Times New Roman"/>
                    <w:shd w:val="clear" w:color="auto" w:fill="FFFFFF"/>
                    <w:lang w:val="is-IS"/>
                  </w:rPr>
                  <w:t>i</w:t>
                </w:r>
                <w:r w:rsidRPr="00B97861">
                  <w:rPr>
                    <w:rStyle w:val="normaltextrun"/>
                    <w:rFonts w:ascii="Times New Roman" w:eastAsia="Times New Roman" w:hAnsi="Times New Roman" w:cs="Times New Roman"/>
                    <w:shd w:val="clear" w:color="auto" w:fill="FFFFFF"/>
                    <w:lang w:val="is-IS"/>
                  </w:rPr>
                  <w:t xml:space="preserve"> við efnahagslega framþróun og arðsemi atvinnulífs</w:t>
                </w:r>
                <w:r>
                  <w:rPr>
                    <w:rStyle w:val="normaltextrun"/>
                    <w:rFonts w:ascii="Times New Roman" w:eastAsia="Times New Roman" w:hAnsi="Times New Roman" w:cs="Times New Roman"/>
                    <w:shd w:val="clear" w:color="auto" w:fill="FFFFFF"/>
                    <w:lang w:val="is-IS"/>
                  </w:rPr>
                  <w:t xml:space="preserve">. Áskoranir felist í </w:t>
                </w:r>
                <w:r w:rsidRPr="00B97861">
                  <w:rPr>
                    <w:rFonts w:ascii="Times New Roman" w:eastAsia="Times New Roman" w:hAnsi="Times New Roman" w:cs="Times New Roman"/>
                    <w:shd w:val="clear" w:color="auto" w:fill="FFFFFF"/>
                    <w:lang w:val="is-IS"/>
                  </w:rPr>
                  <w:t>samræmingu leikreglna sem gilda á íslenskum fjármálamarkaði og innan Evrópska efnahagssvæðisins</w:t>
                </w:r>
                <w:r>
                  <w:rPr>
                    <w:rFonts w:ascii="Times New Roman" w:eastAsia="Times New Roman" w:hAnsi="Times New Roman" w:cs="Times New Roman"/>
                    <w:shd w:val="clear" w:color="auto" w:fill="FFFFFF"/>
                    <w:lang w:val="is-IS"/>
                  </w:rPr>
                  <w:t>.</w:t>
                </w:r>
                <w:r w:rsidRPr="00B97861">
                  <w:rPr>
                    <w:rFonts w:ascii="Times New Roman" w:eastAsia="Times New Roman" w:hAnsi="Times New Roman" w:cs="Times New Roman"/>
                    <w:shd w:val="clear" w:color="auto" w:fill="FFFFFF"/>
                    <w:lang w:val="is-IS"/>
                  </w:rPr>
                  <w:t xml:space="preserve"> Þessi samræming </w:t>
                </w:r>
                <w:r>
                  <w:rPr>
                    <w:rFonts w:ascii="Times New Roman" w:eastAsia="Times New Roman" w:hAnsi="Times New Roman" w:cs="Times New Roman"/>
                    <w:shd w:val="clear" w:color="auto" w:fill="FFFFFF"/>
                    <w:lang w:val="is-IS"/>
                  </w:rPr>
                  <w:t>sé</w:t>
                </w:r>
                <w:r w:rsidRPr="00B97861">
                  <w:rPr>
                    <w:rFonts w:ascii="Times New Roman" w:eastAsia="Times New Roman" w:hAnsi="Times New Roman" w:cs="Times New Roman"/>
                    <w:shd w:val="clear" w:color="auto" w:fill="FFFFFF"/>
                    <w:lang w:val="is-IS"/>
                  </w:rPr>
                  <w:t xml:space="preserve"> ein af grundvallarforsendum aukinnar samkeppnishæfni til hagsbóta bæði fyrir íslenska neytendur og fyrirtæki.</w:t>
                </w:r>
              </w:p>
              <w:p w14:paraId="34E7269B" w14:textId="77777777" w:rsidR="000F14A6" w:rsidRDefault="000F14A6" w:rsidP="000F14A6">
                <w:pPr>
                  <w:spacing w:before="60" w:after="60"/>
                  <w:jc w:val="both"/>
                  <w:rPr>
                    <w:rStyle w:val="normaltextrun"/>
                    <w:rFonts w:ascii="Times New Roman" w:eastAsia="Times New Roman" w:hAnsi="Times New Roman" w:cs="Times New Roman"/>
                    <w:lang w:val="is-IS"/>
                  </w:rPr>
                </w:pPr>
                <w:r w:rsidRPr="00717175">
                  <w:rPr>
                    <w:rStyle w:val="normaltextrun"/>
                    <w:rFonts w:ascii="Times New Roman" w:eastAsia="Times New Roman" w:hAnsi="Times New Roman" w:cs="Times New Roman"/>
                    <w:lang w:val="is-IS"/>
                  </w:rPr>
                  <w:t xml:space="preserve">Í </w:t>
                </w:r>
                <w:hyperlink r:id="rId21" w:history="1">
                  <w:r w:rsidRPr="00717175">
                    <w:rPr>
                      <w:rStyle w:val="Hyperlink"/>
                      <w:rFonts w:ascii="Times New Roman" w:eastAsia="Times New Roman" w:hAnsi="Times New Roman" w:cs="Times New Roman"/>
                      <w:lang w:val="is-IS"/>
                    </w:rPr>
                    <w:t>Hvítbók um framtíðarsýn fyrir fjármálakerfið</w:t>
                  </w:r>
                </w:hyperlink>
                <w:r w:rsidRPr="00717175">
                  <w:rPr>
                    <w:rStyle w:val="normaltextrun"/>
                    <w:rFonts w:ascii="Times New Roman" w:eastAsia="Times New Roman" w:hAnsi="Times New Roman" w:cs="Times New Roman"/>
                    <w:lang w:val="is-IS"/>
                  </w:rPr>
                  <w:t xml:space="preserve"> segir að til þess að tryggja að laga- og regluverk á fjármálamarkaði stuðli allt í senn að traustum, stöðugum og hagkvæmum fjármálamarkaði ættu íslensk stjórnvöld að leggja áherslu á tímanlega innleiðingu Evrópuregluverks fyrir fjármálamarkað.</w:t>
                </w:r>
              </w:p>
              <w:p w14:paraId="69D07616" w14:textId="77777777" w:rsidR="00FC7313"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4B44635D" w14:textId="57D2BCB4" w:rsidR="00CA3381" w:rsidRPr="00123DA5" w:rsidRDefault="00123DA5" w:rsidP="00123DA5">
                <w:pPr>
                  <w:spacing w:before="60" w:after="60"/>
                  <w:rPr>
                    <w:rFonts w:ascii="Times New Roman" w:hAnsi="Times New Roman" w:cs="Times New Roman"/>
                    <w:bCs/>
                    <w:lang w:val="is-IS"/>
                  </w:rPr>
                </w:pPr>
                <w:r w:rsidRPr="00863EFD">
                  <w:rPr>
                    <w:rFonts w:ascii="Times New Roman" w:hAnsi="Times New Roman" w:cs="Times New Roman"/>
                    <w:bCs/>
                    <w:lang w:val="is-IS"/>
                  </w:rPr>
                  <w:t>Innleiðing BRRD II tilskipunarinnar samræmis</w:t>
                </w:r>
                <w:r w:rsidR="00113611">
                  <w:rPr>
                    <w:rFonts w:ascii="Times New Roman" w:hAnsi="Times New Roman" w:cs="Times New Roman"/>
                    <w:bCs/>
                    <w:lang w:val="is-IS"/>
                  </w:rPr>
                  <w:t>t</w:t>
                </w:r>
                <w:r w:rsidRPr="00863EFD">
                  <w:rPr>
                    <w:rFonts w:ascii="Times New Roman" w:hAnsi="Times New Roman" w:cs="Times New Roman"/>
                    <w:bCs/>
                    <w:lang w:val="is-IS"/>
                  </w:rPr>
                  <w:t xml:space="preserve"> markmiðum ríkisins um góða framkvæmd EES-samningsins og traust og skilvirkt fjármálakerfi. </w:t>
                </w:r>
              </w:p>
            </w:sdtContent>
          </w:sdt>
        </w:tc>
      </w:tr>
      <w:permEnd w:id="1283546673"/>
      <w:tr w:rsidR="00E34B42" w:rsidRPr="00E34B42" w14:paraId="18A98787" w14:textId="77777777" w:rsidTr="007414CB">
        <w:tc>
          <w:tcPr>
            <w:tcW w:w="9288" w:type="dxa"/>
            <w:shd w:val="clear" w:color="auto" w:fill="92CDDC" w:themeFill="accent5" w:themeFillTint="99"/>
          </w:tcPr>
          <w:p w14:paraId="63784986"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0506C0CE" w14:textId="77777777" w:rsidTr="00FD2097">
        <w:trPr>
          <w:trHeight w:val="826"/>
        </w:trPr>
        <w:tc>
          <w:tcPr>
            <w:tcW w:w="9288" w:type="dxa"/>
          </w:tcPr>
          <w:permStart w:id="1388608922" w:edGrp="everyone" w:colFirst="0" w:colLast="0" w:displacedByCustomXml="next"/>
          <w:sdt>
            <w:sdtPr>
              <w:rPr>
                <w:rFonts w:ascii="Times New Roman" w:hAnsi="Times New Roman" w:cs="Times New Roman"/>
                <w:b/>
                <w:lang w:val="is-IS"/>
              </w:rPr>
              <w:id w:val="-355357149"/>
            </w:sdtPr>
            <w:sdtEndPr/>
            <w:sdtContent>
              <w:p w14:paraId="2BD74D52" w14:textId="77777777" w:rsidR="00A7741A"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3AC10475" w14:textId="0F7327DD" w:rsidR="00FD2097" w:rsidRPr="00A7741A" w:rsidRDefault="00A7741A" w:rsidP="00977971">
                <w:pPr>
                  <w:spacing w:before="120" w:after="120"/>
                  <w:jc w:val="both"/>
                  <w:rPr>
                    <w:rFonts w:ascii="Times New Roman" w:hAnsi="Times New Roman" w:cs="Times New Roman"/>
                    <w:lang w:val="is-IS"/>
                  </w:rPr>
                </w:pPr>
                <w:r w:rsidRPr="00E80FDE">
                  <w:rPr>
                    <w:rFonts w:ascii="Times New Roman" w:hAnsi="Times New Roman" w:cs="Times New Roman"/>
                    <w:lang w:val="is-IS"/>
                  </w:rPr>
                  <w:t>Mikilvægt er að lagaumgjörð fjármálamarkaða sé vönduð og í samræmi við það sem gerist annars staðar í Evrópu. Verði ekkert aðhafst mun það hafa áhrif á stöðu Íslands og íslenskra fyrirtækja á alþjóðlegum fjármálamörkuðum auk þess að brjóta gegn alþjóðlegum skuldbindingum Íslands á grundvelli EES-samning</w:t>
                </w:r>
                <w:r>
                  <w:rPr>
                    <w:rFonts w:ascii="Times New Roman" w:hAnsi="Times New Roman" w:cs="Times New Roman"/>
                    <w:lang w:val="is-IS"/>
                  </w:rPr>
                  <w:t>s</w:t>
                </w:r>
                <w:r w:rsidRPr="00E80FDE">
                  <w:rPr>
                    <w:rFonts w:ascii="Times New Roman" w:hAnsi="Times New Roman" w:cs="Times New Roman"/>
                    <w:lang w:val="is-IS"/>
                  </w:rPr>
                  <w:t>ins.</w:t>
                </w:r>
                <w:r w:rsidR="00E67F09" w:rsidRPr="00A7741A">
                  <w:rPr>
                    <w:rFonts w:ascii="Times New Roman" w:hAnsi="Times New Roman" w:cs="Times New Roman"/>
                    <w:b/>
                    <w:lang w:val="is-IS"/>
                  </w:rPr>
                  <w:t xml:space="preserve"> </w:t>
                </w:r>
              </w:p>
              <w:p w14:paraId="19D4E21C" w14:textId="72EBA443"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55099F11" w14:textId="67D985C1" w:rsidR="00A7741A" w:rsidRPr="00123DA5" w:rsidRDefault="00123DA5" w:rsidP="00123DA5">
                <w:pPr>
                  <w:autoSpaceDE w:val="0"/>
                  <w:autoSpaceDN w:val="0"/>
                  <w:adjustRightInd w:val="0"/>
                  <w:spacing w:after="120"/>
                  <w:jc w:val="both"/>
                  <w:rPr>
                    <w:rFonts w:ascii="Times New Roman" w:hAnsi="Times New Roman" w:cs="Times New Roman"/>
                    <w:bCs/>
                    <w:lang w:val="is-IS"/>
                  </w:rPr>
                </w:pPr>
                <w:r w:rsidRPr="00123DA5">
                  <w:rPr>
                    <w:rFonts w:ascii="Times New Roman" w:hAnsi="Times New Roman" w:cs="Times New Roman"/>
                    <w:bCs/>
                    <w:lang w:val="is-IS"/>
                  </w:rPr>
                  <w:t xml:space="preserve">Önnur úrræði en lagasetning eiga ekki við. Fyrirhuguð lagasetning felur í sér inngrip og fyrirmæli sem verða að íslenskri stjórnskipan að hafa stoð í lögum. </w:t>
                </w:r>
                <w:r w:rsidR="00A7741A" w:rsidRPr="00123DA5">
                  <w:rPr>
                    <w:rFonts w:ascii="Times New Roman" w:hAnsi="Times New Roman" w:cs="Times New Roman"/>
                    <w:bCs/>
                    <w:lang w:val="is-IS"/>
                  </w:rPr>
                  <w:t xml:space="preserve"> </w:t>
                </w:r>
              </w:p>
              <w:p w14:paraId="73595312" w14:textId="77777777" w:rsidR="00A7741A"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16F30B57" w14:textId="0DDE55E1" w:rsidR="00CA3381" w:rsidRPr="00E34B42" w:rsidRDefault="00A7741A" w:rsidP="00977971">
                <w:pPr>
                  <w:pStyle w:val="ListParagraph"/>
                  <w:spacing w:before="120" w:after="120"/>
                  <w:ind w:left="0"/>
                  <w:contextualSpacing w:val="0"/>
                  <w:jc w:val="both"/>
                  <w:rPr>
                    <w:rFonts w:ascii="Times New Roman" w:hAnsi="Times New Roman" w:cs="Times New Roman"/>
                    <w:b/>
                    <w:lang w:val="is-IS"/>
                  </w:rPr>
                </w:pPr>
                <w:r w:rsidRPr="002A3041">
                  <w:rPr>
                    <w:rFonts w:ascii="Times New Roman" w:hAnsi="Times New Roman" w:cs="Times New Roman"/>
                    <w:bCs/>
                    <w:lang w:val="is-IS"/>
                  </w:rPr>
                  <w:t xml:space="preserve">Einungis tvær leiðir þykja færar við lagasetningu. </w:t>
                </w:r>
                <w:r w:rsidRPr="00123DA5">
                  <w:rPr>
                    <w:rFonts w:ascii="Times New Roman" w:hAnsi="Times New Roman" w:cs="Times New Roman"/>
                    <w:bCs/>
                    <w:i/>
                    <w:iCs/>
                    <w:lang w:val="is-IS"/>
                  </w:rPr>
                  <w:t>Annars vegar</w:t>
                </w:r>
                <w:r w:rsidRPr="002A3041">
                  <w:rPr>
                    <w:rFonts w:ascii="Times New Roman" w:hAnsi="Times New Roman" w:cs="Times New Roman"/>
                    <w:bCs/>
                    <w:lang w:val="is-IS"/>
                  </w:rPr>
                  <w:t xml:space="preserve"> að </w:t>
                </w:r>
                <w:r w:rsidR="00123DA5">
                  <w:rPr>
                    <w:rFonts w:ascii="Times New Roman" w:hAnsi="Times New Roman" w:cs="Times New Roman"/>
                    <w:bCs/>
                    <w:lang w:val="is-IS"/>
                  </w:rPr>
                  <w:t xml:space="preserve">innleiða allt efni tilskipunar (ESB) 2019/879 í íslensk lög og </w:t>
                </w:r>
                <w:r w:rsidR="00123DA5" w:rsidRPr="00123DA5">
                  <w:rPr>
                    <w:rFonts w:ascii="Times New Roman" w:hAnsi="Times New Roman" w:cs="Times New Roman"/>
                    <w:bCs/>
                    <w:i/>
                    <w:iCs/>
                    <w:lang w:val="is-IS"/>
                  </w:rPr>
                  <w:t>hins vegar</w:t>
                </w:r>
                <w:r w:rsidR="00123DA5">
                  <w:rPr>
                    <w:rFonts w:ascii="Times New Roman" w:hAnsi="Times New Roman" w:cs="Times New Roman"/>
                    <w:bCs/>
                    <w:lang w:val="is-IS"/>
                  </w:rPr>
                  <w:t xml:space="preserve"> að innleiða meginefni tilskipunarinnar í íslensk lög en </w:t>
                </w:r>
                <w:r w:rsidR="00113611">
                  <w:rPr>
                    <w:rFonts w:ascii="Times New Roman" w:hAnsi="Times New Roman" w:cs="Times New Roman"/>
                    <w:bCs/>
                    <w:lang w:val="is-IS"/>
                  </w:rPr>
                  <w:t>afmarkað, tæknilegt</w:t>
                </w:r>
                <w:r w:rsidR="00123DA5">
                  <w:rPr>
                    <w:rFonts w:ascii="Times New Roman" w:hAnsi="Times New Roman" w:cs="Times New Roman"/>
                    <w:bCs/>
                    <w:lang w:val="is-IS"/>
                  </w:rPr>
                  <w:t xml:space="preserve"> efni </w:t>
                </w:r>
                <w:r w:rsidR="00023447">
                  <w:rPr>
                    <w:rFonts w:ascii="Times New Roman" w:hAnsi="Times New Roman" w:cs="Times New Roman"/>
                    <w:bCs/>
                    <w:lang w:val="is-IS"/>
                  </w:rPr>
                  <w:t xml:space="preserve">tilskipunarinnar </w:t>
                </w:r>
                <w:r w:rsidR="00113611">
                  <w:rPr>
                    <w:rFonts w:ascii="Times New Roman" w:hAnsi="Times New Roman" w:cs="Times New Roman"/>
                    <w:bCs/>
                    <w:lang w:val="is-IS"/>
                  </w:rPr>
                  <w:t>um lágmarkskröfu um eiginfjárgrunn og hæfar skuldbindingar</w:t>
                </w:r>
                <w:r w:rsidR="00123DA5">
                  <w:rPr>
                    <w:rFonts w:ascii="Times New Roman" w:hAnsi="Times New Roman" w:cs="Times New Roman"/>
                    <w:bCs/>
                    <w:lang w:val="is-IS"/>
                  </w:rPr>
                  <w:t xml:space="preserve"> </w:t>
                </w:r>
                <w:r w:rsidR="00023447">
                  <w:rPr>
                    <w:rFonts w:ascii="Times New Roman" w:hAnsi="Times New Roman" w:cs="Times New Roman"/>
                    <w:bCs/>
                    <w:lang w:val="is-IS"/>
                  </w:rPr>
                  <w:t>með</w:t>
                </w:r>
                <w:r w:rsidR="00123DA5">
                  <w:rPr>
                    <w:rFonts w:ascii="Times New Roman" w:hAnsi="Times New Roman" w:cs="Times New Roman"/>
                    <w:bCs/>
                    <w:lang w:val="is-IS"/>
                  </w:rPr>
                  <w:t xml:space="preserve"> reglugerð ráðherra sem sett yrði með stoð í lögunum.</w:t>
                </w:r>
              </w:p>
            </w:sdtContent>
          </w:sdt>
        </w:tc>
      </w:tr>
      <w:permEnd w:id="1388608922"/>
      <w:tr w:rsidR="00E34B42" w:rsidRPr="00E34B42" w14:paraId="20F8C97A" w14:textId="77777777" w:rsidTr="007414CB">
        <w:tc>
          <w:tcPr>
            <w:tcW w:w="9288" w:type="dxa"/>
            <w:shd w:val="clear" w:color="auto" w:fill="92CDDC" w:themeFill="accent5" w:themeFillTint="99"/>
          </w:tcPr>
          <w:p w14:paraId="6F1F5B27"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327F78D" w14:textId="77777777" w:rsidTr="002115E6">
        <w:trPr>
          <w:trHeight w:val="679"/>
        </w:trPr>
        <w:tc>
          <w:tcPr>
            <w:tcW w:w="9288" w:type="dxa"/>
          </w:tcPr>
          <w:sdt>
            <w:sdtPr>
              <w:rPr>
                <w:rFonts w:ascii="Times New Roman" w:hAnsi="Times New Roman" w:cs="Times New Roman"/>
                <w:b/>
                <w:lang w:val="is-IS"/>
              </w:rPr>
              <w:id w:val="-853185132"/>
            </w:sdtPr>
            <w:sdtEndPr/>
            <w:sdtContent>
              <w:permStart w:id="429802327" w:edGrp="everyone" w:displacedByCustomXml="prev"/>
              <w:p w14:paraId="03560CCA" w14:textId="54102F5D"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67592FC0" w14:textId="4AD0B173" w:rsidR="002501BE" w:rsidRDefault="002A3041" w:rsidP="00977971">
                <w:pPr>
                  <w:pStyle w:val="ListParagraph"/>
                  <w:spacing w:before="120" w:after="120"/>
                  <w:ind w:left="0"/>
                  <w:contextualSpacing w:val="0"/>
                  <w:jc w:val="both"/>
                  <w:rPr>
                    <w:rFonts w:ascii="Times New Roman" w:hAnsi="Times New Roman" w:cs="Times New Roman"/>
                    <w:lang w:val="is-IS"/>
                  </w:rPr>
                </w:pPr>
                <w:r w:rsidRPr="00D74133">
                  <w:rPr>
                    <w:rFonts w:ascii="Times New Roman" w:hAnsi="Times New Roman" w:cs="Times New Roman"/>
                    <w:lang w:val="is-IS"/>
                  </w:rPr>
                  <w:t>Lagt er til</w:t>
                </w:r>
                <w:r w:rsidRPr="002A3041">
                  <w:rPr>
                    <w:rFonts w:ascii="Times New Roman" w:hAnsi="Times New Roman" w:cs="Times New Roman"/>
                    <w:lang w:val="is-IS"/>
                  </w:rPr>
                  <w:t xml:space="preserve"> að </w:t>
                </w:r>
                <w:r w:rsidR="00023447">
                  <w:rPr>
                    <w:rFonts w:ascii="Times New Roman" w:hAnsi="Times New Roman" w:cs="Times New Roman"/>
                    <w:lang w:val="is-IS"/>
                  </w:rPr>
                  <w:t>megin</w:t>
                </w:r>
                <w:r w:rsidRPr="002A3041">
                  <w:rPr>
                    <w:rFonts w:ascii="Times New Roman" w:hAnsi="Times New Roman" w:cs="Times New Roman"/>
                    <w:lang w:val="is-IS"/>
                  </w:rPr>
                  <w:t xml:space="preserve">efni </w:t>
                </w:r>
                <w:r w:rsidR="00023447">
                  <w:rPr>
                    <w:rFonts w:ascii="Times New Roman" w:hAnsi="Times New Roman" w:cs="Times New Roman"/>
                    <w:lang w:val="is-IS"/>
                  </w:rPr>
                  <w:t>BRRD II</w:t>
                </w:r>
                <w:r w:rsidRPr="002A3041">
                  <w:rPr>
                    <w:rFonts w:ascii="Times New Roman" w:hAnsi="Times New Roman" w:cs="Times New Roman"/>
                    <w:lang w:val="is-IS"/>
                  </w:rPr>
                  <w:t xml:space="preserve"> verði innleitt með </w:t>
                </w:r>
                <w:r w:rsidR="00023447">
                  <w:rPr>
                    <w:rFonts w:ascii="Times New Roman" w:hAnsi="Times New Roman" w:cs="Times New Roman"/>
                    <w:lang w:val="is-IS"/>
                  </w:rPr>
                  <w:t>breytingum á</w:t>
                </w:r>
                <w:r w:rsidRPr="002A3041">
                  <w:rPr>
                    <w:rFonts w:ascii="Times New Roman" w:hAnsi="Times New Roman" w:cs="Times New Roman"/>
                    <w:lang w:val="is-IS"/>
                  </w:rPr>
                  <w:t xml:space="preserve"> lög</w:t>
                </w:r>
                <w:r w:rsidR="00023447">
                  <w:rPr>
                    <w:rFonts w:ascii="Times New Roman" w:hAnsi="Times New Roman" w:cs="Times New Roman"/>
                    <w:lang w:val="is-IS"/>
                  </w:rPr>
                  <w:t>um</w:t>
                </w:r>
                <w:r w:rsidRPr="002A3041">
                  <w:rPr>
                    <w:rFonts w:ascii="Times New Roman" w:hAnsi="Times New Roman" w:cs="Times New Roman"/>
                    <w:lang w:val="is-IS"/>
                  </w:rPr>
                  <w:t xml:space="preserve"> um skilameðferð lánastofnana og verðbréfafyrirtækja</w:t>
                </w:r>
                <w:r w:rsidR="00023447">
                  <w:rPr>
                    <w:rFonts w:ascii="Times New Roman" w:hAnsi="Times New Roman" w:cs="Times New Roman"/>
                    <w:lang w:val="is-IS"/>
                  </w:rPr>
                  <w:t>, nr. 70/2020</w:t>
                </w:r>
                <w:r>
                  <w:rPr>
                    <w:rFonts w:ascii="Times New Roman" w:hAnsi="Times New Roman" w:cs="Times New Roman"/>
                    <w:lang w:val="is-IS"/>
                  </w:rPr>
                  <w:t>.</w:t>
                </w:r>
                <w:r w:rsidRPr="002A3041">
                  <w:rPr>
                    <w:rFonts w:ascii="Times New Roman" w:hAnsi="Times New Roman" w:cs="Times New Roman"/>
                    <w:lang w:val="is-IS"/>
                  </w:rPr>
                  <w:t xml:space="preserve"> </w:t>
                </w:r>
                <w:r w:rsidR="00023447">
                  <w:rPr>
                    <w:rFonts w:ascii="Times New Roman" w:hAnsi="Times New Roman" w:cs="Times New Roman"/>
                    <w:lang w:val="is-IS"/>
                  </w:rPr>
                  <w:t xml:space="preserve">Um er að ræða afmarkaðar breytingar á flestum köflum SML. Einnig verða lagðar til einstakar breytingar á ákvæðum laganna sem ekki eru innleiðing á </w:t>
                </w:r>
                <w:r w:rsidR="002501BE">
                  <w:rPr>
                    <w:rFonts w:ascii="Times New Roman" w:hAnsi="Times New Roman" w:cs="Times New Roman"/>
                    <w:lang w:val="is-IS"/>
                  </w:rPr>
                  <w:t xml:space="preserve">efni </w:t>
                </w:r>
                <w:r w:rsidR="00023447">
                  <w:rPr>
                    <w:rFonts w:ascii="Times New Roman" w:hAnsi="Times New Roman" w:cs="Times New Roman"/>
                    <w:lang w:val="is-IS"/>
                  </w:rPr>
                  <w:t xml:space="preserve">BRRD II en hafa þann tilgang að auka skýrleika nú þegar nokkur reynsla er komin á framkvæmd laganna. </w:t>
                </w:r>
                <w:r w:rsidR="002501BE">
                  <w:rPr>
                    <w:rFonts w:ascii="Times New Roman" w:hAnsi="Times New Roman" w:cs="Times New Roman"/>
                    <w:lang w:val="is-IS"/>
                  </w:rPr>
                  <w:t xml:space="preserve">Lagt er til að hluti af efni BRRD II verði innleitt með reglugerð ráðherra og mun frumvarpið kveða á um lagastoð fyrir slíkri reglugerð. </w:t>
                </w:r>
              </w:p>
              <w:p w14:paraId="6683C905" w14:textId="77777777" w:rsidR="002A3041"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5C5A6B22" w14:textId="77777777" w:rsidR="00042523" w:rsidRDefault="00506AF1" w:rsidP="00977971">
                <w:pPr>
                  <w:pStyle w:val="ListParagraph"/>
                  <w:spacing w:before="120" w:after="120"/>
                  <w:ind w:left="0"/>
                  <w:contextualSpacing w:val="0"/>
                  <w:jc w:val="both"/>
                  <w:rPr>
                    <w:rFonts w:ascii="Times New Roman" w:hAnsi="Times New Roman" w:cs="Times New Roman"/>
                    <w:lang w:val="is-IS"/>
                  </w:rPr>
                </w:pPr>
                <w:r>
                  <w:rPr>
                    <w:rFonts w:ascii="Times New Roman" w:hAnsi="Times New Roman" w:cs="Times New Roman"/>
                    <w:lang w:val="is-IS"/>
                  </w:rPr>
                  <w:t xml:space="preserve">Í frumvarpinu verða lagðar til </w:t>
                </w:r>
                <w:r w:rsidR="00042523">
                  <w:rPr>
                    <w:rFonts w:ascii="Times New Roman" w:hAnsi="Times New Roman" w:cs="Times New Roman"/>
                    <w:lang w:val="is-IS"/>
                  </w:rPr>
                  <w:t>ýmsar</w:t>
                </w:r>
                <w:r>
                  <w:rPr>
                    <w:rFonts w:ascii="Times New Roman" w:hAnsi="Times New Roman" w:cs="Times New Roman"/>
                    <w:lang w:val="is-IS"/>
                  </w:rPr>
                  <w:t xml:space="preserve"> breytingar á SML. Flestar þeirra eru tæknilegs eðlis og tengjast breytingum BRRD II á reglum um lágmarkskröfu um eiginfjárgrunn og hæfar skuldbindingar</w:t>
                </w:r>
                <w:r w:rsidR="009E6BF2">
                  <w:rPr>
                    <w:rFonts w:ascii="Times New Roman" w:hAnsi="Times New Roman" w:cs="Times New Roman"/>
                    <w:lang w:val="is-IS"/>
                  </w:rPr>
                  <w:t>.</w:t>
                </w:r>
                <w:r>
                  <w:rPr>
                    <w:rFonts w:ascii="Times New Roman" w:hAnsi="Times New Roman" w:cs="Times New Roman"/>
                    <w:lang w:val="is-IS"/>
                  </w:rPr>
                  <w:t xml:space="preserve"> </w:t>
                </w:r>
                <w:r w:rsidR="00042523">
                  <w:rPr>
                    <w:rFonts w:ascii="Times New Roman" w:hAnsi="Times New Roman" w:cs="Times New Roman"/>
                    <w:lang w:val="is-IS"/>
                  </w:rPr>
                  <w:t>Eðli máls samkvæmt hefur innleiðing á BRRD II þau áhrif að fyrri innleiðing á BRRD verði rýnd nú þegar nokkur reynsla er komin á framkvæmd SML. Sú rýni kallar á einstakar breytingar á þeim lögum og lögum um fjármálafyrirtæki, nr. 161/2002, enda rík innbyrðis tengsl á milli þessara laga. Eftirfarandi eru helstu breytingar sem lagðar verða til í frumvarpinu:</w:t>
                </w:r>
              </w:p>
              <w:p w14:paraId="105DDDC5"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Mælt verður fyrir um nýtt markmiðsákvæði laganna þannig að ákvæðið endurspegli betur markmið BRRD-tilskipunarinnar.</w:t>
                </w:r>
              </w:p>
              <w:p w14:paraId="7C1185A3"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lastRenderedPageBreak/>
                  <w:t>Nákvæmari reglur um skilaáætlun og skilabærni, sér í lagi hvað samstæður varðar. Miðað við núverandi aðstæður á fjármálamarkaði hafa breytingarnar takmarkaða þýðingu hér á landi enda varða þær að meginstefnu til samstæður og undirsamstæður þeirra.</w:t>
                </w:r>
              </w:p>
              <w:p w14:paraId="4740AB76"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Ýmsar breytingar á ákvæðum IV. kafla laganna um lágmarkskröfu um eiginfjárgrunn og hæfar skuldbindingar. Breytingarnar uppfæra meðal annars hvernig lágmarkskrafan er reiknuð út, þær skuldbindingar sem hægt er að nota til að uppfylla lágmarkskröfuna og einstakar valdheimildir Seðlabankans, þ.m.t. til að leggja stjórnvaldssektir á fyrirtæki eða leggja á bann við því að fyrirtækin framkvæmi tilteknar útgreiðslur ef þau uppfylla ekki lágmarkskröfuna.</w:t>
                </w:r>
              </w:p>
              <w:p w14:paraId="16FEA16A"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Kveðið verður á um skyldu ráðherra til að setja reglugerð um lágmarkskröfu um eiginfjárgrunn og hæfar skuldbindingar. Reglugerð ráðherra mun innleiða meginefni tilskipunar (ESB) 2019/879 sem fjallar um lágmarkskröfu um eiginfjárgrunn og hæfar skuldbindingar.</w:t>
                </w:r>
              </w:p>
              <w:p w14:paraId="4183274A"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Fyrirmæli um samningsskilmála í samningum fyrirtækis eða einingar sem varða skuldbindingar sem útgefnar eru samkvæmt löggjöf utan Evrópska efnahagssvæðisins.</w:t>
                </w:r>
              </w:p>
              <w:p w14:paraId="5F871C2B"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 xml:space="preserve">Mælt verður fyrir um breytingar á ákvæði laganna um ákvörðun um skilameðferð. Breytingarnar auka skýrleika og kveða einnig á um víðtækari heimildir til að taka eignarhaldsfélög til skilameðferðar. </w:t>
                </w:r>
              </w:p>
              <w:p w14:paraId="5D50991A" w14:textId="77777777" w:rsidR="00042523" w:rsidRPr="00042523" w:rsidRDefault="00042523" w:rsidP="00042523">
                <w:pPr>
                  <w:pStyle w:val="ListParagraph"/>
                  <w:numPr>
                    <w:ilvl w:val="0"/>
                    <w:numId w:val="23"/>
                  </w:numPr>
                  <w:jc w:val="both"/>
                  <w:rPr>
                    <w:rFonts w:ascii="Times New Roman" w:hAnsi="Times New Roman" w:cs="Times New Roman"/>
                    <w:color w:val="000000" w:themeColor="text1"/>
                    <w:lang w:val="is-IS"/>
                  </w:rPr>
                </w:pPr>
                <w:r w:rsidRPr="00042523">
                  <w:rPr>
                    <w:rFonts w:ascii="Times New Roman" w:hAnsi="Times New Roman" w:cs="Times New Roman"/>
                    <w:color w:val="000000" w:themeColor="text1"/>
                    <w:lang w:val="is-IS"/>
                  </w:rPr>
                  <w:t>Skilavald Seðlabanka Íslands fær heimild að ákveðnum skilyrðum uppfylltum til að fresta tilteknum skuldbindingum áður en formleg ákvörðun um skilameðferð er tekin.</w:t>
                </w:r>
              </w:p>
              <w:p w14:paraId="17354F18" w14:textId="6FCF16BC" w:rsidR="000D6E33" w:rsidRPr="00042523" w:rsidRDefault="00042523" w:rsidP="00042523">
                <w:pPr>
                  <w:pStyle w:val="ListParagraph"/>
                  <w:numPr>
                    <w:ilvl w:val="0"/>
                    <w:numId w:val="23"/>
                  </w:numPr>
                  <w:jc w:val="both"/>
                  <w:rPr>
                    <w:rFonts w:ascii="Times New Roman" w:hAnsi="Times New Roman" w:cs="Times New Roman"/>
                    <w:color w:val="000000" w:themeColor="text1"/>
                  </w:rPr>
                </w:pPr>
                <w:r w:rsidRPr="00042523">
                  <w:rPr>
                    <w:rFonts w:ascii="Times New Roman" w:hAnsi="Times New Roman" w:cs="Times New Roman"/>
                    <w:color w:val="000000" w:themeColor="text1"/>
                    <w:lang w:val="is-IS"/>
                  </w:rPr>
                  <w:t>Mælt verður fyrir um breytingar á XII. kafla laga um fjármálafyrirtæki. Breytingarnar skerpa meðal annars á samspili endurskipulagningar fjárhags og skilameðferð og einnig reglum um meðferð krafna við slitameðferð.</w:t>
                </w:r>
                <w:r w:rsidRPr="00042523">
                  <w:rPr>
                    <w:rFonts w:ascii="Times New Roman" w:hAnsi="Times New Roman" w:cs="Times New Roman"/>
                    <w:color w:val="000000" w:themeColor="text1"/>
                  </w:rPr>
                  <w:t xml:space="preserve"> </w:t>
                </w:r>
              </w:p>
              <w:permEnd w:id="429802327" w:displacedByCustomXml="next"/>
            </w:sdtContent>
          </w:sdt>
        </w:tc>
      </w:tr>
      <w:tr w:rsidR="00E34B42" w:rsidRPr="002A54E0" w14:paraId="37E3A449" w14:textId="77777777" w:rsidTr="007414CB">
        <w:tc>
          <w:tcPr>
            <w:tcW w:w="9288" w:type="dxa"/>
            <w:shd w:val="clear" w:color="auto" w:fill="92CDDC" w:themeFill="accent5" w:themeFillTint="99"/>
          </w:tcPr>
          <w:p w14:paraId="5F50C007"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4CC90460"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044465482" w:edGrp="everyone" w:displacedByCustomXml="prev"/>
              <w:p w14:paraId="31B2924D" w14:textId="77777777" w:rsidR="006906A4"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p>
              <w:p w14:paraId="332252E5" w14:textId="5C5F7F5F" w:rsidR="009941D2" w:rsidRPr="006906A4" w:rsidRDefault="006906A4" w:rsidP="00977971">
                <w:pPr>
                  <w:pStyle w:val="ListParagraph"/>
                  <w:spacing w:before="120" w:after="120"/>
                  <w:ind w:left="0"/>
                  <w:contextualSpacing w:val="0"/>
                  <w:jc w:val="both"/>
                  <w:rPr>
                    <w:rFonts w:ascii="Times New Roman" w:hAnsi="Times New Roman" w:cs="Times New Roman"/>
                    <w:bCs/>
                    <w:lang w:val="is-IS"/>
                  </w:rPr>
                </w:pPr>
                <w:r w:rsidRPr="006906A4">
                  <w:rPr>
                    <w:rFonts w:ascii="Times New Roman" w:hAnsi="Times New Roman" w:cs="Times New Roman"/>
                    <w:bCs/>
                    <w:lang w:val="is-IS"/>
                  </w:rPr>
                  <w:t xml:space="preserve">Já, um er að ræða innleiðingu á tilskipun ESB sem Ísland er skuldbindið að þjóðarrétti samkvæmt EES-samningnum að taka upp í landsrétt, sbr. 7. gr. EES-samningsins. Tilskipunin var </w:t>
                </w:r>
                <w:r w:rsidR="008D0732" w:rsidRPr="00023447">
                  <w:rPr>
                    <w:rFonts w:ascii="Times New Roman" w:hAnsi="Times New Roman" w:cs="Times New Roman"/>
                    <w:bCs/>
                    <w:lang w:val="is-IS"/>
                  </w:rPr>
                  <w:t xml:space="preserve">var tekin upp í EES-samninginn með </w:t>
                </w:r>
                <w:hyperlink r:id="rId22" w:history="1">
                  <w:r w:rsidR="008D0732" w:rsidRPr="00023447">
                    <w:rPr>
                      <w:rStyle w:val="Hyperlink"/>
                      <w:rFonts w:ascii="Times New Roman" w:hAnsi="Times New Roman" w:cs="Times New Roman"/>
                      <w:bCs/>
                      <w:lang w:val="is-IS"/>
                    </w:rPr>
                    <w:t>ákvörðun sameiginlegu EES-nefndarinnar nr. 145/2022 frá 29. apríl 2022</w:t>
                  </w:r>
                </w:hyperlink>
                <w:r w:rsidR="008D0732" w:rsidRPr="00023447">
                  <w:rPr>
                    <w:rFonts w:ascii="Times New Roman" w:hAnsi="Times New Roman" w:cs="Times New Roman"/>
                    <w:bCs/>
                    <w:lang w:val="is-IS"/>
                  </w:rPr>
                  <w:t>.</w:t>
                </w:r>
                <w:r w:rsidR="00E67F09" w:rsidRPr="006906A4">
                  <w:rPr>
                    <w:rFonts w:ascii="Times New Roman" w:hAnsi="Times New Roman" w:cs="Times New Roman"/>
                    <w:bCs/>
                    <w:lang w:val="is-IS"/>
                  </w:rPr>
                  <w:t xml:space="preserve"> </w:t>
                </w:r>
              </w:p>
              <w:p w14:paraId="10D64B16" w14:textId="383B1795" w:rsidR="00977971" w:rsidRPr="00977971" w:rsidRDefault="002B70B7" w:rsidP="00977971">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977971">
                  <w:rPr>
                    <w:rFonts w:ascii="Times New Roman" w:hAnsi="Times New Roman" w:cs="Times New Roman"/>
                    <w:b/>
                    <w:lang w:val="is-IS"/>
                  </w:rPr>
                  <w:t xml:space="preserve"> </w:t>
                </w:r>
                <w:r w:rsidR="00977971" w:rsidRPr="00977971">
                  <w:rPr>
                    <w:rFonts w:ascii="Times New Roman" w:hAnsi="Times New Roman" w:cs="Times New Roman"/>
                    <w:bCs/>
                    <w:lang w:val="is-IS"/>
                  </w:rPr>
                  <w:t>Nei.</w:t>
                </w:r>
              </w:p>
              <w:p w14:paraId="260945D7" w14:textId="5AD49D3B" w:rsidR="00CA3381" w:rsidRPr="00977971" w:rsidRDefault="00D62AAC" w:rsidP="00977971">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977971">
                  <w:rPr>
                    <w:rFonts w:ascii="Times New Roman" w:hAnsi="Times New Roman" w:cs="Times New Roman"/>
                    <w:b/>
                    <w:lang w:val="is-IS"/>
                  </w:rPr>
                  <w:t xml:space="preserve"> </w:t>
                </w:r>
                <w:r w:rsidR="00977971" w:rsidRPr="00977971">
                  <w:rPr>
                    <w:rFonts w:ascii="Times New Roman" w:hAnsi="Times New Roman" w:cs="Times New Roman"/>
                    <w:bCs/>
                    <w:lang w:val="is-IS"/>
                  </w:rPr>
                  <w:t>Nei.</w:t>
                </w:r>
                <w:r w:rsidR="00BA4BB1" w:rsidRPr="00977971">
                  <w:rPr>
                    <w:rFonts w:ascii="Times New Roman" w:hAnsi="Times New Roman" w:cs="Times New Roman"/>
                    <w:b/>
                    <w:lang w:val="is-IS"/>
                  </w:rPr>
                  <w:t xml:space="preserve"> </w:t>
                </w:r>
              </w:p>
              <w:permEnd w:id="2044465482" w:displacedByCustomXml="next"/>
            </w:sdtContent>
          </w:sdt>
        </w:tc>
      </w:tr>
      <w:tr w:rsidR="00E34B42" w:rsidRPr="00E34B42" w14:paraId="2AE2E37E" w14:textId="77777777" w:rsidTr="007414CB">
        <w:tc>
          <w:tcPr>
            <w:tcW w:w="9288" w:type="dxa"/>
            <w:shd w:val="clear" w:color="auto" w:fill="92CDDC" w:themeFill="accent5" w:themeFillTint="99"/>
          </w:tcPr>
          <w:p w14:paraId="56B9A45A"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523D20B5" w14:textId="77777777" w:rsidTr="00FD2097">
        <w:trPr>
          <w:trHeight w:val="826"/>
        </w:trPr>
        <w:tc>
          <w:tcPr>
            <w:tcW w:w="9288" w:type="dxa"/>
          </w:tcPr>
          <w:sdt>
            <w:sdtPr>
              <w:rPr>
                <w:rFonts w:ascii="Times New Roman" w:hAnsi="Times New Roman" w:cs="Times New Roman"/>
                <w:b/>
                <w:lang w:val="is-IS"/>
              </w:rPr>
              <w:id w:val="501779221"/>
            </w:sdtPr>
            <w:sdtEndPr/>
            <w:sdtContent>
              <w:permStart w:id="1668762631" w:edGrp="everyone" w:displacedByCustomXml="prev"/>
              <w:p w14:paraId="669DA9AB" w14:textId="77777777" w:rsidR="006906A4"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14:paraId="5D3E2799" w14:textId="5541E7D4" w:rsidR="009941D2" w:rsidRPr="006906A4" w:rsidRDefault="006906A4" w:rsidP="00977971">
                <w:pPr>
                  <w:pStyle w:val="ListParagraph"/>
                  <w:spacing w:before="120" w:after="120"/>
                  <w:ind w:left="0"/>
                  <w:contextualSpacing w:val="0"/>
                  <w:jc w:val="both"/>
                  <w:rPr>
                    <w:rFonts w:ascii="Times New Roman" w:hAnsi="Times New Roman" w:cs="Times New Roman"/>
                    <w:bCs/>
                    <w:lang w:val="is-IS"/>
                  </w:rPr>
                </w:pPr>
                <w:r w:rsidRPr="006906A4">
                  <w:rPr>
                    <w:rFonts w:ascii="Times New Roman" w:hAnsi="Times New Roman" w:cs="Times New Roman"/>
                    <w:bCs/>
                    <w:lang w:val="is-IS"/>
                  </w:rPr>
                  <w:t>Fjármálafyrirtæki</w:t>
                </w:r>
                <w:r w:rsidR="008D0732">
                  <w:rPr>
                    <w:rFonts w:ascii="Times New Roman" w:hAnsi="Times New Roman" w:cs="Times New Roman"/>
                    <w:bCs/>
                    <w:lang w:val="is-IS"/>
                  </w:rPr>
                  <w:t xml:space="preserve"> </w:t>
                </w:r>
                <w:r w:rsidRPr="006906A4">
                  <w:rPr>
                    <w:rFonts w:ascii="Times New Roman" w:hAnsi="Times New Roman" w:cs="Times New Roman"/>
                    <w:bCs/>
                    <w:lang w:val="is-IS"/>
                  </w:rPr>
                  <w:t>og Seðlabank</w:t>
                </w:r>
                <w:r w:rsidR="00113611">
                  <w:rPr>
                    <w:rFonts w:ascii="Times New Roman" w:hAnsi="Times New Roman" w:cs="Times New Roman"/>
                    <w:bCs/>
                    <w:lang w:val="is-IS"/>
                  </w:rPr>
                  <w:t>i</w:t>
                </w:r>
                <w:r w:rsidRPr="006906A4">
                  <w:rPr>
                    <w:rFonts w:ascii="Times New Roman" w:hAnsi="Times New Roman" w:cs="Times New Roman"/>
                    <w:bCs/>
                    <w:lang w:val="is-IS"/>
                  </w:rPr>
                  <w:t xml:space="preserve"> Íslands.</w:t>
                </w:r>
                <w:r w:rsidR="002B70B7" w:rsidRPr="006906A4">
                  <w:rPr>
                    <w:rFonts w:ascii="Times New Roman" w:hAnsi="Times New Roman" w:cs="Times New Roman"/>
                    <w:bCs/>
                    <w:lang w:val="is-IS"/>
                  </w:rPr>
                  <w:t xml:space="preserve"> </w:t>
                </w:r>
              </w:p>
              <w:p w14:paraId="7F3B79FC" w14:textId="77777777" w:rsidR="00E01603"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3481F5B8" w14:textId="06FDD663" w:rsidR="009941D2" w:rsidRPr="00E01603" w:rsidRDefault="009D5519" w:rsidP="00977971">
                <w:pPr>
                  <w:pStyle w:val="ListParagraph"/>
                  <w:spacing w:before="120" w:after="120"/>
                  <w:ind w:left="0"/>
                  <w:contextualSpacing w:val="0"/>
                  <w:jc w:val="both"/>
                  <w:rPr>
                    <w:rFonts w:ascii="Times New Roman" w:hAnsi="Times New Roman" w:cs="Times New Roman"/>
                    <w:bCs/>
                    <w:lang w:val="is-IS"/>
                  </w:rPr>
                </w:pPr>
                <w:r>
                  <w:rPr>
                    <w:rFonts w:ascii="Times New Roman" w:hAnsi="Times New Roman" w:cs="Times New Roman"/>
                    <w:bCs/>
                    <w:lang w:val="is-IS"/>
                  </w:rPr>
                  <w:t>Nei.</w:t>
                </w:r>
              </w:p>
              <w:p w14:paraId="78BC6536" w14:textId="64896759"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64EA3B8" w14:textId="5323A6EE" w:rsidR="00E01603" w:rsidRPr="0009623F" w:rsidRDefault="00215325" w:rsidP="00977971">
                <w:pPr>
                  <w:pStyle w:val="ListParagraph"/>
                  <w:spacing w:before="120" w:after="120"/>
                  <w:ind w:left="0"/>
                  <w:contextualSpacing w:val="0"/>
                  <w:jc w:val="both"/>
                  <w:rPr>
                    <w:rFonts w:ascii="Times New Roman" w:hAnsi="Times New Roman" w:cs="Times New Roman"/>
                    <w:bCs/>
                    <w:lang w:val="is-IS"/>
                  </w:rPr>
                </w:pPr>
                <w:r w:rsidRPr="0009623F">
                  <w:rPr>
                    <w:rFonts w:ascii="Times New Roman" w:hAnsi="Times New Roman" w:cs="Times New Roman"/>
                    <w:bCs/>
                    <w:lang w:val="is-IS"/>
                  </w:rPr>
                  <w:t>Unnið er að frumvarpsdrögum í samráði við Seðlabanka Íslands.</w:t>
                </w:r>
              </w:p>
              <w:p w14:paraId="2EF159A2" w14:textId="77777777" w:rsidR="00E01603"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6E83D2DB" w14:textId="2398BE64" w:rsidR="00CA3381" w:rsidRPr="00E34B42" w:rsidRDefault="00080080" w:rsidP="00977971">
                <w:pPr>
                  <w:pStyle w:val="ListParagraph"/>
                  <w:spacing w:before="120" w:after="120"/>
                  <w:ind w:left="0"/>
                  <w:contextualSpacing w:val="0"/>
                  <w:jc w:val="both"/>
                  <w:rPr>
                    <w:rFonts w:ascii="Times New Roman" w:hAnsi="Times New Roman" w:cs="Times New Roman"/>
                    <w:b/>
                    <w:lang w:val="is-IS"/>
                  </w:rPr>
                </w:pPr>
                <w:r>
                  <w:rPr>
                    <w:rFonts w:ascii="Times New Roman" w:hAnsi="Times New Roman" w:cs="Times New Roman"/>
                    <w:lang w:val="is-IS"/>
                  </w:rPr>
                  <w:t>S</w:t>
                </w:r>
                <w:r w:rsidR="00E01603">
                  <w:rPr>
                    <w:rFonts w:ascii="Times New Roman" w:hAnsi="Times New Roman" w:cs="Times New Roman"/>
                    <w:lang w:val="is-IS"/>
                  </w:rPr>
                  <w:t>amráð við Seðlabanka Íslands</w:t>
                </w:r>
                <w:r>
                  <w:rPr>
                    <w:rFonts w:ascii="Times New Roman" w:hAnsi="Times New Roman" w:cs="Times New Roman"/>
                    <w:lang w:val="is-IS"/>
                  </w:rPr>
                  <w:t>. Áform um lagasetningu ásamt drögum að lagafrumvarpi verða</w:t>
                </w:r>
                <w:r w:rsidR="009D5519">
                  <w:rPr>
                    <w:rFonts w:ascii="Times New Roman" w:hAnsi="Times New Roman" w:cs="Times New Roman"/>
                    <w:lang w:val="is-IS"/>
                  </w:rPr>
                  <w:t xml:space="preserve"> </w:t>
                </w:r>
                <w:r w:rsidR="00E01603">
                  <w:rPr>
                    <w:rFonts w:ascii="Times New Roman" w:hAnsi="Times New Roman" w:cs="Times New Roman"/>
                    <w:lang w:val="is-IS"/>
                  </w:rPr>
                  <w:t xml:space="preserve">birt </w:t>
                </w:r>
                <w:r>
                  <w:rPr>
                    <w:rFonts w:ascii="Times New Roman" w:hAnsi="Times New Roman" w:cs="Times New Roman"/>
                    <w:lang w:val="is-IS"/>
                  </w:rPr>
                  <w:t xml:space="preserve">til kynningar </w:t>
                </w:r>
                <w:r w:rsidR="00E01603">
                  <w:rPr>
                    <w:rFonts w:ascii="Times New Roman" w:hAnsi="Times New Roman" w:cs="Times New Roman"/>
                    <w:lang w:val="is-IS"/>
                  </w:rPr>
                  <w:t xml:space="preserve">í samráðsgátt </w:t>
                </w:r>
                <w:r w:rsidR="00DB1F01">
                  <w:rPr>
                    <w:rFonts w:ascii="Times New Roman" w:hAnsi="Times New Roman" w:cs="Times New Roman"/>
                    <w:lang w:val="is-IS"/>
                  </w:rPr>
                  <w:t>stjórnvalda</w:t>
                </w:r>
                <w:r w:rsidR="00E01603">
                  <w:rPr>
                    <w:rFonts w:ascii="Times New Roman" w:hAnsi="Times New Roman" w:cs="Times New Roman"/>
                    <w:lang w:val="is-IS"/>
                  </w:rPr>
                  <w:t>.</w:t>
                </w:r>
                <w:r w:rsidR="00BA4BB1" w:rsidRPr="00E34B42">
                  <w:rPr>
                    <w:rFonts w:ascii="Times New Roman" w:hAnsi="Times New Roman" w:cs="Times New Roman"/>
                    <w:b/>
                    <w:lang w:val="is-IS"/>
                  </w:rPr>
                  <w:t xml:space="preserve"> </w:t>
                </w:r>
              </w:p>
              <w:permEnd w:id="1668762631" w:displacedByCustomXml="next"/>
            </w:sdtContent>
          </w:sdt>
        </w:tc>
      </w:tr>
      <w:tr w:rsidR="00E34B42" w:rsidRPr="00E34B42" w14:paraId="78F57CA1" w14:textId="77777777" w:rsidTr="007414CB">
        <w:tc>
          <w:tcPr>
            <w:tcW w:w="9288" w:type="dxa"/>
            <w:shd w:val="clear" w:color="auto" w:fill="92CDDC" w:themeFill="accent5" w:themeFillTint="99"/>
          </w:tcPr>
          <w:p w14:paraId="0E1C910E"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5074488" w14:textId="77777777" w:rsidTr="007414CB">
        <w:trPr>
          <w:trHeight w:val="283"/>
        </w:trPr>
        <w:tc>
          <w:tcPr>
            <w:tcW w:w="9288" w:type="dxa"/>
          </w:tcPr>
          <w:permStart w:id="70928945"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34A3D06" w14:textId="77777777" w:rsidR="00D8370A"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w:t>
                </w:r>
                <w:r w:rsidR="00D8370A">
                  <w:rPr>
                    <w:rFonts w:ascii="Times New Roman" w:hAnsi="Times New Roman" w:cs="Times New Roman"/>
                    <w:b/>
                    <w:lang w:val="is-IS"/>
                  </w:rPr>
                  <w:t>l</w:t>
                </w:r>
              </w:p>
              <w:p w14:paraId="7CBB35AE" w14:textId="2FC31964" w:rsidR="00F93B5C" w:rsidRPr="00D8370A" w:rsidRDefault="00BF1A44" w:rsidP="00AC7651">
                <w:pPr>
                  <w:spacing w:before="60" w:after="60"/>
                  <w:jc w:val="both"/>
                  <w:rPr>
                    <w:rFonts w:ascii="Times New Roman" w:hAnsi="Times New Roman" w:cs="Times New Roman"/>
                    <w:b/>
                    <w:lang w:val="is-IS"/>
                  </w:rPr>
                </w:pPr>
                <w:r>
                  <w:rPr>
                    <w:rFonts w:ascii="Times New Roman" w:hAnsi="Times New Roman" w:cs="Times New Roman"/>
                    <w:bCs/>
                    <w:lang w:val="is-IS"/>
                  </w:rPr>
                  <w:t>Breytingar samkvæmt áformuðu frumvarpi eru fyrst og fremst tæknilegar breytingar á lögum um skilameðferð lánastofnana og verðbréfafyrirtækja. Breytingarnar auka skýrleika og hafa jákvæð áhrif á starfsemi skilavalds Seðlabanka Íslands sem fer með framkvæmd laganna. Þá hefur vönduð lagaumgjörð á sviði endurreisnar og skilameðferðar fjármálafyrirtæk</w:t>
                </w:r>
                <w:r w:rsidR="00113611">
                  <w:rPr>
                    <w:rFonts w:ascii="Times New Roman" w:hAnsi="Times New Roman" w:cs="Times New Roman"/>
                    <w:bCs/>
                    <w:lang w:val="is-IS"/>
                  </w:rPr>
                  <w:t>ja</w:t>
                </w:r>
                <w:r>
                  <w:rPr>
                    <w:rFonts w:ascii="Times New Roman" w:hAnsi="Times New Roman" w:cs="Times New Roman"/>
                    <w:bCs/>
                    <w:lang w:val="is-IS"/>
                  </w:rPr>
                  <w:t xml:space="preserve"> jákvæð áhrif fyrir almenning, ríkissjóð og þau fjármálafyrirtæki sem starfa á bankamarkaði.</w:t>
                </w:r>
                <w:r w:rsidR="00113611">
                  <w:rPr>
                    <w:rFonts w:ascii="Times New Roman" w:hAnsi="Times New Roman" w:cs="Times New Roman"/>
                    <w:bCs/>
                    <w:lang w:val="is-IS"/>
                  </w:rPr>
                  <w:t xml:space="preserve"> Jafnframt styrkir löggjöfin umgjörð fjármálastöðugleika á landinu.</w:t>
                </w:r>
                <w:r>
                  <w:rPr>
                    <w:rFonts w:ascii="Times New Roman" w:hAnsi="Times New Roman" w:cs="Times New Roman"/>
                    <w:bCs/>
                    <w:lang w:val="is-IS"/>
                  </w:rPr>
                  <w:t xml:space="preserve"> </w:t>
                </w:r>
              </w:p>
            </w:sdtContent>
          </w:sdt>
        </w:tc>
      </w:tr>
      <w:permEnd w:id="70928945"/>
      <w:tr w:rsidR="00E34B42" w:rsidRPr="00E34B42" w14:paraId="1CB14527" w14:textId="77777777" w:rsidTr="007414CB">
        <w:tc>
          <w:tcPr>
            <w:tcW w:w="9288" w:type="dxa"/>
            <w:shd w:val="clear" w:color="auto" w:fill="92CDDC" w:themeFill="accent5" w:themeFillTint="99"/>
          </w:tcPr>
          <w:p w14:paraId="72DCD3AB"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Næstu skref, innleiðing</w:t>
            </w:r>
          </w:p>
        </w:tc>
      </w:tr>
      <w:tr w:rsidR="00E34B42" w:rsidRPr="002A54E0" w14:paraId="54A830B0" w14:textId="77777777" w:rsidTr="00FD2097">
        <w:trPr>
          <w:trHeight w:val="826"/>
        </w:trPr>
        <w:tc>
          <w:tcPr>
            <w:tcW w:w="9288" w:type="dxa"/>
          </w:tcPr>
          <w:permStart w:id="1762883290"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24C42427" w14:textId="77777777" w:rsidR="00215325"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57B6B0B9" w14:textId="31B1F9D5" w:rsidR="009941D2" w:rsidRPr="00215325" w:rsidRDefault="00215325" w:rsidP="00977971">
                <w:pPr>
                  <w:pStyle w:val="ListParagraph"/>
                  <w:spacing w:before="120" w:after="120"/>
                  <w:ind w:left="0"/>
                  <w:contextualSpacing w:val="0"/>
                  <w:rPr>
                    <w:rFonts w:ascii="Times New Roman" w:hAnsi="Times New Roman" w:cs="Times New Roman"/>
                    <w:bCs/>
                    <w:lang w:val="is-IS"/>
                  </w:rPr>
                </w:pPr>
                <w:r w:rsidRPr="00215325">
                  <w:rPr>
                    <w:rFonts w:ascii="Times New Roman" w:hAnsi="Times New Roman" w:cs="Times New Roman"/>
                    <w:bCs/>
                    <w:lang w:val="is-IS"/>
                  </w:rPr>
                  <w:t>Já</w:t>
                </w:r>
                <w:r>
                  <w:rPr>
                    <w:rFonts w:ascii="Times New Roman" w:hAnsi="Times New Roman" w:cs="Times New Roman"/>
                    <w:bCs/>
                    <w:lang w:val="is-IS"/>
                  </w:rPr>
                  <w:t>.</w:t>
                </w:r>
                <w:r w:rsidRPr="00215325">
                  <w:rPr>
                    <w:rFonts w:ascii="Times New Roman" w:hAnsi="Times New Roman" w:cs="Times New Roman"/>
                    <w:bCs/>
                    <w:lang w:val="is-IS"/>
                  </w:rPr>
                  <w:t xml:space="preserve"> </w:t>
                </w:r>
                <w:r>
                  <w:rPr>
                    <w:rFonts w:ascii="Times New Roman" w:hAnsi="Times New Roman" w:cs="Times New Roman"/>
                    <w:bCs/>
                    <w:lang w:val="is-IS"/>
                  </w:rPr>
                  <w:t>Á</w:t>
                </w:r>
                <w:r w:rsidRPr="00215325">
                  <w:rPr>
                    <w:rFonts w:ascii="Times New Roman" w:hAnsi="Times New Roman" w:cs="Times New Roman"/>
                    <w:bCs/>
                    <w:lang w:val="is-IS"/>
                  </w:rPr>
                  <w:t xml:space="preserve">formað er að </w:t>
                </w:r>
                <w:r>
                  <w:rPr>
                    <w:rFonts w:ascii="Times New Roman" w:hAnsi="Times New Roman" w:cs="Times New Roman"/>
                    <w:bCs/>
                    <w:lang w:val="is-IS"/>
                  </w:rPr>
                  <w:t xml:space="preserve">birta drög að frumvarpi í samráðsgátt í </w:t>
                </w:r>
                <w:r w:rsidR="007B778B">
                  <w:rPr>
                    <w:rFonts w:ascii="Times New Roman" w:hAnsi="Times New Roman" w:cs="Times New Roman"/>
                    <w:bCs/>
                    <w:lang w:val="is-IS"/>
                  </w:rPr>
                  <w:t>janúar</w:t>
                </w:r>
                <w:r>
                  <w:rPr>
                    <w:rFonts w:ascii="Times New Roman" w:hAnsi="Times New Roman" w:cs="Times New Roman"/>
                    <w:bCs/>
                    <w:lang w:val="is-IS"/>
                  </w:rPr>
                  <w:t xml:space="preserve"> og </w:t>
                </w:r>
                <w:r w:rsidR="00AC7651">
                  <w:rPr>
                    <w:rFonts w:ascii="Times New Roman" w:hAnsi="Times New Roman" w:cs="Times New Roman"/>
                    <w:bCs/>
                    <w:lang w:val="is-IS"/>
                  </w:rPr>
                  <w:t xml:space="preserve">í framhaldinu </w:t>
                </w:r>
                <w:r w:rsidRPr="00215325">
                  <w:rPr>
                    <w:rFonts w:ascii="Times New Roman" w:hAnsi="Times New Roman" w:cs="Times New Roman"/>
                    <w:bCs/>
                    <w:lang w:val="is-IS"/>
                  </w:rPr>
                  <w:t xml:space="preserve">leggja </w:t>
                </w:r>
                <w:r w:rsidR="00AC7651">
                  <w:rPr>
                    <w:rFonts w:ascii="Times New Roman" w:hAnsi="Times New Roman" w:cs="Times New Roman"/>
                    <w:bCs/>
                    <w:lang w:val="is-IS"/>
                  </w:rPr>
                  <w:t xml:space="preserve">fram </w:t>
                </w:r>
                <w:r>
                  <w:rPr>
                    <w:rFonts w:ascii="Times New Roman" w:hAnsi="Times New Roman" w:cs="Times New Roman"/>
                    <w:bCs/>
                    <w:lang w:val="is-IS"/>
                  </w:rPr>
                  <w:t>frumvarp fyrir Alþingi</w:t>
                </w:r>
                <w:r w:rsidR="00AC7651">
                  <w:rPr>
                    <w:rFonts w:ascii="Times New Roman" w:hAnsi="Times New Roman" w:cs="Times New Roman"/>
                    <w:bCs/>
                    <w:lang w:val="is-IS"/>
                  </w:rPr>
                  <w:t>.</w:t>
                </w:r>
                <w:r w:rsidR="00E67F09" w:rsidRPr="00215325">
                  <w:rPr>
                    <w:rFonts w:ascii="Times New Roman" w:hAnsi="Times New Roman" w:cs="Times New Roman"/>
                    <w:bCs/>
                    <w:lang w:val="is-IS"/>
                  </w:rPr>
                  <w:t xml:space="preserve"> </w:t>
                </w:r>
              </w:p>
              <w:p w14:paraId="16A694F5" w14:textId="022C638F"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7BF4223D" w14:textId="5A3C3013" w:rsidR="00215325" w:rsidRPr="00215325" w:rsidRDefault="00215325" w:rsidP="00977971">
                <w:pPr>
                  <w:pStyle w:val="ListParagraph"/>
                  <w:spacing w:before="120" w:after="120"/>
                  <w:ind w:left="0"/>
                  <w:contextualSpacing w:val="0"/>
                  <w:rPr>
                    <w:rFonts w:ascii="Times New Roman" w:hAnsi="Times New Roman" w:cs="Times New Roman"/>
                    <w:bCs/>
                    <w:lang w:val="is-IS"/>
                  </w:rPr>
                </w:pPr>
                <w:r w:rsidRPr="00215325">
                  <w:rPr>
                    <w:rFonts w:ascii="Times New Roman" w:hAnsi="Times New Roman" w:cs="Times New Roman"/>
                    <w:bCs/>
                    <w:lang w:val="is-IS"/>
                  </w:rPr>
                  <w:t>Ekki er gert ráð fyrir</w:t>
                </w:r>
                <w:r>
                  <w:rPr>
                    <w:rFonts w:ascii="Times New Roman" w:hAnsi="Times New Roman" w:cs="Times New Roman"/>
                    <w:bCs/>
                    <w:lang w:val="is-IS"/>
                  </w:rPr>
                  <w:t xml:space="preserve"> að þörf sé á</w:t>
                </w:r>
                <w:r w:rsidRPr="00215325">
                  <w:rPr>
                    <w:rFonts w:ascii="Times New Roman" w:hAnsi="Times New Roman" w:cs="Times New Roman"/>
                    <w:bCs/>
                    <w:lang w:val="is-IS"/>
                  </w:rPr>
                  <w:t xml:space="preserve"> löngum gildistökufresti.</w:t>
                </w:r>
              </w:p>
              <w:p w14:paraId="5EDD8EF8" w14:textId="77777777" w:rsidR="00215325"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0FAD3620" w14:textId="1D890AC3" w:rsidR="009941D2" w:rsidRPr="00215325" w:rsidRDefault="00215325" w:rsidP="00977971">
                <w:pPr>
                  <w:pStyle w:val="ListParagraph"/>
                  <w:spacing w:before="120" w:after="120"/>
                  <w:ind w:left="0"/>
                  <w:contextualSpacing w:val="0"/>
                  <w:rPr>
                    <w:rFonts w:ascii="Times New Roman" w:hAnsi="Times New Roman" w:cs="Times New Roman"/>
                    <w:bCs/>
                    <w:lang w:val="is-IS"/>
                  </w:rPr>
                </w:pPr>
                <w:r w:rsidRPr="00215325">
                  <w:rPr>
                    <w:rFonts w:ascii="Times New Roman" w:hAnsi="Times New Roman" w:cs="Times New Roman"/>
                    <w:bCs/>
                    <w:lang w:val="is-IS"/>
                  </w:rPr>
                  <w:t>Á ekki við.</w:t>
                </w:r>
                <w:r w:rsidR="00E67F09" w:rsidRPr="00215325">
                  <w:rPr>
                    <w:rFonts w:ascii="Times New Roman" w:hAnsi="Times New Roman" w:cs="Times New Roman"/>
                    <w:bCs/>
                    <w:lang w:val="is-IS"/>
                  </w:rPr>
                  <w:t xml:space="preserve"> </w:t>
                </w:r>
              </w:p>
              <w:p w14:paraId="0302292B" w14:textId="2642BEEE"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69A36535" w14:textId="1CC45A72" w:rsidR="00215325" w:rsidRPr="00215325" w:rsidRDefault="00215325" w:rsidP="00977971">
                <w:pPr>
                  <w:pStyle w:val="ListParagraph"/>
                  <w:spacing w:before="120" w:after="120"/>
                  <w:ind w:left="0"/>
                  <w:contextualSpacing w:val="0"/>
                  <w:rPr>
                    <w:rFonts w:ascii="Times New Roman" w:hAnsi="Times New Roman" w:cs="Times New Roman"/>
                    <w:bCs/>
                    <w:lang w:val="is-IS"/>
                  </w:rPr>
                </w:pPr>
                <w:r w:rsidRPr="00215325">
                  <w:rPr>
                    <w:rFonts w:ascii="Times New Roman" w:hAnsi="Times New Roman" w:cs="Times New Roman"/>
                    <w:bCs/>
                    <w:lang w:val="is-IS"/>
                  </w:rPr>
                  <w:t xml:space="preserve">Á ekki við. </w:t>
                </w:r>
              </w:p>
              <w:p w14:paraId="14C2FDB1" w14:textId="77777777" w:rsidR="00215325"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04F20B4D" w14:textId="53ABBF6B" w:rsidR="009941D2" w:rsidRPr="00215325" w:rsidRDefault="00215325" w:rsidP="00977971">
                <w:pPr>
                  <w:pStyle w:val="ListParagraph"/>
                  <w:spacing w:before="120" w:after="120"/>
                  <w:ind w:left="0"/>
                  <w:contextualSpacing w:val="0"/>
                  <w:rPr>
                    <w:rFonts w:ascii="Times New Roman" w:hAnsi="Times New Roman" w:cs="Times New Roman"/>
                    <w:b/>
                    <w:lang w:val="is-IS"/>
                  </w:rPr>
                </w:pPr>
                <w:r w:rsidRPr="00215325">
                  <w:rPr>
                    <w:rFonts w:ascii="Times New Roman" w:hAnsi="Times New Roman" w:cs="Times New Roman"/>
                    <w:bCs/>
                    <w:lang w:val="is-IS"/>
                  </w:rPr>
                  <w:t>Á ekki við.</w:t>
                </w:r>
                <w:r w:rsidRPr="00E34B42">
                  <w:rPr>
                    <w:rFonts w:ascii="Times New Roman" w:hAnsi="Times New Roman" w:cs="Times New Roman"/>
                    <w:b/>
                    <w:lang w:val="is-IS"/>
                  </w:rPr>
                  <w:t xml:space="preserve"> </w:t>
                </w:r>
              </w:p>
            </w:sdtContent>
          </w:sdt>
        </w:tc>
      </w:tr>
      <w:permEnd w:id="1762883290"/>
      <w:tr w:rsidR="00E34B42" w:rsidRPr="00E34B42" w14:paraId="3D9D159E" w14:textId="77777777" w:rsidTr="00744E3E">
        <w:trPr>
          <w:trHeight w:val="312"/>
        </w:trPr>
        <w:tc>
          <w:tcPr>
            <w:tcW w:w="9288" w:type="dxa"/>
            <w:shd w:val="clear" w:color="auto" w:fill="92CDDC" w:themeFill="accent5" w:themeFillTint="99"/>
          </w:tcPr>
          <w:p w14:paraId="5360A4BF"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768309576" w:edGrp="everyone" w:colFirst="0" w:colLast="0"/>
      <w:tr w:rsidR="00E34B42" w:rsidRPr="00E34B42" w14:paraId="67FC152A" w14:textId="77777777" w:rsidTr="00744E3E">
        <w:trPr>
          <w:trHeight w:val="300"/>
        </w:trPr>
        <w:tc>
          <w:tcPr>
            <w:tcW w:w="9288" w:type="dxa"/>
          </w:tcPr>
          <w:p w14:paraId="4E532D42" w14:textId="77777777" w:rsidR="00E34B42" w:rsidRPr="00E34B42" w:rsidRDefault="003762F9"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768309576"/>
      <w:tr w:rsidR="00E34B42" w:rsidRPr="00E34B42" w14:paraId="387CAA61" w14:textId="77777777" w:rsidTr="007414CB">
        <w:trPr>
          <w:trHeight w:val="312"/>
        </w:trPr>
        <w:tc>
          <w:tcPr>
            <w:tcW w:w="9288" w:type="dxa"/>
            <w:shd w:val="clear" w:color="auto" w:fill="92CDDC" w:themeFill="accent5" w:themeFillTint="99"/>
          </w:tcPr>
          <w:p w14:paraId="4CC4E471"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CC2D08E" w14:textId="77777777" w:rsidTr="007414CB">
        <w:trPr>
          <w:trHeight w:val="300"/>
        </w:trPr>
        <w:tc>
          <w:tcPr>
            <w:tcW w:w="9288" w:type="dxa"/>
          </w:tcPr>
          <w:permStart w:id="208940314" w:edGrp="everyone" w:colFirst="0" w:colLast="0" w:displacedByCustomXml="next"/>
          <w:sdt>
            <w:sdtPr>
              <w:rPr>
                <w:lang w:val="is-IS"/>
              </w:rPr>
              <w:id w:val="1543943641"/>
            </w:sdtPr>
            <w:sdtEndPr/>
            <w:sdtContent>
              <w:p w14:paraId="21A11139"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3B1E8436"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208940314"/>
    </w:tbl>
    <w:p w14:paraId="78C78F41" w14:textId="77777777" w:rsidR="00263F72" w:rsidRPr="00E34B42" w:rsidRDefault="00263F72">
      <w:pPr>
        <w:rPr>
          <w:rFonts w:ascii="Times New Roman" w:hAnsi="Times New Roman" w:cs="Times New Roman"/>
          <w:lang w:val="is-IS"/>
        </w:rPr>
      </w:pPr>
    </w:p>
    <w:sectPr w:rsidR="00263F72" w:rsidRPr="00E34B4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DF39" w14:textId="77777777" w:rsidR="0092759D" w:rsidRDefault="0092759D" w:rsidP="007478E0">
      <w:pPr>
        <w:spacing w:after="0" w:line="240" w:lineRule="auto"/>
      </w:pPr>
      <w:r>
        <w:separator/>
      </w:r>
    </w:p>
  </w:endnote>
  <w:endnote w:type="continuationSeparator" w:id="0">
    <w:p w14:paraId="6602CFF5"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4427F61"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61D9AE9"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BE03" w14:textId="77777777" w:rsidR="0092759D" w:rsidRDefault="0092759D" w:rsidP="007478E0">
      <w:pPr>
        <w:spacing w:after="0" w:line="240" w:lineRule="auto"/>
      </w:pPr>
      <w:r>
        <w:separator/>
      </w:r>
    </w:p>
  </w:footnote>
  <w:footnote w:type="continuationSeparator" w:id="0">
    <w:p w14:paraId="2A0EB5FC"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DE530E8"/>
    <w:multiLevelType w:val="hybridMultilevel"/>
    <w:tmpl w:val="DF3206A8"/>
    <w:lvl w:ilvl="0" w:tplc="95D6B7E8">
      <w:numFmt w:val="bullet"/>
      <w:lvlText w:val="-"/>
      <w:lvlJc w:val="left"/>
      <w:pPr>
        <w:ind w:left="405" w:hanging="360"/>
      </w:pPr>
      <w:rPr>
        <w:rFonts w:ascii="Calibri" w:eastAsiaTheme="minorHAnsi" w:hAnsi="Calibri" w:cs="Calibri" w:hint="default"/>
      </w:rPr>
    </w:lvl>
    <w:lvl w:ilvl="1" w:tplc="10000003" w:tentative="1">
      <w:start w:val="1"/>
      <w:numFmt w:val="bullet"/>
      <w:lvlText w:val="o"/>
      <w:lvlJc w:val="left"/>
      <w:pPr>
        <w:ind w:left="1125" w:hanging="360"/>
      </w:pPr>
      <w:rPr>
        <w:rFonts w:ascii="Courier New" w:hAnsi="Courier New" w:cs="Courier New" w:hint="default"/>
      </w:rPr>
    </w:lvl>
    <w:lvl w:ilvl="2" w:tplc="10000005" w:tentative="1">
      <w:start w:val="1"/>
      <w:numFmt w:val="bullet"/>
      <w:lvlText w:val=""/>
      <w:lvlJc w:val="left"/>
      <w:pPr>
        <w:ind w:left="1845" w:hanging="360"/>
      </w:pPr>
      <w:rPr>
        <w:rFonts w:ascii="Wingdings" w:hAnsi="Wingdings" w:hint="default"/>
      </w:rPr>
    </w:lvl>
    <w:lvl w:ilvl="3" w:tplc="10000001" w:tentative="1">
      <w:start w:val="1"/>
      <w:numFmt w:val="bullet"/>
      <w:lvlText w:val=""/>
      <w:lvlJc w:val="left"/>
      <w:pPr>
        <w:ind w:left="2565" w:hanging="360"/>
      </w:pPr>
      <w:rPr>
        <w:rFonts w:ascii="Symbol" w:hAnsi="Symbol" w:hint="default"/>
      </w:rPr>
    </w:lvl>
    <w:lvl w:ilvl="4" w:tplc="10000003" w:tentative="1">
      <w:start w:val="1"/>
      <w:numFmt w:val="bullet"/>
      <w:lvlText w:val="o"/>
      <w:lvlJc w:val="left"/>
      <w:pPr>
        <w:ind w:left="3285" w:hanging="360"/>
      </w:pPr>
      <w:rPr>
        <w:rFonts w:ascii="Courier New" w:hAnsi="Courier New" w:cs="Courier New" w:hint="default"/>
      </w:rPr>
    </w:lvl>
    <w:lvl w:ilvl="5" w:tplc="10000005" w:tentative="1">
      <w:start w:val="1"/>
      <w:numFmt w:val="bullet"/>
      <w:lvlText w:val=""/>
      <w:lvlJc w:val="left"/>
      <w:pPr>
        <w:ind w:left="4005" w:hanging="360"/>
      </w:pPr>
      <w:rPr>
        <w:rFonts w:ascii="Wingdings" w:hAnsi="Wingdings" w:hint="default"/>
      </w:rPr>
    </w:lvl>
    <w:lvl w:ilvl="6" w:tplc="10000001" w:tentative="1">
      <w:start w:val="1"/>
      <w:numFmt w:val="bullet"/>
      <w:lvlText w:val=""/>
      <w:lvlJc w:val="left"/>
      <w:pPr>
        <w:ind w:left="4725" w:hanging="360"/>
      </w:pPr>
      <w:rPr>
        <w:rFonts w:ascii="Symbol" w:hAnsi="Symbol" w:hint="default"/>
      </w:rPr>
    </w:lvl>
    <w:lvl w:ilvl="7" w:tplc="10000003" w:tentative="1">
      <w:start w:val="1"/>
      <w:numFmt w:val="bullet"/>
      <w:lvlText w:val="o"/>
      <w:lvlJc w:val="left"/>
      <w:pPr>
        <w:ind w:left="5445" w:hanging="360"/>
      </w:pPr>
      <w:rPr>
        <w:rFonts w:ascii="Courier New" w:hAnsi="Courier New" w:cs="Courier New" w:hint="default"/>
      </w:rPr>
    </w:lvl>
    <w:lvl w:ilvl="8" w:tplc="10000005" w:tentative="1">
      <w:start w:val="1"/>
      <w:numFmt w:val="bullet"/>
      <w:lvlText w:val=""/>
      <w:lvlJc w:val="left"/>
      <w:pPr>
        <w:ind w:left="6165" w:hanging="360"/>
      </w:pPr>
      <w:rPr>
        <w:rFonts w:ascii="Wingdings" w:hAnsi="Wingdings" w:hint="default"/>
      </w:r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06064"/>
    <w:multiLevelType w:val="hybridMultilevel"/>
    <w:tmpl w:val="12967F22"/>
    <w:lvl w:ilvl="0" w:tplc="5B2E764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
  </w:num>
  <w:num w:numId="4">
    <w:abstractNumId w:val="21"/>
  </w:num>
  <w:num w:numId="5">
    <w:abstractNumId w:val="17"/>
  </w:num>
  <w:num w:numId="6">
    <w:abstractNumId w:val="10"/>
  </w:num>
  <w:num w:numId="7">
    <w:abstractNumId w:val="7"/>
  </w:num>
  <w:num w:numId="8">
    <w:abstractNumId w:val="5"/>
  </w:num>
  <w:num w:numId="9">
    <w:abstractNumId w:val="11"/>
  </w:num>
  <w:num w:numId="10">
    <w:abstractNumId w:val="14"/>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6"/>
  </w:num>
  <w:num w:numId="18">
    <w:abstractNumId w:val="16"/>
  </w:num>
  <w:num w:numId="19">
    <w:abstractNumId w:val="13"/>
  </w:num>
  <w:num w:numId="20">
    <w:abstractNumId w:val="4"/>
  </w:num>
  <w:num w:numId="21">
    <w:abstractNumId w:val="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23447"/>
    <w:rsid w:val="00042523"/>
    <w:rsid w:val="00043E61"/>
    <w:rsid w:val="00047458"/>
    <w:rsid w:val="00050DAE"/>
    <w:rsid w:val="00051DC6"/>
    <w:rsid w:val="00063E97"/>
    <w:rsid w:val="00080080"/>
    <w:rsid w:val="00081ED8"/>
    <w:rsid w:val="000829E4"/>
    <w:rsid w:val="0008494B"/>
    <w:rsid w:val="0009623F"/>
    <w:rsid w:val="00096B1D"/>
    <w:rsid w:val="000A7176"/>
    <w:rsid w:val="000A7C3A"/>
    <w:rsid w:val="000C58BD"/>
    <w:rsid w:val="000D6E33"/>
    <w:rsid w:val="000E1312"/>
    <w:rsid w:val="000E34DF"/>
    <w:rsid w:val="000F14A6"/>
    <w:rsid w:val="00100138"/>
    <w:rsid w:val="00113611"/>
    <w:rsid w:val="00123DA5"/>
    <w:rsid w:val="001261EE"/>
    <w:rsid w:val="0012646E"/>
    <w:rsid w:val="00126525"/>
    <w:rsid w:val="00133146"/>
    <w:rsid w:val="00135B40"/>
    <w:rsid w:val="0013710B"/>
    <w:rsid w:val="00143B7A"/>
    <w:rsid w:val="00175F75"/>
    <w:rsid w:val="00176943"/>
    <w:rsid w:val="0018240C"/>
    <w:rsid w:val="00187E36"/>
    <w:rsid w:val="001928E6"/>
    <w:rsid w:val="001972B9"/>
    <w:rsid w:val="001B5AA4"/>
    <w:rsid w:val="001D117E"/>
    <w:rsid w:val="001D5BCE"/>
    <w:rsid w:val="001E2499"/>
    <w:rsid w:val="001E7950"/>
    <w:rsid w:val="001F1687"/>
    <w:rsid w:val="001F2301"/>
    <w:rsid w:val="001F7268"/>
    <w:rsid w:val="002115E6"/>
    <w:rsid w:val="0021293B"/>
    <w:rsid w:val="00215325"/>
    <w:rsid w:val="00242342"/>
    <w:rsid w:val="00244F3D"/>
    <w:rsid w:val="002501BE"/>
    <w:rsid w:val="00251D26"/>
    <w:rsid w:val="00263F72"/>
    <w:rsid w:val="0026420F"/>
    <w:rsid w:val="00264988"/>
    <w:rsid w:val="002666DE"/>
    <w:rsid w:val="002704D7"/>
    <w:rsid w:val="00281D86"/>
    <w:rsid w:val="002A3041"/>
    <w:rsid w:val="002A4788"/>
    <w:rsid w:val="002A54E0"/>
    <w:rsid w:val="002B70B7"/>
    <w:rsid w:val="002C51FD"/>
    <w:rsid w:val="002C573F"/>
    <w:rsid w:val="002C76B6"/>
    <w:rsid w:val="002D4FA8"/>
    <w:rsid w:val="003025EB"/>
    <w:rsid w:val="00311838"/>
    <w:rsid w:val="00314679"/>
    <w:rsid w:val="00335A2A"/>
    <w:rsid w:val="00350CD3"/>
    <w:rsid w:val="0035270D"/>
    <w:rsid w:val="00360301"/>
    <w:rsid w:val="00364D97"/>
    <w:rsid w:val="003762F9"/>
    <w:rsid w:val="003821A7"/>
    <w:rsid w:val="00387FB4"/>
    <w:rsid w:val="003A1821"/>
    <w:rsid w:val="003B784E"/>
    <w:rsid w:val="003D01BF"/>
    <w:rsid w:val="003D1515"/>
    <w:rsid w:val="003E270A"/>
    <w:rsid w:val="003E611E"/>
    <w:rsid w:val="00403139"/>
    <w:rsid w:val="004165F7"/>
    <w:rsid w:val="0043227F"/>
    <w:rsid w:val="00441AD0"/>
    <w:rsid w:val="00450029"/>
    <w:rsid w:val="0047580A"/>
    <w:rsid w:val="00480BB0"/>
    <w:rsid w:val="004853B6"/>
    <w:rsid w:val="004978E5"/>
    <w:rsid w:val="004A515F"/>
    <w:rsid w:val="004A72EE"/>
    <w:rsid w:val="004D38F9"/>
    <w:rsid w:val="004E0322"/>
    <w:rsid w:val="004E4F53"/>
    <w:rsid w:val="004F0024"/>
    <w:rsid w:val="004F142F"/>
    <w:rsid w:val="004F1C38"/>
    <w:rsid w:val="004F5331"/>
    <w:rsid w:val="00506AF1"/>
    <w:rsid w:val="00532D45"/>
    <w:rsid w:val="00535EC4"/>
    <w:rsid w:val="005641B1"/>
    <w:rsid w:val="00564856"/>
    <w:rsid w:val="0058170E"/>
    <w:rsid w:val="00592E19"/>
    <w:rsid w:val="005B46C8"/>
    <w:rsid w:val="005C123A"/>
    <w:rsid w:val="005C1678"/>
    <w:rsid w:val="005C5DEB"/>
    <w:rsid w:val="005E51EA"/>
    <w:rsid w:val="005E6791"/>
    <w:rsid w:val="006108E5"/>
    <w:rsid w:val="006121BF"/>
    <w:rsid w:val="00614066"/>
    <w:rsid w:val="00614FAD"/>
    <w:rsid w:val="00622EDE"/>
    <w:rsid w:val="00631C8F"/>
    <w:rsid w:val="00633D13"/>
    <w:rsid w:val="00645781"/>
    <w:rsid w:val="00670F44"/>
    <w:rsid w:val="006742A6"/>
    <w:rsid w:val="00676A80"/>
    <w:rsid w:val="00683957"/>
    <w:rsid w:val="006906A4"/>
    <w:rsid w:val="00694183"/>
    <w:rsid w:val="006960C1"/>
    <w:rsid w:val="00697B19"/>
    <w:rsid w:val="006A2BA3"/>
    <w:rsid w:val="006C02BD"/>
    <w:rsid w:val="006C5CA8"/>
    <w:rsid w:val="006C6EA3"/>
    <w:rsid w:val="006D5876"/>
    <w:rsid w:val="006D76C1"/>
    <w:rsid w:val="006F0215"/>
    <w:rsid w:val="006F2500"/>
    <w:rsid w:val="006F2947"/>
    <w:rsid w:val="00700AB1"/>
    <w:rsid w:val="00704B91"/>
    <w:rsid w:val="0070586C"/>
    <w:rsid w:val="0072159F"/>
    <w:rsid w:val="00730F7B"/>
    <w:rsid w:val="00731AD2"/>
    <w:rsid w:val="007365C0"/>
    <w:rsid w:val="007414CB"/>
    <w:rsid w:val="007478E0"/>
    <w:rsid w:val="0077245D"/>
    <w:rsid w:val="007822E4"/>
    <w:rsid w:val="0078460B"/>
    <w:rsid w:val="00795B16"/>
    <w:rsid w:val="00796FBB"/>
    <w:rsid w:val="007A02FD"/>
    <w:rsid w:val="007B71B2"/>
    <w:rsid w:val="007B778B"/>
    <w:rsid w:val="007C7454"/>
    <w:rsid w:val="007D5977"/>
    <w:rsid w:val="007E0D8F"/>
    <w:rsid w:val="007F64AB"/>
    <w:rsid w:val="00805105"/>
    <w:rsid w:val="00811C11"/>
    <w:rsid w:val="00820DCE"/>
    <w:rsid w:val="008210FC"/>
    <w:rsid w:val="008218F2"/>
    <w:rsid w:val="00823C70"/>
    <w:rsid w:val="00826B1C"/>
    <w:rsid w:val="00851A99"/>
    <w:rsid w:val="00855827"/>
    <w:rsid w:val="0085776D"/>
    <w:rsid w:val="00863BC9"/>
    <w:rsid w:val="00863EFD"/>
    <w:rsid w:val="00872634"/>
    <w:rsid w:val="00883508"/>
    <w:rsid w:val="00886AC9"/>
    <w:rsid w:val="00892071"/>
    <w:rsid w:val="008A2C75"/>
    <w:rsid w:val="008D0732"/>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70773"/>
    <w:rsid w:val="00977971"/>
    <w:rsid w:val="0098366C"/>
    <w:rsid w:val="00986788"/>
    <w:rsid w:val="00993115"/>
    <w:rsid w:val="00994012"/>
    <w:rsid w:val="009941D2"/>
    <w:rsid w:val="009B7A52"/>
    <w:rsid w:val="009C1771"/>
    <w:rsid w:val="009C2DA3"/>
    <w:rsid w:val="009C3565"/>
    <w:rsid w:val="009D5519"/>
    <w:rsid w:val="009E6BF2"/>
    <w:rsid w:val="009F0E5E"/>
    <w:rsid w:val="009F64EA"/>
    <w:rsid w:val="00A05697"/>
    <w:rsid w:val="00A30C51"/>
    <w:rsid w:val="00A51298"/>
    <w:rsid w:val="00A625F0"/>
    <w:rsid w:val="00A6722A"/>
    <w:rsid w:val="00A77160"/>
    <w:rsid w:val="00A7741A"/>
    <w:rsid w:val="00A92F9D"/>
    <w:rsid w:val="00A93146"/>
    <w:rsid w:val="00AA2EFD"/>
    <w:rsid w:val="00AB6474"/>
    <w:rsid w:val="00AB7771"/>
    <w:rsid w:val="00AB7B39"/>
    <w:rsid w:val="00AB7DCB"/>
    <w:rsid w:val="00AC1AE9"/>
    <w:rsid w:val="00AC47A3"/>
    <w:rsid w:val="00AC7651"/>
    <w:rsid w:val="00AE50E5"/>
    <w:rsid w:val="00B01FF3"/>
    <w:rsid w:val="00B339AF"/>
    <w:rsid w:val="00B3771A"/>
    <w:rsid w:val="00B50990"/>
    <w:rsid w:val="00B60216"/>
    <w:rsid w:val="00B65214"/>
    <w:rsid w:val="00B863E2"/>
    <w:rsid w:val="00BA1F90"/>
    <w:rsid w:val="00BA4BB1"/>
    <w:rsid w:val="00BA5089"/>
    <w:rsid w:val="00BB2B30"/>
    <w:rsid w:val="00BB6B1D"/>
    <w:rsid w:val="00BC6AF8"/>
    <w:rsid w:val="00BE1D1C"/>
    <w:rsid w:val="00BF1A44"/>
    <w:rsid w:val="00BF3B4A"/>
    <w:rsid w:val="00BF5ACD"/>
    <w:rsid w:val="00BF6355"/>
    <w:rsid w:val="00C10B09"/>
    <w:rsid w:val="00C10C94"/>
    <w:rsid w:val="00C12437"/>
    <w:rsid w:val="00C171B2"/>
    <w:rsid w:val="00C209C4"/>
    <w:rsid w:val="00C22E8B"/>
    <w:rsid w:val="00C24145"/>
    <w:rsid w:val="00C3589E"/>
    <w:rsid w:val="00C412C9"/>
    <w:rsid w:val="00C454D6"/>
    <w:rsid w:val="00C5037E"/>
    <w:rsid w:val="00C61306"/>
    <w:rsid w:val="00C63C55"/>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74133"/>
    <w:rsid w:val="00D8370A"/>
    <w:rsid w:val="00D87B33"/>
    <w:rsid w:val="00D913A8"/>
    <w:rsid w:val="00DA4633"/>
    <w:rsid w:val="00DB1F01"/>
    <w:rsid w:val="00DB645F"/>
    <w:rsid w:val="00DC4A56"/>
    <w:rsid w:val="00DD56BE"/>
    <w:rsid w:val="00DD7EA1"/>
    <w:rsid w:val="00DE4AB7"/>
    <w:rsid w:val="00DF2AA7"/>
    <w:rsid w:val="00E01603"/>
    <w:rsid w:val="00E02D04"/>
    <w:rsid w:val="00E17DA4"/>
    <w:rsid w:val="00E231B6"/>
    <w:rsid w:val="00E31C26"/>
    <w:rsid w:val="00E34B42"/>
    <w:rsid w:val="00E57920"/>
    <w:rsid w:val="00E664C8"/>
    <w:rsid w:val="00E67F09"/>
    <w:rsid w:val="00E71099"/>
    <w:rsid w:val="00E832C9"/>
    <w:rsid w:val="00E8379D"/>
    <w:rsid w:val="00EA0830"/>
    <w:rsid w:val="00EA460C"/>
    <w:rsid w:val="00ED28E3"/>
    <w:rsid w:val="00ED4390"/>
    <w:rsid w:val="00F25CAD"/>
    <w:rsid w:val="00F51F2D"/>
    <w:rsid w:val="00F56E2F"/>
    <w:rsid w:val="00F60EE8"/>
    <w:rsid w:val="00F656C4"/>
    <w:rsid w:val="00F7438A"/>
    <w:rsid w:val="00F841D8"/>
    <w:rsid w:val="00F93B5C"/>
    <w:rsid w:val="00F9608F"/>
    <w:rsid w:val="00FA0758"/>
    <w:rsid w:val="00FA7664"/>
    <w:rsid w:val="00FC7313"/>
    <w:rsid w:val="00FD2097"/>
    <w:rsid w:val="00FE119E"/>
    <w:rsid w:val="00FE2816"/>
    <w:rsid w:val="00FF6F19"/>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D701D0"/>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character" w:styleId="Hyperlink">
    <w:name w:val="Hyperlink"/>
    <w:basedOn w:val="DefaultParagraphFont"/>
    <w:uiPriority w:val="99"/>
    <w:unhideWhenUsed/>
    <w:rsid w:val="006C02BD"/>
    <w:rPr>
      <w:color w:val="0000FF" w:themeColor="hyperlink"/>
      <w:u w:val="single"/>
    </w:rPr>
  </w:style>
  <w:style w:type="character" w:styleId="UnresolvedMention">
    <w:name w:val="Unresolved Mention"/>
    <w:basedOn w:val="DefaultParagraphFont"/>
    <w:uiPriority w:val="99"/>
    <w:semiHidden/>
    <w:unhideWhenUsed/>
    <w:rsid w:val="006C02BD"/>
    <w:rPr>
      <w:color w:val="605E5C"/>
      <w:shd w:val="clear" w:color="auto" w:fill="E1DFDD"/>
    </w:rPr>
  </w:style>
  <w:style w:type="character" w:styleId="FollowedHyperlink">
    <w:name w:val="FollowedHyperlink"/>
    <w:basedOn w:val="DefaultParagraphFont"/>
    <w:uiPriority w:val="99"/>
    <w:semiHidden/>
    <w:unhideWhenUsed/>
    <w:rsid w:val="00855827"/>
    <w:rPr>
      <w:color w:val="800080" w:themeColor="followedHyperlink"/>
      <w:u w:val="single"/>
    </w:rPr>
  </w:style>
  <w:style w:type="character" w:customStyle="1" w:styleId="normaltextrun">
    <w:name w:val="normaltextrun"/>
    <w:basedOn w:val="DefaultParagraphFont"/>
    <w:rsid w:val="000F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altext/stjt/2018.054.html" TargetMode="External"/><Relationship Id="rId18" Type="http://schemas.openxmlformats.org/officeDocument/2006/relationships/hyperlink" Target="https://www.althingi.is/altext/152/s/140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jornarradid.is/lisalib/getfile.aspx?itemid=e544d852-fc8f-11e8-942f-005056bc4d74" TargetMode="External"/><Relationship Id="rId7" Type="http://schemas.openxmlformats.org/officeDocument/2006/relationships/settings" Target="settings.xml"/><Relationship Id="rId12" Type="http://schemas.openxmlformats.org/officeDocument/2006/relationships/hyperlink" Target="https://www.althingi.is/altext/stjt/2020.070.html" TargetMode="External"/><Relationship Id="rId17" Type="http://schemas.openxmlformats.org/officeDocument/2006/relationships/hyperlink" Target="chrome-extension://efaidnbmnnnibpcajpcglclefindmkaj/https:/www.efta.int/media/documents/legal-texts/eea/other-legal-documents/adopted-joint-committee-decisions/2022%20-%20Icelandic/145-2022i.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ur-lex.europa.eu/legal-content/EN/TXT/?uri=celex:32019L0879" TargetMode="External"/><Relationship Id="rId20" Type="http://schemas.openxmlformats.org/officeDocument/2006/relationships/hyperlink" Target="https://www.althingi.is/altext/pdf/151/s/00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thingi.is/altext/152/s/1305.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jornarradid.is/lisalib/getfile.aspx?itemid=a5aa63d9-d5b4-11e7-9422-005056bc530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altext/stjt/2021.038.html" TargetMode="External"/><Relationship Id="rId22" Type="http://schemas.openxmlformats.org/officeDocument/2006/relationships/hyperlink" Target="chrome-extension://efaidnbmnnnibpcajpcglclefindmkaj/https:/www.efta.int/media/documents/legal-texts/eea/other-legal-documents/adopted-joint-committee-decisions/2022%20-%20Icelandic/145-2022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1181B-AE1E-4EB3-937F-DAD2BDCB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DABFE-D7C4-4C00-AADE-B1E4CA653EAF}">
  <ds:schemaRefs>
    <ds:schemaRef ds:uri="http://schemas.openxmlformats.org/officeDocument/2006/bibliography"/>
  </ds:schemaRefs>
</ds:datastoreItem>
</file>

<file path=customXml/itemProps3.xml><?xml version="1.0" encoding="utf-8"?>
<ds:datastoreItem xmlns:ds="http://schemas.openxmlformats.org/officeDocument/2006/customXml" ds:itemID="{656F0C7A-A50B-4935-974B-79A7C2BF2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137A4-A066-4DEB-82F2-4932107A4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1794</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Hjörleifur Gíslason</cp:lastModifiedBy>
  <cp:revision>18</cp:revision>
  <cp:lastPrinted>2020-09-25T09:36:00Z</cp:lastPrinted>
  <dcterms:created xsi:type="dcterms:W3CDTF">2022-11-04T10:36:00Z</dcterms:created>
  <dcterms:modified xsi:type="dcterms:W3CDTF">2022-12-15T13:07:00Z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