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E441B"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66F2DF96" w:rsidR="00883508" w:rsidRPr="00EE441B" w:rsidRDefault="00883508" w:rsidP="00DA27FF">
            <w:pPr>
              <w:spacing w:before="120" w:after="120"/>
              <w:jc w:val="center"/>
              <w:rPr>
                <w:rFonts w:ascii="Times New Roman" w:hAnsi="Times New Roman" w:cs="Times New Roman"/>
                <w:b/>
                <w:sz w:val="32"/>
                <w:szCs w:val="32"/>
                <w:lang w:val="is-IS"/>
              </w:rPr>
            </w:pPr>
            <w:r w:rsidRPr="00EE441B">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EE441B" w:rsidRDefault="007414CB" w:rsidP="00021A7E">
            <w:pPr>
              <w:spacing w:before="400" w:after="120"/>
              <w:ind w:left="720"/>
              <w:rPr>
                <w:rFonts w:ascii="Times New Roman" w:hAnsi="Times New Roman" w:cs="Times New Roman"/>
                <w:b/>
                <w:sz w:val="32"/>
                <w:szCs w:val="32"/>
                <w:lang w:val="is-IS"/>
              </w:rPr>
            </w:pPr>
            <w:r w:rsidRPr="00EE441B">
              <w:rPr>
                <w:rFonts w:ascii="Times New Roman" w:hAnsi="Times New Roman" w:cs="Times New Roman"/>
                <w:b/>
                <w:sz w:val="32"/>
                <w:szCs w:val="32"/>
                <w:lang w:val="is-IS"/>
              </w:rPr>
              <w:t>ÁFORM UM LAGASETNINGU</w:t>
            </w:r>
          </w:p>
          <w:p w14:paraId="1AFF6635" w14:textId="13E7A2B3" w:rsidR="00883508" w:rsidRPr="00EE441B" w:rsidRDefault="00883508" w:rsidP="00021A7E">
            <w:pPr>
              <w:spacing w:before="120" w:after="120"/>
              <w:ind w:left="720"/>
              <w:rPr>
                <w:rFonts w:ascii="Times New Roman" w:hAnsi="Times New Roman" w:cs="Times New Roman"/>
                <w:i/>
                <w:lang w:val="is-IS"/>
              </w:rPr>
            </w:pPr>
            <w:r w:rsidRPr="00EE441B">
              <w:rPr>
                <w:rFonts w:ascii="Times New Roman" w:hAnsi="Times New Roman" w:cs="Times New Roman"/>
                <w:i/>
                <w:lang w:val="is-IS"/>
              </w:rPr>
              <w:t>– sbr. samþykkt ríkisstjórnar</w:t>
            </w:r>
            <w:r w:rsidR="00F21758" w:rsidRPr="00EE441B">
              <w:rPr>
                <w:rFonts w:ascii="Times New Roman" w:hAnsi="Times New Roman" w:cs="Times New Roman"/>
                <w:i/>
                <w:lang w:val="is-IS"/>
              </w:rPr>
              <w:t>innar</w:t>
            </w:r>
            <w:r w:rsidRPr="00EE441B">
              <w:rPr>
                <w:rFonts w:ascii="Times New Roman" w:hAnsi="Times New Roman" w:cs="Times New Roman"/>
                <w:i/>
                <w:lang w:val="is-IS"/>
              </w:rPr>
              <w:t xml:space="preserve"> frá </w:t>
            </w:r>
            <w:r w:rsidR="00021A7E" w:rsidRPr="00EE441B">
              <w:rPr>
                <w:rFonts w:ascii="Times New Roman" w:hAnsi="Times New Roman" w:cs="Times New Roman"/>
                <w:i/>
                <w:lang w:val="is-IS"/>
              </w:rPr>
              <w:t>24</w:t>
            </w:r>
            <w:r w:rsidRPr="00EE441B">
              <w:rPr>
                <w:rFonts w:ascii="Times New Roman" w:hAnsi="Times New Roman" w:cs="Times New Roman"/>
                <w:i/>
                <w:lang w:val="is-IS"/>
              </w:rPr>
              <w:t xml:space="preserve">. </w:t>
            </w:r>
            <w:r w:rsidR="00021A7E" w:rsidRPr="00EE441B">
              <w:rPr>
                <w:rFonts w:ascii="Times New Roman" w:hAnsi="Times New Roman" w:cs="Times New Roman"/>
                <w:i/>
                <w:lang w:val="is-IS"/>
              </w:rPr>
              <w:t>febrúar</w:t>
            </w:r>
            <w:r w:rsidRPr="00EE441B">
              <w:rPr>
                <w:rFonts w:ascii="Times New Roman" w:hAnsi="Times New Roman" w:cs="Times New Roman"/>
                <w:i/>
                <w:lang w:val="is-IS"/>
              </w:rPr>
              <w:t xml:space="preserve"> 20</w:t>
            </w:r>
            <w:r w:rsidR="00021A7E" w:rsidRPr="00EE441B">
              <w:rPr>
                <w:rFonts w:ascii="Times New Roman" w:hAnsi="Times New Roman" w:cs="Times New Roman"/>
                <w:i/>
                <w:lang w:val="is-IS"/>
              </w:rPr>
              <w:t>23</w:t>
            </w:r>
            <w:r w:rsidR="009C1771" w:rsidRPr="00EE441B">
              <w:rPr>
                <w:rFonts w:ascii="Times New Roman" w:hAnsi="Times New Roman" w:cs="Times New Roman"/>
                <w:i/>
                <w:lang w:val="is-IS"/>
              </w:rPr>
              <w:t>, 1.</w:t>
            </w:r>
            <w:r w:rsidR="00021A7E" w:rsidRPr="00EE441B">
              <w:rPr>
                <w:rFonts w:ascii="Times New Roman" w:hAnsi="Times New Roman" w:cs="Times New Roman"/>
                <w:i/>
                <w:lang w:val="is-IS"/>
              </w:rPr>
              <w:t>–</w:t>
            </w:r>
            <w:r w:rsidR="009C1771" w:rsidRPr="00EE441B">
              <w:rPr>
                <w:rFonts w:ascii="Times New Roman" w:hAnsi="Times New Roman" w:cs="Times New Roman"/>
                <w:i/>
                <w:lang w:val="is-IS"/>
              </w:rPr>
              <w:t>4. gr.</w:t>
            </w:r>
          </w:p>
        </w:tc>
      </w:tr>
      <w:tr w:rsidR="00E34B42" w:rsidRPr="00EE441B"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EE441B" w:rsidRDefault="00135B40" w:rsidP="00851A99">
            <w:pPr>
              <w:spacing w:before="60" w:after="60"/>
              <w:rPr>
                <w:rFonts w:ascii="Times New Roman" w:hAnsi="Times New Roman" w:cs="Times New Roman"/>
                <w:b/>
                <w:lang w:val="is-IS"/>
              </w:rPr>
            </w:pPr>
            <w:permStart w:id="133972575" w:edGrp="everyone" w:colFirst="1" w:colLast="1"/>
            <w:r w:rsidRPr="00EE441B">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3C30344" w14:textId="386D981F" w:rsidR="00135B40" w:rsidRPr="00EE441B" w:rsidRDefault="00135B40" w:rsidP="00795B16">
                <w:pPr>
                  <w:spacing w:before="60"/>
                  <w:rPr>
                    <w:rFonts w:ascii="Times New Roman" w:hAnsi="Times New Roman" w:cs="Times New Roman"/>
                    <w:lang w:val="is-IS"/>
                  </w:rPr>
                </w:pPr>
                <w:r w:rsidRPr="00EE441B">
                  <w:rPr>
                    <w:rFonts w:ascii="Times New Roman" w:hAnsi="Times New Roman" w:cs="Times New Roman"/>
                    <w:lang w:val="is-IS"/>
                  </w:rPr>
                  <w:t xml:space="preserve"> </w:t>
                </w:r>
                <w:r w:rsidR="006A5ECD" w:rsidRPr="00EE441B">
                  <w:rPr>
                    <w:rFonts w:ascii="Times New Roman" w:hAnsi="Times New Roman" w:cs="Times New Roman"/>
                    <w:lang w:val="is-IS"/>
                  </w:rPr>
                  <w:t xml:space="preserve">Frumvarp til laga um breytingu á lögum um evrópskt eftirlitskerfi á fjármálamarkaði o.fl. / </w:t>
                </w:r>
                <w:r w:rsidR="0023449F" w:rsidRPr="00EE441B">
                  <w:rPr>
                    <w:rStyle w:val="ui-provider"/>
                    <w:rFonts w:ascii="Times New Roman" w:hAnsi="Times New Roman" w:cs="Times New Roman"/>
                    <w:lang w:val="is-IS"/>
                  </w:rPr>
                  <w:t>FJR24050107</w:t>
                </w:r>
              </w:p>
            </w:tc>
          </w:sdtContent>
        </w:sdt>
      </w:tr>
      <w:tr w:rsidR="00E34B42" w:rsidRPr="00EE441B"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EE441B" w:rsidRDefault="00135B40" w:rsidP="0012646E">
            <w:pPr>
              <w:spacing w:before="60" w:after="60"/>
              <w:rPr>
                <w:rFonts w:ascii="Times New Roman" w:hAnsi="Times New Roman" w:cs="Times New Roman"/>
                <w:b/>
                <w:lang w:val="is-IS"/>
              </w:rPr>
            </w:pPr>
            <w:permStart w:id="1565618866" w:edGrp="everyone" w:colFirst="1" w:colLast="1"/>
            <w:permEnd w:id="133972575"/>
            <w:r w:rsidRPr="00EE441B">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A7F9CA" w14:textId="5DC69C38" w:rsidR="00135B40" w:rsidRPr="00EE441B" w:rsidRDefault="00A45BB2" w:rsidP="00B65214">
                <w:pPr>
                  <w:spacing w:before="60"/>
                  <w:rPr>
                    <w:rFonts w:ascii="Times New Roman" w:hAnsi="Times New Roman" w:cs="Times New Roman"/>
                    <w:lang w:val="is-IS"/>
                  </w:rPr>
                </w:pPr>
                <w:r w:rsidRPr="00EE441B">
                  <w:rPr>
                    <w:rFonts w:ascii="Times New Roman" w:hAnsi="Times New Roman" w:cs="Times New Roman"/>
                    <w:lang w:val="is-IS"/>
                  </w:rPr>
                  <w:t>Fjármála- og efnahagsráðuneytið / Elísabet Júlíusdóttir</w:t>
                </w:r>
                <w:r w:rsidR="00135B40" w:rsidRPr="00EE441B">
                  <w:rPr>
                    <w:rFonts w:ascii="Times New Roman" w:hAnsi="Times New Roman" w:cs="Times New Roman"/>
                    <w:lang w:val="is-IS"/>
                  </w:rPr>
                  <w:t xml:space="preserve"> </w:t>
                </w:r>
              </w:p>
            </w:tc>
          </w:sdtContent>
        </w:sdt>
      </w:tr>
      <w:tr w:rsidR="00E34B42" w:rsidRPr="00EE441B"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EE441B" w:rsidRDefault="00135B40" w:rsidP="0012646E">
            <w:pPr>
              <w:spacing w:before="60" w:after="60"/>
              <w:rPr>
                <w:rFonts w:ascii="Times New Roman" w:hAnsi="Times New Roman" w:cs="Times New Roman"/>
                <w:b/>
                <w:lang w:val="is-IS"/>
              </w:rPr>
            </w:pPr>
            <w:permStart w:id="89664324" w:edGrp="everyone" w:colFirst="1" w:colLast="1"/>
            <w:permEnd w:id="1565618866"/>
            <w:r w:rsidRPr="00EE441B">
              <w:rPr>
                <w:rFonts w:ascii="Times New Roman" w:hAnsi="Times New Roman" w:cs="Times New Roman"/>
                <w:b/>
                <w:lang w:val="is-IS"/>
              </w:rPr>
              <w:t>Innleiðing EES-gerðar?</w:t>
            </w:r>
          </w:p>
        </w:tc>
        <w:tc>
          <w:tcPr>
            <w:tcW w:w="7479" w:type="dxa"/>
            <w:tcBorders>
              <w:bottom w:val="nil"/>
            </w:tcBorders>
          </w:tcPr>
          <w:p w14:paraId="03F8B857" w14:textId="47746C75" w:rsidR="00135B40" w:rsidRPr="00EE441B" w:rsidRDefault="001C24C0"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A45BB2" w:rsidRPr="00EE441B">
                  <w:rPr>
                    <w:rFonts w:ascii="MS Gothic" w:eastAsia="MS Gothic" w:hAnsi="MS Gothic" w:cs="Times New Roman"/>
                    <w:lang w:val="is-IS"/>
                  </w:rPr>
                  <w:t>☒</w:t>
                </w:r>
              </w:sdtContent>
            </w:sdt>
            <w:r w:rsidR="00135B40" w:rsidRPr="00EE441B">
              <w:rPr>
                <w:rFonts w:ascii="Times New Roman" w:hAnsi="Times New Roman" w:cs="Times New Roman"/>
                <w:lang w:val="is-IS"/>
              </w:rPr>
              <w:t xml:space="preserve"> Já</w:t>
            </w:r>
          </w:p>
          <w:p w14:paraId="77C48F4F" w14:textId="77777777" w:rsidR="00135B40" w:rsidRPr="00EE441B" w:rsidRDefault="001C24C0"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EE441B">
                  <w:rPr>
                    <w:rFonts w:ascii="MS Gothic" w:eastAsia="MS Gothic" w:hAnsi="MS Gothic" w:cs="Times New Roman"/>
                    <w:lang w:val="is-IS"/>
                  </w:rPr>
                  <w:t>☐</w:t>
                </w:r>
              </w:sdtContent>
            </w:sdt>
            <w:r w:rsidR="00135B40" w:rsidRPr="00EE441B">
              <w:rPr>
                <w:rFonts w:ascii="Times New Roman" w:hAnsi="Times New Roman" w:cs="Times New Roman"/>
                <w:lang w:val="is-IS"/>
              </w:rPr>
              <w:t xml:space="preserve"> Nei</w:t>
            </w:r>
          </w:p>
        </w:tc>
      </w:tr>
      <w:tr w:rsidR="00135B40" w:rsidRPr="00EE441B"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EE441B" w:rsidRDefault="00135B40" w:rsidP="000D6E33">
            <w:pPr>
              <w:spacing w:before="60" w:after="60"/>
              <w:rPr>
                <w:rFonts w:ascii="Times New Roman" w:hAnsi="Times New Roman" w:cs="Times New Roman"/>
                <w:b/>
                <w:lang w:val="is-IS"/>
              </w:rPr>
            </w:pPr>
            <w:permStart w:id="1079259887" w:edGrp="everyone" w:colFirst="1" w:colLast="1"/>
            <w:permEnd w:id="89664324"/>
            <w:r w:rsidRPr="00EE441B">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746C25D8" w:rsidR="00135B40" w:rsidRPr="00EE441B" w:rsidRDefault="00135B40" w:rsidP="00B65214">
                <w:pPr>
                  <w:spacing w:before="60"/>
                  <w:rPr>
                    <w:rFonts w:ascii="Times New Roman" w:hAnsi="Times New Roman" w:cs="Times New Roman"/>
                    <w:lang w:val="is-IS"/>
                  </w:rPr>
                </w:pPr>
                <w:r w:rsidRPr="00EE441B">
                  <w:rPr>
                    <w:rFonts w:ascii="Times New Roman" w:hAnsi="Times New Roman" w:cs="Times New Roman"/>
                    <w:lang w:val="is-IS"/>
                  </w:rPr>
                  <w:t xml:space="preserve"> </w:t>
                </w:r>
                <w:r w:rsidR="001C24C0">
                  <w:rPr>
                    <w:rFonts w:ascii="Times New Roman" w:hAnsi="Times New Roman" w:cs="Times New Roman"/>
                    <w:lang w:val="is-IS"/>
                  </w:rPr>
                  <w:t>2</w:t>
                </w:r>
                <w:r w:rsidR="00122564">
                  <w:rPr>
                    <w:rFonts w:ascii="Times New Roman" w:hAnsi="Times New Roman" w:cs="Times New Roman"/>
                    <w:lang w:val="is-IS"/>
                  </w:rPr>
                  <w:t>. jú</w:t>
                </w:r>
                <w:r w:rsidR="001C24C0">
                  <w:rPr>
                    <w:rFonts w:ascii="Times New Roman" w:hAnsi="Times New Roman" w:cs="Times New Roman"/>
                    <w:lang w:val="is-IS"/>
                  </w:rPr>
                  <w:t>l</w:t>
                </w:r>
                <w:r w:rsidR="00122564">
                  <w:rPr>
                    <w:rFonts w:ascii="Times New Roman" w:hAnsi="Times New Roman" w:cs="Times New Roman"/>
                    <w:lang w:val="is-IS"/>
                  </w:rPr>
                  <w:t>í 2024</w:t>
                </w:r>
              </w:p>
            </w:tc>
          </w:sdtContent>
        </w:sdt>
      </w:tr>
      <w:permEnd w:id="1079259887"/>
    </w:tbl>
    <w:p w14:paraId="01A595DB" w14:textId="77777777" w:rsidR="007414CB" w:rsidRPr="00EE441B" w:rsidRDefault="007414CB" w:rsidP="007414CB">
      <w:pPr>
        <w:spacing w:after="0" w:line="240" w:lineRule="auto"/>
        <w:rPr>
          <w:sz w:val="20"/>
          <w:szCs w:val="20"/>
          <w:lang w:val="is-IS"/>
        </w:rPr>
      </w:pPr>
    </w:p>
    <w:tbl>
      <w:tblPr>
        <w:tblStyle w:val="TableGrid"/>
        <w:tblW w:w="9288" w:type="dxa"/>
        <w:tblLayout w:type="fixed"/>
        <w:tblLook w:val="04A0" w:firstRow="1" w:lastRow="0" w:firstColumn="1" w:lastColumn="0" w:noHBand="0" w:noVBand="1"/>
      </w:tblPr>
      <w:tblGrid>
        <w:gridCol w:w="9288"/>
      </w:tblGrid>
      <w:tr w:rsidR="00E34B42" w:rsidRPr="00EE441B" w14:paraId="734122F4" w14:textId="77777777" w:rsidTr="007414CB">
        <w:tc>
          <w:tcPr>
            <w:tcW w:w="9288" w:type="dxa"/>
            <w:shd w:val="clear" w:color="auto" w:fill="92CDDC" w:themeFill="accent5" w:themeFillTint="99"/>
          </w:tcPr>
          <w:p w14:paraId="4872B2C6" w14:textId="77777777" w:rsidR="00263F72" w:rsidRPr="00EE441B" w:rsidRDefault="00F93B5C"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t>Úrlausnarefni</w:t>
            </w:r>
          </w:p>
        </w:tc>
      </w:tr>
      <w:tr w:rsidR="00E34B42" w:rsidRPr="00EE441B" w14:paraId="5110A474"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533660141" w:edGrp="everyone" w:displacedByCustomXml="prev"/>
              <w:p w14:paraId="24E6EBD2" w14:textId="1F022CF9" w:rsidR="00FD2097" w:rsidRPr="00EE441B" w:rsidRDefault="00133146" w:rsidP="00A92F9D">
                <w:pPr>
                  <w:pStyle w:val="ListParagraph"/>
                  <w:numPr>
                    <w:ilvl w:val="0"/>
                    <w:numId w:val="6"/>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 xml:space="preserve">Forsaga </w:t>
                </w:r>
                <w:r w:rsidR="00D148DB" w:rsidRPr="00EE441B">
                  <w:rPr>
                    <w:rFonts w:ascii="Times New Roman" w:hAnsi="Times New Roman" w:cs="Times New Roman"/>
                    <w:b/>
                    <w:lang w:val="is-IS"/>
                  </w:rPr>
                  <w:t>máls</w:t>
                </w:r>
                <w:r w:rsidR="003821A7" w:rsidRPr="00EE441B">
                  <w:rPr>
                    <w:rFonts w:ascii="Times New Roman" w:hAnsi="Times New Roman" w:cs="Times New Roman"/>
                    <w:b/>
                    <w:lang w:val="is-IS"/>
                  </w:rPr>
                  <w:t xml:space="preserve"> og tilefni</w:t>
                </w:r>
                <w:r w:rsidR="00021A7E" w:rsidRPr="00EE441B">
                  <w:rPr>
                    <w:rFonts w:ascii="Times New Roman" w:hAnsi="Times New Roman" w:cs="Times New Roman"/>
                    <w:b/>
                    <w:lang w:val="is-IS"/>
                  </w:rPr>
                  <w:t>.</w:t>
                </w:r>
              </w:p>
              <w:p w14:paraId="38B54E97" w14:textId="77777777" w:rsidR="00F56807" w:rsidRPr="00EE441B" w:rsidRDefault="00F56807" w:rsidP="00F56807">
                <w:pPr>
                  <w:pStyle w:val="ListParagraph"/>
                  <w:numPr>
                    <w:ilvl w:val="1"/>
                    <w:numId w:val="24"/>
                  </w:numPr>
                  <w:autoSpaceDE w:val="0"/>
                  <w:autoSpaceDN w:val="0"/>
                  <w:adjustRightInd w:val="0"/>
                  <w:jc w:val="both"/>
                  <w:rPr>
                    <w:rFonts w:ascii="Times New Roman" w:hAnsi="Times New Roman" w:cs="Times New Roman"/>
                    <w:i/>
                    <w:iCs/>
                    <w:lang w:val="is-IS"/>
                  </w:rPr>
                </w:pPr>
                <w:r w:rsidRPr="00EE441B">
                  <w:rPr>
                    <w:rFonts w:ascii="Times New Roman" w:hAnsi="Times New Roman" w:cs="Times New Roman"/>
                    <w:i/>
                    <w:iCs/>
                    <w:lang w:val="is-IS"/>
                  </w:rPr>
                  <w:t xml:space="preserve">Inngangur </w:t>
                </w:r>
              </w:p>
              <w:p w14:paraId="7173D12B" w14:textId="784F5E81" w:rsidR="001C7CF3" w:rsidRPr="00EE441B" w:rsidRDefault="001C7CF3" w:rsidP="00F56807">
                <w:pPr>
                  <w:autoSpaceDE w:val="0"/>
                  <w:autoSpaceDN w:val="0"/>
                  <w:adjustRightInd w:val="0"/>
                  <w:jc w:val="both"/>
                  <w:rPr>
                    <w:rFonts w:ascii="Times New Roman" w:hAnsi="Times New Roman" w:cs="Times New Roman"/>
                    <w:lang w:val="is-IS"/>
                  </w:rPr>
                </w:pPr>
                <w:r w:rsidRPr="00EE441B">
                  <w:rPr>
                    <w:rFonts w:ascii="Times New Roman" w:hAnsi="Times New Roman" w:cs="Times New Roman"/>
                    <w:lang w:val="is-IS"/>
                  </w:rPr>
                  <w:t>Með reglugerðum (ESB) 1093-1095/2010 var sett á fót evrópskt eftirlitskerfi á fjármálamarkaði með stofnun Evrópsku bankaeftirlitsstofnunarinnar (EBA), Evrópsku vátrygginga- og lífeyrissjóðaeftirlitsstofnunarinnar (EIOPA) og Evrópsku verðbréfamarkaðseftirlitsstofnunarinnar (ESMA). Reglugerðirnar voru teknar upp í EES-samninginn með ákvörðunum sameiginlegu EES-nefndarinnar nr. 199-201/2016 með umfangsmiklum efnislegum aðlögunum sem byggðu á tveggja stoða kerfi EES-samningsins. Aðlaganirnar fólu meðal annars í sér að Eftirlitsstofnun EFTA (ESA) var falið að vera eftirlitsaðili með fjármálastarfsemi hvað varðar EES-EFTA ríkin, í þeim skilningi að vald til að taka bindandi ákvarða</w:t>
                </w:r>
                <w:r w:rsidR="0076745A">
                  <w:rPr>
                    <w:rFonts w:ascii="Times New Roman" w:hAnsi="Times New Roman" w:cs="Times New Roman"/>
                    <w:lang w:val="is-IS"/>
                  </w:rPr>
                  <w:t>n</w:t>
                </w:r>
                <w:r w:rsidRPr="00EE441B">
                  <w:rPr>
                    <w:rFonts w:ascii="Times New Roman" w:hAnsi="Times New Roman" w:cs="Times New Roman"/>
                    <w:lang w:val="is-IS"/>
                  </w:rPr>
                  <w:t xml:space="preserve">ir sem liggur hjá evrópsku eftirlitsstofnununum innan ESB færðist til ESA innan EFTA-stoðarinnar. Allar bindandi ákvarðanir gagnvart stjórnvöldum, og aðilum á fjármálamarkaði, í EES-EFTA ríkjunum eru því teknar af ESA á grundvelli uppkasts frá evrópsku eftirlitsstofnununum. Þær bindandi ákvarðanir sem ESA getur tekið eru vegna brota á EES-löggjöf og til að sætta ágreining milli eftirlitsstjórnvalda um beitingu tilgreindrar löggjafar. Evrópsku eftirlitstofnanirnar eru svo bærar til að gefa yfirlýsingar sem eru ekki bindandi, t.d. með tilmælum og í sáttastörfum, gagnvart stjórnvöldum og fyrirtækjum í EES-EFTA ríkjunum. Víðtækt samstarf er því með ESA og evrópsku eftirlitsstofnununum og er í gildi sérstakur samstarfssamningur þar sem nánari atriði samstarfsins koma fram. Eftirlitsstofnanir í hverju EES-EFTA ríki og ESA hafa fullan aðgang að starfi evrópsku eftirlitsstofnananna í gegnum eftirlitsráð þeirra (Board of Supervisors), en eru án atkvæðisréttar. </w:t>
                </w:r>
              </w:p>
              <w:p w14:paraId="58D40FAC" w14:textId="77777777" w:rsidR="001C7CF3" w:rsidRPr="00EE441B" w:rsidRDefault="001C7CF3" w:rsidP="001C7CF3">
                <w:pPr>
                  <w:autoSpaceDE w:val="0"/>
                  <w:autoSpaceDN w:val="0"/>
                  <w:adjustRightInd w:val="0"/>
                  <w:jc w:val="both"/>
                  <w:rPr>
                    <w:rStyle w:val="normaltextrun"/>
                    <w:rFonts w:ascii="Times New Roman" w:hAnsi="Times New Roman" w:cs="Times New Roman"/>
                    <w:color w:val="000000"/>
                    <w:shd w:val="clear" w:color="auto" w:fill="FFFFFF"/>
                    <w:lang w:val="is-IS"/>
                  </w:rPr>
                </w:pPr>
                <w:r w:rsidRPr="00EE441B">
                  <w:rPr>
                    <w:rFonts w:ascii="Times New Roman" w:eastAsia="Calibri" w:hAnsi="Times New Roman" w:cs="Times New Roman"/>
                    <w:lang w:val="is-IS"/>
                  </w:rPr>
                  <w:t xml:space="preserve">Í reglugerð (ESB) </w:t>
                </w:r>
                <w:r w:rsidRPr="00EE441B">
                  <w:rPr>
                    <w:rStyle w:val="normaltextrun"/>
                    <w:rFonts w:ascii="Times New Roman" w:hAnsi="Times New Roman" w:cs="Times New Roman"/>
                    <w:color w:val="000000"/>
                    <w:shd w:val="clear" w:color="auto" w:fill="FFFFFF"/>
                    <w:lang w:val="is-IS"/>
                  </w:rPr>
                  <w:t xml:space="preserve">1092/2010 er kveðið á um þjóðhagsvarúðareftirlit með fjármálakerfinu og um stofnun Evrópska kerfisáhætturáðsins, en meginverkefni þess er að meta og vakta kerfisáhættu og greina ógnir sem kunna að steðja að fjármálastöðugleika innan ESB. Evrópska kerfisáhætturáðið er ekki formlegur eftirlitsaðili gagnvart einstökum fyrirtækjum og hefur ekki beint vald gagnvart einstökum fyrirtækjum né opinberum eftirlitsaðilum í aðildarríkjum. </w:t>
                </w:r>
                <w:r w:rsidRPr="00EE441B">
                  <w:rPr>
                    <w:rFonts w:ascii="Times New Roman" w:hAnsi="Times New Roman" w:cs="Times New Roman"/>
                    <w:lang w:val="is-IS"/>
                  </w:rPr>
                  <w:t>Reglugerðin var tekin upp í EES-samninginn með ákvörðun sameiginlegu EES-nefndarinnar nr. 198/2016.</w:t>
                </w:r>
              </w:p>
              <w:p w14:paraId="656C4147" w14:textId="68D3A80A" w:rsidR="001C7CF3" w:rsidRPr="00EE441B" w:rsidRDefault="001C7CF3" w:rsidP="00F56807">
                <w:pPr>
                  <w:spacing w:before="60" w:after="60"/>
                  <w:jc w:val="both"/>
                  <w:rPr>
                    <w:rFonts w:ascii="Times New Roman" w:hAnsi="Times New Roman" w:cs="Times New Roman"/>
                    <w:lang w:val="is-IS"/>
                  </w:rPr>
                </w:pPr>
                <w:r w:rsidRPr="00EE441B">
                  <w:rPr>
                    <w:rFonts w:ascii="Times New Roman" w:hAnsi="Times New Roman" w:cs="Times New Roman"/>
                    <w:lang w:val="is-IS"/>
                  </w:rPr>
                  <w:t xml:space="preserve">Reglugerðirnar voru innleiddar í íslenskan rétt með </w:t>
                </w:r>
                <w:hyperlink r:id="rId12" w:history="1">
                  <w:r w:rsidRPr="00EE441B">
                    <w:rPr>
                      <w:rStyle w:val="Hyperlink"/>
                      <w:rFonts w:ascii="Times New Roman" w:hAnsi="Times New Roman" w:cs="Times New Roman"/>
                      <w:lang w:val="is-IS"/>
                    </w:rPr>
                    <w:t>lögum um evrópskt eftirlitskerfi á fjármálamarkaði, nr. 24/2017</w:t>
                  </w:r>
                </w:hyperlink>
                <w:r w:rsidRPr="00EE441B">
                  <w:rPr>
                    <w:rFonts w:ascii="Times New Roman" w:hAnsi="Times New Roman" w:cs="Times New Roman"/>
                    <w:lang w:val="is-IS"/>
                  </w:rPr>
                  <w:t>.</w:t>
                </w:r>
              </w:p>
              <w:p w14:paraId="1AE28058" w14:textId="77777777" w:rsidR="00F56807" w:rsidRPr="00EE441B" w:rsidRDefault="00F56807" w:rsidP="00F56807">
                <w:pPr>
                  <w:spacing w:before="60" w:after="60"/>
                  <w:jc w:val="both"/>
                  <w:rPr>
                    <w:rFonts w:ascii="Times New Roman" w:hAnsi="Times New Roman" w:cs="Times New Roman"/>
                    <w:lang w:val="is-IS"/>
                  </w:rPr>
                </w:pPr>
              </w:p>
              <w:p w14:paraId="6373B42A" w14:textId="6DDE161A" w:rsidR="00F56807" w:rsidRPr="00EE441B" w:rsidRDefault="00F56807" w:rsidP="00F56807">
                <w:pPr>
                  <w:pStyle w:val="ListParagraph"/>
                  <w:numPr>
                    <w:ilvl w:val="1"/>
                    <w:numId w:val="24"/>
                  </w:numPr>
                  <w:autoSpaceDE w:val="0"/>
                  <w:autoSpaceDN w:val="0"/>
                  <w:adjustRightInd w:val="0"/>
                  <w:jc w:val="both"/>
                  <w:rPr>
                    <w:rFonts w:ascii="Times New Roman" w:hAnsi="Times New Roman" w:cs="Times New Roman"/>
                    <w:i/>
                    <w:iCs/>
                    <w:lang w:val="is-IS"/>
                  </w:rPr>
                </w:pPr>
                <w:r w:rsidRPr="00EE441B">
                  <w:rPr>
                    <w:rFonts w:ascii="Times New Roman" w:hAnsi="Times New Roman" w:cs="Times New Roman"/>
                    <w:i/>
                    <w:iCs/>
                    <w:lang w:val="is-IS"/>
                  </w:rPr>
                  <w:t>Nýjar Evrópugerðir til breytinga á reglugerðum (ESB) 1092-1095/2010 og aðrar tengdar breytingar</w:t>
                </w:r>
              </w:p>
              <w:p w14:paraId="790F8C19" w14:textId="4BCB861E" w:rsidR="00361F7B" w:rsidRPr="00EE441B" w:rsidRDefault="00361F7B" w:rsidP="00F56807">
                <w:pPr>
                  <w:spacing w:before="60" w:after="60"/>
                  <w:jc w:val="both"/>
                  <w:rPr>
                    <w:rFonts w:ascii="Times New Roman" w:hAnsi="Times New Roman" w:cs="Times New Roman"/>
                    <w:lang w:val="is-IS"/>
                  </w:rPr>
                </w:pPr>
                <w:r w:rsidRPr="00EE441B">
                  <w:rPr>
                    <w:rFonts w:ascii="Times New Roman" w:hAnsi="Times New Roman" w:cs="Times New Roman"/>
                    <w:lang w:val="is-IS"/>
                  </w:rPr>
                  <w:t xml:space="preserve">Árið 2019 </w:t>
                </w:r>
                <w:r w:rsidR="003B3D95">
                  <w:rPr>
                    <w:rFonts w:ascii="Times New Roman" w:hAnsi="Times New Roman" w:cs="Times New Roman"/>
                    <w:lang w:val="is-IS"/>
                  </w:rPr>
                  <w:t xml:space="preserve">voru </w:t>
                </w:r>
                <w:r w:rsidR="000203DB">
                  <w:rPr>
                    <w:rFonts w:ascii="Times New Roman" w:hAnsi="Times New Roman" w:cs="Times New Roman"/>
                    <w:lang w:val="is-IS"/>
                  </w:rPr>
                  <w:t xml:space="preserve">á vettvangi Evrópusambandsins (ESB) </w:t>
                </w:r>
                <w:r w:rsidR="003B3D95">
                  <w:rPr>
                    <w:rFonts w:ascii="Times New Roman" w:hAnsi="Times New Roman" w:cs="Times New Roman"/>
                    <w:lang w:val="is-IS"/>
                  </w:rPr>
                  <w:t>gefnar</w:t>
                </w:r>
                <w:r w:rsidRPr="00EE441B">
                  <w:rPr>
                    <w:rFonts w:ascii="Times New Roman" w:hAnsi="Times New Roman" w:cs="Times New Roman"/>
                    <w:lang w:val="is-IS"/>
                  </w:rPr>
                  <w:t xml:space="preserve"> út þrjár gerðir til breytinga á </w:t>
                </w:r>
                <w:r w:rsidR="001C7CF3" w:rsidRPr="00EE441B">
                  <w:rPr>
                    <w:rFonts w:ascii="Times New Roman" w:hAnsi="Times New Roman" w:cs="Times New Roman"/>
                    <w:lang w:val="is-IS"/>
                  </w:rPr>
                  <w:t>reglugerðum sambandsins um evrópskar eftirlitsstofnanir á fjármálamarkaði</w:t>
                </w:r>
                <w:r w:rsidR="00F56807" w:rsidRPr="00EE441B">
                  <w:rPr>
                    <w:rFonts w:ascii="Times New Roman" w:hAnsi="Times New Roman" w:cs="Times New Roman"/>
                    <w:lang w:val="is-IS"/>
                  </w:rPr>
                  <w:t>, auk reglugerð</w:t>
                </w:r>
                <w:r w:rsidR="003B3D95">
                  <w:rPr>
                    <w:rFonts w:ascii="Times New Roman" w:hAnsi="Times New Roman" w:cs="Times New Roman"/>
                    <w:lang w:val="is-IS"/>
                  </w:rPr>
                  <w:t>ar</w:t>
                </w:r>
                <w:r w:rsidR="00F56807" w:rsidRPr="00EE441B">
                  <w:rPr>
                    <w:rFonts w:ascii="Times New Roman" w:hAnsi="Times New Roman" w:cs="Times New Roman"/>
                    <w:lang w:val="is-IS"/>
                  </w:rPr>
                  <w:t xml:space="preserve"> til breytinga á reglugerð um Evrópska kerfisáhætturáðið og tilskipun</w:t>
                </w:r>
                <w:r w:rsidR="003B3D95">
                  <w:rPr>
                    <w:rFonts w:ascii="Times New Roman" w:hAnsi="Times New Roman" w:cs="Times New Roman"/>
                    <w:lang w:val="is-IS"/>
                  </w:rPr>
                  <w:t>ar</w:t>
                </w:r>
                <w:r w:rsidR="00F56807" w:rsidRPr="00EE441B">
                  <w:rPr>
                    <w:rFonts w:ascii="Times New Roman" w:hAnsi="Times New Roman" w:cs="Times New Roman"/>
                    <w:lang w:val="is-IS"/>
                  </w:rPr>
                  <w:t xml:space="preserve"> til breytinga á nokkrum tengdum tilskipunum</w:t>
                </w:r>
                <w:r w:rsidR="001C7CF3" w:rsidRPr="00EE441B">
                  <w:rPr>
                    <w:rFonts w:ascii="Times New Roman" w:hAnsi="Times New Roman" w:cs="Times New Roman"/>
                    <w:lang w:val="is-IS"/>
                  </w:rPr>
                  <w:t>:</w:t>
                </w:r>
              </w:p>
              <w:p w14:paraId="5C85FDEC" w14:textId="77777777" w:rsidR="00361F7B" w:rsidRPr="00EE441B" w:rsidRDefault="001C24C0" w:rsidP="00361F7B">
                <w:pPr>
                  <w:pStyle w:val="ListParagraph"/>
                  <w:numPr>
                    <w:ilvl w:val="0"/>
                    <w:numId w:val="23"/>
                  </w:numPr>
                  <w:autoSpaceDE w:val="0"/>
                  <w:autoSpaceDN w:val="0"/>
                  <w:adjustRightInd w:val="0"/>
                  <w:jc w:val="both"/>
                  <w:rPr>
                    <w:rFonts w:ascii="Times New Roman" w:eastAsia="Calibri" w:hAnsi="Times New Roman" w:cs="Times New Roman"/>
                    <w:lang w:val="is-IS"/>
                  </w:rPr>
                </w:pPr>
                <w:hyperlink r:id="rId13" w:history="1">
                  <w:r w:rsidR="00361F7B" w:rsidRPr="00EE441B">
                    <w:rPr>
                      <w:rStyle w:val="Hyperlink"/>
                      <w:rFonts w:ascii="Times New Roman" w:eastAsia="Calibri" w:hAnsi="Times New Roman" w:cs="Times New Roman"/>
                      <w:lang w:val="is-IS"/>
                    </w:rPr>
                    <w:t>Reglugerð Evrópuþingsins og ráðsins (ESB) 2019/2175</w:t>
                  </w:r>
                </w:hyperlink>
                <w:r w:rsidR="00361F7B" w:rsidRPr="00EE441B">
                  <w:rPr>
                    <w:rFonts w:ascii="Times New Roman" w:eastAsia="Calibri" w:hAnsi="Times New Roman" w:cs="Times New Roman"/>
                    <w:lang w:val="is-IS"/>
                  </w:rPr>
                  <w:t xml:space="preserve"> um breytingu á reglugerð (ESB) nr. 1093/2010 um að koma á fót evrópskri eftirlitsstofnun (Evrópska bankaeftirlitsstofnunin), reglugerð (ESB) nr. 1094/2010 um að koma á fót evrópskri eftirlitsstofnun (Evrópska </w:t>
                </w:r>
                <w:r w:rsidR="00361F7B" w:rsidRPr="00EE441B">
                  <w:rPr>
                    <w:rFonts w:ascii="Times New Roman" w:eastAsia="Calibri" w:hAnsi="Times New Roman" w:cs="Times New Roman"/>
                    <w:lang w:val="is-IS"/>
                  </w:rPr>
                  <w:lastRenderedPageBreak/>
                  <w:t>vátrygginga- og lífeyrissjóðaeftirlitsstofnunin), reglugerð (ESB) nr. 1095/2010 um að koma á fót evrópskri eftirlitsstofnun (Evrópska verðbréfamarkaðs-eftirlitsstofnunin), reglugerð (ESB) nr. 600/2014 um markaði fyrir fjármálagerninga, reglugerð (ESB) 2016/1011 um vísitölur sem notaðar eru sem viðmiðanir í fjármálagerningum og fjárhagslegum samningum eða til að mæla árangur fjárfestingarsjóða og reglugerð (ESB) 2015/847 um upplýsingar sem fylgja skulu við millifærslu fjármuna.</w:t>
                </w:r>
              </w:p>
              <w:p w14:paraId="7C15EB14" w14:textId="77777777" w:rsidR="001C7CF3" w:rsidRPr="00EE441B" w:rsidRDefault="001C24C0" w:rsidP="001C7CF3">
                <w:pPr>
                  <w:pStyle w:val="ListParagraph"/>
                  <w:numPr>
                    <w:ilvl w:val="0"/>
                    <w:numId w:val="23"/>
                  </w:numPr>
                  <w:autoSpaceDE w:val="0"/>
                  <w:autoSpaceDN w:val="0"/>
                  <w:adjustRightInd w:val="0"/>
                  <w:spacing w:before="60" w:after="60"/>
                  <w:jc w:val="both"/>
                  <w:rPr>
                    <w:rStyle w:val="normaltextrun"/>
                    <w:rFonts w:ascii="Times New Roman" w:hAnsi="Times New Roman" w:cs="Times New Roman"/>
                    <w:lang w:val="is-IS"/>
                  </w:rPr>
                </w:pPr>
                <w:hyperlink r:id="rId14" w:history="1">
                  <w:r w:rsidR="00361F7B" w:rsidRPr="00EE441B">
                    <w:rPr>
                      <w:rStyle w:val="Hyperlink"/>
                      <w:rFonts w:ascii="Times New Roman" w:eastAsia="Calibri" w:hAnsi="Times New Roman" w:cs="Times New Roman"/>
                      <w:lang w:val="is-IS"/>
                    </w:rPr>
                    <w:t>Reglugerð Evrópuþingsins og ráðsins (ESB) 2019/2176</w:t>
                  </w:r>
                </w:hyperlink>
                <w:r w:rsidR="00361F7B" w:rsidRPr="00EE441B">
                  <w:rPr>
                    <w:rFonts w:ascii="Times New Roman" w:eastAsia="Calibri" w:hAnsi="Times New Roman" w:cs="Times New Roman"/>
                    <w:lang w:val="is-IS"/>
                  </w:rPr>
                  <w:t xml:space="preserve"> </w:t>
                </w:r>
                <w:r w:rsidR="00361F7B" w:rsidRPr="00EE441B">
                  <w:rPr>
                    <w:rStyle w:val="normaltextrun"/>
                    <w:rFonts w:ascii="Times New Roman" w:hAnsi="Times New Roman" w:cs="Times New Roman"/>
                    <w:color w:val="000000"/>
                    <w:shd w:val="clear" w:color="auto" w:fill="FFFFFF"/>
                    <w:lang w:val="is-IS"/>
                  </w:rPr>
                  <w:t>um breytingu á reglugerð (ESB) nr. 1092/2010 um þjóðhagsvarúðareftirlit með fjármálakerfinu á sviði Evrópusambandsins og um stofnun Evrópska kerfisáhætturáðsins.</w:t>
                </w:r>
              </w:p>
              <w:p w14:paraId="608F996D" w14:textId="716524A8" w:rsidR="00361F7B" w:rsidRPr="00EE441B" w:rsidRDefault="001C24C0" w:rsidP="001C7CF3">
                <w:pPr>
                  <w:pStyle w:val="ListParagraph"/>
                  <w:numPr>
                    <w:ilvl w:val="0"/>
                    <w:numId w:val="23"/>
                  </w:numPr>
                  <w:autoSpaceDE w:val="0"/>
                  <w:autoSpaceDN w:val="0"/>
                  <w:adjustRightInd w:val="0"/>
                  <w:spacing w:before="60" w:after="60"/>
                  <w:jc w:val="both"/>
                  <w:rPr>
                    <w:rStyle w:val="eop"/>
                    <w:rFonts w:ascii="Times New Roman" w:hAnsi="Times New Roman" w:cs="Times New Roman"/>
                    <w:lang w:val="is-IS"/>
                  </w:rPr>
                </w:pPr>
                <w:hyperlink r:id="rId15" w:history="1">
                  <w:r w:rsidR="00361F7B" w:rsidRPr="00EE441B">
                    <w:rPr>
                      <w:rStyle w:val="Hyperlink"/>
                      <w:rFonts w:ascii="Times New Roman" w:eastAsia="Calibri" w:hAnsi="Times New Roman" w:cs="Times New Roman"/>
                      <w:lang w:val="is-IS"/>
                    </w:rPr>
                    <w:t>Tilskipun Evrópuþingsins og ráðsins (ESB) 2019/2177</w:t>
                  </w:r>
                </w:hyperlink>
                <w:r w:rsidR="00361F7B" w:rsidRPr="00EE441B">
                  <w:rPr>
                    <w:rFonts w:ascii="Times New Roman" w:eastAsia="Calibri" w:hAnsi="Times New Roman" w:cs="Times New Roman"/>
                    <w:lang w:val="is-IS"/>
                  </w:rPr>
                  <w:t xml:space="preserve"> </w:t>
                </w:r>
                <w:r w:rsidR="00361F7B" w:rsidRPr="00EE441B">
                  <w:rPr>
                    <w:rStyle w:val="normaltextrun"/>
                    <w:rFonts w:ascii="Times New Roman" w:hAnsi="Times New Roman" w:cs="Times New Roman"/>
                    <w:color w:val="000000"/>
                    <w:shd w:val="clear" w:color="auto" w:fill="FFFFFF"/>
                    <w:lang w:val="is-IS"/>
                  </w:rPr>
                  <w:t>um breytingu á tilskipun 2009/138/EB um stofnun og rekstur fyrirtækja á sviði vátrygginga og endurtrygginga, tilskipun 2014/65/ESB um markaði fyrir fjármálagerninga og tilskipun (ESB) 2015/849 um ráðstafanir gegn því að fjármálakerfið sé notað til peningaþvættis eða til fjármögnunar hryðjuverka.</w:t>
                </w:r>
                <w:r w:rsidR="00361F7B" w:rsidRPr="00EE441B">
                  <w:rPr>
                    <w:rStyle w:val="eop"/>
                    <w:color w:val="000000"/>
                    <w:shd w:val="clear" w:color="auto" w:fill="FFFFFF"/>
                    <w:lang w:val="is-IS"/>
                  </w:rPr>
                  <w:t> </w:t>
                </w:r>
              </w:p>
              <w:p w14:paraId="42573DED" w14:textId="03956FD7" w:rsidR="001C7CF3" w:rsidRPr="00EE441B" w:rsidRDefault="001C7CF3" w:rsidP="00394DB4">
                <w:pPr>
                  <w:autoSpaceDE w:val="0"/>
                  <w:autoSpaceDN w:val="0"/>
                  <w:adjustRightInd w:val="0"/>
                  <w:spacing w:before="60" w:after="60"/>
                  <w:jc w:val="both"/>
                  <w:rPr>
                    <w:rFonts w:ascii="Times New Roman" w:hAnsi="Times New Roman" w:cs="Times New Roman"/>
                    <w:lang w:val="is-IS"/>
                  </w:rPr>
                </w:pPr>
              </w:p>
              <w:p w14:paraId="0942B17D" w14:textId="76EE686B" w:rsidR="00460442" w:rsidRDefault="00394DB4" w:rsidP="00394DB4">
                <w:pPr>
                  <w:autoSpaceDE w:val="0"/>
                  <w:autoSpaceDN w:val="0"/>
                  <w:adjustRightInd w:val="0"/>
                  <w:spacing w:before="60" w:after="60"/>
                  <w:jc w:val="both"/>
                  <w:rPr>
                    <w:rFonts w:ascii="Times New Roman" w:hAnsi="Times New Roman" w:cs="Times New Roman"/>
                  </w:rPr>
                </w:pPr>
                <w:r w:rsidRPr="00EE441B">
                  <w:rPr>
                    <w:rFonts w:ascii="Times New Roman" w:hAnsi="Times New Roman" w:cs="Times New Roman"/>
                    <w:i/>
                    <w:iCs/>
                    <w:lang w:val="is-IS"/>
                  </w:rPr>
                  <w:t>Reglugerð (ESB) 2019/2175 (ESAs Review)</w:t>
                </w:r>
                <w:r w:rsidRPr="00EE441B">
                  <w:rPr>
                    <w:rFonts w:ascii="Times New Roman" w:hAnsi="Times New Roman" w:cs="Times New Roman"/>
                    <w:lang w:val="is-IS"/>
                  </w:rPr>
                  <w:t xml:space="preserve"> kveður á um tilteknar breytingar á reglugerðum ESB um evrópskt eftirlitskerfi á fjármálamarkaði með skilvirkara og stöðugra eftirlit með fjármálamörkuðum og fjármálaþjónustu að markmiði, sem var talið mikilvægt til að eyða eftirlitshögnun á milli aðildarríkja við framkvæmd eftirlitsverkefna þeirra og til að hraða samþættingu markaða og skapa tækifæri á innri markaðnum fyrir fjármálastofnanir og fjárfesta. Með breytingunum eru tilteknar valdheimildir evrópsku </w:t>
                </w:r>
                <w:r w:rsidRPr="00EE441B">
                  <w:rPr>
                    <w:rFonts w:ascii="Times New Roman" w:hAnsi="Times New Roman" w:cs="Times New Roman"/>
                    <w:lang w:val="is-IS"/>
                  </w:rPr>
                  <w:t xml:space="preserve">eftirlitsstofnananna skýrðar og styrktar og lagðar til nýjar valdheimildir á tilteknum sviðum. </w:t>
                </w:r>
                <w:r w:rsidR="00460442" w:rsidRPr="00460442">
                  <w:rPr>
                    <w:rFonts w:ascii="Times New Roman" w:hAnsi="Times New Roman" w:cs="Times New Roman"/>
                    <w:highlight w:val="green"/>
                    <w:lang w:val="is-IS"/>
                  </w:rPr>
                  <w:t>Sem dæmi eru eftirlitsheimildir sem EBA eru veittar til að sporna við peningaþvætti og fjármögnun hryðjuverka</w:t>
                </w:r>
                <w:r w:rsidR="00460442">
                  <w:rPr>
                    <w:rFonts w:ascii="Times New Roman" w:hAnsi="Times New Roman" w:cs="Times New Roman"/>
                    <w:highlight w:val="green"/>
                    <w:lang w:val="is-IS"/>
                  </w:rPr>
                  <w:t xml:space="preserve">, </w:t>
                </w:r>
                <w:r w:rsidR="00460442" w:rsidRPr="00EE441B">
                  <w:rPr>
                    <w:rFonts w:ascii="Times New Roman" w:hAnsi="Times New Roman" w:cs="Times New Roman"/>
                    <w:lang w:val="is-IS"/>
                  </w:rPr>
                  <w:t>en gert er ráð fyrir að þau verkefni færist svo til nýrrar stofnunar (</w:t>
                </w:r>
                <w:r w:rsidR="00460442">
                  <w:rPr>
                    <w:rFonts w:ascii="Times New Roman" w:hAnsi="Times New Roman" w:cs="Times New Roman"/>
                    <w:lang w:val="is-IS"/>
                  </w:rPr>
                  <w:t xml:space="preserve">The </w:t>
                </w:r>
                <w:hyperlink r:id="rId16" w:history="1">
                  <w:r w:rsidR="00460442" w:rsidRPr="00D42140">
                    <w:rPr>
                      <w:rStyle w:val="Hyperlink"/>
                      <w:rFonts w:ascii="Times New Roman" w:hAnsi="Times New Roman" w:cs="Times New Roman"/>
                      <w:lang w:val="is-IS"/>
                    </w:rPr>
                    <w:t>Anti-</w:t>
                  </w:r>
                  <w:r w:rsidR="00460442">
                    <w:rPr>
                      <w:rStyle w:val="Hyperlink"/>
                      <w:rFonts w:ascii="Times New Roman" w:hAnsi="Times New Roman" w:cs="Times New Roman"/>
                      <w:lang w:val="is-IS"/>
                    </w:rPr>
                    <w:t>M</w:t>
                  </w:r>
                  <w:r w:rsidR="00460442" w:rsidRPr="00D42140">
                    <w:rPr>
                      <w:rStyle w:val="Hyperlink"/>
                      <w:rFonts w:ascii="Times New Roman" w:hAnsi="Times New Roman" w:cs="Times New Roman"/>
                      <w:lang w:val="is-IS"/>
                    </w:rPr>
                    <w:t xml:space="preserve">oney Laundering </w:t>
                  </w:r>
                  <w:r w:rsidR="00460442">
                    <w:rPr>
                      <w:rStyle w:val="Hyperlink"/>
                      <w:rFonts w:ascii="Times New Roman" w:hAnsi="Times New Roman" w:cs="Times New Roman"/>
                      <w:lang w:val="is-IS"/>
                    </w:rPr>
                    <w:t xml:space="preserve">and Countering the financing of Terrorism </w:t>
                  </w:r>
                  <w:r w:rsidR="00460442" w:rsidRPr="00D42140">
                    <w:rPr>
                      <w:rStyle w:val="Hyperlink"/>
                      <w:rFonts w:ascii="Times New Roman" w:hAnsi="Times New Roman" w:cs="Times New Roman"/>
                      <w:lang w:val="is-IS"/>
                    </w:rPr>
                    <w:t>Authority</w:t>
                  </w:r>
                </w:hyperlink>
                <w:r w:rsidR="00460442">
                  <w:rPr>
                    <w:rFonts w:ascii="Times New Roman" w:hAnsi="Times New Roman" w:cs="Times New Roman"/>
                    <w:lang w:val="is-IS"/>
                  </w:rPr>
                  <w:t xml:space="preserve">, </w:t>
                </w:r>
                <w:r w:rsidR="00460442" w:rsidRPr="00EE441B">
                  <w:rPr>
                    <w:rFonts w:ascii="Times New Roman" w:hAnsi="Times New Roman" w:cs="Times New Roman"/>
                    <w:lang w:val="is-IS"/>
                  </w:rPr>
                  <w:t>AMLA) í náinni framtíð</w:t>
                </w:r>
                <w:r w:rsidR="00460442">
                  <w:rPr>
                    <w:rFonts w:ascii="Times New Roman" w:hAnsi="Times New Roman" w:cs="Times New Roman"/>
                    <w:lang w:val="is-IS"/>
                  </w:rPr>
                  <w:t>,</w:t>
                </w:r>
                <w:r w:rsidR="00460442" w:rsidRPr="00460442">
                  <w:rPr>
                    <w:rFonts w:ascii="Times New Roman" w:hAnsi="Times New Roman" w:cs="Times New Roman"/>
                    <w:highlight w:val="green"/>
                    <w:lang w:val="is-IS"/>
                  </w:rPr>
                  <w:t xml:space="preserve"> og kveðið er á um að ESMA fari með beint eftirlit með gagnaþjónustuveitendum og starfsleyfisveitingar til þeirra og beint eftirlit með mikilvægum fjárhagslegum viðmiðunum og að gefa staðfestingu til stjórnenda fjárhagslegra viðmiðana frá þriðju ríkjum. </w:t>
                </w:r>
                <w:r w:rsidR="00F6234E" w:rsidRPr="00EE441B">
                  <w:rPr>
                    <w:rFonts w:ascii="Times New Roman" w:hAnsi="Times New Roman" w:cs="Times New Roman"/>
                    <w:lang w:val="is-IS"/>
                  </w:rPr>
                  <w:t xml:space="preserve">Í beinu eftirliti felast m.a. heimildir til leggja á sektir og til að krefjast greiðslu eftirlitsgjalda. </w:t>
                </w:r>
                <w:r w:rsidR="00460442" w:rsidRPr="00460442">
                  <w:rPr>
                    <w:rFonts w:ascii="Times New Roman" w:hAnsi="Times New Roman" w:cs="Times New Roman"/>
                    <w:highlight w:val="green"/>
                    <w:lang w:val="is-IS"/>
                  </w:rPr>
                  <w:t>Einnig eru auknar heimildir stofnananna til aðgangs að upplýsingum frá lögbærum yfirvöldum og til að kalla eftir gögnum frá markaðsaðilum. Þá eru styrkt ákvæði um rýni af hálfu stofnananna á lögbærum yfirvöldum í aðildarríkjunum, framsetning forgangsáherslna eftirlits í ESB og útgáfa eftirlitshandbókar ESB. Einnig eru gerðar breytingar á stjórnskipulagi stofnananna til að skerpa á ákvarðanatöku og auka á sjálfstæði stofnananna frá lögbærum yfirvöldum aðildarríkjanna. Breytingarnar varða hlutverk og skipan formanna í stjórnum stofnananna, reglur varðandi ráðstafanir vegna hagsmunaárekstra innan stjórna stofnananna og meðferð mála um brot á löggjöf ESB þar sem sjálfstæðir hópar sérfræðinga eru settir á fót og ferli við ákvarðanatöku er breytt, sem og að atkvæði þess aðila sem framið hefur hið meinta brot á löggjöfinni fellur niður</w:t>
                </w:r>
                <w:r w:rsidR="00460442" w:rsidRPr="00E60107">
                  <w:rPr>
                    <w:rFonts w:ascii="Times New Roman" w:hAnsi="Times New Roman" w:cs="Times New Roman"/>
                    <w:highlight w:val="green"/>
                  </w:rPr>
                  <w:t>.</w:t>
                </w:r>
              </w:p>
              <w:p w14:paraId="16F0379E" w14:textId="01EC6A6F" w:rsidR="00394DB4" w:rsidRPr="00EE441B" w:rsidRDefault="00394DB4" w:rsidP="00394DB4">
                <w:pPr>
                  <w:autoSpaceDE w:val="0"/>
                  <w:autoSpaceDN w:val="0"/>
                  <w:adjustRightInd w:val="0"/>
                  <w:spacing w:before="60" w:after="60"/>
                  <w:jc w:val="both"/>
                  <w:rPr>
                    <w:rFonts w:ascii="Times New Roman" w:hAnsi="Times New Roman" w:cs="Times New Roman"/>
                    <w:lang w:val="is-IS"/>
                  </w:rPr>
                </w:pPr>
                <w:r w:rsidRPr="00EE441B">
                  <w:rPr>
                    <w:rFonts w:ascii="Times New Roman" w:hAnsi="Times New Roman" w:cs="Times New Roman"/>
                    <w:lang w:val="is-IS"/>
                  </w:rPr>
                  <w:t>Þá eru gerðar smávægilegar breytingar á reglugerð (ESB) 2015/847 um upplýsingar sem fylgja skulu við millifærslu fjármuna í tengslum við nýjar heimildir EBA til að sporna við peningaþvætti og fjármögnun hryðjuverka.</w:t>
                </w:r>
                <w:r w:rsidRPr="00EE441B">
                  <w:rPr>
                    <w:rFonts w:ascii="Times New Roman" w:eastAsia="Calibri" w:hAnsi="Times New Roman" w:cs="Times New Roman"/>
                    <w:lang w:val="is-IS"/>
                  </w:rPr>
                  <w:t xml:space="preserve"> Reglugerðin tók gildi í ESB 30. desember 2019 og kom þar til framkvæmda að hluta 1. janúar 2020 en að fullu 1. janúar 2022.</w:t>
                </w:r>
              </w:p>
              <w:p w14:paraId="794E91D6" w14:textId="086CF8C5" w:rsidR="00394DB4" w:rsidRPr="00EE441B" w:rsidRDefault="00394DB4" w:rsidP="00394DB4">
                <w:pPr>
                  <w:autoSpaceDE w:val="0"/>
                  <w:autoSpaceDN w:val="0"/>
                  <w:adjustRightInd w:val="0"/>
                  <w:spacing w:before="60" w:after="60"/>
                  <w:jc w:val="both"/>
                  <w:rPr>
                    <w:rFonts w:ascii="Times New Roman" w:hAnsi="Times New Roman" w:cs="Times New Roman"/>
                    <w:lang w:val="is-IS"/>
                  </w:rPr>
                </w:pPr>
              </w:p>
              <w:p w14:paraId="57904008" w14:textId="70A098AC" w:rsidR="00394DB4" w:rsidRPr="00EE441B" w:rsidRDefault="00394DB4" w:rsidP="00394DB4">
                <w:pPr>
                  <w:autoSpaceDE w:val="0"/>
                  <w:autoSpaceDN w:val="0"/>
                  <w:adjustRightInd w:val="0"/>
                  <w:spacing w:before="60" w:after="60"/>
                  <w:jc w:val="both"/>
                  <w:rPr>
                    <w:rFonts w:ascii="Times New Roman" w:hAnsi="Times New Roman" w:cs="Times New Roman"/>
                    <w:lang w:val="is-IS"/>
                  </w:rPr>
                </w:pPr>
                <w:r w:rsidRPr="00EE441B">
                  <w:rPr>
                    <w:rFonts w:ascii="Times New Roman" w:hAnsi="Times New Roman" w:cs="Times New Roman"/>
                    <w:i/>
                    <w:iCs/>
                    <w:lang w:val="is-IS"/>
                  </w:rPr>
                  <w:t>Reglugerð (ESB) 2019/2176</w:t>
                </w:r>
                <w:r w:rsidRPr="00EE441B">
                  <w:rPr>
                    <w:rFonts w:ascii="Times New Roman" w:hAnsi="Times New Roman" w:cs="Times New Roman"/>
                    <w:lang w:val="is-IS"/>
                  </w:rPr>
                  <w:t xml:space="preserve"> kveður á um tilteknar breytingar á reglugerð </w:t>
                </w:r>
                <w:r w:rsidRPr="00EE441B">
                  <w:rPr>
                    <w:rStyle w:val="normaltextrun"/>
                    <w:rFonts w:ascii="Times New Roman" w:hAnsi="Times New Roman" w:cs="Times New Roman"/>
                    <w:color w:val="000000"/>
                    <w:shd w:val="clear" w:color="auto" w:fill="FFFFFF"/>
                    <w:lang w:val="is-IS"/>
                  </w:rPr>
                  <w:t xml:space="preserve">(ESB) nr. 1092/2010 um þjóðhagsvarúðareftirlit með fjármálakerfinu og um stofnun Evrópska kerfisáhætturáðsins (ESRB). </w:t>
                </w:r>
                <w:r w:rsidRPr="00EE441B">
                  <w:rPr>
                    <w:rFonts w:ascii="Times New Roman" w:hAnsi="Times New Roman" w:cs="Times New Roman"/>
                    <w:lang w:val="is-IS"/>
                  </w:rPr>
                  <w:t>Breytingar á stofnunum ESB í tengslum við uppsetningu á evrópska bankasambandinu (e. European Banking Union) og viðleitni til að koma á sambandi fjármagnsmarkaða (e. Capital Markets Union), auk tæknibreytinga, hafa breytt starfsumhverfi ESRB. Var því talin þörf á breytingum á samsetningu ESRB</w:t>
                </w:r>
                <w:r w:rsidR="00631E8D">
                  <w:rPr>
                    <w:rFonts w:ascii="Times New Roman" w:hAnsi="Times New Roman" w:cs="Times New Roman"/>
                    <w:lang w:val="is-IS"/>
                  </w:rPr>
                  <w:t xml:space="preserve">, </w:t>
                </w:r>
                <w:r w:rsidR="00631E8D">
                  <w:rPr>
                    <w:rFonts w:ascii="Times New Roman" w:hAnsi="Times New Roman" w:cs="Times New Roman"/>
                  </w:rPr>
                  <w:t>en f</w:t>
                </w:r>
                <w:r w:rsidR="00631E8D">
                  <w:rPr>
                    <w:rFonts w:ascii="Times New Roman" w:hAnsi="Times New Roman" w:cs="Times New Roman"/>
                    <w:color w:val="000000"/>
                  </w:rPr>
                  <w:t xml:space="preserve">ormaður eftirlitsnefndar Evrópska seðlabankans og formaður sameiginlegu skilastjórnarinnar fá sæti án atkvæðisréttar í almenna ráði ESRB og tæknilegu ráðgjafanefnd ESRB. Einnig </w:t>
                </w:r>
                <w:r w:rsidRPr="00EE441B">
                  <w:rPr>
                    <w:rFonts w:ascii="Times New Roman" w:hAnsi="Times New Roman" w:cs="Times New Roman"/>
                    <w:lang w:val="is-IS"/>
                  </w:rPr>
                  <w:t xml:space="preserve">hvernig </w:t>
                </w:r>
                <w:r w:rsidR="00631E8D">
                  <w:rPr>
                    <w:rFonts w:ascii="Times New Roman" w:hAnsi="Times New Roman" w:cs="Times New Roman"/>
                    <w:lang w:val="is-IS"/>
                  </w:rPr>
                  <w:t xml:space="preserve">ráðið </w:t>
                </w:r>
                <w:r w:rsidRPr="00EE441B">
                  <w:rPr>
                    <w:rFonts w:ascii="Times New Roman" w:hAnsi="Times New Roman" w:cs="Times New Roman"/>
                    <w:lang w:val="is-IS"/>
                  </w:rPr>
                  <w:t xml:space="preserve">vinnur með öðrum yfirvöldum til að taka mið af vaxandi breytingum á umgjörð um þjóðhagsvarúð og reglubreytingum sem hafa orðið. </w:t>
                </w:r>
                <w:r w:rsidR="00631E8D">
                  <w:rPr>
                    <w:rFonts w:ascii="Times New Roman" w:hAnsi="Times New Roman" w:cs="Times New Roman"/>
                  </w:rPr>
                  <w:t xml:space="preserve">Skal ráðið senda viðvaranir og tilmæli til Evrópska seðlabankans, Evrópuþingsins og evrópsku eftirlitsstofnanna, til viðbótar við fyrra fyrirkomulag sem fól í sér sendingu til ráðsins og framkvæmdastjórnar ESB og lögbærra yfirvalda í viðkomandi aðildarríki. </w:t>
                </w:r>
                <w:r w:rsidRPr="00EE441B">
                  <w:rPr>
                    <w:rFonts w:ascii="Times New Roman" w:hAnsi="Times New Roman" w:cs="Times New Roman"/>
                    <w:lang w:val="is-IS"/>
                  </w:rPr>
                  <w:t xml:space="preserve">Þá var talin þörf á að gera breytingar til að tryggja að ESRB gæti sinnt þjóðhagsvarúðareftirliti með öllu fjármálakerfinu en ekki bara bönkum þar sem mikilvægi fjármögnunar á markaði hefur aukist. </w:t>
                </w:r>
                <w:r w:rsidR="00271553">
                  <w:rPr>
                    <w:rFonts w:ascii="Times New Roman" w:hAnsi="Times New Roman" w:cs="Times New Roman"/>
                    <w:lang w:val="is-IS"/>
                  </w:rPr>
                  <w:t>Við setningu</w:t>
                </w:r>
                <w:r w:rsidRPr="00EE441B">
                  <w:rPr>
                    <w:rFonts w:ascii="Times New Roman" w:hAnsi="Times New Roman" w:cs="Times New Roman"/>
                    <w:lang w:val="is-IS"/>
                  </w:rPr>
                  <w:t xml:space="preserve"> </w:t>
                </w:r>
                <w:r w:rsidR="00271553" w:rsidRPr="00EE441B">
                  <w:rPr>
                    <w:rFonts w:ascii="Times New Roman" w:hAnsi="Times New Roman" w:cs="Times New Roman"/>
                    <w:lang w:val="is-IS"/>
                  </w:rPr>
                  <w:t>reglugerð</w:t>
                </w:r>
                <w:r w:rsidR="00271553">
                  <w:rPr>
                    <w:rFonts w:ascii="Times New Roman" w:hAnsi="Times New Roman" w:cs="Times New Roman"/>
                    <w:lang w:val="is-IS"/>
                  </w:rPr>
                  <w:t>ar</w:t>
                </w:r>
                <w:r w:rsidR="00271553" w:rsidRPr="00EE441B">
                  <w:rPr>
                    <w:rFonts w:ascii="Times New Roman" w:hAnsi="Times New Roman" w:cs="Times New Roman"/>
                    <w:lang w:val="is-IS"/>
                  </w:rPr>
                  <w:t xml:space="preserve"> (ESB) 1092/2010</w:t>
                </w:r>
                <w:r w:rsidR="00271553">
                  <w:rPr>
                    <w:rFonts w:ascii="Times New Roman" w:hAnsi="Times New Roman" w:cs="Times New Roman"/>
                    <w:lang w:val="is-IS"/>
                  </w:rPr>
                  <w:t xml:space="preserve"> </w:t>
                </w:r>
                <w:r w:rsidRPr="00EE441B">
                  <w:rPr>
                    <w:rFonts w:ascii="Times New Roman" w:hAnsi="Times New Roman" w:cs="Times New Roman"/>
                    <w:lang w:val="is-IS"/>
                  </w:rPr>
                  <w:t>höfðu EES-EFTA ríkin stöðu þriðju ríkja hjá ESRB</w:t>
                </w:r>
                <w:r w:rsidR="00631E8D">
                  <w:rPr>
                    <w:rFonts w:ascii="Times New Roman" w:hAnsi="Times New Roman" w:cs="Times New Roman"/>
                    <w:lang w:val="is-IS"/>
                  </w:rPr>
                  <w:t>,</w:t>
                </w:r>
                <w:r w:rsidR="00631E8D">
                  <w:rPr>
                    <w:rFonts w:ascii="Times New Roman" w:hAnsi="Times New Roman" w:cs="Times New Roman"/>
                  </w:rPr>
                  <w:t xml:space="preserve"> sem fólst í því að ríkin höfðu eingöngu aðkomu að fundum hjá ráðinu í tengslum við málefni sem vörðuðu þau sérstaklega</w:t>
                </w:r>
                <w:r w:rsidRPr="00EE441B">
                  <w:rPr>
                    <w:rFonts w:ascii="Times New Roman" w:hAnsi="Times New Roman" w:cs="Times New Roman"/>
                    <w:lang w:val="is-IS"/>
                  </w:rPr>
                  <w:t xml:space="preserve">. Með breytingagerðinni, reglugerð (ESB) 2019/2176, </w:t>
                </w:r>
                <w:r w:rsidR="00271553">
                  <w:rPr>
                    <w:rFonts w:ascii="Times New Roman" w:hAnsi="Times New Roman" w:cs="Times New Roman"/>
                    <w:lang w:val="is-IS"/>
                  </w:rPr>
                  <w:t>er þessu formlega breytt og</w:t>
                </w:r>
                <w:r w:rsidR="00122564">
                  <w:rPr>
                    <w:rFonts w:ascii="Times New Roman" w:hAnsi="Times New Roman" w:cs="Times New Roman"/>
                    <w:lang w:val="is-IS"/>
                  </w:rPr>
                  <w:t xml:space="preserve"> opnað er fyrir það að EES-/EFTA-</w:t>
                </w:r>
                <w:r w:rsidRPr="00EE441B">
                  <w:rPr>
                    <w:rFonts w:ascii="Times New Roman" w:hAnsi="Times New Roman" w:cs="Times New Roman"/>
                    <w:lang w:val="is-IS"/>
                  </w:rPr>
                  <w:t xml:space="preserve">ríkin </w:t>
                </w:r>
                <w:r w:rsidR="00122564">
                  <w:rPr>
                    <w:rFonts w:ascii="Times New Roman" w:hAnsi="Times New Roman" w:cs="Times New Roman"/>
                    <w:lang w:val="is-IS"/>
                  </w:rPr>
                  <w:t>fái stöðu aðildarríkis skv. EES-samningnum</w:t>
                </w:r>
                <w:r w:rsidR="00631E8D">
                  <w:rPr>
                    <w:rFonts w:ascii="Times New Roman" w:hAnsi="Times New Roman" w:cs="Times New Roman"/>
                    <w:lang w:val="is-IS"/>
                  </w:rPr>
                  <w:t>.</w:t>
                </w:r>
                <w:r w:rsidR="00122564">
                  <w:rPr>
                    <w:rFonts w:ascii="Times New Roman" w:hAnsi="Times New Roman" w:cs="Times New Roman"/>
                    <w:lang w:val="is-IS"/>
                  </w:rPr>
                  <w:t xml:space="preserve"> </w:t>
                </w:r>
                <w:r w:rsidR="00D42140">
                  <w:rPr>
                    <w:rFonts w:ascii="Times New Roman" w:hAnsi="Times New Roman" w:cs="Times New Roman"/>
                    <w:lang w:val="is-IS"/>
                  </w:rPr>
                  <w:t xml:space="preserve">Það verði </w:t>
                </w:r>
                <w:r w:rsidR="00122564">
                  <w:rPr>
                    <w:rFonts w:ascii="Times New Roman" w:hAnsi="Times New Roman" w:cs="Times New Roman"/>
                    <w:lang w:val="is-IS"/>
                  </w:rPr>
                  <w:t xml:space="preserve">svo </w:t>
                </w:r>
                <w:r w:rsidR="00D42140">
                  <w:rPr>
                    <w:rFonts w:ascii="Times New Roman" w:hAnsi="Times New Roman" w:cs="Times New Roman"/>
                    <w:lang w:val="is-IS"/>
                  </w:rPr>
                  <w:t>gert með aðlögun á gerðinni við upptöku í samninginn</w:t>
                </w:r>
                <w:r w:rsidR="00122564">
                  <w:rPr>
                    <w:rFonts w:ascii="Times New Roman" w:hAnsi="Times New Roman" w:cs="Times New Roman"/>
                    <w:lang w:val="is-IS"/>
                  </w:rPr>
                  <w:t>.</w:t>
                </w:r>
              </w:p>
              <w:p w14:paraId="4C986F9B" w14:textId="2ABC632C" w:rsidR="00394DB4" w:rsidRPr="00EE441B" w:rsidRDefault="00394DB4" w:rsidP="00394DB4">
                <w:pPr>
                  <w:autoSpaceDE w:val="0"/>
                  <w:autoSpaceDN w:val="0"/>
                  <w:adjustRightInd w:val="0"/>
                  <w:spacing w:before="60" w:after="60"/>
                  <w:jc w:val="both"/>
                  <w:rPr>
                    <w:lang w:val="is-IS"/>
                  </w:rPr>
                </w:pPr>
              </w:p>
              <w:p w14:paraId="1835575E" w14:textId="4CEB2C5B" w:rsidR="00394DB4" w:rsidRPr="00EE441B" w:rsidRDefault="00394DB4" w:rsidP="00394DB4">
                <w:pPr>
                  <w:autoSpaceDE w:val="0"/>
                  <w:autoSpaceDN w:val="0"/>
                  <w:adjustRightInd w:val="0"/>
                  <w:spacing w:before="60" w:after="60"/>
                  <w:jc w:val="both"/>
                  <w:rPr>
                    <w:rFonts w:ascii="Times New Roman" w:hAnsi="Times New Roman" w:cs="Times New Roman"/>
                    <w:lang w:val="is-IS"/>
                  </w:rPr>
                </w:pPr>
                <w:r w:rsidRPr="00EE441B">
                  <w:rPr>
                    <w:rFonts w:ascii="Times New Roman" w:hAnsi="Times New Roman" w:cs="Times New Roman"/>
                    <w:i/>
                    <w:iCs/>
                    <w:lang w:val="is-IS"/>
                  </w:rPr>
                  <w:lastRenderedPageBreak/>
                  <w:t>Tilskipun (ESB) 2019/2177</w:t>
                </w:r>
                <w:r w:rsidRPr="00EE441B">
                  <w:rPr>
                    <w:rFonts w:ascii="Times New Roman" w:hAnsi="Times New Roman" w:cs="Times New Roman"/>
                    <w:lang w:val="is-IS"/>
                  </w:rPr>
                  <w:t xml:space="preserve"> kveður á um breytingar á þremur tilskipunum sem tengdar eru breytingunum sem gerðar eru með ESAs review reglugerðinni, þ.e.a.s. tilskipun 2009/138/EB um stofnun og rekstur fyrirtækja á sviði vátrygginga og endurtrygginga (Solvency II), tilskipun 2014/65/ESB um markaði fyrir fjármálagerninga (MIFID II) og tilskipun (ESB) 2015/849 um ráðstafanir gegn því að fjármálakerfið sé notað til peningaþvættis eða til fjármögnunar hryðjuverka (AMLD IV). Breytingar á Solvency II varða upplýsingaskipti á milli eftirlitsaðila og samstarf lögbærra yfirvalda og EIOPA er styrkt vegna aukinnar starfsemi vátryggingafélaga yfir landamæri. Þá er sett inn heimild til notkunar á innri líkönum við útreikning á gjaldþolskröfu og kveðið á um hlutverk EIOPA í tengslum við það til að gæta samræmingar. Breytingarnar á MIFID II varða gæði viðskiptagagna og var talið hagræði í því að sameina valdheimildir í tengslum við viðskiptagögn á hendi ESMA þar sem að höndlað er með slík gögn yfir landamæri í því skyni að koma í veg fyrir ólíka eftirlitsframkvæmd varðandi bæði gæði viðskiptagagna og verkefni veitenda gagnaskýrsluþjónustu. Starfsleyfisveitingar og eftirlit með slíkum aðilum og gagnaöflun færist því frá lögbærum yfirvöldum í aðildarríkjum til ESMA nema að því er varðar viðurkennd skýrslugjafarkerfi (ARM) og viðurkenndar birtingarþjónustur (APA) sem eru með undanþágu skv. reglugerð (ESB) 600/2014 um markaði fyrir fjármálagerninga. Breytingar á AMLD IV eru tæknilegar vegna breytinga í ESAs review reglugerðinni á hlutverki EBA í tengslum við eftirlit með vörnum gegn peningaþvætti og fjármögnun hryðjuverka.</w:t>
                </w:r>
              </w:p>
              <w:p w14:paraId="7511863B" w14:textId="3AE27C6B" w:rsidR="00394DB4" w:rsidRPr="00EE441B" w:rsidRDefault="00394DB4" w:rsidP="00394DB4">
                <w:pPr>
                  <w:autoSpaceDE w:val="0"/>
                  <w:autoSpaceDN w:val="0"/>
                  <w:adjustRightInd w:val="0"/>
                  <w:spacing w:before="60" w:after="60"/>
                  <w:jc w:val="both"/>
                  <w:rPr>
                    <w:rFonts w:ascii="Times New Roman" w:hAnsi="Times New Roman" w:cs="Times New Roman"/>
                    <w:lang w:val="is-IS"/>
                  </w:rPr>
                </w:pPr>
              </w:p>
              <w:p w14:paraId="1DCBE3FF" w14:textId="3E66ED62" w:rsidR="004E7F08" w:rsidRPr="00EE441B" w:rsidRDefault="004E7F08" w:rsidP="00394DB4">
                <w:pPr>
                  <w:autoSpaceDE w:val="0"/>
                  <w:autoSpaceDN w:val="0"/>
                  <w:adjustRightInd w:val="0"/>
                  <w:spacing w:before="60" w:after="60"/>
                  <w:jc w:val="both"/>
                  <w:rPr>
                    <w:rFonts w:ascii="Times New Roman" w:hAnsi="Times New Roman" w:cs="Times New Roman"/>
                    <w:color w:val="000000"/>
                    <w:lang w:val="is-IS"/>
                  </w:rPr>
                </w:pPr>
                <w:r w:rsidRPr="00EE441B">
                  <w:rPr>
                    <w:rFonts w:ascii="Times New Roman" w:hAnsi="Times New Roman" w:cs="Times New Roman"/>
                    <w:color w:val="000000"/>
                    <w:lang w:val="is-IS"/>
                  </w:rPr>
                  <w:t xml:space="preserve">Unnið er að upptöku gerðanna í samninginn um Evrópska efnahagssvæðið. </w:t>
                </w:r>
                <w:r w:rsidR="00CA35CF" w:rsidRPr="00EE441B">
                  <w:rPr>
                    <w:rFonts w:ascii="Times New Roman" w:hAnsi="Times New Roman" w:cs="Times New Roman"/>
                    <w:color w:val="000000"/>
                    <w:lang w:val="is-IS"/>
                  </w:rPr>
                  <w:t>G</w:t>
                </w:r>
                <w:r w:rsidRPr="00EE441B">
                  <w:rPr>
                    <w:rFonts w:ascii="Times New Roman" w:hAnsi="Times New Roman" w:cs="Times New Roman"/>
                    <w:color w:val="000000"/>
                    <w:lang w:val="is-IS"/>
                  </w:rPr>
                  <w:t>ert</w:t>
                </w:r>
                <w:r w:rsidR="00CA35CF" w:rsidRPr="00EE441B">
                  <w:rPr>
                    <w:rFonts w:ascii="Times New Roman" w:hAnsi="Times New Roman" w:cs="Times New Roman"/>
                    <w:color w:val="000000"/>
                    <w:lang w:val="is-IS"/>
                  </w:rPr>
                  <w:t xml:space="preserve"> er</w:t>
                </w:r>
                <w:r w:rsidRPr="00EE441B">
                  <w:rPr>
                    <w:rFonts w:ascii="Times New Roman" w:hAnsi="Times New Roman" w:cs="Times New Roman"/>
                    <w:color w:val="000000"/>
                    <w:lang w:val="is-IS"/>
                  </w:rPr>
                  <w:t xml:space="preserve"> ráð fyrir </w:t>
                </w:r>
                <w:r w:rsidR="00CA35CF" w:rsidRPr="00EE441B">
                  <w:rPr>
                    <w:rFonts w:ascii="Times New Roman" w:hAnsi="Times New Roman" w:cs="Times New Roman"/>
                    <w:color w:val="000000"/>
                    <w:lang w:val="is-IS"/>
                  </w:rPr>
                  <w:t xml:space="preserve">hliðstæðum </w:t>
                </w:r>
                <w:r w:rsidRPr="00EE441B">
                  <w:rPr>
                    <w:rFonts w:ascii="Times New Roman" w:hAnsi="Times New Roman" w:cs="Times New Roman"/>
                    <w:color w:val="000000"/>
                    <w:lang w:val="is-IS"/>
                  </w:rPr>
                  <w:t>aðlögun</w:t>
                </w:r>
                <w:r w:rsidR="00CA35CF" w:rsidRPr="00EE441B">
                  <w:rPr>
                    <w:rFonts w:ascii="Times New Roman" w:hAnsi="Times New Roman" w:cs="Times New Roman"/>
                    <w:color w:val="000000"/>
                    <w:lang w:val="is-IS"/>
                  </w:rPr>
                  <w:t>um</w:t>
                </w:r>
                <w:r w:rsidRPr="00EE441B">
                  <w:rPr>
                    <w:rFonts w:ascii="Times New Roman" w:hAnsi="Times New Roman" w:cs="Times New Roman"/>
                    <w:color w:val="000000"/>
                    <w:lang w:val="is-IS"/>
                  </w:rPr>
                  <w:t xml:space="preserve"> á gerðunum við upptökuna</w:t>
                </w:r>
                <w:r w:rsidR="00CA35CF" w:rsidRPr="00EE441B">
                  <w:rPr>
                    <w:rFonts w:ascii="Times New Roman" w:hAnsi="Times New Roman" w:cs="Times New Roman"/>
                    <w:color w:val="000000"/>
                    <w:lang w:val="is-IS"/>
                  </w:rPr>
                  <w:t xml:space="preserve"> og gerðar voru vegna upptöku reglugerða (ESB) </w:t>
                </w:r>
                <w:r w:rsidR="00CA35CF" w:rsidRPr="00EE441B">
                  <w:rPr>
                    <w:rFonts w:ascii="Times New Roman" w:hAnsi="Times New Roman" w:cs="Times New Roman"/>
                    <w:lang w:val="is-IS"/>
                  </w:rPr>
                  <w:t xml:space="preserve">1092-1095/2010 </w:t>
                </w:r>
                <w:r w:rsidR="00CA35CF" w:rsidRPr="00EE441B">
                  <w:rPr>
                    <w:rFonts w:ascii="Times New Roman" w:eastAsia="Calibri" w:hAnsi="Times New Roman" w:cs="Times New Roman"/>
                    <w:lang w:val="is-IS"/>
                  </w:rPr>
                  <w:t>um evrópskt eftirlitskerfi á fjármálamarkaði til að gæta að tveggja stoða kerfi EES-samningsins (sjá umfjöllun í kafla 1.1.).</w:t>
                </w:r>
              </w:p>
              <w:p w14:paraId="318420E7" w14:textId="40BC3790" w:rsidR="00021A7E" w:rsidRPr="00EE441B" w:rsidRDefault="00021A7E" w:rsidP="00A45BB2">
                <w:pPr>
                  <w:spacing w:before="60" w:after="60"/>
                  <w:rPr>
                    <w:rFonts w:ascii="Times New Roman" w:hAnsi="Times New Roman" w:cs="Times New Roman"/>
                    <w:lang w:val="is-IS"/>
                  </w:rPr>
                </w:pPr>
              </w:p>
              <w:p w14:paraId="49F19076" w14:textId="63EE898F" w:rsidR="00FD2097" w:rsidRPr="00EE441B" w:rsidRDefault="00D148DB"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 xml:space="preserve">Hvert er </w:t>
                </w:r>
                <w:r w:rsidR="00133146" w:rsidRPr="00EE441B">
                  <w:rPr>
                    <w:rFonts w:ascii="Times New Roman" w:hAnsi="Times New Roman" w:cs="Times New Roman"/>
                    <w:b/>
                    <w:lang w:val="is-IS"/>
                  </w:rPr>
                  <w:t>úrlausnarefni</w:t>
                </w:r>
                <w:r w:rsidR="00E832C9" w:rsidRPr="00EE441B">
                  <w:rPr>
                    <w:rFonts w:ascii="Times New Roman" w:hAnsi="Times New Roman" w:cs="Times New Roman"/>
                    <w:b/>
                    <w:lang w:val="is-IS"/>
                  </w:rPr>
                  <w:t>ð</w:t>
                </w:r>
                <w:r w:rsidRPr="00EE441B">
                  <w:rPr>
                    <w:rFonts w:ascii="Times New Roman" w:hAnsi="Times New Roman" w:cs="Times New Roman"/>
                    <w:b/>
                    <w:lang w:val="is-IS"/>
                  </w:rPr>
                  <w:t>?</w:t>
                </w:r>
              </w:p>
              <w:p w14:paraId="6A942397" w14:textId="77777777" w:rsidR="006A062A" w:rsidRDefault="00A45BB2" w:rsidP="007B6A04">
                <w:pPr>
                  <w:spacing w:after="120"/>
                  <w:jc w:val="both"/>
                  <w:rPr>
                    <w:rFonts w:ascii="Times New Roman" w:hAnsi="Times New Roman" w:cs="Times New Roman"/>
                    <w:lang w:val="is-IS"/>
                  </w:rPr>
                </w:pPr>
                <w:r w:rsidRPr="00EE441B">
                  <w:rPr>
                    <w:rFonts w:ascii="Times New Roman" w:hAnsi="Times New Roman" w:cs="Times New Roman"/>
                    <w:lang w:val="is-IS"/>
                  </w:rPr>
                  <w:t>Megin úrlausnarefnið er að innleiða í íslenskan rétt ákvæði reglugerða (ESB) 2019/</w:t>
                </w:r>
                <w:r w:rsidR="00A46A81" w:rsidRPr="00EE441B">
                  <w:rPr>
                    <w:rFonts w:ascii="Times New Roman" w:hAnsi="Times New Roman" w:cs="Times New Roman"/>
                    <w:lang w:val="is-IS"/>
                  </w:rPr>
                  <w:t xml:space="preserve">2175 og 2019/2176 og ákvæði </w:t>
                </w:r>
                <w:r w:rsidRPr="00EE441B">
                  <w:rPr>
                    <w:rFonts w:ascii="Times New Roman" w:hAnsi="Times New Roman" w:cs="Times New Roman"/>
                    <w:lang w:val="is-IS"/>
                  </w:rPr>
                  <w:t>tilskipunar (ESB) 2019/</w:t>
                </w:r>
                <w:r w:rsidR="00A46A81" w:rsidRPr="00EE441B">
                  <w:rPr>
                    <w:rFonts w:ascii="Times New Roman" w:hAnsi="Times New Roman" w:cs="Times New Roman"/>
                    <w:lang w:val="is-IS"/>
                  </w:rPr>
                  <w:t>2177.</w:t>
                </w:r>
                <w:r w:rsidRPr="00EE441B">
                  <w:rPr>
                    <w:rFonts w:ascii="Times New Roman" w:hAnsi="Times New Roman" w:cs="Times New Roman"/>
                    <w:lang w:val="is-IS"/>
                  </w:rPr>
                  <w:t xml:space="preserve"> Einnig að kveða á um lagastoð </w:t>
                </w:r>
                <w:r w:rsidR="00E41C4C">
                  <w:rPr>
                    <w:rFonts w:ascii="Times New Roman" w:hAnsi="Times New Roman" w:cs="Times New Roman"/>
                    <w:lang w:val="is-IS"/>
                  </w:rPr>
                  <w:t xml:space="preserve">til innleiðingar á tengdum </w:t>
                </w:r>
                <w:r w:rsidR="0036665B">
                  <w:rPr>
                    <w:rFonts w:ascii="Times New Roman" w:hAnsi="Times New Roman" w:cs="Times New Roman"/>
                    <w:lang w:val="is-IS"/>
                  </w:rPr>
                  <w:t>undirgerð</w:t>
                </w:r>
                <w:r w:rsidR="00E41C4C">
                  <w:rPr>
                    <w:rFonts w:ascii="Times New Roman" w:hAnsi="Times New Roman" w:cs="Times New Roman"/>
                    <w:lang w:val="is-IS"/>
                  </w:rPr>
                  <w:t>um í landsrétt</w:t>
                </w:r>
                <w:r w:rsidRPr="00EE441B">
                  <w:rPr>
                    <w:rFonts w:ascii="Times New Roman" w:hAnsi="Times New Roman" w:cs="Times New Roman"/>
                    <w:lang w:val="is-IS"/>
                  </w:rPr>
                  <w:t xml:space="preserve">, </w:t>
                </w:r>
                <w:r w:rsidR="006A062A">
                  <w:rPr>
                    <w:rFonts w:ascii="Times New Roman" w:hAnsi="Times New Roman" w:cs="Times New Roman"/>
                    <w:lang w:val="is-IS"/>
                  </w:rPr>
                  <w:t>svo sem eftirfarandi gerðum:</w:t>
                </w:r>
              </w:p>
              <w:p w14:paraId="03FFF31A" w14:textId="77777777" w:rsidR="006A062A" w:rsidRPr="00D24D4E" w:rsidRDefault="00A45BB2" w:rsidP="006A062A">
                <w:pPr>
                  <w:pStyle w:val="ListParagraph"/>
                  <w:numPr>
                    <w:ilvl w:val="0"/>
                    <w:numId w:val="25"/>
                  </w:numPr>
                  <w:spacing w:after="120"/>
                  <w:jc w:val="both"/>
                  <w:rPr>
                    <w:rFonts w:ascii="Times New Roman" w:hAnsi="Times New Roman" w:cs="Times New Roman"/>
                    <w:bCs/>
                    <w:lang w:val="is-IS"/>
                  </w:rPr>
                </w:pPr>
                <w:r w:rsidRPr="006A062A">
                  <w:rPr>
                    <w:rFonts w:ascii="Times New Roman" w:hAnsi="Times New Roman" w:cs="Times New Roman"/>
                    <w:lang w:val="is-IS"/>
                  </w:rPr>
                  <w:t>fram</w:t>
                </w:r>
                <w:r w:rsidR="0036665B" w:rsidRPr="006A062A">
                  <w:rPr>
                    <w:rFonts w:ascii="Times New Roman" w:hAnsi="Times New Roman" w:cs="Times New Roman"/>
                    <w:lang w:val="is-IS"/>
                  </w:rPr>
                  <w:t xml:space="preserve">selda </w:t>
                </w:r>
                <w:r w:rsidRPr="006A062A">
                  <w:rPr>
                    <w:rFonts w:ascii="Times New Roman" w:hAnsi="Times New Roman" w:cs="Times New Roman"/>
                    <w:lang w:val="is-IS"/>
                  </w:rPr>
                  <w:t>reglu</w:t>
                </w:r>
                <w:r w:rsidRPr="006A062A">
                  <w:rPr>
                    <w:rFonts w:ascii="Times New Roman" w:hAnsi="Times New Roman" w:cs="Times New Roman"/>
                    <w:lang w:val="is-IS"/>
                  </w:rPr>
                  <w:softHyphen/>
                  <w:t>gerð</w:t>
                </w:r>
                <w:r w:rsidRPr="006A062A">
                  <w:rPr>
                    <w:lang w:val="is-IS"/>
                  </w:rPr>
                  <w:t xml:space="preserve"> </w:t>
                </w:r>
                <w:r w:rsidRPr="006A062A">
                  <w:rPr>
                    <w:rFonts w:ascii="Times New Roman" w:hAnsi="Times New Roman" w:cs="Times New Roman"/>
                    <w:lang w:val="is-IS"/>
                  </w:rPr>
                  <w:t>framkvæmdastjórnar ESB nr. 202</w:t>
                </w:r>
                <w:r w:rsidR="0036665B" w:rsidRPr="006A062A">
                  <w:rPr>
                    <w:rFonts w:ascii="Times New Roman" w:hAnsi="Times New Roman" w:cs="Times New Roman"/>
                    <w:lang w:val="is-IS"/>
                  </w:rPr>
                  <w:t>4</w:t>
                </w:r>
                <w:r w:rsidRPr="006A062A">
                  <w:rPr>
                    <w:rFonts w:ascii="Times New Roman" w:hAnsi="Times New Roman" w:cs="Times New Roman"/>
                    <w:lang w:val="is-IS"/>
                  </w:rPr>
                  <w:t>/5</w:t>
                </w:r>
                <w:r w:rsidR="0036665B" w:rsidRPr="006A062A">
                  <w:rPr>
                    <w:rFonts w:ascii="Times New Roman" w:hAnsi="Times New Roman" w:cs="Times New Roman"/>
                    <w:lang w:val="is-IS"/>
                  </w:rPr>
                  <w:t>9</w:t>
                </w:r>
                <w:r w:rsidRPr="006A062A">
                  <w:rPr>
                    <w:rFonts w:ascii="Times New Roman" w:hAnsi="Times New Roman" w:cs="Times New Roman"/>
                    <w:lang w:val="is-IS"/>
                  </w:rPr>
                  <w:t xml:space="preserve">5, sem mælir fyrir </w:t>
                </w:r>
                <w:r w:rsidR="007B6A04" w:rsidRPr="006A062A">
                  <w:rPr>
                    <w:rStyle w:val="ui-provider"/>
                    <w:rFonts w:ascii="Times New Roman" w:hAnsi="Times New Roman" w:cs="Times New Roman"/>
                    <w:lang w:val="is-IS"/>
                  </w:rPr>
                  <w:t xml:space="preserve">um viðbætur við reglugerð Evrópuþingsins og ráðsins (ESB) nr. 1093/2010 að því er varðar tæknilega eftirlitsstaðla sem tilgreina hversu alvarlegir annmarkar eru, tegund upplýsinga sem safnað er, framkvæmd upplýsingasöfnunar í reynd og greiningu og miðlun upplýsinganna sem eru í miðlægu gagnasafni um baráttuna gegn peningaþvætti og fjármögnun hryðjuverka sem um getur í 2. mgr. 9. gr. a í </w:t>
                </w:r>
                <w:r w:rsidR="007B6A04" w:rsidRPr="00D24D4E">
                  <w:rPr>
                    <w:rStyle w:val="ui-provider"/>
                    <w:rFonts w:ascii="Times New Roman" w:hAnsi="Times New Roman" w:cs="Times New Roman"/>
                    <w:lang w:val="is-IS"/>
                  </w:rPr>
                  <w:t>þeirri reglugerð</w:t>
                </w:r>
                <w:r w:rsidR="0036665B" w:rsidRPr="00D24D4E">
                  <w:rPr>
                    <w:rFonts w:ascii="Times New Roman" w:hAnsi="Times New Roman" w:cs="Times New Roman"/>
                    <w:lang w:val="is-IS"/>
                  </w:rPr>
                  <w:t xml:space="preserve">, </w:t>
                </w:r>
              </w:p>
              <w:p w14:paraId="4A1C2CDD" w14:textId="41EEF21B" w:rsidR="006A062A" w:rsidRPr="00D24D4E" w:rsidRDefault="006A062A" w:rsidP="006A062A">
                <w:pPr>
                  <w:pStyle w:val="ListParagraph"/>
                  <w:numPr>
                    <w:ilvl w:val="0"/>
                    <w:numId w:val="25"/>
                  </w:numPr>
                  <w:spacing w:after="120"/>
                  <w:jc w:val="both"/>
                  <w:rPr>
                    <w:rFonts w:ascii="Times New Roman" w:hAnsi="Times New Roman" w:cs="Times New Roman"/>
                    <w:bCs/>
                    <w:lang w:val="is-IS"/>
                  </w:rPr>
                </w:pPr>
                <w:r w:rsidRPr="00D24D4E">
                  <w:rPr>
                    <w:rFonts w:ascii="Times New Roman" w:hAnsi="Times New Roman" w:cs="Times New Roman"/>
                    <w:lang w:val="is-IS"/>
                  </w:rPr>
                  <w:t>framselda reglu</w:t>
                </w:r>
                <w:r w:rsidRPr="00D24D4E">
                  <w:rPr>
                    <w:rFonts w:ascii="Times New Roman" w:hAnsi="Times New Roman" w:cs="Times New Roman"/>
                    <w:lang w:val="is-IS"/>
                  </w:rPr>
                  <w:softHyphen/>
                  <w:t xml:space="preserve">gerð framkvæmdastjórnar </w:t>
                </w:r>
                <w:r w:rsidR="00D24D4E" w:rsidRPr="00D24D4E">
                  <w:rPr>
                    <w:rFonts w:ascii="Times New Roman" w:hAnsi="Times New Roman" w:cs="Times New Roman"/>
                    <w:lang w:val="is-IS"/>
                  </w:rPr>
                  <w:t>(</w:t>
                </w:r>
                <w:r w:rsidRPr="00D24D4E">
                  <w:rPr>
                    <w:rFonts w:ascii="Times New Roman" w:hAnsi="Times New Roman" w:cs="Times New Roman"/>
                    <w:lang w:val="is-IS"/>
                  </w:rPr>
                  <w:t>ESB</w:t>
                </w:r>
                <w:r w:rsidR="00D24D4E" w:rsidRPr="00D24D4E">
                  <w:rPr>
                    <w:rFonts w:ascii="Times New Roman" w:hAnsi="Times New Roman" w:cs="Times New Roman"/>
                    <w:lang w:val="is-IS"/>
                  </w:rPr>
                  <w:t>)</w:t>
                </w:r>
                <w:r w:rsidRPr="00D24D4E">
                  <w:rPr>
                    <w:rFonts w:ascii="Times New Roman" w:hAnsi="Times New Roman" w:cs="Times New Roman"/>
                    <w:lang w:val="is-IS"/>
                  </w:rPr>
                  <w:t xml:space="preserve"> nr. 2021/1348</w:t>
                </w:r>
                <w:r w:rsidR="00D24D4E" w:rsidRPr="00D24D4E">
                  <w:rPr>
                    <w:rFonts w:ascii="Times New Roman" w:hAnsi="Times New Roman" w:cs="Times New Roman"/>
                    <w:lang w:val="is-IS"/>
                  </w:rPr>
                  <w:t xml:space="preserve"> </w:t>
                </w:r>
                <w:r w:rsidR="00D24D4E" w:rsidRPr="00D24D4E">
                  <w:rPr>
                    <w:rStyle w:val="ui-provider"/>
                    <w:rFonts w:ascii="Times New Roman" w:hAnsi="Times New Roman" w:cs="Times New Roman"/>
                    <w:lang w:val="is-IS"/>
                  </w:rPr>
                  <w:t>um viðbætur við reglugerð Evrópuþingsins og ráðsins (ESB) 2016/1011 að því er varðar tæknilega eftirlitsstaðla sem tilgreina nánar viðmiðanir sem lögbær yfirvöld geta stuðst við ef þau krefjast breytinga á hlítniyfirlýsingu viðmiðana sem eru ekki mikilvægar</w:t>
                </w:r>
                <w:r w:rsidRPr="00D24D4E">
                  <w:rPr>
                    <w:rFonts w:ascii="Times New Roman" w:hAnsi="Times New Roman" w:cs="Times New Roman"/>
                    <w:lang w:val="is-IS"/>
                  </w:rPr>
                  <w:t>,</w:t>
                </w:r>
              </w:p>
              <w:p w14:paraId="609D983A" w14:textId="61B26915" w:rsidR="006A062A" w:rsidRPr="006A062A" w:rsidRDefault="0036665B" w:rsidP="006A062A">
                <w:pPr>
                  <w:pStyle w:val="ListParagraph"/>
                  <w:numPr>
                    <w:ilvl w:val="0"/>
                    <w:numId w:val="25"/>
                  </w:numPr>
                  <w:spacing w:after="120"/>
                  <w:jc w:val="both"/>
                  <w:rPr>
                    <w:rStyle w:val="ui-provider"/>
                    <w:rFonts w:ascii="Times New Roman" w:hAnsi="Times New Roman" w:cs="Times New Roman"/>
                    <w:bCs/>
                    <w:lang w:val="is-IS"/>
                  </w:rPr>
                </w:pPr>
                <w:r w:rsidRPr="006A062A">
                  <w:rPr>
                    <w:rFonts w:ascii="Times New Roman" w:hAnsi="Times New Roman" w:cs="Times New Roman"/>
                    <w:lang w:val="is-IS"/>
                  </w:rPr>
                  <w:t>framselda reglu</w:t>
                </w:r>
                <w:r w:rsidRPr="006A062A">
                  <w:rPr>
                    <w:rFonts w:ascii="Times New Roman" w:hAnsi="Times New Roman" w:cs="Times New Roman"/>
                    <w:lang w:val="is-IS"/>
                  </w:rPr>
                  <w:softHyphen/>
                  <w:t xml:space="preserve">gerð framkvæmdastjórnar </w:t>
                </w:r>
                <w:r w:rsidR="00D24D4E">
                  <w:rPr>
                    <w:rFonts w:ascii="Times New Roman" w:hAnsi="Times New Roman" w:cs="Times New Roman"/>
                    <w:lang w:val="is-IS"/>
                  </w:rPr>
                  <w:t>(</w:t>
                </w:r>
                <w:r w:rsidRPr="006A062A">
                  <w:rPr>
                    <w:rFonts w:ascii="Times New Roman" w:hAnsi="Times New Roman" w:cs="Times New Roman"/>
                    <w:lang w:val="is-IS"/>
                  </w:rPr>
                  <w:t>ESB</w:t>
                </w:r>
                <w:r w:rsidR="00D24D4E">
                  <w:rPr>
                    <w:rFonts w:ascii="Times New Roman" w:hAnsi="Times New Roman" w:cs="Times New Roman"/>
                    <w:lang w:val="is-IS"/>
                  </w:rPr>
                  <w:t>)</w:t>
                </w:r>
                <w:r w:rsidRPr="006A062A">
                  <w:rPr>
                    <w:rFonts w:ascii="Times New Roman" w:hAnsi="Times New Roman" w:cs="Times New Roman"/>
                    <w:lang w:val="is-IS"/>
                  </w:rPr>
                  <w:t xml:space="preserve"> nr. 2022/804, sem mælir fyrir </w:t>
                </w:r>
                <w:r w:rsidR="007B6A04" w:rsidRPr="006A062A">
                  <w:rPr>
                    <w:rStyle w:val="ui-provider"/>
                    <w:rFonts w:ascii="Times New Roman" w:hAnsi="Times New Roman" w:cs="Times New Roman"/>
                    <w:lang w:val="is-IS"/>
                  </w:rPr>
                  <w:t xml:space="preserve">um viðbætur við reglugerð Evrópuþingsins og ráðsins (ESB) 2016/1011 með því að tilgreina málsmeðferðarreglur um ráðstafanir sem eiga við um eftirlit Evrópsku verðbréfamarkaðseftirlitsstofnunarinnar á ákveðnum stjórnendum viðmiðan, </w:t>
                </w:r>
              </w:p>
              <w:p w14:paraId="596B973B" w14:textId="3BE0AADD" w:rsidR="00021A7E" w:rsidRPr="006A062A" w:rsidRDefault="0036665B" w:rsidP="006A062A">
                <w:pPr>
                  <w:pStyle w:val="ListParagraph"/>
                  <w:numPr>
                    <w:ilvl w:val="0"/>
                    <w:numId w:val="25"/>
                  </w:numPr>
                  <w:spacing w:after="120"/>
                  <w:jc w:val="both"/>
                  <w:rPr>
                    <w:rStyle w:val="ui-provider"/>
                    <w:rFonts w:ascii="Times New Roman" w:hAnsi="Times New Roman" w:cs="Times New Roman"/>
                    <w:bCs/>
                    <w:lang w:val="is-IS"/>
                  </w:rPr>
                </w:pPr>
                <w:r w:rsidRPr="006A062A">
                  <w:rPr>
                    <w:rFonts w:ascii="Times New Roman" w:hAnsi="Times New Roman" w:cs="Times New Roman"/>
                    <w:lang w:val="is-IS"/>
                  </w:rPr>
                  <w:t>framselda reglu</w:t>
                </w:r>
                <w:r w:rsidRPr="006A062A">
                  <w:rPr>
                    <w:rFonts w:ascii="Times New Roman" w:hAnsi="Times New Roman" w:cs="Times New Roman"/>
                    <w:lang w:val="is-IS"/>
                  </w:rPr>
                  <w:softHyphen/>
                  <w:t xml:space="preserve">gerð framkvæmdastjórnar ESB nr. 2022/805, sem mælir fyrir </w:t>
                </w:r>
                <w:r w:rsidR="007B6A04" w:rsidRPr="006A062A">
                  <w:rPr>
                    <w:rStyle w:val="ui-provider"/>
                    <w:rFonts w:ascii="Times New Roman" w:hAnsi="Times New Roman" w:cs="Times New Roman"/>
                    <w:lang w:val="is-IS"/>
                  </w:rPr>
                  <w:t>um viðbætur við reglugerð Evrópuþingsins og ráðsins (ESB) 2016/1011 með því að tilgreina gjöld sem gilda um eftirlit Evrópsku verðbréfamarkaðseftirlitsstofnunarinnar á ákveðnum stjórnendum viðmiðana.</w:t>
                </w:r>
              </w:p>
              <w:p w14:paraId="34653477" w14:textId="578812EF" w:rsidR="00D24D4E" w:rsidRPr="00D24D4E" w:rsidRDefault="00D24D4E" w:rsidP="006A062A">
                <w:pPr>
                  <w:pStyle w:val="ListParagraph"/>
                  <w:numPr>
                    <w:ilvl w:val="0"/>
                    <w:numId w:val="25"/>
                  </w:numPr>
                  <w:spacing w:after="120"/>
                  <w:jc w:val="both"/>
                  <w:rPr>
                    <w:rStyle w:val="ui-provider"/>
                    <w:rFonts w:ascii="Times New Roman" w:hAnsi="Times New Roman" w:cs="Times New Roman"/>
                    <w:bCs/>
                    <w:lang w:val="is-IS"/>
                  </w:rPr>
                </w:pPr>
                <w:r w:rsidRPr="00D24D4E">
                  <w:rPr>
                    <w:rStyle w:val="ui-provider"/>
                    <w:rFonts w:ascii="Times New Roman" w:hAnsi="Times New Roman" w:cs="Times New Roman"/>
                    <w:lang w:val="is-IS"/>
                  </w:rPr>
                  <w:t xml:space="preserve">framseld reglugerð framkvæmdastjórnarinnar (ESB) 2022/930 um viðbætur við reglugerð Evrópuþingsins og ráðsins (ESB) nr. 600/2014 með því að tilgreina gjöld sem eiga við um eftirlit Evrópsku verðbréfamarkaðseftirlitsstofnunarinnar með veitendum gagnaskýrsluþjónustu framseld reglugerð framkvæmdastjórnarinnar (ESB) 2022/803 um viðbætur við reglugerð Evrópuþingsins og ráðsins (ESB) nr. 600/2014 með því að tilgreina málsmeðferðarreglur um beitingu heimilda Evrópsku verðbréfamarkaðseftirlitsstofnunarinnar til að beita sektum eða févíti að því er varðar veitendur gagnaskýrsluþjónustu, </w:t>
                </w:r>
              </w:p>
              <w:p w14:paraId="61C9B54C" w14:textId="17E97839" w:rsidR="006A062A" w:rsidRPr="00D42140" w:rsidRDefault="00D24D4E" w:rsidP="006A062A">
                <w:pPr>
                  <w:pStyle w:val="ListParagraph"/>
                  <w:numPr>
                    <w:ilvl w:val="0"/>
                    <w:numId w:val="25"/>
                  </w:numPr>
                  <w:spacing w:after="120"/>
                  <w:jc w:val="both"/>
                  <w:rPr>
                    <w:rStyle w:val="ui-provider"/>
                    <w:rFonts w:ascii="Times New Roman" w:hAnsi="Times New Roman" w:cs="Times New Roman"/>
                    <w:bCs/>
                    <w:lang w:val="is-IS"/>
                  </w:rPr>
                </w:pPr>
                <w:r w:rsidRPr="00D24D4E">
                  <w:rPr>
                    <w:rStyle w:val="ui-provider"/>
                    <w:rFonts w:ascii="Times New Roman" w:hAnsi="Times New Roman" w:cs="Times New Roman"/>
                    <w:lang w:val="is-IS"/>
                  </w:rPr>
                  <w:t xml:space="preserve">framseld reglugerð framkvæmdastjórnarinnar (ESB) 2022/466 um viðbætur við reglugerð Evrópuþingsins og ráðsins (ESB) nr. 600/2014 til að tilgreina viðmið um undanþágu frá þeirri </w:t>
                </w:r>
                <w:r w:rsidRPr="00D24D4E">
                  <w:rPr>
                    <w:rStyle w:val="ui-provider"/>
                    <w:rFonts w:ascii="Times New Roman" w:hAnsi="Times New Roman" w:cs="Times New Roman"/>
                    <w:lang w:val="is-IS"/>
                  </w:rPr>
                  <w:lastRenderedPageBreak/>
                  <w:t xml:space="preserve">meginreglu að viðurkenndar birtingarþjónustur og viðurkennd skýrslugjafarkerfi falli undir eftirlit Evrópsku verðbréfastofnunarinnar </w:t>
                </w:r>
                <w:r w:rsidR="006A062A" w:rsidRPr="00D24D4E">
                  <w:rPr>
                    <w:rStyle w:val="ui-provider"/>
                    <w:rFonts w:ascii="Times New Roman" w:hAnsi="Times New Roman" w:cs="Times New Roman"/>
                    <w:lang w:val="is-IS"/>
                  </w:rPr>
                  <w:t>2022/466</w:t>
                </w:r>
                <w:r w:rsidRPr="00D24D4E">
                  <w:rPr>
                    <w:rStyle w:val="ui-provider"/>
                    <w:rFonts w:ascii="Times New Roman" w:hAnsi="Times New Roman" w:cs="Times New Roman"/>
                    <w:lang w:val="is-IS"/>
                  </w:rPr>
                  <w:t>.</w:t>
                </w:r>
              </w:p>
              <w:p w14:paraId="72B5D1D6" w14:textId="77777777" w:rsidR="00D42140" w:rsidRPr="00D24D4E" w:rsidRDefault="00D42140" w:rsidP="00D42140">
                <w:pPr>
                  <w:pStyle w:val="ListParagraph"/>
                  <w:spacing w:after="120"/>
                  <w:jc w:val="both"/>
                  <w:rPr>
                    <w:rFonts w:ascii="Times New Roman" w:hAnsi="Times New Roman" w:cs="Times New Roman"/>
                    <w:bCs/>
                    <w:lang w:val="is-IS"/>
                  </w:rPr>
                </w:pPr>
              </w:p>
              <w:p w14:paraId="6D880C0F" w14:textId="77777777" w:rsidR="00021A7E" w:rsidRPr="00EE441B" w:rsidRDefault="007822E4"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A</w:t>
                </w:r>
                <w:r w:rsidR="00D148DB" w:rsidRPr="00EE441B">
                  <w:rPr>
                    <w:rFonts w:ascii="Times New Roman" w:hAnsi="Times New Roman" w:cs="Times New Roman"/>
                    <w:b/>
                    <w:lang w:val="is-IS"/>
                  </w:rPr>
                  <w:t xml:space="preserve">ð hvaða marki </w:t>
                </w:r>
                <w:r w:rsidR="003821A7" w:rsidRPr="00EE441B">
                  <w:rPr>
                    <w:rFonts w:ascii="Times New Roman" w:hAnsi="Times New Roman" w:cs="Times New Roman"/>
                    <w:b/>
                    <w:lang w:val="is-IS"/>
                  </w:rPr>
                  <w:t>duga gildandi lög og reglur ekki til</w:t>
                </w:r>
                <w:r w:rsidR="00941142" w:rsidRPr="00EE441B">
                  <w:rPr>
                    <w:rFonts w:ascii="Times New Roman" w:hAnsi="Times New Roman" w:cs="Times New Roman"/>
                    <w:b/>
                    <w:lang w:val="is-IS"/>
                  </w:rPr>
                  <w:t>?</w:t>
                </w:r>
              </w:p>
              <w:p w14:paraId="533FC90C" w14:textId="4FCAE70D" w:rsidR="00CA3381" w:rsidRPr="00EE441B" w:rsidRDefault="00A45BB2" w:rsidP="00A9281A">
                <w:pPr>
                  <w:spacing w:before="60" w:after="60"/>
                  <w:jc w:val="both"/>
                  <w:rPr>
                    <w:rFonts w:ascii="Times New Roman" w:hAnsi="Times New Roman" w:cs="Times New Roman"/>
                    <w:lang w:val="is-IS"/>
                  </w:rPr>
                </w:pPr>
                <w:r w:rsidRPr="00EE441B">
                  <w:rPr>
                    <w:rStyle w:val="normaltextrun"/>
                    <w:rFonts w:ascii="Times New Roman" w:hAnsi="Times New Roman" w:cs="Times New Roman"/>
                    <w:lang w:val="is-IS"/>
                  </w:rPr>
                  <w:t>Í</w:t>
                </w:r>
                <w:r w:rsidRPr="00EE441B">
                  <w:rPr>
                    <w:rFonts w:ascii="Times New Roman" w:hAnsi="Times New Roman" w:cs="Times New Roman"/>
                    <w:lang w:val="is-IS"/>
                  </w:rPr>
                  <w:t xml:space="preserve">slensk löggjöf endurspeglar ekki ákvæði nefndra </w:t>
                </w:r>
                <w:r w:rsidR="00E60995" w:rsidRPr="00EE441B">
                  <w:rPr>
                    <w:rFonts w:ascii="Times New Roman" w:hAnsi="Times New Roman" w:cs="Times New Roman"/>
                    <w:lang w:val="is-IS"/>
                  </w:rPr>
                  <w:t>Evrópu</w:t>
                </w:r>
                <w:r w:rsidRPr="00EE441B">
                  <w:rPr>
                    <w:rFonts w:ascii="Times New Roman" w:hAnsi="Times New Roman" w:cs="Times New Roman"/>
                    <w:lang w:val="is-IS"/>
                  </w:rPr>
                  <w:t xml:space="preserve">gerða, sem </w:t>
                </w:r>
                <w:r w:rsidR="00E60995" w:rsidRPr="00EE441B">
                  <w:rPr>
                    <w:rFonts w:ascii="Times New Roman" w:hAnsi="Times New Roman" w:cs="Times New Roman"/>
                    <w:lang w:val="is-IS"/>
                  </w:rPr>
                  <w:t xml:space="preserve">unnið er að upptöku á </w:t>
                </w:r>
                <w:r w:rsidRPr="00EE441B">
                  <w:rPr>
                    <w:rFonts w:ascii="Times New Roman" w:hAnsi="Times New Roman" w:cs="Times New Roman"/>
                    <w:lang w:val="is-IS"/>
                  </w:rPr>
                  <w:t>í EES-samninginn. Því þarf að breyta íslensku lagaumhverfi</w:t>
                </w:r>
                <w:r w:rsidR="00E60995" w:rsidRPr="00EE441B">
                  <w:rPr>
                    <w:rFonts w:ascii="Times New Roman" w:hAnsi="Times New Roman" w:cs="Times New Roman"/>
                    <w:lang w:val="is-IS"/>
                  </w:rPr>
                  <w:t>.</w:t>
                </w:r>
              </w:p>
            </w:sdtContent>
          </w:sdt>
          <w:permEnd w:id="533660141" w:displacedByCustomXml="prev"/>
        </w:tc>
      </w:tr>
      <w:tr w:rsidR="00E34B42" w:rsidRPr="00EE441B" w14:paraId="3F9B64C2" w14:textId="77777777" w:rsidTr="007414CB">
        <w:tc>
          <w:tcPr>
            <w:tcW w:w="9288" w:type="dxa"/>
            <w:shd w:val="clear" w:color="auto" w:fill="92CDDC" w:themeFill="accent5" w:themeFillTint="99"/>
          </w:tcPr>
          <w:p w14:paraId="0681E0D8" w14:textId="77777777" w:rsidR="00263F72" w:rsidRPr="00EE441B" w:rsidRDefault="00263F72"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lastRenderedPageBreak/>
              <w:t>Markmið</w:t>
            </w:r>
            <w:r w:rsidR="007A02FD" w:rsidRPr="00EE441B">
              <w:rPr>
                <w:rFonts w:ascii="Times New Roman" w:hAnsi="Times New Roman" w:cs="Times New Roman"/>
                <w:b/>
                <w:lang w:val="is-IS"/>
              </w:rPr>
              <w:t xml:space="preserve"> </w:t>
            </w:r>
          </w:p>
        </w:tc>
      </w:tr>
      <w:tr w:rsidR="00E34B42" w:rsidRPr="00EE441B" w14:paraId="033A61A5" w14:textId="77777777" w:rsidTr="005E6791">
        <w:trPr>
          <w:trHeight w:val="747"/>
        </w:trPr>
        <w:tc>
          <w:tcPr>
            <w:tcW w:w="9288" w:type="dxa"/>
          </w:tcPr>
          <w:permStart w:id="116143624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7753959" w14:textId="07604268" w:rsidR="006C6EA3" w:rsidRPr="00EE441B"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 xml:space="preserve">Stefna </w:t>
                </w:r>
                <w:r w:rsidR="00133146" w:rsidRPr="00EE441B">
                  <w:rPr>
                    <w:rFonts w:ascii="Times New Roman" w:hAnsi="Times New Roman" w:cs="Times New Roman"/>
                    <w:b/>
                    <w:lang w:val="is-IS"/>
                  </w:rPr>
                  <w:t>hins opinbera</w:t>
                </w:r>
                <w:r w:rsidR="00D148DB" w:rsidRPr="00EE441B">
                  <w:rPr>
                    <w:rFonts w:ascii="Times New Roman" w:hAnsi="Times New Roman" w:cs="Times New Roman"/>
                    <w:b/>
                    <w:lang w:val="is-IS"/>
                  </w:rPr>
                  <w:t xml:space="preserve"> á </w:t>
                </w:r>
                <w:r w:rsidRPr="00EE441B">
                  <w:rPr>
                    <w:rFonts w:ascii="Times New Roman" w:hAnsi="Times New Roman" w:cs="Times New Roman"/>
                    <w:b/>
                    <w:lang w:val="is-IS"/>
                  </w:rPr>
                  <w:t>viðkomandi málefna</w:t>
                </w:r>
                <w:r w:rsidR="00D148DB" w:rsidRPr="00EE441B">
                  <w:rPr>
                    <w:rFonts w:ascii="Times New Roman" w:hAnsi="Times New Roman" w:cs="Times New Roman"/>
                    <w:b/>
                    <w:lang w:val="is-IS"/>
                  </w:rPr>
                  <w:t>sviði</w:t>
                </w:r>
                <w:r w:rsidRPr="00EE441B">
                  <w:rPr>
                    <w:rFonts w:ascii="Times New Roman" w:hAnsi="Times New Roman" w:cs="Times New Roman"/>
                    <w:b/>
                    <w:lang w:val="is-IS"/>
                  </w:rPr>
                  <w:t>/málaflokki</w:t>
                </w:r>
                <w:r w:rsidR="00021A7E" w:rsidRPr="00EE441B">
                  <w:rPr>
                    <w:rFonts w:ascii="Times New Roman" w:hAnsi="Times New Roman" w:cs="Times New Roman"/>
                    <w:b/>
                    <w:lang w:val="is-IS"/>
                  </w:rPr>
                  <w:t>.</w:t>
                </w:r>
              </w:p>
              <w:p w14:paraId="7C7BA452" w14:textId="77777777" w:rsidR="00B5284F" w:rsidRPr="00EE441B" w:rsidRDefault="00746FC9" w:rsidP="00870ECE">
                <w:pPr>
                  <w:spacing w:before="60" w:after="60"/>
                  <w:jc w:val="both"/>
                  <w:rPr>
                    <w:rStyle w:val="normaltextrun"/>
                    <w:rFonts w:ascii="Times New Roman" w:eastAsia="Times New Roman" w:hAnsi="Times New Roman" w:cs="Times New Roman"/>
                    <w:shd w:val="clear" w:color="auto" w:fill="FFFFFF"/>
                    <w:lang w:val="is-IS"/>
                  </w:rPr>
                </w:pPr>
                <w:r w:rsidRPr="00EE441B">
                  <w:rPr>
                    <w:rFonts w:ascii="Times New Roman" w:hAnsi="Times New Roman" w:cs="Times New Roman"/>
                    <w:lang w:val="is-IS"/>
                  </w:rPr>
                  <w:t xml:space="preserve">Í </w:t>
                </w:r>
                <w:hyperlink r:id="rId17" w:history="1">
                  <w:r w:rsidRPr="00EE441B">
                    <w:rPr>
                      <w:rStyle w:val="Hyperlink"/>
                      <w:rFonts w:ascii="Times New Roman" w:hAnsi="Times New Roman" w:cs="Times New Roman"/>
                      <w:lang w:val="is-IS"/>
                    </w:rPr>
                    <w:t>stjórnarsáttmála</w:t>
                  </w:r>
                </w:hyperlink>
                <w:r w:rsidRPr="00EE441B">
                  <w:rPr>
                    <w:rFonts w:ascii="Times New Roman" w:hAnsi="Times New Roman" w:cs="Times New Roman"/>
                    <w:lang w:val="is-IS"/>
                  </w:rPr>
                  <w:t xml:space="preserve"> kemur fram að ríkisstjórnin leggi </w:t>
                </w:r>
                <w:r w:rsidRPr="00EE441B">
                  <w:rPr>
                    <w:rStyle w:val="normaltextrun"/>
                    <w:rFonts w:ascii="Times New Roman" w:eastAsia="Times New Roman" w:hAnsi="Times New Roman" w:cs="Times New Roman"/>
                    <w:shd w:val="clear" w:color="auto" w:fill="FFFFFF"/>
                    <w:lang w:val="is-IS"/>
                  </w:rPr>
                  <w:t xml:space="preserve">áherslu á framkvæmd og þróun EES-samningsins þannig að hagsmunir og fullveldi Íslands í samstarfi og viðskiptum við önnur ríki sé tryggt. Lögð verði áhersla á frjáls og opin alþjóðaviðskipti og greiðan aðgang íslensks atvinnulífs að erlendum mörkuðum. </w:t>
                </w:r>
              </w:p>
              <w:p w14:paraId="030B1F41" w14:textId="337205FB" w:rsidR="00B5284F" w:rsidRPr="00EE441B" w:rsidRDefault="000E38C8" w:rsidP="00870ECE">
                <w:pPr>
                  <w:pStyle w:val="NormalWeb"/>
                  <w:jc w:val="both"/>
                  <w:rPr>
                    <w:color w:val="000000"/>
                    <w:sz w:val="22"/>
                    <w:szCs w:val="22"/>
                    <w:lang w:val="is-IS"/>
                  </w:rPr>
                </w:pPr>
                <w:r w:rsidRPr="00EE441B">
                  <w:rPr>
                    <w:color w:val="000000"/>
                    <w:sz w:val="22"/>
                    <w:szCs w:val="22"/>
                    <w:lang w:val="is-IS"/>
                  </w:rPr>
                  <w:t xml:space="preserve">Í umfjöllun um </w:t>
                </w:r>
                <w:r w:rsidR="00870ECE" w:rsidRPr="00EE441B">
                  <w:rPr>
                    <w:color w:val="000000"/>
                    <w:sz w:val="22"/>
                    <w:szCs w:val="22"/>
                    <w:lang w:val="is-IS"/>
                  </w:rPr>
                  <w:t>framtíðarsýn og meginmarkmið</w:t>
                </w:r>
                <w:r w:rsidRPr="00EE441B">
                  <w:rPr>
                    <w:color w:val="000000"/>
                    <w:sz w:val="22"/>
                    <w:szCs w:val="22"/>
                    <w:lang w:val="is-IS"/>
                  </w:rPr>
                  <w:t xml:space="preserve"> á sviði markaðseftirlits</w:t>
                </w:r>
                <w:r w:rsidR="00870ECE" w:rsidRPr="00EE441B">
                  <w:rPr>
                    <w:color w:val="000000"/>
                    <w:sz w:val="22"/>
                    <w:szCs w:val="22"/>
                    <w:lang w:val="is-IS"/>
                  </w:rPr>
                  <w:t xml:space="preserve"> og</w:t>
                </w:r>
                <w:r w:rsidRPr="00EE441B">
                  <w:rPr>
                    <w:color w:val="000000"/>
                    <w:sz w:val="22"/>
                    <w:szCs w:val="22"/>
                    <w:lang w:val="is-IS"/>
                  </w:rPr>
                  <w:t xml:space="preserve"> neytendamála í </w:t>
                </w:r>
                <w:hyperlink r:id="rId18" w:history="1">
                  <w:r w:rsidRPr="00EE441B">
                    <w:rPr>
                      <w:rStyle w:val="Hyperlink"/>
                      <w:sz w:val="22"/>
                      <w:szCs w:val="22"/>
                      <w:lang w:val="is-IS"/>
                    </w:rPr>
                    <w:t>tillögu til þingsályktunar um fjármálaáætlun fyrir árin 202</w:t>
                  </w:r>
                  <w:r w:rsidR="00B5284F" w:rsidRPr="00EE441B">
                    <w:rPr>
                      <w:rStyle w:val="Hyperlink"/>
                      <w:sz w:val="22"/>
                      <w:szCs w:val="22"/>
                      <w:lang w:val="is-IS"/>
                    </w:rPr>
                    <w:t>4</w:t>
                  </w:r>
                  <w:r w:rsidRPr="00EE441B">
                    <w:rPr>
                      <w:rStyle w:val="Hyperlink"/>
                      <w:sz w:val="22"/>
                      <w:szCs w:val="22"/>
                      <w:lang w:val="is-IS"/>
                    </w:rPr>
                    <w:t>–202</w:t>
                  </w:r>
                  <w:r w:rsidR="00B5284F" w:rsidRPr="00EE441B">
                    <w:rPr>
                      <w:rStyle w:val="Hyperlink"/>
                      <w:sz w:val="22"/>
                      <w:szCs w:val="22"/>
                      <w:lang w:val="is-IS"/>
                    </w:rPr>
                    <w:t>8</w:t>
                  </w:r>
                </w:hyperlink>
                <w:r w:rsidRPr="00EE441B">
                  <w:rPr>
                    <w:color w:val="000000"/>
                    <w:sz w:val="22"/>
                    <w:szCs w:val="22"/>
                    <w:lang w:val="is-IS"/>
                  </w:rPr>
                  <w:t xml:space="preserve">, segir að </w:t>
                </w:r>
                <w:r w:rsidR="00870ECE" w:rsidRPr="00EE441B">
                  <w:rPr>
                    <w:color w:val="000000"/>
                    <w:sz w:val="22"/>
                    <w:szCs w:val="22"/>
                    <w:lang w:val="is-IS"/>
                  </w:rPr>
                  <w:t>m</w:t>
                </w:r>
                <w:r w:rsidR="00B5284F" w:rsidRPr="00EE441B">
                  <w:rPr>
                    <w:sz w:val="22"/>
                    <w:szCs w:val="22"/>
                    <w:lang w:val="is-IS"/>
                  </w:rPr>
                  <w:t xml:space="preserve">eginmarkmið málefnasviðsins </w:t>
                </w:r>
                <w:r w:rsidR="00870ECE" w:rsidRPr="00EE441B">
                  <w:rPr>
                    <w:sz w:val="22"/>
                    <w:szCs w:val="22"/>
                    <w:lang w:val="is-IS"/>
                  </w:rPr>
                  <w:t>sé</w:t>
                </w:r>
                <w:r w:rsidR="00B5284F" w:rsidRPr="00EE441B">
                  <w:rPr>
                    <w:sz w:val="22"/>
                    <w:szCs w:val="22"/>
                    <w:lang w:val="is-IS"/>
                  </w:rPr>
                  <w:t xml:space="preserve"> alþjóðleg samkeppnishæfni atvinnulífs sem byggist á efnahagslegu, umhverfislegu og samfélagslegu jafnvægi. Framtíðarsýn og meginmarkmið málefnasviðsins </w:t>
                </w:r>
                <w:r w:rsidR="00870ECE" w:rsidRPr="00EE441B">
                  <w:rPr>
                    <w:sz w:val="22"/>
                    <w:szCs w:val="22"/>
                    <w:lang w:val="is-IS"/>
                  </w:rPr>
                  <w:t>séu</w:t>
                </w:r>
                <w:r w:rsidR="00B5284F" w:rsidRPr="00EE441B">
                  <w:rPr>
                    <w:sz w:val="22"/>
                    <w:szCs w:val="22"/>
                    <w:lang w:val="is-IS"/>
                  </w:rPr>
                  <w:t xml:space="preserve"> í samræmi við heimsmarkmið Sameinuðu þjóðanna nr. 7–10, 12 og 13, en virkt markaðseftirlit styð</w:t>
                </w:r>
                <w:r w:rsidR="00870ECE" w:rsidRPr="00EE441B">
                  <w:rPr>
                    <w:sz w:val="22"/>
                    <w:szCs w:val="22"/>
                    <w:lang w:val="is-IS"/>
                  </w:rPr>
                  <w:t>ji</w:t>
                </w:r>
                <w:r w:rsidR="00B5284F" w:rsidRPr="00EE441B">
                  <w:rPr>
                    <w:sz w:val="22"/>
                    <w:szCs w:val="22"/>
                    <w:lang w:val="is-IS"/>
                  </w:rPr>
                  <w:t xml:space="preserve"> við markmið um góða atvinnu og hagvöxt, ábyrga neyslu og framleiðslu, nýsköpun og uppbyggingu, jöfnuð og framþróun á sviði umhverfis- og loftlagsmála. Þau styðj</w:t>
                </w:r>
                <w:r w:rsidR="00870ECE" w:rsidRPr="00EE441B">
                  <w:rPr>
                    <w:sz w:val="22"/>
                    <w:szCs w:val="22"/>
                    <w:lang w:val="is-IS"/>
                  </w:rPr>
                  <w:t>i</w:t>
                </w:r>
                <w:r w:rsidR="00B5284F" w:rsidRPr="00EE441B">
                  <w:rPr>
                    <w:sz w:val="22"/>
                    <w:szCs w:val="22"/>
                    <w:lang w:val="is-IS"/>
                  </w:rPr>
                  <w:t xml:space="preserve"> jafnframt við heimsmarkmið 10.5 um að reglusetning og eftirlit með alþjóðlegum fjármálamörkuðum og -stofnunum verði bætt og beiting slíkra reglna efld og heimsmarkmið nr. 16.6 um að þróaðar verði skilvirkar og ábyrgar stofnanir á öllum sviðum sem hafi gagnsæi að leiðarljósi. Markmið málaefnasviðsins </w:t>
                </w:r>
                <w:r w:rsidR="00870ECE" w:rsidRPr="00EE441B">
                  <w:rPr>
                    <w:sz w:val="22"/>
                    <w:szCs w:val="22"/>
                    <w:lang w:val="is-IS"/>
                  </w:rPr>
                  <w:t>séu</w:t>
                </w:r>
                <w:r w:rsidR="00B5284F" w:rsidRPr="00EE441B">
                  <w:rPr>
                    <w:sz w:val="22"/>
                    <w:szCs w:val="22"/>
                    <w:lang w:val="is-IS"/>
                  </w:rPr>
                  <w:t xml:space="preserve"> til þess fallin að stuðla að ánægju almennings með þjónustu Samkeppniseftirlitsins, Neytendastofu og Fjármálaeftirlits í samræmi við velsældaráherslur ríkisstjórnarinnar.</w:t>
                </w:r>
              </w:p>
              <w:p w14:paraId="0A114C69" w14:textId="430E7A57" w:rsidR="000E38C8" w:rsidRPr="00EE441B" w:rsidRDefault="000E38C8" w:rsidP="00870ECE">
                <w:pPr>
                  <w:pStyle w:val="NormalWeb"/>
                  <w:jc w:val="both"/>
                  <w:rPr>
                    <w:color w:val="000000"/>
                    <w:sz w:val="22"/>
                    <w:szCs w:val="22"/>
                    <w:lang w:val="is-IS"/>
                  </w:rPr>
                </w:pPr>
                <w:r w:rsidRPr="00EE441B">
                  <w:rPr>
                    <w:color w:val="000000"/>
                    <w:sz w:val="22"/>
                    <w:szCs w:val="22"/>
                    <w:lang w:val="is-IS"/>
                  </w:rPr>
                  <w:t xml:space="preserve">Í </w:t>
                </w:r>
                <w:hyperlink r:id="rId19" w:history="1">
                  <w:r w:rsidRPr="00EE441B">
                    <w:rPr>
                      <w:rStyle w:val="Hyperlink"/>
                      <w:sz w:val="22"/>
                      <w:szCs w:val="22"/>
                      <w:lang w:val="is-IS"/>
                    </w:rPr>
                    <w:t>Hvítbók um framtíðarsýn fyrir fjármálakerfið</w:t>
                  </w:r>
                </w:hyperlink>
                <w:r w:rsidRPr="00EE441B">
                  <w:rPr>
                    <w:color w:val="000000"/>
                    <w:sz w:val="22"/>
                    <w:szCs w:val="22"/>
                    <w:lang w:val="is-IS"/>
                  </w:rPr>
                  <w:t xml:space="preserve"> segir að til þess að tryggja að laga- og regluverk á</w:t>
                </w:r>
                <w:r w:rsidR="00B5284F" w:rsidRPr="00EE441B">
                  <w:rPr>
                    <w:color w:val="000000"/>
                    <w:sz w:val="22"/>
                    <w:szCs w:val="22"/>
                    <w:lang w:val="is-IS"/>
                  </w:rPr>
                  <w:t xml:space="preserve"> </w:t>
                </w:r>
                <w:r w:rsidRPr="00EE441B">
                  <w:rPr>
                    <w:color w:val="000000"/>
                    <w:sz w:val="22"/>
                    <w:szCs w:val="22"/>
                    <w:lang w:val="is-IS"/>
                  </w:rPr>
                  <w:t>fjármálamarkaði stuðli allt í senn að traustum, stöðugum og hagkvæmum fjármálamarkaði ættu íslensk</w:t>
                </w:r>
                <w:r w:rsidR="00B5284F" w:rsidRPr="00EE441B">
                  <w:rPr>
                    <w:color w:val="000000"/>
                    <w:sz w:val="22"/>
                    <w:szCs w:val="22"/>
                    <w:lang w:val="is-IS"/>
                  </w:rPr>
                  <w:t xml:space="preserve"> </w:t>
                </w:r>
                <w:r w:rsidRPr="00EE441B">
                  <w:rPr>
                    <w:color w:val="000000"/>
                    <w:sz w:val="22"/>
                    <w:szCs w:val="22"/>
                    <w:lang w:val="is-IS"/>
                  </w:rPr>
                  <w:t>stjórnvöld að leggja áherslu á tímanlega innleiðingu Evrópuregluverks fyrir fjármálamarkað.</w:t>
                </w:r>
              </w:p>
              <w:p w14:paraId="7EBA9D06" w14:textId="1959CA52" w:rsidR="00021A7E" w:rsidRPr="00EE441B"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 xml:space="preserve">Markmið sem að er stefnt </w:t>
                </w:r>
                <w:r w:rsidR="00645781" w:rsidRPr="00EE441B">
                  <w:rPr>
                    <w:rFonts w:ascii="Times New Roman" w:hAnsi="Times New Roman" w:cs="Times New Roman"/>
                    <w:b/>
                    <w:lang w:val="is-IS"/>
                  </w:rPr>
                  <w:t xml:space="preserve">með lagasetningu </w:t>
                </w:r>
                <w:r w:rsidRPr="00EE441B">
                  <w:rPr>
                    <w:rFonts w:ascii="Times New Roman" w:hAnsi="Times New Roman" w:cs="Times New Roman"/>
                    <w:b/>
                    <w:lang w:val="is-IS"/>
                  </w:rPr>
                  <w:t>í ljósi úrlausnarefnis</w:t>
                </w:r>
                <w:r w:rsidR="00645781" w:rsidRPr="00EE441B">
                  <w:rPr>
                    <w:rFonts w:ascii="Times New Roman" w:hAnsi="Times New Roman" w:cs="Times New Roman"/>
                    <w:b/>
                    <w:lang w:val="is-IS"/>
                  </w:rPr>
                  <w:t xml:space="preserve"> og stefnu stjórnvalda</w:t>
                </w:r>
                <w:r w:rsidR="00021A7E" w:rsidRPr="00EE441B">
                  <w:rPr>
                    <w:rFonts w:ascii="Times New Roman" w:hAnsi="Times New Roman" w:cs="Times New Roman"/>
                    <w:b/>
                    <w:lang w:val="is-IS"/>
                  </w:rPr>
                  <w:t>.</w:t>
                </w:r>
              </w:p>
              <w:p w14:paraId="7725E11F" w14:textId="0675B75C" w:rsidR="00CA3381" w:rsidRPr="00EE441B" w:rsidRDefault="00746FC9" w:rsidP="00A9281A">
                <w:pPr>
                  <w:spacing w:before="60" w:after="60"/>
                  <w:jc w:val="both"/>
                  <w:rPr>
                    <w:rFonts w:ascii="Times New Roman" w:hAnsi="Times New Roman" w:cs="Times New Roman"/>
                    <w:lang w:val="is-IS"/>
                  </w:rPr>
                </w:pPr>
                <w:r w:rsidRPr="00EE441B">
                  <w:rPr>
                    <w:rStyle w:val="normaltextrun"/>
                    <w:rFonts w:ascii="Times New Roman" w:hAnsi="Times New Roman" w:cs="Times New Roman"/>
                    <w:shd w:val="clear" w:color="auto" w:fill="FFFFFF"/>
                    <w:lang w:val="is-IS"/>
                  </w:rPr>
                  <w:t xml:space="preserve">Markmið með innleiðingu á ákvæðum gerðanna í íslenskan rétt er að samræma þær reglur sem gilda hér á landi við þær sem gilda innan EES </w:t>
                </w:r>
                <w:r w:rsidR="003958C7" w:rsidRPr="00EE441B">
                  <w:rPr>
                    <w:rStyle w:val="normaltextrun"/>
                    <w:rFonts w:ascii="Times New Roman" w:hAnsi="Times New Roman" w:cs="Times New Roman"/>
                    <w:shd w:val="clear" w:color="auto" w:fill="FFFFFF"/>
                    <w:lang w:val="is-IS"/>
                  </w:rPr>
                  <w:t xml:space="preserve">um eftirlit með fjármálamörkuðum og gæta þannig að </w:t>
                </w:r>
                <w:r w:rsidRPr="00EE441B">
                  <w:rPr>
                    <w:rStyle w:val="normaltextrun"/>
                    <w:rFonts w:ascii="Times New Roman" w:hAnsi="Times New Roman" w:cs="Times New Roman"/>
                    <w:shd w:val="clear" w:color="auto" w:fill="FFFFFF"/>
                    <w:lang w:val="is-IS"/>
                  </w:rPr>
                  <w:t>hagsmunum markaðarins og fjárfesta</w:t>
                </w:r>
                <w:r w:rsidRPr="00EE441B">
                  <w:rPr>
                    <w:rFonts w:ascii="Times New Roman" w:hAnsi="Times New Roman" w:cs="Times New Roman"/>
                    <w:lang w:val="is-IS"/>
                  </w:rPr>
                  <w:t>.</w:t>
                </w:r>
                <w:r w:rsidR="003958C7" w:rsidRPr="00EE441B">
                  <w:rPr>
                    <w:rFonts w:ascii="Times New Roman" w:hAnsi="Times New Roman" w:cs="Times New Roman"/>
                    <w:lang w:val="is-IS"/>
                  </w:rPr>
                  <w:t xml:space="preserve"> </w:t>
                </w:r>
              </w:p>
            </w:sdtContent>
          </w:sdt>
        </w:tc>
      </w:tr>
      <w:permEnd w:id="1161436249"/>
      <w:tr w:rsidR="00E34B42" w:rsidRPr="00EE441B" w14:paraId="06202A84" w14:textId="77777777" w:rsidTr="007414CB">
        <w:tc>
          <w:tcPr>
            <w:tcW w:w="9288" w:type="dxa"/>
            <w:shd w:val="clear" w:color="auto" w:fill="92CDDC" w:themeFill="accent5" w:themeFillTint="99"/>
          </w:tcPr>
          <w:p w14:paraId="71C0A252" w14:textId="77777777" w:rsidR="00263F72" w:rsidRPr="00EE441B" w:rsidRDefault="00E832C9"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t>Leiðir</w:t>
            </w:r>
          </w:p>
        </w:tc>
      </w:tr>
      <w:tr w:rsidR="00E34B42" w:rsidRPr="00EE441B" w14:paraId="1646929F" w14:textId="77777777" w:rsidTr="00FD2097">
        <w:trPr>
          <w:trHeight w:val="826"/>
        </w:trPr>
        <w:tc>
          <w:tcPr>
            <w:tcW w:w="9288" w:type="dxa"/>
          </w:tcPr>
          <w:permStart w:id="16157704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B0BC4C6" w14:textId="66CD59A0" w:rsidR="00FD2097" w:rsidRPr="00EE441B"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Ekkert aðhafst</w:t>
                </w:r>
                <w:r w:rsidR="0047580A" w:rsidRPr="00EE441B">
                  <w:rPr>
                    <w:rFonts w:ascii="Times New Roman" w:hAnsi="Times New Roman" w:cs="Times New Roman"/>
                    <w:b/>
                    <w:lang w:val="is-IS"/>
                  </w:rPr>
                  <w:t xml:space="preserve"> - hvaða afleiðingar hefði það?</w:t>
                </w:r>
              </w:p>
              <w:p w14:paraId="6EF44F1A" w14:textId="17F3E84C" w:rsidR="00021A7E" w:rsidRPr="00EE441B" w:rsidRDefault="00746FC9" w:rsidP="003C0727">
                <w:pPr>
                  <w:spacing w:after="120"/>
                  <w:jc w:val="both"/>
                  <w:rPr>
                    <w:rFonts w:ascii="Times New Roman" w:hAnsi="Times New Roman" w:cs="Times New Roman"/>
                    <w:bCs/>
                    <w:lang w:val="is-IS"/>
                  </w:rPr>
                </w:pPr>
                <w:r w:rsidRPr="00EE441B">
                  <w:rPr>
                    <w:rStyle w:val="normaltextrun"/>
                    <w:rFonts w:ascii="Times New Roman" w:hAnsi="Times New Roman" w:cs="Times New Roman"/>
                    <w:lang w:val="is-IS"/>
                  </w:rPr>
                  <w:t xml:space="preserve">Mikilvægt er að allt regluumhverfi fjármálamarkaða á Íslandi sé eins vandað og unnt er og í samræmi við reglur innan EES. Yrði ekkert aðhafst væri íslensk löggjöf ekki í samræmi við reglur innan EES sem gilda um </w:t>
                </w:r>
                <w:r w:rsidR="003C0727" w:rsidRPr="00EE441B">
                  <w:rPr>
                    <w:rStyle w:val="normaltextrun"/>
                    <w:rFonts w:ascii="Times New Roman" w:hAnsi="Times New Roman" w:cs="Times New Roman"/>
                    <w:lang w:val="is-IS"/>
                  </w:rPr>
                  <w:t>eftirlit með starfsemi á fjármálamarkaði</w:t>
                </w:r>
                <w:r w:rsidRPr="00EE441B">
                  <w:rPr>
                    <w:rStyle w:val="normaltextrun"/>
                    <w:rFonts w:ascii="Times New Roman" w:hAnsi="Times New Roman" w:cs="Times New Roman"/>
                    <w:lang w:val="is-IS"/>
                  </w:rPr>
                  <w:t xml:space="preserve">. Það kynni að hafa áhrif á stöðu íslenskra fyrirtækja og á fjárfesta. </w:t>
                </w:r>
                <w:r w:rsidRPr="00EE441B">
                  <w:rPr>
                    <w:rFonts w:ascii="Times New Roman" w:hAnsi="Times New Roman" w:cs="Times New Roman"/>
                    <w:lang w:val="is-IS"/>
                  </w:rPr>
                  <w:t>Þ</w:t>
                </w:r>
                <w:r w:rsidR="003C0727" w:rsidRPr="00EE441B">
                  <w:rPr>
                    <w:rFonts w:ascii="Times New Roman" w:hAnsi="Times New Roman" w:cs="Times New Roman"/>
                    <w:lang w:val="is-IS"/>
                  </w:rPr>
                  <w:t>á</w:t>
                </w:r>
                <w:r w:rsidRPr="00EE441B">
                  <w:rPr>
                    <w:rFonts w:ascii="Times New Roman" w:hAnsi="Times New Roman" w:cs="Times New Roman"/>
                    <w:lang w:val="is-IS"/>
                  </w:rPr>
                  <w:t xml:space="preserve"> bryti </w:t>
                </w:r>
                <w:r w:rsidR="003C0727" w:rsidRPr="00EE441B">
                  <w:rPr>
                    <w:rFonts w:ascii="Times New Roman" w:hAnsi="Times New Roman" w:cs="Times New Roman"/>
                    <w:lang w:val="is-IS"/>
                  </w:rPr>
                  <w:t xml:space="preserve">það </w:t>
                </w:r>
                <w:r w:rsidRPr="00EE441B">
                  <w:rPr>
                    <w:rFonts w:ascii="Times New Roman" w:hAnsi="Times New Roman" w:cs="Times New Roman"/>
                    <w:lang w:val="is-IS"/>
                  </w:rPr>
                  <w:t xml:space="preserve">gegn skuldbindingum Íslands samkvæmt EES-samningnum að innleiða </w:t>
                </w:r>
                <w:r w:rsidR="003C0727" w:rsidRPr="00EE441B">
                  <w:rPr>
                    <w:rFonts w:ascii="Times New Roman" w:hAnsi="Times New Roman" w:cs="Times New Roman"/>
                    <w:lang w:val="is-IS"/>
                  </w:rPr>
                  <w:t xml:space="preserve">ekki </w:t>
                </w:r>
                <w:r w:rsidRPr="00EE441B">
                  <w:rPr>
                    <w:rFonts w:ascii="Times New Roman" w:hAnsi="Times New Roman" w:cs="Times New Roman"/>
                    <w:lang w:val="is-IS"/>
                  </w:rPr>
                  <w:t>gerðirnar eftir að þær hafa verið teknar upp í samninginn.</w:t>
                </w:r>
              </w:p>
              <w:p w14:paraId="2D88A9F6" w14:textId="77A0770C" w:rsidR="00FD2097" w:rsidRPr="00EE441B"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Önnur úrræði en lagasetning</w:t>
                </w:r>
                <w:r w:rsidR="0047580A" w:rsidRPr="00EE441B">
                  <w:rPr>
                    <w:rFonts w:ascii="Times New Roman" w:hAnsi="Times New Roman" w:cs="Times New Roman"/>
                    <w:b/>
                    <w:lang w:val="is-IS"/>
                  </w:rPr>
                  <w:t xml:space="preserve"> sem metin hafa verið</w:t>
                </w:r>
                <w:r w:rsidR="00021A7E" w:rsidRPr="00EE441B">
                  <w:rPr>
                    <w:rFonts w:ascii="Times New Roman" w:hAnsi="Times New Roman" w:cs="Times New Roman"/>
                    <w:b/>
                    <w:lang w:val="is-IS"/>
                  </w:rPr>
                  <w:t>.</w:t>
                </w:r>
              </w:p>
              <w:p w14:paraId="34378B96" w14:textId="47D1EF13" w:rsidR="00021A7E" w:rsidRPr="00EE441B" w:rsidRDefault="00746FC9" w:rsidP="003C0727">
                <w:pPr>
                  <w:rPr>
                    <w:rFonts w:ascii="Times New Roman" w:hAnsi="Times New Roman" w:cs="Times New Roman"/>
                    <w:bCs/>
                    <w:lang w:val="is-IS"/>
                  </w:rPr>
                </w:pPr>
                <w:r w:rsidRPr="00EE441B">
                  <w:rPr>
                    <w:rStyle w:val="normaltextrun"/>
                    <w:rFonts w:ascii="Times New Roman" w:hAnsi="Times New Roman" w:cs="Times New Roman"/>
                    <w:lang w:val="is-IS"/>
                  </w:rPr>
                  <w:t>Önnur úrræði en lagasetning eiga ekki við.</w:t>
                </w:r>
              </w:p>
              <w:p w14:paraId="70614062" w14:textId="459693F6" w:rsidR="00021A7E" w:rsidRPr="00EE441B"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Mögulegar l</w:t>
                </w:r>
                <w:r w:rsidR="00A77160" w:rsidRPr="00EE441B">
                  <w:rPr>
                    <w:rFonts w:ascii="Times New Roman" w:hAnsi="Times New Roman" w:cs="Times New Roman"/>
                    <w:b/>
                    <w:lang w:val="is-IS"/>
                  </w:rPr>
                  <w:t>eiðir við l</w:t>
                </w:r>
                <w:r w:rsidR="00133146" w:rsidRPr="00EE441B">
                  <w:rPr>
                    <w:rFonts w:ascii="Times New Roman" w:hAnsi="Times New Roman" w:cs="Times New Roman"/>
                    <w:b/>
                    <w:lang w:val="is-IS"/>
                  </w:rPr>
                  <w:t>agasetning</w:t>
                </w:r>
                <w:r w:rsidR="00CA3381" w:rsidRPr="00EE441B">
                  <w:rPr>
                    <w:rFonts w:ascii="Times New Roman" w:hAnsi="Times New Roman" w:cs="Times New Roman"/>
                    <w:b/>
                    <w:lang w:val="is-IS"/>
                  </w:rPr>
                  <w:t>u</w:t>
                </w:r>
                <w:r w:rsidR="00936E30" w:rsidRPr="00EE441B">
                  <w:rPr>
                    <w:rFonts w:ascii="Times New Roman" w:hAnsi="Times New Roman" w:cs="Times New Roman"/>
                    <w:b/>
                    <w:lang w:val="is-IS"/>
                  </w:rPr>
                  <w:t>.</w:t>
                </w:r>
              </w:p>
              <w:p w14:paraId="6EED0786" w14:textId="287BF80B" w:rsidR="00CA3381" w:rsidRPr="00EE441B" w:rsidRDefault="00FF266B" w:rsidP="00A9281A">
                <w:pPr>
                  <w:spacing w:before="60" w:after="60"/>
                  <w:jc w:val="both"/>
                  <w:rPr>
                    <w:rFonts w:ascii="Times New Roman" w:hAnsi="Times New Roman" w:cs="Times New Roman"/>
                    <w:lang w:val="is-IS"/>
                  </w:rPr>
                </w:pPr>
                <w:r w:rsidRPr="00EE441B">
                  <w:rPr>
                    <w:rFonts w:ascii="Times New Roman" w:hAnsi="Times New Roman" w:cs="Times New Roman"/>
                    <w:color w:val="000000"/>
                    <w:lang w:val="is-IS"/>
                  </w:rPr>
                  <w:t>EES-reglugerðir skulu teknar sem slíkar upp í landsrétt samkvæmt a-lið 7. gr. EES-samningsins. Því ber að taka reglugerðir (ESB) 2019/</w:t>
                </w:r>
                <w:r w:rsidRPr="00EE441B">
                  <w:rPr>
                    <w:rFonts w:ascii="Times New Roman" w:hAnsi="Times New Roman" w:cs="Times New Roman"/>
                    <w:lang w:val="is-IS"/>
                  </w:rPr>
                  <w:t xml:space="preserve">2175 og 2019/2176 </w:t>
                </w:r>
                <w:r w:rsidRPr="00EE441B">
                  <w:rPr>
                    <w:rFonts w:ascii="Times New Roman" w:hAnsi="Times New Roman" w:cs="Times New Roman"/>
                    <w:color w:val="000000"/>
                    <w:lang w:val="is-IS"/>
                  </w:rPr>
                  <w:t>upp í heild sinni í landsrétt</w:t>
                </w:r>
                <w:r w:rsidRPr="00EE441B">
                  <w:rPr>
                    <w:rFonts w:ascii="Times New Roman" w:hAnsi="Times New Roman" w:cs="Times New Roman"/>
                    <w:lang w:val="is-IS"/>
                  </w:rPr>
                  <w:t>, en ráðgert er að leggja til að reglugerðirnar verði innleiddar í íslenskan rétt með tilvísunaraðferð. Tilskipun (ESB) 2019/2177 verði hins vegar innleidd með breytingum á núgildandi löggjöf.</w:t>
                </w:r>
              </w:p>
            </w:sdtContent>
          </w:sdt>
        </w:tc>
      </w:tr>
      <w:permEnd w:id="161577044"/>
      <w:tr w:rsidR="00E34B42" w:rsidRPr="00EE441B" w14:paraId="6C467869" w14:textId="77777777" w:rsidTr="007414CB">
        <w:tc>
          <w:tcPr>
            <w:tcW w:w="9288" w:type="dxa"/>
            <w:shd w:val="clear" w:color="auto" w:fill="92CDDC" w:themeFill="accent5" w:themeFillTint="99"/>
          </w:tcPr>
          <w:p w14:paraId="2C73A9D1" w14:textId="77777777" w:rsidR="000D6E33" w:rsidRPr="00EE441B" w:rsidRDefault="000D6E33"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lastRenderedPageBreak/>
              <w:t>Hvaða leið er áformuð og hvers vegna?</w:t>
            </w:r>
          </w:p>
        </w:tc>
      </w:tr>
      <w:tr w:rsidR="00E34B42" w:rsidRPr="00EE441B" w14:paraId="66543D66" w14:textId="77777777" w:rsidTr="002115E6">
        <w:trPr>
          <w:trHeight w:val="679"/>
        </w:trPr>
        <w:tc>
          <w:tcPr>
            <w:tcW w:w="9288" w:type="dxa"/>
          </w:tcPr>
          <w:sdt>
            <w:sdtPr>
              <w:rPr>
                <w:rFonts w:ascii="Times New Roman" w:eastAsia="Times New Roman" w:hAnsi="Times New Roman" w:cs="Times New Roman"/>
                <w:b/>
                <w:sz w:val="24"/>
                <w:szCs w:val="20"/>
                <w:lang w:val="is-IS"/>
              </w:rPr>
              <w:id w:val="-853185132"/>
            </w:sdtPr>
            <w:sdtEndPr>
              <w:rPr>
                <w:b w:val="0"/>
                <w:bCs/>
              </w:rPr>
            </w:sdtEndPr>
            <w:sdtContent>
              <w:permStart w:id="1289752288" w:edGrp="everyone" w:displacedByCustomXml="prev"/>
              <w:p w14:paraId="66864AE7" w14:textId="07F6688D" w:rsidR="000D6E33" w:rsidRPr="00EE441B"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Stutt lýsing á þeirri leið sem áformuð er og rökstuðningur fyrir henni</w:t>
                </w:r>
                <w:r w:rsidR="00936E30" w:rsidRPr="00EE441B">
                  <w:rPr>
                    <w:rFonts w:ascii="Times New Roman" w:hAnsi="Times New Roman" w:cs="Times New Roman"/>
                    <w:b/>
                    <w:lang w:val="is-IS"/>
                  </w:rPr>
                  <w:t>.</w:t>
                </w:r>
              </w:p>
              <w:p w14:paraId="571A53EB" w14:textId="118D4CB7" w:rsidR="00936E30" w:rsidRPr="00EE441B" w:rsidRDefault="00FF266B" w:rsidP="005F787F">
                <w:pPr>
                  <w:spacing w:before="60" w:after="60"/>
                  <w:jc w:val="both"/>
                  <w:rPr>
                    <w:rFonts w:ascii="Times New Roman" w:hAnsi="Times New Roman" w:cs="Times New Roman"/>
                    <w:lang w:val="is-IS"/>
                  </w:rPr>
                </w:pPr>
                <w:r w:rsidRPr="00EE441B">
                  <w:rPr>
                    <w:rFonts w:ascii="Times New Roman" w:hAnsi="Times New Roman" w:cs="Times New Roman"/>
                    <w:lang w:val="is-IS"/>
                  </w:rPr>
                  <w:t xml:space="preserve">Lagt er til að reglugerðirnar verði innleiddar í íslenskan rétt með </w:t>
                </w:r>
                <w:r w:rsidR="005F787F" w:rsidRPr="00EE441B">
                  <w:rPr>
                    <w:rFonts w:ascii="Times New Roman" w:hAnsi="Times New Roman" w:cs="Times New Roman"/>
                    <w:lang w:val="is-IS"/>
                  </w:rPr>
                  <w:t xml:space="preserve">sk. </w:t>
                </w:r>
                <w:r w:rsidRPr="00EE441B">
                  <w:rPr>
                    <w:rFonts w:ascii="Times New Roman" w:hAnsi="Times New Roman" w:cs="Times New Roman"/>
                    <w:lang w:val="is-IS"/>
                  </w:rPr>
                  <w:t xml:space="preserve">tilvísunaraðferð og </w:t>
                </w:r>
                <w:r w:rsidR="005F787F" w:rsidRPr="00EE441B">
                  <w:rPr>
                    <w:rFonts w:ascii="Times New Roman" w:hAnsi="Times New Roman" w:cs="Times New Roman"/>
                    <w:lang w:val="is-IS"/>
                  </w:rPr>
                  <w:t xml:space="preserve">þær </w:t>
                </w:r>
                <w:r w:rsidRPr="00EE441B">
                  <w:rPr>
                    <w:rFonts w:ascii="Times New Roman" w:hAnsi="Times New Roman" w:cs="Times New Roman"/>
                    <w:lang w:val="is-IS"/>
                  </w:rPr>
                  <w:t>þá að fullu innleidd</w:t>
                </w:r>
                <w:r w:rsidR="005F787F" w:rsidRPr="00EE441B">
                  <w:rPr>
                    <w:rFonts w:ascii="Times New Roman" w:hAnsi="Times New Roman" w:cs="Times New Roman"/>
                    <w:lang w:val="is-IS"/>
                  </w:rPr>
                  <w:t>ar</w:t>
                </w:r>
                <w:r w:rsidRPr="00EE441B">
                  <w:rPr>
                    <w:rFonts w:ascii="Times New Roman" w:hAnsi="Times New Roman" w:cs="Times New Roman"/>
                    <w:lang w:val="is-IS"/>
                  </w:rPr>
                  <w:t xml:space="preserve"> samkvæmt orðanna hljóðan í samræmi við a-lið 7. gr. EES-samningsins, sbr. lög nr. 2/1993 um Evrópska efnahagssvæðið</w:t>
                </w:r>
                <w:r w:rsidR="005F787F" w:rsidRPr="00EE441B">
                  <w:rPr>
                    <w:rFonts w:ascii="Times New Roman" w:hAnsi="Times New Roman" w:cs="Times New Roman"/>
                    <w:lang w:val="is-IS"/>
                  </w:rPr>
                  <w:t xml:space="preserve"> með sambærilegum hætti og reglugerðir þær sem þessar nýju reglugerðir breyta og innleiddar voru með lögum um evrópskt eftirlitskerfi á fjármálamarkaði sem tóku gildi í maí 2017.</w:t>
                </w:r>
              </w:p>
              <w:p w14:paraId="3353F8F9" w14:textId="77777777" w:rsidR="00936E30" w:rsidRPr="00EE441B"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He</w:t>
                </w:r>
                <w:r w:rsidR="00AB7B39" w:rsidRPr="00EE441B">
                  <w:rPr>
                    <w:rFonts w:ascii="Times New Roman" w:hAnsi="Times New Roman" w:cs="Times New Roman"/>
                    <w:b/>
                    <w:lang w:val="is-IS"/>
                  </w:rPr>
                  <w:t xml:space="preserve">lstu fyrirhuguðu breytingar á </w:t>
                </w:r>
                <w:r w:rsidRPr="00EE441B">
                  <w:rPr>
                    <w:rFonts w:ascii="Times New Roman" w:hAnsi="Times New Roman" w:cs="Times New Roman"/>
                    <w:b/>
                    <w:lang w:val="is-IS"/>
                  </w:rPr>
                  <w:t>gildandi lögum og reglum</w:t>
                </w:r>
                <w:r w:rsidR="00AB7B39" w:rsidRPr="00EE441B">
                  <w:rPr>
                    <w:rFonts w:ascii="Times New Roman" w:hAnsi="Times New Roman" w:cs="Times New Roman"/>
                    <w:b/>
                    <w:lang w:val="is-IS"/>
                  </w:rPr>
                  <w:t>, hvort heldur bætt er við eða fellt brott</w:t>
                </w:r>
                <w:r w:rsidR="00936E30" w:rsidRPr="00EE441B">
                  <w:rPr>
                    <w:rFonts w:ascii="Times New Roman" w:hAnsi="Times New Roman" w:cs="Times New Roman"/>
                    <w:b/>
                    <w:lang w:val="is-IS"/>
                  </w:rPr>
                  <w:t>.</w:t>
                </w:r>
              </w:p>
              <w:p w14:paraId="48F47C60" w14:textId="666C346B" w:rsidR="000D6E33" w:rsidRPr="00EE441B" w:rsidRDefault="005F787F" w:rsidP="00A939E4">
                <w:pPr>
                  <w:pStyle w:val="BodyText"/>
                  <w:rPr>
                    <w:lang w:val="is-IS"/>
                  </w:rPr>
                </w:pPr>
                <w:r w:rsidRPr="00EE441B">
                  <w:rPr>
                    <w:rFonts w:eastAsia="Calibri"/>
                    <w:sz w:val="22"/>
                    <w:szCs w:val="18"/>
                    <w:lang w:val="is-IS"/>
                  </w:rPr>
                  <w:t xml:space="preserve">Gert er ráð fyrir því að reglugerðir (ESB) 2019/2175 og (ESB) 2019/2176 verði innleiddar með breytingum á lögum um evrópskt eftirlitskerfi á fjármálamarkaði, nr. 24/2017, lögum um fjárhagslegar viðmiðanir, nr. 7/2021, og lögum um markaði fyrir fjármálagerninga, nr. 115/2021. Þá er gert ráð fyrir því að tilskipun (ESB) 2019/2177 verði innleidd með breytingum á lögum um vátryggingastarfsemi, nr. 15/2016, lögum um vátryggingasamstæður, nr. 60/2017, lögum um markaði fyrir fjármálagerninga, nr. 115/2021, og mögulega mun einnig þurfa að gera breytingar á lögum um aðgerðir gegn peningaþvætti og fjármögnun hryðjuverka, nr. 140/2018. Þá mun þurfa að gera breytingar á reglugerð um áhættulausan vaxtaferil vegna núvirðingar á vátryggingaskuld, nr. 1077/2017. </w:t>
                </w:r>
              </w:p>
              <w:permEnd w:id="1289752288" w:displacedByCustomXml="next"/>
            </w:sdtContent>
          </w:sdt>
        </w:tc>
      </w:tr>
      <w:tr w:rsidR="00E34B42" w:rsidRPr="00EE441B" w14:paraId="2FB14A12" w14:textId="77777777" w:rsidTr="007414CB">
        <w:tc>
          <w:tcPr>
            <w:tcW w:w="9288" w:type="dxa"/>
            <w:shd w:val="clear" w:color="auto" w:fill="92CDDC" w:themeFill="accent5" w:themeFillTint="99"/>
          </w:tcPr>
          <w:p w14:paraId="48C459AE" w14:textId="77777777" w:rsidR="00311838" w:rsidRPr="00EE441B"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t>Samræmi við stjórnarskrá og þjóðarétt – aðrar grundvallarspurningar</w:t>
            </w:r>
          </w:p>
        </w:tc>
      </w:tr>
      <w:tr w:rsidR="00E34B42" w:rsidRPr="00EE441B" w14:paraId="26F87ACC"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336488128" w:edGrp="everyone" w:displacedByCustomXml="prev"/>
              <w:p w14:paraId="3F73508F" w14:textId="1BEB448D" w:rsidR="009941D2" w:rsidRPr="00EE441B"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Koma áformin inn á svið stjórnarskrár og þjóðréttarskuldbindinga?</w:t>
                </w:r>
                <w:r w:rsidR="00E67F09" w:rsidRPr="00EE441B">
                  <w:rPr>
                    <w:rFonts w:ascii="Times New Roman" w:hAnsi="Times New Roman" w:cs="Times New Roman"/>
                    <w:b/>
                    <w:lang w:val="is-IS"/>
                  </w:rPr>
                  <w:t xml:space="preserve"> </w:t>
                </w:r>
              </w:p>
              <w:p w14:paraId="1DBE085C" w14:textId="1B4F41BB" w:rsidR="00746FC9" w:rsidRPr="00EE441B" w:rsidRDefault="00746FC9" w:rsidP="005240E4">
                <w:pPr>
                  <w:spacing w:after="160"/>
                  <w:jc w:val="both"/>
                  <w:rPr>
                    <w:rFonts w:ascii="Times New Roman" w:hAnsi="Times New Roman" w:cs="Times New Roman"/>
                    <w:lang w:val="is-IS"/>
                  </w:rPr>
                </w:pPr>
                <w:r w:rsidRPr="00EE441B">
                  <w:rPr>
                    <w:rFonts w:ascii="Times New Roman" w:hAnsi="Times New Roman" w:cs="Times New Roman"/>
                    <w:noProof/>
                    <w:lang w:val="is-IS" w:eastAsia="is-IS"/>
                  </w:rPr>
                  <mc:AlternateContent>
                    <mc:Choice Requires="wpi">
                      <w:drawing>
                        <wp:anchor distT="0" distB="0" distL="114300" distR="114300" simplePos="0" relativeHeight="251659264" behindDoc="0" locked="0" layoutInCell="1" allowOverlap="1" wp14:anchorId="785A911D" wp14:editId="457E0FDB">
                          <wp:simplePos x="0" y="0"/>
                          <wp:positionH relativeFrom="column">
                            <wp:posOffset>9734090</wp:posOffset>
                          </wp:positionH>
                          <wp:positionV relativeFrom="paragraph">
                            <wp:posOffset>1187805</wp:posOffset>
                          </wp:positionV>
                          <wp:extent cx="1043040" cy="1450560"/>
                          <wp:effectExtent l="38100" t="57150" r="24130" b="54610"/>
                          <wp:wrapNone/>
                          <wp:docPr id="2" name="Ink 2"/>
                          <wp:cNvGraphicFramePr/>
                          <a:graphic xmlns:a="http://schemas.openxmlformats.org/drawingml/2006/main">
                            <a:graphicData uri="http://schemas.microsoft.com/office/word/2010/wordprocessingInk">
                              <w14:contentPart bwMode="auto" r:id="rId20">
                                <w14:nvContentPartPr>
                                  <w14:cNvContentPartPr/>
                                </w14:nvContentPartPr>
                                <w14:xfrm>
                                  <a:off x="0" y="0"/>
                                  <a:ext cx="1043040" cy="1450560"/>
                                </w14:xfrm>
                              </w14:contentPart>
                            </a:graphicData>
                          </a:graphic>
                        </wp:anchor>
                      </w:drawing>
                    </mc:Choice>
                    <mc:Fallback>
                      <w:pict>
                        <v:shapetype w14:anchorId="5DA9F9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65.45pt;margin-top:92.55pt;width:84.15pt;height:11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">
                          <v:imagedata r:id="rId24" o:title=""/>
                        </v:shape>
                      </w:pict>
                    </mc:Fallback>
                  </mc:AlternateContent>
                </w:r>
                <w:r w:rsidRPr="00EE441B">
                  <w:rPr>
                    <w:rFonts w:ascii="Times New Roman" w:hAnsi="Times New Roman" w:cs="Times New Roman"/>
                    <w:lang w:val="is-IS"/>
                  </w:rPr>
                  <w:t>Fyrirhuguð lagasetning varðar skuldbindingar Íslands skv. EES-samningnum og felur í sér innleiðingu reglugerð</w:t>
                </w:r>
                <w:r w:rsidR="005240E4" w:rsidRPr="00EE441B">
                  <w:rPr>
                    <w:rFonts w:ascii="Times New Roman" w:hAnsi="Times New Roman" w:cs="Times New Roman"/>
                    <w:lang w:val="is-IS"/>
                  </w:rPr>
                  <w:t>a</w:t>
                </w:r>
                <w:r w:rsidRPr="00EE441B">
                  <w:rPr>
                    <w:rFonts w:ascii="Times New Roman" w:hAnsi="Times New Roman" w:cs="Times New Roman"/>
                    <w:lang w:val="is-IS"/>
                  </w:rPr>
                  <w:t xml:space="preserve"> og tilskipun</w:t>
                </w:r>
                <w:r w:rsidR="005240E4" w:rsidRPr="00EE441B">
                  <w:rPr>
                    <w:rFonts w:ascii="Times New Roman" w:hAnsi="Times New Roman" w:cs="Times New Roman"/>
                    <w:lang w:val="is-IS"/>
                  </w:rPr>
                  <w:t>ar</w:t>
                </w:r>
                <w:r w:rsidRPr="00EE441B">
                  <w:rPr>
                    <w:rFonts w:ascii="Times New Roman" w:hAnsi="Times New Roman" w:cs="Times New Roman"/>
                    <w:lang w:val="is-IS"/>
                  </w:rPr>
                  <w:t xml:space="preserve"> </w:t>
                </w:r>
                <w:r w:rsidR="005240E4" w:rsidRPr="00EE441B">
                  <w:rPr>
                    <w:rFonts w:ascii="Times New Roman" w:hAnsi="Times New Roman" w:cs="Times New Roman"/>
                    <w:lang w:val="is-IS"/>
                  </w:rPr>
                  <w:t xml:space="preserve">um evrópskt eftirlitskerfi á fjármálamarkaði </w:t>
                </w:r>
                <w:r w:rsidRPr="00EE441B">
                  <w:rPr>
                    <w:rFonts w:ascii="Times New Roman" w:hAnsi="Times New Roman" w:cs="Times New Roman"/>
                    <w:lang w:val="is-IS"/>
                  </w:rPr>
                  <w:t>í íslenskan rétt.</w:t>
                </w:r>
              </w:p>
              <w:p w14:paraId="2BB19823" w14:textId="1E61145D" w:rsidR="00936E30" w:rsidRPr="00EE441B" w:rsidRDefault="00746FC9" w:rsidP="00A9281A">
                <w:pPr>
                  <w:spacing w:before="60" w:after="60"/>
                  <w:jc w:val="both"/>
                  <w:rPr>
                    <w:rFonts w:ascii="Times New Roman" w:hAnsi="Times New Roman" w:cs="Times New Roman"/>
                    <w:bCs/>
                    <w:lang w:val="is-IS"/>
                  </w:rPr>
                </w:pPr>
                <w:r w:rsidRPr="00EE441B">
                  <w:rPr>
                    <w:rFonts w:ascii="Times New Roman" w:hAnsi="Times New Roman" w:cs="Times New Roman"/>
                    <w:lang w:val="is-IS"/>
                  </w:rPr>
                  <w:t>Fyrirhuguð lagasetning þykir ekki kalla á sérstaka skoðun á samræmi við stjórnarskrá. Um framsal valheimilda á fjármálamarkaði var nánar fjallað í þingsályktunartillögu um upptöku hins evrópska eftirlitskerfis á fjármálamarkaði</w:t>
                </w:r>
                <w:r w:rsidR="005240E4" w:rsidRPr="00EE441B">
                  <w:rPr>
                    <w:rFonts w:ascii="Times New Roman" w:hAnsi="Times New Roman" w:cs="Times New Roman"/>
                    <w:lang w:val="is-IS"/>
                  </w:rPr>
                  <w:t>, s</w:t>
                </w:r>
                <w:r w:rsidRPr="00EE441B">
                  <w:rPr>
                    <w:rFonts w:ascii="Times New Roman" w:hAnsi="Times New Roman" w:cs="Times New Roman"/>
                    <w:lang w:val="is-IS"/>
                  </w:rPr>
                  <w:t xml:space="preserve">já </w:t>
                </w:r>
                <w:hyperlink r:id="rId25" w:history="1">
                  <w:r w:rsidRPr="00EE441B">
                    <w:rPr>
                      <w:rStyle w:val="Hyperlink"/>
                      <w:rFonts w:ascii="Times New Roman" w:hAnsi="Times New Roman" w:cs="Times New Roman"/>
                      <w:lang w:val="is-IS"/>
                    </w:rPr>
                    <w:t>tillögu til þingsályktunar um staðfestingu ákvarðana sameiginlegu EES-nefndarinnar um breytingu á IX. viðauka (Fjármálaþjónusta) við EES-samninginn (evrópskar reglur um fjármálaeftirlit</w:t>
                  </w:r>
                </w:hyperlink>
                <w:r w:rsidRPr="00EE441B">
                  <w:rPr>
                    <w:rFonts w:ascii="Times New Roman" w:hAnsi="Times New Roman" w:cs="Times New Roman"/>
                    <w:lang w:val="is-IS"/>
                  </w:rPr>
                  <w:t>), sem lögð var fyrir Alþingi og samþykkt á 145. löggjafarþingi 2015–2016 (þskj. 1109, 681. mál).</w:t>
                </w:r>
                <w:r w:rsidR="005240E4" w:rsidRPr="00EE441B">
                  <w:rPr>
                    <w:rFonts w:ascii="Times New Roman" w:hAnsi="Times New Roman" w:cs="Times New Roman"/>
                    <w:lang w:val="is-IS"/>
                  </w:rPr>
                  <w:t xml:space="preserve"> </w:t>
                </w:r>
                <w:r w:rsidR="005240E4" w:rsidRPr="00EE441B">
                  <w:rPr>
                    <w:rFonts w:ascii="Times New Roman" w:eastAsia="Calibri" w:hAnsi="Times New Roman" w:cs="Times New Roman"/>
                    <w:lang w:val="is-IS"/>
                  </w:rPr>
                  <w:t xml:space="preserve">Upptaka reglugerða (ESB) 2019/2175 og 2019/2176 í EES-samninginn kallar á breytingar á þeim aðlögunum sem gerðar voru við upptöku reglugerða </w:t>
                </w:r>
                <w:r w:rsidR="005240E4" w:rsidRPr="00EE441B">
                  <w:rPr>
                    <w:rFonts w:ascii="Times New Roman" w:hAnsi="Times New Roman" w:cs="Times New Roman"/>
                    <w:lang w:val="is-IS"/>
                  </w:rPr>
                  <w:t xml:space="preserve">(ESB) 1092-1095/2010 um </w:t>
                </w:r>
                <w:r w:rsidR="005240E4" w:rsidRPr="00EE441B">
                  <w:rPr>
                    <w:rFonts w:ascii="Times New Roman" w:eastAsia="Calibri" w:hAnsi="Times New Roman" w:cs="Times New Roman"/>
                    <w:lang w:val="is-IS"/>
                  </w:rPr>
                  <w:t xml:space="preserve">evrópskt eftirlitskerfi á fjármálamarkaði í samninginn. </w:t>
                </w:r>
                <w:r w:rsidR="00A9281A">
                  <w:rPr>
                    <w:rFonts w:ascii="Times New Roman" w:eastAsia="Calibri" w:hAnsi="Times New Roman" w:cs="Times New Roman"/>
                    <w:lang w:val="is-IS"/>
                  </w:rPr>
                  <w:t xml:space="preserve">Þær </w:t>
                </w:r>
                <w:r w:rsidR="005240E4" w:rsidRPr="00EE441B">
                  <w:rPr>
                    <w:rFonts w:ascii="Times New Roman" w:eastAsia="Calibri" w:hAnsi="Times New Roman" w:cs="Times New Roman"/>
                    <w:lang w:val="is-IS"/>
                  </w:rPr>
                  <w:t>aðlaganir eru þó ekki til þess fallnar að raska þeirri lausn sem samþykkt var við upptöku reglugerða (ESB) 1092-1095/2010 í EES-samninginn.</w:t>
                </w:r>
              </w:p>
              <w:p w14:paraId="45E64462" w14:textId="4AF4BB39" w:rsidR="009941D2" w:rsidRPr="00EE441B"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Varða áformin ákvæði EES-samningsins um ríkisaðstoð, tæknilegar reglur um vöru og fjarþjónustu eða frelsi til að veita þjónustu?</w:t>
                </w:r>
                <w:r w:rsidR="00E67F09" w:rsidRPr="00EE441B">
                  <w:rPr>
                    <w:rFonts w:ascii="Times New Roman" w:hAnsi="Times New Roman" w:cs="Times New Roman"/>
                    <w:b/>
                    <w:lang w:val="is-IS"/>
                  </w:rPr>
                  <w:t xml:space="preserve"> </w:t>
                </w:r>
              </w:p>
              <w:p w14:paraId="7EC71D4B" w14:textId="67E2D57D" w:rsidR="00936E30" w:rsidRPr="00EE441B" w:rsidRDefault="005240E4" w:rsidP="005240E4">
                <w:pPr>
                  <w:spacing w:before="60" w:after="60"/>
                  <w:rPr>
                    <w:rFonts w:ascii="Times New Roman" w:hAnsi="Times New Roman" w:cs="Times New Roman"/>
                    <w:bCs/>
                    <w:lang w:val="is-IS"/>
                  </w:rPr>
                </w:pPr>
                <w:r w:rsidRPr="00EE441B">
                  <w:rPr>
                    <w:rFonts w:ascii="Times New Roman" w:hAnsi="Times New Roman" w:cs="Times New Roman"/>
                    <w:bCs/>
                    <w:lang w:val="is-IS"/>
                  </w:rPr>
                  <w:t>Nei.</w:t>
                </w:r>
              </w:p>
              <w:p w14:paraId="0BC6D26D" w14:textId="77777777" w:rsidR="00936E30" w:rsidRPr="00EE441B"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Er önnur grundvallarlöggjöf</w:t>
                </w:r>
                <w:r w:rsidR="002B70B7" w:rsidRPr="00EE441B">
                  <w:rPr>
                    <w:rFonts w:ascii="Times New Roman" w:hAnsi="Times New Roman" w:cs="Times New Roman"/>
                    <w:b/>
                    <w:lang w:val="is-IS"/>
                  </w:rPr>
                  <w:t xml:space="preserve"> sem taka þarf tillit til?</w:t>
                </w:r>
                <w:r w:rsidR="00F656C4" w:rsidRPr="00EE441B">
                  <w:rPr>
                    <w:rFonts w:ascii="Times New Roman" w:hAnsi="Times New Roman" w:cs="Times New Roman"/>
                    <w:b/>
                    <w:lang w:val="is-IS"/>
                  </w:rPr>
                  <w:t xml:space="preserve"> </w:t>
                </w:r>
              </w:p>
              <w:p w14:paraId="2DDA338D" w14:textId="4479932D" w:rsidR="00CA3381" w:rsidRPr="00EE441B" w:rsidRDefault="005240E4" w:rsidP="005240E4">
                <w:pPr>
                  <w:spacing w:before="60" w:after="60"/>
                  <w:rPr>
                    <w:rFonts w:ascii="Times New Roman" w:hAnsi="Times New Roman" w:cs="Times New Roman"/>
                    <w:b/>
                    <w:lang w:val="is-IS"/>
                  </w:rPr>
                </w:pPr>
                <w:r w:rsidRPr="00EE441B">
                  <w:rPr>
                    <w:rFonts w:ascii="Times New Roman" w:hAnsi="Times New Roman" w:cs="Times New Roman"/>
                    <w:bCs/>
                    <w:lang w:val="is-IS"/>
                  </w:rPr>
                  <w:t>Nei.</w:t>
                </w:r>
                <w:r w:rsidR="00BA4BB1" w:rsidRPr="00EE441B">
                  <w:rPr>
                    <w:rFonts w:ascii="Times New Roman" w:hAnsi="Times New Roman" w:cs="Times New Roman"/>
                    <w:bCs/>
                    <w:lang w:val="is-IS"/>
                  </w:rPr>
                  <w:t xml:space="preserve"> </w:t>
                </w:r>
              </w:p>
              <w:permEnd w:id="336488128" w:displacedByCustomXml="next"/>
            </w:sdtContent>
          </w:sdt>
        </w:tc>
      </w:tr>
      <w:tr w:rsidR="00E34B42" w:rsidRPr="00EE441B" w14:paraId="783A5C0A" w14:textId="77777777" w:rsidTr="007414CB">
        <w:tc>
          <w:tcPr>
            <w:tcW w:w="9288" w:type="dxa"/>
            <w:shd w:val="clear" w:color="auto" w:fill="92CDDC" w:themeFill="accent5" w:themeFillTint="99"/>
          </w:tcPr>
          <w:p w14:paraId="258B9E08" w14:textId="77777777" w:rsidR="00311838" w:rsidRPr="00EE441B"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t>Samráð</w:t>
            </w:r>
          </w:p>
        </w:tc>
      </w:tr>
      <w:tr w:rsidR="00E34B42" w:rsidRPr="00EE441B" w14:paraId="5517FD6B" w14:textId="77777777"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079202752" w:edGrp="everyone" w:displacedByCustomXml="prev"/>
              <w:p w14:paraId="71E9E23E" w14:textId="0F7CD03E" w:rsidR="009941D2" w:rsidRPr="00EE441B"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 xml:space="preserve">Hverjir eru helstu hagsmunaaðilar? </w:t>
                </w:r>
              </w:p>
              <w:p w14:paraId="424D84C8" w14:textId="73FF1243" w:rsidR="00936E30" w:rsidRPr="00EE441B" w:rsidRDefault="004C4D3E" w:rsidP="004C4D3E">
                <w:pPr>
                  <w:spacing w:before="60" w:after="60"/>
                  <w:rPr>
                    <w:rFonts w:ascii="Times New Roman" w:hAnsi="Times New Roman" w:cs="Times New Roman"/>
                    <w:bCs/>
                    <w:lang w:val="is-IS"/>
                  </w:rPr>
                </w:pPr>
                <w:r w:rsidRPr="00EE441B">
                  <w:rPr>
                    <w:rFonts w:ascii="Times New Roman" w:hAnsi="Times New Roman" w:cs="Times New Roman"/>
                    <w:bCs/>
                    <w:lang w:val="is-IS"/>
                  </w:rPr>
                  <w:t>Seðlabanki Íslands, eftirlitsskyldir aðilar á fjármálamarkaði og fjárfestar.</w:t>
                </w:r>
              </w:p>
              <w:p w14:paraId="3499530B" w14:textId="05F2C854" w:rsidR="009941D2" w:rsidRPr="00EE441B"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Er skörun við stjórnarmálefni annarra ráðuneyta?</w:t>
                </w:r>
                <w:r w:rsidR="00F656C4" w:rsidRPr="00EE441B">
                  <w:rPr>
                    <w:rFonts w:ascii="Times New Roman" w:hAnsi="Times New Roman" w:cs="Times New Roman"/>
                    <w:b/>
                    <w:lang w:val="is-IS"/>
                  </w:rPr>
                  <w:t xml:space="preserve"> </w:t>
                </w:r>
              </w:p>
              <w:p w14:paraId="0A7BCA7D" w14:textId="35C74453" w:rsidR="00936E30" w:rsidRPr="00EE441B" w:rsidRDefault="004C4D3E" w:rsidP="004C4D3E">
                <w:pPr>
                  <w:rPr>
                    <w:rFonts w:ascii="Times New Roman" w:hAnsi="Times New Roman" w:cs="Times New Roman"/>
                    <w:bCs/>
                    <w:lang w:val="is-IS"/>
                  </w:rPr>
                </w:pPr>
                <w:r w:rsidRPr="00EE441B">
                  <w:rPr>
                    <w:rFonts w:ascii="Times New Roman" w:hAnsi="Times New Roman" w:cs="Times New Roman"/>
                    <w:bCs/>
                    <w:lang w:val="is-IS"/>
                  </w:rPr>
                  <w:t>Nei.</w:t>
                </w:r>
              </w:p>
              <w:p w14:paraId="7913A3D6" w14:textId="780B9A77" w:rsidR="009941D2" w:rsidRPr="00EE441B"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Samráð sem þegar hefur farið fram</w:t>
                </w:r>
                <w:r w:rsidR="00936E30" w:rsidRPr="00EE441B">
                  <w:rPr>
                    <w:rFonts w:ascii="Times New Roman" w:hAnsi="Times New Roman" w:cs="Times New Roman"/>
                    <w:b/>
                    <w:lang w:val="is-IS"/>
                  </w:rPr>
                  <w:t>.</w:t>
                </w:r>
              </w:p>
              <w:p w14:paraId="0EDC2EBE" w14:textId="2BA97DE1" w:rsidR="00936E30" w:rsidRPr="00EE441B" w:rsidRDefault="00746FC9" w:rsidP="004C4D3E">
                <w:pPr>
                  <w:rPr>
                    <w:rFonts w:ascii="Times New Roman" w:hAnsi="Times New Roman" w:cs="Times New Roman"/>
                    <w:bCs/>
                    <w:lang w:val="is-IS"/>
                  </w:rPr>
                </w:pPr>
                <w:r w:rsidRPr="00EE441B">
                  <w:rPr>
                    <w:rFonts w:ascii="Times New Roman" w:hAnsi="Times New Roman" w:cs="Times New Roman"/>
                    <w:lang w:val="is-IS"/>
                  </w:rPr>
                  <w:t xml:space="preserve">Samráð </w:t>
                </w:r>
                <w:r w:rsidR="003076DC" w:rsidRPr="00EE441B">
                  <w:rPr>
                    <w:rFonts w:ascii="Times New Roman" w:hAnsi="Times New Roman" w:cs="Times New Roman"/>
                    <w:lang w:val="is-IS"/>
                  </w:rPr>
                  <w:t>er</w:t>
                </w:r>
                <w:r w:rsidRPr="00EE441B">
                  <w:rPr>
                    <w:rFonts w:ascii="Times New Roman" w:hAnsi="Times New Roman" w:cs="Times New Roman"/>
                    <w:lang w:val="is-IS"/>
                  </w:rPr>
                  <w:t xml:space="preserve"> haft við Seðlabanka Íslands</w:t>
                </w:r>
                <w:r w:rsidR="003076DC" w:rsidRPr="00EE441B">
                  <w:rPr>
                    <w:rFonts w:ascii="Times New Roman" w:hAnsi="Times New Roman" w:cs="Times New Roman"/>
                    <w:lang w:val="is-IS"/>
                  </w:rPr>
                  <w:t xml:space="preserve"> um upptöku gerðanna í EES-samninginn og innleiðingu þeirra í íslenskan rétt</w:t>
                </w:r>
                <w:r w:rsidRPr="00EE441B">
                  <w:rPr>
                    <w:rFonts w:ascii="Times New Roman" w:hAnsi="Times New Roman" w:cs="Times New Roman"/>
                    <w:lang w:val="is-IS"/>
                  </w:rPr>
                  <w:t>.</w:t>
                </w:r>
              </w:p>
              <w:p w14:paraId="13CB742C" w14:textId="77777777" w:rsidR="00936E30" w:rsidRPr="00EE441B"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Fyrirhugað samráð</w:t>
                </w:r>
                <w:r w:rsidR="00936E30" w:rsidRPr="00EE441B">
                  <w:rPr>
                    <w:rFonts w:ascii="Times New Roman" w:hAnsi="Times New Roman" w:cs="Times New Roman"/>
                    <w:b/>
                    <w:lang w:val="is-IS"/>
                  </w:rPr>
                  <w:t>.</w:t>
                </w:r>
              </w:p>
              <w:p w14:paraId="7E9D505B" w14:textId="77777777" w:rsidR="00D42140" w:rsidRDefault="00746FC9" w:rsidP="003076DC">
                <w:pPr>
                  <w:spacing w:before="60" w:after="60"/>
                  <w:rPr>
                    <w:rFonts w:ascii="Times New Roman" w:hAnsi="Times New Roman" w:cs="Times New Roman"/>
                    <w:lang w:val="is-IS"/>
                  </w:rPr>
                </w:pPr>
                <w:r w:rsidRPr="00EE441B">
                  <w:rPr>
                    <w:rFonts w:ascii="Times New Roman" w:hAnsi="Times New Roman" w:cs="Times New Roman"/>
                    <w:lang w:val="is-IS"/>
                  </w:rPr>
                  <w:t>Fyrirhugað er að birta þetta áformaskjal í samráðsgátt stjórnvalda, sem og drög að frumvarpi</w:t>
                </w:r>
                <w:r w:rsidR="003076DC" w:rsidRPr="00EE441B">
                  <w:rPr>
                    <w:rFonts w:ascii="Times New Roman" w:hAnsi="Times New Roman" w:cs="Times New Roman"/>
                    <w:lang w:val="is-IS"/>
                  </w:rPr>
                  <w:t>.</w:t>
                </w:r>
              </w:p>
              <w:p w14:paraId="01813697" w14:textId="0A191091" w:rsidR="00CA3381" w:rsidRPr="00EE441B" w:rsidRDefault="001C24C0" w:rsidP="003076DC">
                <w:pPr>
                  <w:spacing w:before="60" w:after="60"/>
                  <w:rPr>
                    <w:rFonts w:ascii="Times New Roman" w:hAnsi="Times New Roman" w:cs="Times New Roman"/>
                    <w:lang w:val="is-IS"/>
                  </w:rPr>
                </w:pPr>
              </w:p>
              <w:permEnd w:id="1079202752" w:displacedByCustomXml="next"/>
            </w:sdtContent>
          </w:sdt>
        </w:tc>
      </w:tr>
      <w:tr w:rsidR="00E34B42" w:rsidRPr="00EE441B" w14:paraId="0AAAD5E6" w14:textId="77777777" w:rsidTr="007414CB">
        <w:tc>
          <w:tcPr>
            <w:tcW w:w="9288" w:type="dxa"/>
            <w:shd w:val="clear" w:color="auto" w:fill="92CDDC" w:themeFill="accent5" w:themeFillTint="99"/>
          </w:tcPr>
          <w:p w14:paraId="1461E56A" w14:textId="77777777" w:rsidR="00311838" w:rsidRPr="00EE441B" w:rsidRDefault="003821A7"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lastRenderedPageBreak/>
              <w:t xml:space="preserve">Mat </w:t>
            </w:r>
            <w:r w:rsidR="0013710B" w:rsidRPr="00EE441B">
              <w:rPr>
                <w:rFonts w:ascii="Times New Roman" w:hAnsi="Times New Roman" w:cs="Times New Roman"/>
                <w:b/>
                <w:lang w:val="is-IS"/>
              </w:rPr>
              <w:t>á áhrifum þeirrar leiðar sem áformuð er</w:t>
            </w:r>
            <w:r w:rsidR="0091519C" w:rsidRPr="00EE441B">
              <w:rPr>
                <w:rFonts w:ascii="Times New Roman" w:hAnsi="Times New Roman" w:cs="Times New Roman"/>
                <w:b/>
                <w:lang w:val="is-IS"/>
              </w:rPr>
              <w:t xml:space="preserve"> </w:t>
            </w:r>
          </w:p>
        </w:tc>
      </w:tr>
      <w:tr w:rsidR="00E34B42" w:rsidRPr="00EE441B" w14:paraId="659324F9" w14:textId="77777777" w:rsidTr="007414CB">
        <w:trPr>
          <w:trHeight w:val="283"/>
        </w:trPr>
        <w:tc>
          <w:tcPr>
            <w:tcW w:w="9288" w:type="dxa"/>
          </w:tcPr>
          <w:permStart w:id="2008626071"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1662FB6" w14:textId="664338D3" w:rsidR="00936E30" w:rsidRPr="00EE441B" w:rsidRDefault="003821A7" w:rsidP="00BA1F90">
                <w:pPr>
                  <w:pStyle w:val="ListParagraph"/>
                  <w:numPr>
                    <w:ilvl w:val="0"/>
                    <w:numId w:val="2"/>
                  </w:numPr>
                  <w:spacing w:before="60" w:after="60"/>
                  <w:contextualSpacing w:val="0"/>
                  <w:rPr>
                    <w:rFonts w:ascii="Times New Roman" w:hAnsi="Times New Roman" w:cs="Times New Roman"/>
                    <w:b/>
                    <w:lang w:val="is-IS"/>
                  </w:rPr>
                </w:pPr>
                <w:r w:rsidRPr="00EE441B">
                  <w:rPr>
                    <w:rFonts w:ascii="Times New Roman" w:hAnsi="Times New Roman" w:cs="Times New Roman"/>
                    <w:b/>
                    <w:lang w:val="is-IS"/>
                  </w:rPr>
                  <w:t>Niðurstaða frummats á áhrifum, sbr. fylgiskjal</w:t>
                </w:r>
                <w:r w:rsidR="00936E30" w:rsidRPr="00EE441B">
                  <w:rPr>
                    <w:rFonts w:ascii="Times New Roman" w:hAnsi="Times New Roman" w:cs="Times New Roman"/>
                    <w:b/>
                    <w:lang w:val="is-IS"/>
                  </w:rPr>
                  <w:t>.</w:t>
                </w:r>
              </w:p>
              <w:p w14:paraId="56DC897B" w14:textId="0EA73615" w:rsidR="00F93B5C" w:rsidRPr="00EE441B" w:rsidRDefault="00B336C6" w:rsidP="00B336C6">
                <w:pPr>
                  <w:spacing w:before="60" w:after="60"/>
                  <w:jc w:val="both"/>
                  <w:rPr>
                    <w:rFonts w:ascii="Times New Roman" w:hAnsi="Times New Roman" w:cs="Times New Roman"/>
                    <w:lang w:val="is-IS"/>
                  </w:rPr>
                </w:pPr>
                <w:r w:rsidRPr="003B0BBF">
                  <w:rPr>
                    <w:rFonts w:ascii="Times New Roman" w:hAnsi="Times New Roman" w:cs="Times New Roman"/>
                    <w:color w:val="000000"/>
                    <w:lang w:val="is-IS"/>
                  </w:rPr>
                  <w:t xml:space="preserve">Innleiðing gerðanna er ekki talin hafa </w:t>
                </w:r>
                <w:r>
                  <w:rPr>
                    <w:rFonts w:ascii="Times New Roman" w:hAnsi="Times New Roman" w:cs="Times New Roman"/>
                    <w:color w:val="000000"/>
                    <w:lang w:val="is-IS"/>
                  </w:rPr>
                  <w:t>mikil</w:t>
                </w:r>
                <w:r w:rsidRPr="003B0BBF">
                  <w:rPr>
                    <w:rFonts w:ascii="Times New Roman" w:hAnsi="Times New Roman" w:cs="Times New Roman"/>
                    <w:color w:val="000000"/>
                    <w:lang w:val="is-IS"/>
                  </w:rPr>
                  <w:t xml:space="preserve"> áhrif hér á land</w:t>
                </w:r>
                <w:r>
                  <w:rPr>
                    <w:rFonts w:ascii="Times New Roman" w:hAnsi="Times New Roman" w:cs="Times New Roman"/>
                    <w:color w:val="000000"/>
                    <w:lang w:val="is-IS"/>
                  </w:rPr>
                  <w:t>i</w:t>
                </w:r>
                <w:r w:rsidRPr="003B0BBF">
                  <w:rPr>
                    <w:rFonts w:ascii="Times New Roman" w:hAnsi="Times New Roman" w:cs="Times New Roman"/>
                    <w:color w:val="000000"/>
                    <w:lang w:val="is-IS"/>
                  </w:rPr>
                  <w:t>.</w:t>
                </w:r>
                <w:r>
                  <w:rPr>
                    <w:rFonts w:ascii="Times New Roman" w:hAnsi="Times New Roman" w:cs="Times New Roman"/>
                    <w:color w:val="000000"/>
                    <w:lang w:val="is-IS"/>
                  </w:rPr>
                  <w:t xml:space="preserve"> Með gerðunum eru reglur sem gilda um eftirlit á fjármálamarkaði samræmdar enn frekar á EES. Kostnaður og fyrirhöfn við að innleiða löggjöfina er ekki talin vera mikil</w:t>
                </w:r>
                <w:r w:rsidR="00C65B84">
                  <w:rPr>
                    <w:rFonts w:ascii="Times New Roman" w:hAnsi="Times New Roman" w:cs="Times New Roman"/>
                    <w:color w:val="000000"/>
                    <w:lang w:val="is-IS"/>
                  </w:rPr>
                  <w:t>.</w:t>
                </w:r>
              </w:p>
            </w:sdtContent>
          </w:sdt>
        </w:tc>
      </w:tr>
      <w:permEnd w:id="2008626071"/>
      <w:tr w:rsidR="00E34B42" w:rsidRPr="00EE441B" w14:paraId="305790DD" w14:textId="77777777" w:rsidTr="007414CB">
        <w:tc>
          <w:tcPr>
            <w:tcW w:w="9288" w:type="dxa"/>
            <w:shd w:val="clear" w:color="auto" w:fill="92CDDC" w:themeFill="accent5" w:themeFillTint="99"/>
          </w:tcPr>
          <w:p w14:paraId="58FE56DF" w14:textId="77777777" w:rsidR="00311838" w:rsidRPr="00EE441B" w:rsidRDefault="008A2C75"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t>Næstu skref, innleiðing</w:t>
            </w:r>
          </w:p>
        </w:tc>
      </w:tr>
      <w:tr w:rsidR="00E34B42" w:rsidRPr="00EE441B" w14:paraId="1A1A4C6C" w14:textId="77777777" w:rsidTr="00FD2097">
        <w:trPr>
          <w:trHeight w:val="826"/>
        </w:trPr>
        <w:tc>
          <w:tcPr>
            <w:tcW w:w="9288" w:type="dxa"/>
          </w:tcPr>
          <w:permStart w:id="1205485827"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247196FC" w14:textId="77777777" w:rsidR="003076DC" w:rsidRPr="00EE441B" w:rsidRDefault="00133146" w:rsidP="00F8511E">
                <w:pPr>
                  <w:pStyle w:val="ListParagraph"/>
                  <w:numPr>
                    <w:ilvl w:val="0"/>
                    <w:numId w:val="10"/>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Hefur verið gerð verk</w:t>
                </w:r>
                <w:r w:rsidR="002B70B7" w:rsidRPr="00EE441B">
                  <w:rPr>
                    <w:rFonts w:ascii="Times New Roman" w:hAnsi="Times New Roman" w:cs="Times New Roman"/>
                    <w:b/>
                    <w:lang w:val="is-IS"/>
                  </w:rPr>
                  <w:t>efnis</w:t>
                </w:r>
                <w:r w:rsidRPr="00EE441B">
                  <w:rPr>
                    <w:rFonts w:ascii="Times New Roman" w:hAnsi="Times New Roman" w:cs="Times New Roman"/>
                    <w:b/>
                    <w:lang w:val="is-IS"/>
                  </w:rPr>
                  <w:t>áætlun fyrir frumvarpssmíðina?</w:t>
                </w:r>
                <w:r w:rsidR="00E67F09" w:rsidRPr="00EE441B">
                  <w:rPr>
                    <w:rFonts w:ascii="Times New Roman" w:hAnsi="Times New Roman" w:cs="Times New Roman"/>
                    <w:b/>
                    <w:lang w:val="is-IS"/>
                  </w:rPr>
                  <w:t xml:space="preserve"> </w:t>
                </w:r>
              </w:p>
              <w:p w14:paraId="36F80326" w14:textId="4942D852" w:rsidR="003076DC" w:rsidRPr="00EE441B" w:rsidRDefault="003076DC" w:rsidP="000A2540">
                <w:pPr>
                  <w:spacing w:before="60" w:after="60"/>
                  <w:jc w:val="both"/>
                  <w:rPr>
                    <w:rFonts w:ascii="Times New Roman" w:hAnsi="Times New Roman" w:cs="Times New Roman"/>
                    <w:b/>
                    <w:lang w:val="is-IS"/>
                  </w:rPr>
                </w:pPr>
                <w:r w:rsidRPr="00EE441B">
                  <w:rPr>
                    <w:rFonts w:ascii="Times New Roman" w:hAnsi="Times New Roman" w:cs="Times New Roman"/>
                    <w:color w:val="000000"/>
                    <w:lang w:val="is-IS"/>
                  </w:rPr>
                  <w:t>Áformað er að birta drög að frumvarpi í samráðsgátt stjórnvalda á næstu mánuðum og leggja frumvarp fyrir Alþingi fyrir árslok 2024.</w:t>
                </w:r>
              </w:p>
              <w:p w14:paraId="563A9597" w14:textId="5C2BBF72" w:rsidR="009941D2" w:rsidRPr="00EE441B"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 xml:space="preserve">Hvernig verður staðið að innleiðingu </w:t>
                </w:r>
                <w:r w:rsidR="00133146" w:rsidRPr="00EE441B">
                  <w:rPr>
                    <w:rFonts w:ascii="Times New Roman" w:hAnsi="Times New Roman" w:cs="Times New Roman"/>
                    <w:b/>
                    <w:lang w:val="is-IS"/>
                  </w:rPr>
                  <w:t>löggjafar</w:t>
                </w:r>
                <w:r w:rsidR="006960C1" w:rsidRPr="00EE441B">
                  <w:rPr>
                    <w:rFonts w:ascii="Times New Roman" w:hAnsi="Times New Roman" w:cs="Times New Roman"/>
                    <w:b/>
                    <w:lang w:val="is-IS"/>
                  </w:rPr>
                  <w:t>?</w:t>
                </w:r>
                <w:r w:rsidR="00E67F09" w:rsidRPr="00EE441B">
                  <w:rPr>
                    <w:rFonts w:ascii="Times New Roman" w:hAnsi="Times New Roman" w:cs="Times New Roman"/>
                    <w:b/>
                    <w:lang w:val="is-IS"/>
                  </w:rPr>
                  <w:t xml:space="preserve"> </w:t>
                </w:r>
                <w:r w:rsidR="00DB645F" w:rsidRPr="00EE441B">
                  <w:rPr>
                    <w:rFonts w:ascii="Times New Roman" w:hAnsi="Times New Roman" w:cs="Times New Roman"/>
                    <w:b/>
                    <w:lang w:val="is-IS"/>
                  </w:rPr>
                  <w:t xml:space="preserve">Hvað má gera ráð fyrir að þeir sem verða fyrir áhrifum, </w:t>
                </w:r>
                <w:r w:rsidR="005E51EA" w:rsidRPr="00EE441B">
                  <w:rPr>
                    <w:rFonts w:ascii="Times New Roman" w:hAnsi="Times New Roman" w:cs="Times New Roman"/>
                    <w:b/>
                    <w:lang w:val="is-IS"/>
                  </w:rPr>
                  <w:t>opinberar stofnanir/hagsmunaaðilar/almenningur</w:t>
                </w:r>
                <w:r w:rsidR="00DB645F" w:rsidRPr="00EE441B">
                  <w:rPr>
                    <w:rFonts w:ascii="Times New Roman" w:hAnsi="Times New Roman" w:cs="Times New Roman"/>
                    <w:b/>
                    <w:lang w:val="is-IS"/>
                  </w:rPr>
                  <w:t>, þurfi langan tíma til undirbúnings/aðlögunar?</w:t>
                </w:r>
              </w:p>
              <w:p w14:paraId="08E072D2" w14:textId="7CA5BE8D" w:rsidR="00936E30" w:rsidRPr="00EE441B" w:rsidRDefault="003076DC" w:rsidP="000A2540">
                <w:pPr>
                  <w:jc w:val="both"/>
                  <w:rPr>
                    <w:rFonts w:ascii="Times New Roman" w:hAnsi="Times New Roman" w:cs="Times New Roman"/>
                    <w:bCs/>
                    <w:lang w:val="is-IS"/>
                  </w:rPr>
                </w:pPr>
                <w:r w:rsidRPr="00EE441B">
                  <w:rPr>
                    <w:rFonts w:ascii="Times New Roman" w:hAnsi="Times New Roman" w:cs="Times New Roman"/>
                    <w:bCs/>
                    <w:lang w:val="is-IS"/>
                  </w:rPr>
                  <w:t>Ekki er gert ráð fyrir að þeir aðilar sem verða fyrir áhrifum af lagasetningunni þurfi langan tíma til undirbúnings eða aðlögunar.</w:t>
                </w:r>
              </w:p>
              <w:p w14:paraId="121587BD" w14:textId="77777777" w:rsidR="003076DC" w:rsidRPr="00EE441B" w:rsidRDefault="00133146" w:rsidP="00175B9C">
                <w:pPr>
                  <w:pStyle w:val="ListParagraph"/>
                  <w:numPr>
                    <w:ilvl w:val="0"/>
                    <w:numId w:val="10"/>
                  </w:numPr>
                  <w:spacing w:before="60" w:after="60"/>
                  <w:ind w:left="714" w:hanging="357"/>
                  <w:contextualSpacing w:val="0"/>
                  <w:rPr>
                    <w:color w:val="000000"/>
                    <w:lang w:val="is-IS"/>
                  </w:rPr>
                </w:pPr>
                <w:r w:rsidRPr="00EE441B">
                  <w:rPr>
                    <w:rFonts w:ascii="Times New Roman" w:hAnsi="Times New Roman" w:cs="Times New Roman"/>
                    <w:b/>
                    <w:lang w:val="is-IS"/>
                  </w:rPr>
                  <w:t>H</w:t>
                </w:r>
                <w:r w:rsidR="00941142" w:rsidRPr="00EE441B">
                  <w:rPr>
                    <w:rFonts w:ascii="Times New Roman" w:hAnsi="Times New Roman" w:cs="Times New Roman"/>
                    <w:b/>
                    <w:lang w:val="is-IS"/>
                  </w:rPr>
                  <w:t>vaða forsendur þurfa að vera fyrir hendi til að lagasetning beri árangur?</w:t>
                </w:r>
                <w:r w:rsidR="00E67F09" w:rsidRPr="00EE441B">
                  <w:rPr>
                    <w:rFonts w:ascii="Times New Roman" w:hAnsi="Times New Roman" w:cs="Times New Roman"/>
                    <w:b/>
                    <w:lang w:val="is-IS"/>
                  </w:rPr>
                  <w:t xml:space="preserve"> </w:t>
                </w:r>
              </w:p>
              <w:p w14:paraId="2C00D5FB" w14:textId="539B1CC1" w:rsidR="00936E30" w:rsidRPr="00EE441B" w:rsidRDefault="003076DC" w:rsidP="000A2540">
                <w:pPr>
                  <w:spacing w:before="60" w:after="60"/>
                  <w:jc w:val="both"/>
                  <w:rPr>
                    <w:rFonts w:ascii="Times New Roman" w:hAnsi="Times New Roman" w:cs="Times New Roman"/>
                    <w:color w:val="000000"/>
                    <w:lang w:val="is-IS"/>
                  </w:rPr>
                </w:pPr>
                <w:r w:rsidRPr="00EE441B">
                  <w:rPr>
                    <w:rFonts w:ascii="Times New Roman" w:hAnsi="Times New Roman" w:cs="Times New Roman"/>
                    <w:color w:val="000000"/>
                    <w:lang w:val="is-IS"/>
                  </w:rPr>
                  <w:t>Lagasetningin sem slík er liður í því að fullnægja skuldbindingum Íslands samkvæmt EES-samningnum. Fjármálaeftirlitið</w:t>
                </w:r>
                <w:r w:rsidR="000A2540" w:rsidRPr="00EE441B">
                  <w:rPr>
                    <w:rFonts w:ascii="Times New Roman" w:hAnsi="Times New Roman" w:cs="Times New Roman"/>
                    <w:color w:val="000000"/>
                    <w:lang w:val="is-IS"/>
                  </w:rPr>
                  <w:t>,</w:t>
                </w:r>
                <w:r w:rsidRPr="00EE441B">
                  <w:rPr>
                    <w:rFonts w:ascii="Times New Roman" w:hAnsi="Times New Roman" w:cs="Times New Roman"/>
                    <w:color w:val="000000"/>
                    <w:lang w:val="is-IS"/>
                  </w:rPr>
                  <w:t xml:space="preserve"> og </w:t>
                </w:r>
                <w:r w:rsidR="000A2540" w:rsidRPr="00EE441B">
                  <w:rPr>
                    <w:rFonts w:ascii="Times New Roman" w:hAnsi="Times New Roman" w:cs="Times New Roman"/>
                    <w:color w:val="000000"/>
                    <w:lang w:val="is-IS"/>
                  </w:rPr>
                  <w:t xml:space="preserve">eftir atvikum </w:t>
                </w:r>
                <w:r w:rsidRPr="00EE441B">
                  <w:rPr>
                    <w:rFonts w:ascii="Times New Roman" w:hAnsi="Times New Roman" w:cs="Times New Roman"/>
                    <w:color w:val="000000"/>
                    <w:lang w:val="is-IS"/>
                  </w:rPr>
                  <w:t>Eftirlitsstofnun EFTA</w:t>
                </w:r>
                <w:r w:rsidR="000A2540" w:rsidRPr="00EE441B">
                  <w:rPr>
                    <w:rFonts w:ascii="Times New Roman" w:hAnsi="Times New Roman" w:cs="Times New Roman"/>
                    <w:color w:val="000000"/>
                    <w:lang w:val="is-IS"/>
                  </w:rPr>
                  <w:t>,</w:t>
                </w:r>
                <w:r w:rsidRPr="00EE441B">
                  <w:rPr>
                    <w:rFonts w:ascii="Times New Roman" w:hAnsi="Times New Roman" w:cs="Times New Roman"/>
                    <w:color w:val="000000"/>
                    <w:lang w:val="is-IS"/>
                  </w:rPr>
                  <w:t xml:space="preserve"> hafa eftirlit með því að </w:t>
                </w:r>
                <w:r w:rsidR="000A2540" w:rsidRPr="00EE441B">
                  <w:rPr>
                    <w:rFonts w:ascii="Times New Roman" w:hAnsi="Times New Roman" w:cs="Times New Roman"/>
                    <w:color w:val="000000"/>
                    <w:lang w:val="is-IS"/>
                  </w:rPr>
                  <w:t>eftirlitsskyldir aðilar</w:t>
                </w:r>
                <w:r w:rsidRPr="00EE441B">
                  <w:rPr>
                    <w:rFonts w:ascii="Times New Roman" w:hAnsi="Times New Roman" w:cs="Times New Roman"/>
                    <w:color w:val="000000"/>
                    <w:lang w:val="is-IS"/>
                  </w:rPr>
                  <w:t xml:space="preserve"> fylgi </w:t>
                </w:r>
                <w:r w:rsidR="000A2540" w:rsidRPr="00EE441B">
                  <w:rPr>
                    <w:rFonts w:ascii="Times New Roman" w:hAnsi="Times New Roman" w:cs="Times New Roman"/>
                    <w:color w:val="000000"/>
                    <w:lang w:val="is-IS"/>
                  </w:rPr>
                  <w:t xml:space="preserve">þeim </w:t>
                </w:r>
                <w:r w:rsidRPr="00EE441B">
                  <w:rPr>
                    <w:rFonts w:ascii="Times New Roman" w:hAnsi="Times New Roman" w:cs="Times New Roman"/>
                    <w:color w:val="000000"/>
                    <w:lang w:val="is-IS"/>
                  </w:rPr>
                  <w:t xml:space="preserve">lögum og reglum sem </w:t>
                </w:r>
                <w:r w:rsidR="000A2540" w:rsidRPr="00EE441B">
                  <w:rPr>
                    <w:rFonts w:ascii="Times New Roman" w:hAnsi="Times New Roman" w:cs="Times New Roman"/>
                    <w:color w:val="000000"/>
                    <w:lang w:val="is-IS"/>
                  </w:rPr>
                  <w:t>um þá gilda</w:t>
                </w:r>
                <w:r w:rsidRPr="00EE441B">
                  <w:rPr>
                    <w:rFonts w:ascii="Times New Roman" w:hAnsi="Times New Roman" w:cs="Times New Roman"/>
                    <w:color w:val="000000"/>
                    <w:lang w:val="is-IS"/>
                  </w:rPr>
                  <w:t>.</w:t>
                </w:r>
              </w:p>
              <w:p w14:paraId="5D292AAD" w14:textId="6A4B47E5" w:rsidR="00645781" w:rsidRPr="00EE441B" w:rsidRDefault="00645781"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Mælikvarðar á árangur og útkomu</w:t>
                </w:r>
                <w:r w:rsidR="00936E30" w:rsidRPr="00EE441B">
                  <w:rPr>
                    <w:rFonts w:ascii="Times New Roman" w:hAnsi="Times New Roman" w:cs="Times New Roman"/>
                    <w:b/>
                    <w:lang w:val="is-IS"/>
                  </w:rPr>
                  <w:t>.</w:t>
                </w:r>
              </w:p>
              <w:p w14:paraId="0F8AB35D" w14:textId="12140ED3" w:rsidR="00936E30" w:rsidRPr="00EE441B" w:rsidRDefault="003076DC" w:rsidP="000A2540">
                <w:pPr>
                  <w:spacing w:before="60" w:after="60"/>
                  <w:jc w:val="both"/>
                  <w:rPr>
                    <w:rFonts w:ascii="Times New Roman" w:hAnsi="Times New Roman" w:cs="Times New Roman"/>
                    <w:bCs/>
                    <w:sz w:val="18"/>
                    <w:szCs w:val="18"/>
                    <w:lang w:val="is-IS"/>
                  </w:rPr>
                </w:pPr>
                <w:r w:rsidRPr="00EE441B">
                  <w:rPr>
                    <w:rFonts w:ascii="Times New Roman" w:hAnsi="Times New Roman" w:cs="Times New Roman"/>
                    <w:color w:val="000000"/>
                    <w:lang w:val="is-IS"/>
                  </w:rPr>
                  <w:t>Eftirlitsstofnun EFTA hefur eftirlit með því að Ísland fullnægi skuldbindingum sínum samkvæmt EES-samningnum og birtir upplýsingar um árangur ríkisins.</w:t>
                </w:r>
                <w:r w:rsidRPr="00EE441B">
                  <w:rPr>
                    <w:rFonts w:ascii="Times New Roman" w:hAnsi="Times New Roman" w:cs="Times New Roman"/>
                    <w:bCs/>
                    <w:sz w:val="18"/>
                    <w:szCs w:val="18"/>
                    <w:lang w:val="is-IS"/>
                  </w:rPr>
                  <w:t xml:space="preserve"> </w:t>
                </w:r>
              </w:p>
              <w:p w14:paraId="0915A8AE" w14:textId="77777777" w:rsidR="00936E30" w:rsidRPr="00EE441B"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E441B">
                  <w:rPr>
                    <w:rFonts w:ascii="Times New Roman" w:hAnsi="Times New Roman" w:cs="Times New Roman"/>
                    <w:b/>
                    <w:lang w:val="is-IS"/>
                  </w:rPr>
                  <w:t>Hefur verið hugað að því að afla gagna til að meta árangur þegar þar að kemur?</w:t>
                </w:r>
                <w:r w:rsidR="00E67F09" w:rsidRPr="00EE441B">
                  <w:rPr>
                    <w:rFonts w:ascii="Times New Roman" w:hAnsi="Times New Roman" w:cs="Times New Roman"/>
                    <w:b/>
                    <w:lang w:val="is-IS"/>
                  </w:rPr>
                  <w:t xml:space="preserve"> </w:t>
                </w:r>
              </w:p>
              <w:p w14:paraId="0F571055" w14:textId="4D391914" w:rsidR="009941D2" w:rsidRPr="00EE441B" w:rsidRDefault="00C65B84" w:rsidP="003076DC">
                <w:pPr>
                  <w:spacing w:before="60" w:after="60"/>
                  <w:rPr>
                    <w:rFonts w:ascii="Times New Roman" w:hAnsi="Times New Roman" w:cs="Times New Roman"/>
                    <w:lang w:val="is-IS"/>
                  </w:rPr>
                </w:pPr>
                <w:r>
                  <w:rPr>
                    <w:rFonts w:ascii="Times New Roman" w:hAnsi="Times New Roman" w:cs="Times New Roman"/>
                    <w:color w:val="000000"/>
                    <w:lang w:val="is-IS"/>
                  </w:rPr>
                  <w:t>Á ekki við.</w:t>
                </w:r>
              </w:p>
            </w:sdtContent>
          </w:sdt>
        </w:tc>
      </w:tr>
      <w:permEnd w:id="1205485827"/>
      <w:tr w:rsidR="00E34B42" w:rsidRPr="00EE441B" w14:paraId="5B21DBB8" w14:textId="77777777" w:rsidTr="00744E3E">
        <w:trPr>
          <w:trHeight w:val="312"/>
        </w:trPr>
        <w:tc>
          <w:tcPr>
            <w:tcW w:w="9288" w:type="dxa"/>
            <w:shd w:val="clear" w:color="auto" w:fill="92CDDC" w:themeFill="accent5" w:themeFillTint="99"/>
          </w:tcPr>
          <w:p w14:paraId="7DF27FE8" w14:textId="77777777" w:rsidR="00E34B42" w:rsidRPr="00EE441B"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t>Annað</w:t>
            </w:r>
          </w:p>
        </w:tc>
      </w:tr>
      <w:permStart w:id="1164641611" w:edGrp="everyone" w:colFirst="0" w:colLast="0"/>
      <w:tr w:rsidR="00E34B42" w:rsidRPr="00EE441B" w14:paraId="6BB4A823" w14:textId="77777777" w:rsidTr="00744E3E">
        <w:trPr>
          <w:trHeight w:val="300"/>
        </w:trPr>
        <w:tc>
          <w:tcPr>
            <w:tcW w:w="9288" w:type="dxa"/>
          </w:tcPr>
          <w:p w14:paraId="3CF7062C" w14:textId="77777777" w:rsidR="00E34B42" w:rsidRPr="00EE441B" w:rsidRDefault="001C24C0"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E441B">
                  <w:rPr>
                    <w:rFonts w:ascii="Times New Roman" w:hAnsi="Times New Roman" w:cs="Times New Roman"/>
                    <w:lang w:val="is-IS"/>
                  </w:rPr>
                  <w:t xml:space="preserve"> </w:t>
                </w:r>
              </w:sdtContent>
            </w:sdt>
          </w:p>
        </w:tc>
      </w:tr>
      <w:permEnd w:id="1164641611"/>
      <w:tr w:rsidR="00E34B42" w:rsidRPr="00EE441B" w14:paraId="6E99BA7A" w14:textId="77777777" w:rsidTr="007414CB">
        <w:trPr>
          <w:trHeight w:val="312"/>
        </w:trPr>
        <w:tc>
          <w:tcPr>
            <w:tcW w:w="9288" w:type="dxa"/>
            <w:shd w:val="clear" w:color="auto" w:fill="92CDDC" w:themeFill="accent5" w:themeFillTint="99"/>
          </w:tcPr>
          <w:p w14:paraId="0CA344F9" w14:textId="77777777" w:rsidR="00000C39" w:rsidRPr="00EE441B"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E441B">
              <w:rPr>
                <w:rFonts w:ascii="Times New Roman" w:hAnsi="Times New Roman" w:cs="Times New Roman"/>
                <w:b/>
                <w:lang w:val="is-IS"/>
              </w:rPr>
              <w:t>Fylgiskjöl</w:t>
            </w:r>
          </w:p>
        </w:tc>
      </w:tr>
      <w:tr w:rsidR="00E34B42" w:rsidRPr="00EE441B" w14:paraId="55003229" w14:textId="77777777" w:rsidTr="007414CB">
        <w:trPr>
          <w:trHeight w:val="300"/>
        </w:trPr>
        <w:tc>
          <w:tcPr>
            <w:tcW w:w="9288" w:type="dxa"/>
          </w:tcPr>
          <w:permStart w:id="929982361" w:edGrp="everyone" w:colFirst="0" w:colLast="0" w:displacedByCustomXml="next"/>
          <w:sdt>
            <w:sdtPr>
              <w:rPr>
                <w:lang w:val="is-IS"/>
              </w:rPr>
              <w:id w:val="1543943641"/>
            </w:sdtPr>
            <w:sdtEndPr/>
            <w:sdtContent>
              <w:p w14:paraId="1A93D91A" w14:textId="51442426" w:rsidR="00E34B42" w:rsidRPr="00EE441B" w:rsidRDefault="00E34B42" w:rsidP="00EA460C">
                <w:pPr>
                  <w:pStyle w:val="ListParagraph"/>
                  <w:numPr>
                    <w:ilvl w:val="0"/>
                    <w:numId w:val="19"/>
                  </w:numPr>
                  <w:spacing w:before="60" w:after="60"/>
                  <w:ind w:left="709"/>
                  <w:rPr>
                    <w:rFonts w:ascii="Times New Roman" w:hAnsi="Times New Roman" w:cs="Times New Roman"/>
                    <w:b/>
                    <w:lang w:val="is-IS"/>
                  </w:rPr>
                </w:pPr>
                <w:r w:rsidRPr="00EE441B">
                  <w:rPr>
                    <w:rFonts w:ascii="Times New Roman" w:hAnsi="Times New Roman" w:cs="Times New Roman"/>
                    <w:b/>
                    <w:lang w:val="is-IS"/>
                  </w:rPr>
                  <w:t>Mat á áhrifum lagasetningar – Frummat, sbr. eyðublað</w:t>
                </w:r>
                <w:r w:rsidR="00936E30" w:rsidRPr="00EE441B">
                  <w:rPr>
                    <w:rFonts w:ascii="Times New Roman" w:hAnsi="Times New Roman" w:cs="Times New Roman"/>
                    <w:b/>
                    <w:lang w:val="is-IS"/>
                  </w:rPr>
                  <w:t>.</w:t>
                </w:r>
              </w:p>
              <w:p w14:paraId="34FC7ACF" w14:textId="3E2BB586" w:rsidR="00000C39" w:rsidRPr="00EE441B" w:rsidRDefault="00E34B42" w:rsidP="00EA460C">
                <w:pPr>
                  <w:pStyle w:val="ListParagraph"/>
                  <w:numPr>
                    <w:ilvl w:val="0"/>
                    <w:numId w:val="19"/>
                  </w:numPr>
                  <w:spacing w:before="60" w:after="60"/>
                  <w:ind w:left="709"/>
                  <w:rPr>
                    <w:rFonts w:ascii="Times New Roman" w:hAnsi="Times New Roman" w:cs="Times New Roman"/>
                    <w:b/>
                    <w:lang w:val="is-IS"/>
                  </w:rPr>
                </w:pPr>
                <w:r w:rsidRPr="00EE441B">
                  <w:rPr>
                    <w:rFonts w:ascii="Times New Roman" w:hAnsi="Times New Roman" w:cs="Times New Roman"/>
                    <w:b/>
                    <w:lang w:val="is-IS"/>
                  </w:rPr>
                  <w:t>Önnur fylgiskjöl eftir atvikum</w:t>
                </w:r>
                <w:r w:rsidR="00936E30" w:rsidRPr="00EE441B">
                  <w:rPr>
                    <w:rFonts w:ascii="Times New Roman" w:hAnsi="Times New Roman" w:cs="Times New Roman"/>
                    <w:b/>
                    <w:lang w:val="is-IS"/>
                  </w:rPr>
                  <w:t>.</w:t>
                </w:r>
              </w:p>
            </w:sdtContent>
          </w:sdt>
        </w:tc>
      </w:tr>
      <w:permEnd w:id="929982361"/>
    </w:tbl>
    <w:p w14:paraId="03913C5E" w14:textId="77777777" w:rsidR="00263F72" w:rsidRPr="00EE441B" w:rsidRDefault="00263F72">
      <w:pPr>
        <w:rPr>
          <w:rFonts w:ascii="Times New Roman" w:hAnsi="Times New Roman" w:cs="Times New Roman"/>
          <w:lang w:val="is-IS"/>
        </w:rPr>
      </w:pPr>
    </w:p>
    <w:p w14:paraId="2FB2A97D" w14:textId="77777777" w:rsidR="00E93C63" w:rsidRPr="00EE441B" w:rsidRDefault="00E93C63">
      <w:pPr>
        <w:rPr>
          <w:rFonts w:ascii="Times New Roman" w:hAnsi="Times New Roman" w:cs="Times New Roman"/>
          <w:lang w:val="is-IS"/>
        </w:rPr>
      </w:pPr>
    </w:p>
    <w:sectPr w:rsidR="00E93C63" w:rsidRPr="00EE441B">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65A0D" w14:textId="77777777" w:rsidR="00CB4902" w:rsidRDefault="00CB4902" w:rsidP="007478E0">
      <w:pPr>
        <w:spacing w:after="0" w:line="240" w:lineRule="auto"/>
      </w:pPr>
      <w:r>
        <w:separator/>
      </w:r>
    </w:p>
  </w:endnote>
  <w:endnote w:type="continuationSeparator" w:id="0">
    <w:p w14:paraId="734ADD2F" w14:textId="77777777" w:rsidR="00CB4902" w:rsidRDefault="00CB4902"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Foote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3FC7A" w14:textId="77777777" w:rsidR="00CB4902" w:rsidRDefault="00CB4902" w:rsidP="007478E0">
      <w:pPr>
        <w:spacing w:after="0" w:line="240" w:lineRule="auto"/>
      </w:pPr>
      <w:r>
        <w:separator/>
      </w:r>
    </w:p>
  </w:footnote>
  <w:footnote w:type="continuationSeparator" w:id="0">
    <w:p w14:paraId="375F9E6E" w14:textId="77777777" w:rsidR="00CB4902" w:rsidRDefault="00CB4902"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50135"/>
    <w:multiLevelType w:val="hybridMultilevel"/>
    <w:tmpl w:val="457874B6"/>
    <w:lvl w:ilvl="0" w:tplc="065091DC">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87334E"/>
    <w:multiLevelType w:val="hybridMultilevel"/>
    <w:tmpl w:val="92066242"/>
    <w:lvl w:ilvl="0" w:tplc="2E2EFFA2">
      <w:start w:val="9"/>
      <w:numFmt w:val="bullet"/>
      <w:lvlText w:val="-"/>
      <w:lvlJc w:val="left"/>
      <w:pPr>
        <w:ind w:left="717" w:hanging="360"/>
      </w:pPr>
      <w:rPr>
        <w:rFonts w:ascii="Times New Roman" w:eastAsiaTheme="minorHAnsi" w:hAnsi="Times New Roman" w:cs="Times New Roman" w:hint="default"/>
      </w:rPr>
    </w:lvl>
    <w:lvl w:ilvl="1" w:tplc="10000003" w:tentative="1">
      <w:start w:val="1"/>
      <w:numFmt w:val="bullet"/>
      <w:lvlText w:val="o"/>
      <w:lvlJc w:val="left"/>
      <w:pPr>
        <w:ind w:left="1437" w:hanging="360"/>
      </w:pPr>
      <w:rPr>
        <w:rFonts w:ascii="Courier New" w:hAnsi="Courier New" w:cs="Courier New" w:hint="default"/>
      </w:rPr>
    </w:lvl>
    <w:lvl w:ilvl="2" w:tplc="10000005" w:tentative="1">
      <w:start w:val="1"/>
      <w:numFmt w:val="bullet"/>
      <w:lvlText w:val=""/>
      <w:lvlJc w:val="left"/>
      <w:pPr>
        <w:ind w:left="2157" w:hanging="360"/>
      </w:pPr>
      <w:rPr>
        <w:rFonts w:ascii="Wingdings" w:hAnsi="Wingdings" w:hint="default"/>
      </w:rPr>
    </w:lvl>
    <w:lvl w:ilvl="3" w:tplc="10000001" w:tentative="1">
      <w:start w:val="1"/>
      <w:numFmt w:val="bullet"/>
      <w:lvlText w:val=""/>
      <w:lvlJc w:val="left"/>
      <w:pPr>
        <w:ind w:left="2877" w:hanging="360"/>
      </w:pPr>
      <w:rPr>
        <w:rFonts w:ascii="Symbol" w:hAnsi="Symbol" w:hint="default"/>
      </w:rPr>
    </w:lvl>
    <w:lvl w:ilvl="4" w:tplc="10000003" w:tentative="1">
      <w:start w:val="1"/>
      <w:numFmt w:val="bullet"/>
      <w:lvlText w:val="o"/>
      <w:lvlJc w:val="left"/>
      <w:pPr>
        <w:ind w:left="3597" w:hanging="360"/>
      </w:pPr>
      <w:rPr>
        <w:rFonts w:ascii="Courier New" w:hAnsi="Courier New" w:cs="Courier New" w:hint="default"/>
      </w:rPr>
    </w:lvl>
    <w:lvl w:ilvl="5" w:tplc="10000005" w:tentative="1">
      <w:start w:val="1"/>
      <w:numFmt w:val="bullet"/>
      <w:lvlText w:val=""/>
      <w:lvlJc w:val="left"/>
      <w:pPr>
        <w:ind w:left="4317" w:hanging="360"/>
      </w:pPr>
      <w:rPr>
        <w:rFonts w:ascii="Wingdings" w:hAnsi="Wingdings" w:hint="default"/>
      </w:rPr>
    </w:lvl>
    <w:lvl w:ilvl="6" w:tplc="10000001" w:tentative="1">
      <w:start w:val="1"/>
      <w:numFmt w:val="bullet"/>
      <w:lvlText w:val=""/>
      <w:lvlJc w:val="left"/>
      <w:pPr>
        <w:ind w:left="5037" w:hanging="360"/>
      </w:pPr>
      <w:rPr>
        <w:rFonts w:ascii="Symbol" w:hAnsi="Symbol" w:hint="default"/>
      </w:rPr>
    </w:lvl>
    <w:lvl w:ilvl="7" w:tplc="10000003" w:tentative="1">
      <w:start w:val="1"/>
      <w:numFmt w:val="bullet"/>
      <w:lvlText w:val="o"/>
      <w:lvlJc w:val="left"/>
      <w:pPr>
        <w:ind w:left="5757" w:hanging="360"/>
      </w:pPr>
      <w:rPr>
        <w:rFonts w:ascii="Courier New" w:hAnsi="Courier New" w:cs="Courier New" w:hint="default"/>
      </w:rPr>
    </w:lvl>
    <w:lvl w:ilvl="8" w:tplc="10000005" w:tentative="1">
      <w:start w:val="1"/>
      <w:numFmt w:val="bullet"/>
      <w:lvlText w:val=""/>
      <w:lvlJc w:val="left"/>
      <w:pPr>
        <w:ind w:left="6477" w:hanging="360"/>
      </w:pPr>
      <w:rPr>
        <w:rFonts w:ascii="Wingdings" w:hAnsi="Wingdings" w:hint="default"/>
      </w:rPr>
    </w:lvl>
  </w:abstractNum>
  <w:abstractNum w:abstractNumId="13"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4"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24A4154"/>
    <w:multiLevelType w:val="multilevel"/>
    <w:tmpl w:val="FE2C7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4C7778"/>
    <w:multiLevelType w:val="hybridMultilevel"/>
    <w:tmpl w:val="EBE20080"/>
    <w:lvl w:ilvl="0" w:tplc="10000001">
      <w:start w:val="1"/>
      <w:numFmt w:val="bullet"/>
      <w:lvlText w:val=""/>
      <w:lvlJc w:val="left"/>
      <w:pPr>
        <w:ind w:left="717" w:hanging="360"/>
      </w:pPr>
      <w:rPr>
        <w:rFonts w:ascii="Symbol" w:hAnsi="Symbol" w:hint="default"/>
      </w:rPr>
    </w:lvl>
    <w:lvl w:ilvl="1" w:tplc="10000003">
      <w:start w:val="1"/>
      <w:numFmt w:val="bullet"/>
      <w:lvlText w:val="o"/>
      <w:lvlJc w:val="left"/>
      <w:pPr>
        <w:ind w:left="1437" w:hanging="360"/>
      </w:pPr>
      <w:rPr>
        <w:rFonts w:ascii="Courier New" w:hAnsi="Courier New" w:cs="Courier New" w:hint="default"/>
      </w:rPr>
    </w:lvl>
    <w:lvl w:ilvl="2" w:tplc="10000005" w:tentative="1">
      <w:start w:val="1"/>
      <w:numFmt w:val="bullet"/>
      <w:lvlText w:val=""/>
      <w:lvlJc w:val="left"/>
      <w:pPr>
        <w:ind w:left="2157" w:hanging="360"/>
      </w:pPr>
      <w:rPr>
        <w:rFonts w:ascii="Wingdings" w:hAnsi="Wingdings" w:hint="default"/>
      </w:rPr>
    </w:lvl>
    <w:lvl w:ilvl="3" w:tplc="10000001" w:tentative="1">
      <w:start w:val="1"/>
      <w:numFmt w:val="bullet"/>
      <w:lvlText w:val=""/>
      <w:lvlJc w:val="left"/>
      <w:pPr>
        <w:ind w:left="2877" w:hanging="360"/>
      </w:pPr>
      <w:rPr>
        <w:rFonts w:ascii="Symbol" w:hAnsi="Symbol" w:hint="default"/>
      </w:rPr>
    </w:lvl>
    <w:lvl w:ilvl="4" w:tplc="10000003" w:tentative="1">
      <w:start w:val="1"/>
      <w:numFmt w:val="bullet"/>
      <w:lvlText w:val="o"/>
      <w:lvlJc w:val="left"/>
      <w:pPr>
        <w:ind w:left="3597" w:hanging="360"/>
      </w:pPr>
      <w:rPr>
        <w:rFonts w:ascii="Courier New" w:hAnsi="Courier New" w:cs="Courier New" w:hint="default"/>
      </w:rPr>
    </w:lvl>
    <w:lvl w:ilvl="5" w:tplc="10000005" w:tentative="1">
      <w:start w:val="1"/>
      <w:numFmt w:val="bullet"/>
      <w:lvlText w:val=""/>
      <w:lvlJc w:val="left"/>
      <w:pPr>
        <w:ind w:left="4317" w:hanging="360"/>
      </w:pPr>
      <w:rPr>
        <w:rFonts w:ascii="Wingdings" w:hAnsi="Wingdings" w:hint="default"/>
      </w:rPr>
    </w:lvl>
    <w:lvl w:ilvl="6" w:tplc="10000001" w:tentative="1">
      <w:start w:val="1"/>
      <w:numFmt w:val="bullet"/>
      <w:lvlText w:val=""/>
      <w:lvlJc w:val="left"/>
      <w:pPr>
        <w:ind w:left="5037" w:hanging="360"/>
      </w:pPr>
      <w:rPr>
        <w:rFonts w:ascii="Symbol" w:hAnsi="Symbol" w:hint="default"/>
      </w:rPr>
    </w:lvl>
    <w:lvl w:ilvl="7" w:tplc="10000003" w:tentative="1">
      <w:start w:val="1"/>
      <w:numFmt w:val="bullet"/>
      <w:lvlText w:val="o"/>
      <w:lvlJc w:val="left"/>
      <w:pPr>
        <w:ind w:left="5757" w:hanging="360"/>
      </w:pPr>
      <w:rPr>
        <w:rFonts w:ascii="Courier New" w:hAnsi="Courier New" w:cs="Courier New" w:hint="default"/>
      </w:rPr>
    </w:lvl>
    <w:lvl w:ilvl="8" w:tplc="10000005" w:tentative="1">
      <w:start w:val="1"/>
      <w:numFmt w:val="bullet"/>
      <w:lvlText w:val=""/>
      <w:lvlJc w:val="left"/>
      <w:pPr>
        <w:ind w:left="6477" w:hanging="360"/>
      </w:pPr>
      <w:rPr>
        <w:rFonts w:ascii="Wingdings" w:hAnsi="Wingdings" w:hint="default"/>
      </w:rPr>
    </w:lvl>
  </w:abstractNum>
  <w:abstractNum w:abstractNumId="22"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5"/>
  </w:num>
  <w:num w:numId="2">
    <w:abstractNumId w:val="18"/>
  </w:num>
  <w:num w:numId="3">
    <w:abstractNumId w:val="1"/>
  </w:num>
  <w:num w:numId="4">
    <w:abstractNumId w:val="23"/>
  </w:num>
  <w:num w:numId="5">
    <w:abstractNumId w:val="17"/>
  </w:num>
  <w:num w:numId="6">
    <w:abstractNumId w:val="10"/>
  </w:num>
  <w:num w:numId="7">
    <w:abstractNumId w:val="7"/>
  </w:num>
  <w:num w:numId="8">
    <w:abstractNumId w:val="5"/>
  </w:num>
  <w:num w:numId="9">
    <w:abstractNumId w:val="11"/>
  </w:num>
  <w:num w:numId="10">
    <w:abstractNumId w:val="14"/>
  </w:num>
  <w:num w:numId="11">
    <w:abstractNumId w:val="19"/>
  </w:num>
  <w:num w:numId="12">
    <w:abstractNumId w:val="22"/>
  </w:num>
  <w:num w:numId="13">
    <w:abstractNumId w:val="2"/>
  </w:num>
  <w:num w:numId="14">
    <w:abstractNumId w:val="3"/>
  </w:num>
  <w:num w:numId="15">
    <w:abstractNumId w:val="24"/>
  </w:num>
  <w:num w:numId="16">
    <w:abstractNumId w:val="0"/>
  </w:num>
  <w:num w:numId="17">
    <w:abstractNumId w:val="6"/>
  </w:num>
  <w:num w:numId="18">
    <w:abstractNumId w:val="16"/>
  </w:num>
  <w:num w:numId="19">
    <w:abstractNumId w:val="13"/>
  </w:num>
  <w:num w:numId="20">
    <w:abstractNumId w:val="4"/>
  </w:num>
  <w:num w:numId="21">
    <w:abstractNumId w:val="9"/>
  </w:num>
  <w:num w:numId="22">
    <w:abstractNumId w:val="12"/>
  </w:num>
  <w:num w:numId="23">
    <w:abstractNumId w:val="21"/>
  </w:num>
  <w:num w:numId="24">
    <w:abstractNumId w:val="2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203DB"/>
    <w:rsid w:val="00021A7E"/>
    <w:rsid w:val="00043E61"/>
    <w:rsid w:val="00050151"/>
    <w:rsid w:val="00050DAE"/>
    <w:rsid w:val="00051DC6"/>
    <w:rsid w:val="00063E97"/>
    <w:rsid w:val="00081ED8"/>
    <w:rsid w:val="000829E4"/>
    <w:rsid w:val="0008494B"/>
    <w:rsid w:val="00087987"/>
    <w:rsid w:val="00096B1D"/>
    <w:rsid w:val="000A2540"/>
    <w:rsid w:val="000A7176"/>
    <w:rsid w:val="000C58BD"/>
    <w:rsid w:val="000D03A2"/>
    <w:rsid w:val="000D6E33"/>
    <w:rsid w:val="000E1312"/>
    <w:rsid w:val="000E34DF"/>
    <w:rsid w:val="000E38C8"/>
    <w:rsid w:val="00100138"/>
    <w:rsid w:val="00122564"/>
    <w:rsid w:val="0012646E"/>
    <w:rsid w:val="00126525"/>
    <w:rsid w:val="00133146"/>
    <w:rsid w:val="00135B40"/>
    <w:rsid w:val="0013710B"/>
    <w:rsid w:val="00137B22"/>
    <w:rsid w:val="00143B7A"/>
    <w:rsid w:val="00145D5C"/>
    <w:rsid w:val="00152ADA"/>
    <w:rsid w:val="00176943"/>
    <w:rsid w:val="00187E36"/>
    <w:rsid w:val="001928E6"/>
    <w:rsid w:val="001972B9"/>
    <w:rsid w:val="001C24C0"/>
    <w:rsid w:val="001C7CF3"/>
    <w:rsid w:val="001D117E"/>
    <w:rsid w:val="001D5BCE"/>
    <w:rsid w:val="001E2451"/>
    <w:rsid w:val="001E2499"/>
    <w:rsid w:val="001E7950"/>
    <w:rsid w:val="001F1687"/>
    <w:rsid w:val="001F2301"/>
    <w:rsid w:val="001F7268"/>
    <w:rsid w:val="002115E6"/>
    <w:rsid w:val="0021293B"/>
    <w:rsid w:val="0023449F"/>
    <w:rsid w:val="00242342"/>
    <w:rsid w:val="00244F3D"/>
    <w:rsid w:val="00251D26"/>
    <w:rsid w:val="00263F72"/>
    <w:rsid w:val="0026420F"/>
    <w:rsid w:val="002666DE"/>
    <w:rsid w:val="002704D7"/>
    <w:rsid w:val="00271553"/>
    <w:rsid w:val="00281B83"/>
    <w:rsid w:val="00281D86"/>
    <w:rsid w:val="00294373"/>
    <w:rsid w:val="002A4788"/>
    <w:rsid w:val="002A54E0"/>
    <w:rsid w:val="002B70B7"/>
    <w:rsid w:val="002C573F"/>
    <w:rsid w:val="002C76B6"/>
    <w:rsid w:val="002D4FA8"/>
    <w:rsid w:val="002E3CDB"/>
    <w:rsid w:val="003025EB"/>
    <w:rsid w:val="003076DC"/>
    <w:rsid w:val="00311838"/>
    <w:rsid w:val="00314679"/>
    <w:rsid w:val="00335A2A"/>
    <w:rsid w:val="00350CD3"/>
    <w:rsid w:val="0035270D"/>
    <w:rsid w:val="00360301"/>
    <w:rsid w:val="00361F7B"/>
    <w:rsid w:val="00364D97"/>
    <w:rsid w:val="0036665B"/>
    <w:rsid w:val="003821A7"/>
    <w:rsid w:val="00386C8E"/>
    <w:rsid w:val="00394DB4"/>
    <w:rsid w:val="003958C7"/>
    <w:rsid w:val="003A1821"/>
    <w:rsid w:val="003B3D95"/>
    <w:rsid w:val="003B784E"/>
    <w:rsid w:val="003C0727"/>
    <w:rsid w:val="003D01BF"/>
    <w:rsid w:val="003D1515"/>
    <w:rsid w:val="003E1C08"/>
    <w:rsid w:val="003E270A"/>
    <w:rsid w:val="003E611E"/>
    <w:rsid w:val="00403139"/>
    <w:rsid w:val="0043227F"/>
    <w:rsid w:val="00441AD0"/>
    <w:rsid w:val="00450029"/>
    <w:rsid w:val="00453ECF"/>
    <w:rsid w:val="00460442"/>
    <w:rsid w:val="0047580A"/>
    <w:rsid w:val="00480BB0"/>
    <w:rsid w:val="004978E5"/>
    <w:rsid w:val="004A515F"/>
    <w:rsid w:val="004C4D3E"/>
    <w:rsid w:val="004E0322"/>
    <w:rsid w:val="004E4F53"/>
    <w:rsid w:val="004E7F08"/>
    <w:rsid w:val="004F0024"/>
    <w:rsid w:val="004F142F"/>
    <w:rsid w:val="004F1C38"/>
    <w:rsid w:val="004F5331"/>
    <w:rsid w:val="005240E4"/>
    <w:rsid w:val="00532D45"/>
    <w:rsid w:val="00535EC4"/>
    <w:rsid w:val="005641B1"/>
    <w:rsid w:val="00564856"/>
    <w:rsid w:val="00574054"/>
    <w:rsid w:val="00592E19"/>
    <w:rsid w:val="005B46C8"/>
    <w:rsid w:val="005C123A"/>
    <w:rsid w:val="005C1678"/>
    <w:rsid w:val="005C5DEB"/>
    <w:rsid w:val="005E51EA"/>
    <w:rsid w:val="005E6791"/>
    <w:rsid w:val="005F787F"/>
    <w:rsid w:val="00614066"/>
    <w:rsid w:val="00614FAD"/>
    <w:rsid w:val="00631C8F"/>
    <w:rsid w:val="00631E8D"/>
    <w:rsid w:val="00645781"/>
    <w:rsid w:val="00670F44"/>
    <w:rsid w:val="00676A80"/>
    <w:rsid w:val="00683957"/>
    <w:rsid w:val="0068752F"/>
    <w:rsid w:val="00694183"/>
    <w:rsid w:val="006960C1"/>
    <w:rsid w:val="00697B19"/>
    <w:rsid w:val="006A062A"/>
    <w:rsid w:val="006A5ECD"/>
    <w:rsid w:val="006B53A9"/>
    <w:rsid w:val="006C352E"/>
    <w:rsid w:val="006C5CA8"/>
    <w:rsid w:val="006C6EA3"/>
    <w:rsid w:val="006D5876"/>
    <w:rsid w:val="006D76C1"/>
    <w:rsid w:val="006F0215"/>
    <w:rsid w:val="006F2947"/>
    <w:rsid w:val="00700AB1"/>
    <w:rsid w:val="00704B91"/>
    <w:rsid w:val="0070586C"/>
    <w:rsid w:val="00730F7B"/>
    <w:rsid w:val="00731AD2"/>
    <w:rsid w:val="0073275F"/>
    <w:rsid w:val="007365C0"/>
    <w:rsid w:val="007414CB"/>
    <w:rsid w:val="00746FC9"/>
    <w:rsid w:val="007478E0"/>
    <w:rsid w:val="0076745A"/>
    <w:rsid w:val="007822E4"/>
    <w:rsid w:val="0078460B"/>
    <w:rsid w:val="00795B16"/>
    <w:rsid w:val="007969AD"/>
    <w:rsid w:val="00796FBB"/>
    <w:rsid w:val="007A02FD"/>
    <w:rsid w:val="007B6A04"/>
    <w:rsid w:val="007B71B2"/>
    <w:rsid w:val="007C7454"/>
    <w:rsid w:val="007E0D8F"/>
    <w:rsid w:val="007F64AB"/>
    <w:rsid w:val="00811C11"/>
    <w:rsid w:val="00820DCE"/>
    <w:rsid w:val="008210FC"/>
    <w:rsid w:val="008218F2"/>
    <w:rsid w:val="00823C70"/>
    <w:rsid w:val="00826B1C"/>
    <w:rsid w:val="00851A99"/>
    <w:rsid w:val="0085776D"/>
    <w:rsid w:val="00863BC9"/>
    <w:rsid w:val="00870ECE"/>
    <w:rsid w:val="00872634"/>
    <w:rsid w:val="00883508"/>
    <w:rsid w:val="00886AC9"/>
    <w:rsid w:val="008875F3"/>
    <w:rsid w:val="00887AD8"/>
    <w:rsid w:val="00892071"/>
    <w:rsid w:val="008A2C75"/>
    <w:rsid w:val="008D09FC"/>
    <w:rsid w:val="008E14CF"/>
    <w:rsid w:val="0091519C"/>
    <w:rsid w:val="00923554"/>
    <w:rsid w:val="0092759D"/>
    <w:rsid w:val="00932BC6"/>
    <w:rsid w:val="00933946"/>
    <w:rsid w:val="00936E30"/>
    <w:rsid w:val="00941142"/>
    <w:rsid w:val="009418F1"/>
    <w:rsid w:val="009439F8"/>
    <w:rsid w:val="00944199"/>
    <w:rsid w:val="009449CA"/>
    <w:rsid w:val="00951F81"/>
    <w:rsid w:val="00956B33"/>
    <w:rsid w:val="00960D10"/>
    <w:rsid w:val="00993115"/>
    <w:rsid w:val="00994012"/>
    <w:rsid w:val="009941D2"/>
    <w:rsid w:val="009B7A52"/>
    <w:rsid w:val="009C1771"/>
    <w:rsid w:val="009C2DA3"/>
    <w:rsid w:val="009C3565"/>
    <w:rsid w:val="009F64EA"/>
    <w:rsid w:val="00A01743"/>
    <w:rsid w:val="00A2338F"/>
    <w:rsid w:val="00A30C51"/>
    <w:rsid w:val="00A45BB2"/>
    <w:rsid w:val="00A46A81"/>
    <w:rsid w:val="00A51298"/>
    <w:rsid w:val="00A6722A"/>
    <w:rsid w:val="00A77160"/>
    <w:rsid w:val="00A9281A"/>
    <w:rsid w:val="00A92F9D"/>
    <w:rsid w:val="00A939E4"/>
    <w:rsid w:val="00AA263C"/>
    <w:rsid w:val="00AA2EFD"/>
    <w:rsid w:val="00AB6474"/>
    <w:rsid w:val="00AB7771"/>
    <w:rsid w:val="00AB7B39"/>
    <w:rsid w:val="00AB7DCB"/>
    <w:rsid w:val="00AC1AE9"/>
    <w:rsid w:val="00AC47A3"/>
    <w:rsid w:val="00AE50E5"/>
    <w:rsid w:val="00B01FF3"/>
    <w:rsid w:val="00B336C6"/>
    <w:rsid w:val="00B339AF"/>
    <w:rsid w:val="00B3771A"/>
    <w:rsid w:val="00B4365F"/>
    <w:rsid w:val="00B50990"/>
    <w:rsid w:val="00B5284F"/>
    <w:rsid w:val="00B65214"/>
    <w:rsid w:val="00B80890"/>
    <w:rsid w:val="00B863E2"/>
    <w:rsid w:val="00BA1F90"/>
    <w:rsid w:val="00BA4BB1"/>
    <w:rsid w:val="00BA5089"/>
    <w:rsid w:val="00BB2B30"/>
    <w:rsid w:val="00BE1D1C"/>
    <w:rsid w:val="00BF3B4A"/>
    <w:rsid w:val="00BF5ACD"/>
    <w:rsid w:val="00C10C94"/>
    <w:rsid w:val="00C171B2"/>
    <w:rsid w:val="00C209C4"/>
    <w:rsid w:val="00C22E8B"/>
    <w:rsid w:val="00C24145"/>
    <w:rsid w:val="00C412C9"/>
    <w:rsid w:val="00C454D6"/>
    <w:rsid w:val="00C5002F"/>
    <w:rsid w:val="00C5037E"/>
    <w:rsid w:val="00C61306"/>
    <w:rsid w:val="00C65B84"/>
    <w:rsid w:val="00C67F5E"/>
    <w:rsid w:val="00C7397C"/>
    <w:rsid w:val="00CA3381"/>
    <w:rsid w:val="00CA35CF"/>
    <w:rsid w:val="00CB4902"/>
    <w:rsid w:val="00CC774F"/>
    <w:rsid w:val="00CD60E4"/>
    <w:rsid w:val="00CE190D"/>
    <w:rsid w:val="00CF477F"/>
    <w:rsid w:val="00D03E7A"/>
    <w:rsid w:val="00D0424B"/>
    <w:rsid w:val="00D121DE"/>
    <w:rsid w:val="00D148DB"/>
    <w:rsid w:val="00D15CBA"/>
    <w:rsid w:val="00D23EAD"/>
    <w:rsid w:val="00D24D4E"/>
    <w:rsid w:val="00D30286"/>
    <w:rsid w:val="00D42140"/>
    <w:rsid w:val="00D46483"/>
    <w:rsid w:val="00D503AC"/>
    <w:rsid w:val="00D62AAC"/>
    <w:rsid w:val="00D62CC3"/>
    <w:rsid w:val="00D63ED7"/>
    <w:rsid w:val="00D87B33"/>
    <w:rsid w:val="00D913A8"/>
    <w:rsid w:val="00DA4633"/>
    <w:rsid w:val="00DB645F"/>
    <w:rsid w:val="00DC4A56"/>
    <w:rsid w:val="00DD7EA1"/>
    <w:rsid w:val="00DF2AA7"/>
    <w:rsid w:val="00E02D04"/>
    <w:rsid w:val="00E17DA4"/>
    <w:rsid w:val="00E231B6"/>
    <w:rsid w:val="00E31C26"/>
    <w:rsid w:val="00E34B42"/>
    <w:rsid w:val="00E41C4C"/>
    <w:rsid w:val="00E57920"/>
    <w:rsid w:val="00E60995"/>
    <w:rsid w:val="00E664C8"/>
    <w:rsid w:val="00E67F09"/>
    <w:rsid w:val="00E71099"/>
    <w:rsid w:val="00E832C9"/>
    <w:rsid w:val="00E8379D"/>
    <w:rsid w:val="00E849BA"/>
    <w:rsid w:val="00E93C63"/>
    <w:rsid w:val="00EA460C"/>
    <w:rsid w:val="00ED35DF"/>
    <w:rsid w:val="00EE441B"/>
    <w:rsid w:val="00F21758"/>
    <w:rsid w:val="00F51F2D"/>
    <w:rsid w:val="00F56807"/>
    <w:rsid w:val="00F60EE8"/>
    <w:rsid w:val="00F6234E"/>
    <w:rsid w:val="00F656C4"/>
    <w:rsid w:val="00F7438A"/>
    <w:rsid w:val="00F841D8"/>
    <w:rsid w:val="00F85C33"/>
    <w:rsid w:val="00F93B5C"/>
    <w:rsid w:val="00F9608F"/>
    <w:rsid w:val="00FA7664"/>
    <w:rsid w:val="00FD2097"/>
    <w:rsid w:val="00FE119E"/>
    <w:rsid w:val="00FE2816"/>
    <w:rsid w:val="00FE6025"/>
    <w:rsid w:val="00FF266B"/>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1979E0"/>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 w:type="character" w:customStyle="1" w:styleId="normaltextrun">
    <w:name w:val="normaltextrun"/>
    <w:basedOn w:val="DefaultParagraphFont"/>
    <w:rsid w:val="00A45BB2"/>
  </w:style>
  <w:style w:type="paragraph" w:styleId="FootnoteText">
    <w:name w:val="footnote text"/>
    <w:basedOn w:val="Normal"/>
    <w:link w:val="FootnoteTextChar"/>
    <w:unhideWhenUsed/>
    <w:rsid w:val="00746FC9"/>
    <w:pPr>
      <w:spacing w:after="0" w:line="240" w:lineRule="auto"/>
      <w:ind w:left="284" w:hanging="284"/>
      <w:jc w:val="both"/>
    </w:pPr>
    <w:rPr>
      <w:rFonts w:ascii="Times New Roman" w:eastAsia="Calibri" w:hAnsi="Times New Roman" w:cs="Times New Roman"/>
      <w:sz w:val="18"/>
      <w:szCs w:val="20"/>
      <w:lang w:val="is-IS"/>
    </w:rPr>
  </w:style>
  <w:style w:type="character" w:customStyle="1" w:styleId="FootnoteTextChar">
    <w:name w:val="Footnote Text Char"/>
    <w:basedOn w:val="DefaultParagraphFont"/>
    <w:link w:val="FootnoteText"/>
    <w:rsid w:val="00746FC9"/>
    <w:rPr>
      <w:rFonts w:ascii="Times New Roman" w:eastAsia="Calibri" w:hAnsi="Times New Roman" w:cs="Times New Roman"/>
      <w:sz w:val="18"/>
      <w:szCs w:val="20"/>
      <w:lang w:val="is-IS"/>
    </w:rPr>
  </w:style>
  <w:style w:type="character" w:customStyle="1" w:styleId="ui-provider">
    <w:name w:val="ui-provider"/>
    <w:basedOn w:val="DefaultParagraphFont"/>
    <w:rsid w:val="0023449F"/>
  </w:style>
  <w:style w:type="character" w:styleId="Hyperlink">
    <w:name w:val="Hyperlink"/>
    <w:basedOn w:val="DefaultParagraphFont"/>
    <w:unhideWhenUsed/>
    <w:rsid w:val="00361F7B"/>
    <w:rPr>
      <w:color w:val="0000FF" w:themeColor="hyperlink"/>
      <w:u w:val="single"/>
    </w:rPr>
  </w:style>
  <w:style w:type="character" w:customStyle="1" w:styleId="eop">
    <w:name w:val="eop"/>
    <w:basedOn w:val="DefaultParagraphFont"/>
    <w:rsid w:val="00361F7B"/>
  </w:style>
  <w:style w:type="paragraph" w:styleId="NormalWeb">
    <w:name w:val="Normal (Web)"/>
    <w:basedOn w:val="Normal"/>
    <w:uiPriority w:val="99"/>
    <w:unhideWhenUsed/>
    <w:rsid w:val="000E38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5284F"/>
    <w:rPr>
      <w:color w:val="605E5C"/>
      <w:shd w:val="clear" w:color="auto" w:fill="E1DFDD"/>
    </w:rPr>
  </w:style>
  <w:style w:type="paragraph" w:styleId="BodyText">
    <w:name w:val="Body Text"/>
    <w:basedOn w:val="Normal"/>
    <w:link w:val="BodyTextChar"/>
    <w:rsid w:val="005F787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F787F"/>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2E3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593817">
      <w:bodyDiv w:val="1"/>
      <w:marLeft w:val="0"/>
      <w:marRight w:val="0"/>
      <w:marTop w:val="0"/>
      <w:marBottom w:val="0"/>
      <w:divBdr>
        <w:top w:val="none" w:sz="0" w:space="0" w:color="auto"/>
        <w:left w:val="none" w:sz="0" w:space="0" w:color="auto"/>
        <w:bottom w:val="none" w:sz="0" w:space="0" w:color="auto"/>
        <w:right w:val="none" w:sz="0" w:space="0" w:color="auto"/>
      </w:divBdr>
    </w:div>
    <w:div w:id="1395540766">
      <w:bodyDiv w:val="1"/>
      <w:marLeft w:val="0"/>
      <w:marRight w:val="0"/>
      <w:marTop w:val="0"/>
      <w:marBottom w:val="0"/>
      <w:divBdr>
        <w:top w:val="none" w:sz="0" w:space="0" w:color="auto"/>
        <w:left w:val="none" w:sz="0" w:space="0" w:color="auto"/>
        <w:bottom w:val="none" w:sz="0" w:space="0" w:color="auto"/>
        <w:right w:val="none" w:sz="0" w:space="0" w:color="auto"/>
      </w:divBdr>
    </w:div>
    <w:div w:id="1549147663">
      <w:bodyDiv w:val="1"/>
      <w:marLeft w:val="0"/>
      <w:marRight w:val="0"/>
      <w:marTop w:val="0"/>
      <w:marBottom w:val="0"/>
      <w:divBdr>
        <w:top w:val="none" w:sz="0" w:space="0" w:color="auto"/>
        <w:left w:val="none" w:sz="0" w:space="0" w:color="auto"/>
        <w:bottom w:val="none" w:sz="0" w:space="0" w:color="auto"/>
        <w:right w:val="none" w:sz="0" w:space="0" w:color="auto"/>
      </w:divBdr>
    </w:div>
    <w:div w:id="164746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ALL/?uri=CELEX%3A32019R2175" TargetMode="External"/><Relationship Id="rId18" Type="http://schemas.openxmlformats.org/officeDocument/2006/relationships/hyperlink" Target="https://www.althingi.is/thingstorf/thingmalalistar-eftir-thingum/ferill/153/894/?ltg=153&amp;mnr=894" TargetMode="External"/><Relationship Id="rId26"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thingi.is/lagas/nuna/2017024.html" TargetMode="External"/><Relationship Id="rId17" Type="http://schemas.openxmlformats.org/officeDocument/2006/relationships/hyperlink" Target="https://www.stjornarradid.is/rikisstjorn/stjornarsattmali/" TargetMode="External"/><Relationship Id="rId25" Type="http://schemas.openxmlformats.org/officeDocument/2006/relationships/hyperlink" Target="https://www.althingi.is/altext/145/s/1109.html" TargetMode="External"/><Relationship Id="rId2" Type="http://schemas.openxmlformats.org/officeDocument/2006/relationships/customXml" Target="../customXml/item2.xml"/><Relationship Id="rId16" Type="http://schemas.openxmlformats.org/officeDocument/2006/relationships/hyperlink" Target="https://eur-lex.europa.eu/eli/reg/2024/1620/oj" TargetMode="External"/><Relationship Id="rId20" Type="http://schemas.openxmlformats.org/officeDocument/2006/relationships/customXml" Target="ink/ink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eur-lex.europa.eu/legal-content/EN/TXT/?uri=CELEX%3A32019L2177&amp;qid=1710778415679"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tjornarradid.is/efst-a-baugi/frettir/stok-frett/2018/12/10/Hvitbok-um-framtidarsyn-fyrir-fjarmalakerf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9R2176&amp;qid=171077839346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7679FF"/>
    <w:rsid w:val="00805AC3"/>
    <w:rsid w:val="008E61E5"/>
    <w:rsid w:val="00940263"/>
    <w:rsid w:val="009F53A8"/>
    <w:rsid w:val="00AF12E0"/>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08-07T14:12:34.505"/>
    </inkml:context>
    <inkml:brush xml:id="br0">
      <inkml:brushProperty name="width" value="0.07056" units="cm"/>
      <inkml:brushProperty name="height" value="0.07056" units="cm"/>
      <inkml:brushProperty name="ignorePressure" value="1"/>
    </inkml:brush>
  </inkml:definitions>
  <inkml:trace contextRef="#ctx0" brushRef="#br0">-15776-6507,'265'-177,"-183"119,-68 46,1 1,0 0,0 2,1 0,0 0,1 2,0 0,0 0,6 1,71-6,-77 11,0 0,1-1,-1-1,0 0,-1-2,1 1,11-7,-11 2,-13 6,-1 1,0 0,1 0,0 0,-1 0,1 1,0-1,0 1,0 0,0 0,0 0,0 1,0-1,0 1,0 0,0 1,0-1,0 0,0 1,0 0,0 0,0 0,0 1,0-1,0 1,-1 0,1 0,-1 0,0 1,1 0,14 10,-1 1,0 2,-2-1,1 2,6 10,43 59,30 52,435 780,-284-443,-18 13,-194-405,-4 2,7 39,-32-105,0 0,-2 1,0 0,-2-1,0 1,-1 0,-1 4,1-19,-1-1,0 1,0 0,0-1,0 1,-1-1,0 0,0 1,0-1,0 0,-1 0,1 0,-1 0,0-1,0 1,-1-1,1 0,-1 0,1 0,-1 0,0 0,0-1,-1 0,1 0,0 0,-1 0,1-1,-1 0,-2 1,7-2,0 0,-13 5,0 0,0-1,-1 0,1-1,-1 0,0-2,0 1,0-2,0 0,0 0,0-1,-4-2,-13-2,1-1,0-2,0-1,1-1,0-2,-15-8,43 20,1-1,-1 1,1 0,-1-1,1 1,-1 0,1-1,0 1,-1 0,1-1,-1 1,1-1,0 1,0 0,-1-1,1 1,0-1,0 1,-1-1,1 1,0-1,0 1,0-1,0 0,0 1,0-1,0 1,0-1,0 1,0-1,0 1,0-1,0 1,0-1,1 1,-1-1,0 1,0-1,1 1,-1-1,0 1,1-1,-1 1,0 0,1-1,0 0,34-20,15-7,-41 22,0-1,-1 0,0 0,0-1,-1 0,0-1,0 1,-1-1,0-1,0 1,-1-1,-1 0,1 0,0-6,-4 12,1-1,-1 1,-1 0,1-1,-1 1,1-1,-1 1,-1-1,1 1,-1 0,1-1,-1 1,0 0,-1-1,1 1,-1 0,0 0,0 0,0 0,0 0,-1 1,0-1,0 1,0-1,0 1,0 0,0 0,-1 1,0-1,1 1,-1-1,0 1,0 0,0 1,-2-1,0-1,-1 1,0 0,0 1,0 0,0 0,0 0,0 1,-7 1,9-1,9-2,47-13,1 3,33-2,42 6,-120 7,0 1,0 1,1-1,-1 1,0 0,0 1,0 0,0 0,-1 0,3 2,-9-4,1 1,-1-1,1 1,-1 0,1-1,-1 1,1 0,-1 0,0-1,1 1,-1 0,0 0,0-1,1 1,-1 0,0 0,0 0,0 0,0-1,0 1,0 0,0 0,-1 0,1 0,0-1,0 1,0 0,-1 0,1-1,-1 1,1 0,0 0,-1-1,1 1,-1 0,0-1,1 1,-1-1,1 1,-2 0,-10 6,9-15,31-45,-20 39,0 0,0 0,-2 0,0-1,0-2,-6 16,0 0,0 0,0 0,0 0,-1 0,1 1,-1-1,1 0,0 0,-1 0,1 0,-1 1,0-1,1 0,-1 0,0 1,1-1,-1 1,0-1,0 1,1-1,-1 1,0-1,0 1,0-1,0 1,0 0,1 0,-1-1,0 1,0 0,0 0,0 0,-1 0,-60-2,44 3,1 1,-1 0,1 2,0 0,0 1,-11 5,19-4,0 0,0 1,1 0,0 1,1 0,0 0,0 0,0 1,1 0,0 1,1-2,-6 7,1 0,-2 0,0-2,-1 1,0-1,-1-1,-13 8,-18 4,40-22,0-1,0 1,1 0,-1 0,1 1,0-1,-1 1,1 0,0 1,1-1,-1 0,1 1,-1 0,1 0,0 0,0 0,-2 5,5-4,-1 1,1-1,0 0,0 1,1-1,-1 1,1-1,0 0,1 1,-1-1,1 0,0 0,3 4,3 8,1 0,0-1,2-1,9 12,21 20,-32-38,-1-1,0 1,-1 0,1 1,-2 0,1 0,-2 0,1 1,-1 0,3 10,-7-10,-1 0,0 1,0-1,-1 0,0 0,-1 0,-1 5,0-5,1 0,1 0,0 0,0 1,1-1,0 0,2 5,0-10,0 1,0-1,1 0,-1 0,1 0,1 0,-1 0,1-1,0 1,1-1,-1 0,1-1,3 4,13 9,0-1,1-1,1-1,3 1,100 50,72 23,-166-75,0-1,1-2,1-1,-27-7,1 0,0-1,0 0,0-1,1 0,-1 0,0-1,0 0,0 0,-1-1,1 0,1 0,8-7,-1 0,0-1,0-1,-1 0,-1-1,0-1,-1 0,1-1,27-25,-8 11,8-11,-40 39,0-1,-1 0,1 0,-1 0,1 0,-1 0,1 0,-1 0,0 0,0 0,1 0,-1 0,0 0,0 0,0 0,0 0,0 0,0 0,0 0,-1 0,1 0,0 0,-1 0,1 0,0 0,-1 0,1 0,-1 1,1-1,-1 0,0 0,1 0,-1 1,0-1,0 0,-19-12,0 1,0 1,-1 0,-1 2,-6-2,-88-40,64 26,2-2,0-2,2-2,2-2,-8-10,37 26,1 0,0-2,1 1,2-2,-12-20,-8-11,15 27,-1 1,0 1,-2 1,0 1,-2 0,-15-9,24 19,-1 1,-1 0,0 1,-7-2,20 8,0 1,0-1,0 1,-1 0,1 0,-1 1,1-1,-1 1,1 0,-1 0,1 0,-1 0,1 0,0 1,-4 0,6 0,0 0,0 0,0 0,0 1,0-1,0 0,0 0,0 1,0-1,1 1,-1-1,1 0,-1 1,1-1,-1 1,1-1,0 1,0 0,0-1,0 1,0-1,0 2,0 4,1-1,0 1,0 0,1-1,-1 1,1-1,3 6,-2-5,0 0,0 0,1-1,0 1,0-1,1 0,0-1,0 1,0-1,1 0,-1 0,1 0,1-1,-1 0,0 0,1-1,0 0,0 0,7 2,65 9,-65-12,1-1,-1 2,0 0,1 0,-1 2,-1-1,1 2,11 6,-20-7,-1 0,0 0,0 0,0 1,-1-1,0 1,0 0,0 0,-1 0,0 0,0 1,-1-1,0 1,0-1,0 1,-1-1,0 2,16 72,-3-43,2 0,2-1,11 17,-7-10,-21-43,1 0,-1 0,0 0,0 1,0-1,1 0,-1 0,0 0,0 1,0-1,1 0,-1 0,0 1,0-1,0 0,0 0,0 0,0 1,0-1,0 0,0 1,0-1,1 0,-1 0,0 1,0-1,-1 0,1 0,0 1,0-1,0 0,0 0,0 1,0-1,0 0,0 0,0 1,-1-1,1 0,0 0,0 1,0-1,0 0,-1 0,1 0,0 0,0 1,-1-1,1 0,0 0,0 0,-1 0,-18-9,-26-11,34 18,-1 1,-1 0,1 1,0 0,0 1,0 1,0-1,1 2,-1 0,0 0,1 1,-5 2,-16 7,1 1,0 1,-16 12,26-13,1 1,1 1,1 0,-4 6,4-5,30 13,-12-30,18 57,-17-55,-1 0,1 0,-1 0,1-1,-1 1,0 0,0 0,0 0,0 0,0 0,-1 0,1 0,0-1,-1 1,0 0,1 0,-1 0,0-1,0 1,0 0,0-1,0 1,0-1,0 1,-1-1,0 2,-5-1,0-1,1 1,-1-1,0-1,0 1,0-1,0 0,0 0,0-1,-2-1,0 1,0 0,0 1,0 0,0 0,0 1,-6 1,13-1,1-1,0 1,0-1,0 1,0 0,0-1,0 1,0 0,0 0,0-1,0 1,0 0,0 0,0 0,0 0,1 0,-1 1,0-1,1 0,-1 0,1 0,0 1,-1-1,1 0,0 0,0 1,-1-1,1 0,0 0,0 1,1-1,-1 0,0 1,0-1,1 1,0 2,0-1,1 1,0 0,-1-1,1 1,1-1,-1 0,0 0,1 1,-1-2,1 1,0 0,0-1,0 1,1 0,66 30,-64-31,0 0,1 0,-1 1,-1-1,1 2,0-1,-1 1,0-1,3 3,-7-4,-1 0,1 0,0 0,-1 0,1 0,-1 0,0-1,1 1,-1 0,0 0,0 0,0 0,-1 0,1 0,0 0,-1 0,1 0,-1 0,0 0,0 0,0 1,0-1,0 1,1-1,-1 0,1 1,-1-1,1 1,0-1,0 1,0-1,0 1,0-1,1 1,-1-1,1 1,0-1,-1 0,2 2,2 0,0 0,0 0,0 0,1 0,0-1,0 0,0 0,0 0,0 0,0-1,1 0,2 1,101 28,-58-20,1-3,18-1,-75-11,1-1,-1 0,1 0,1 0,-1-1,1 1,0-1,0 0,0 0,1 0,0 0,0 0,0-7,-42-138,-20-60,57 188,0 2,-1-1,-1 1,-1 0,-1 1,-1 0,-1 0,0 2,-3-2,0 3,-1 2,0-1,-2 2,-14-9,27 19,1 0,-1 0,1 1,-1 0,0 0,0 1,-1-1,1 1,0 1,-1-1,1 1,-2 0,7 1,0 1,1-1,-1 0,1 0,-1 1,1-1,-1 0,1 0,-1 1,1-1,-1 1,1-1,-1 0,1 1,0-1,-1 1,1-1,0 1,-1-1,1 1,0-1,0 1,-1 0,1-1,0 1,0-1,0 1,0-1,0 1,0 0,0-1,0 1,0 0,8 32,42 59,-36-68,2-1,0-1,2 0,12 11,-35-49,3 11,0 0,0 1,0-1,1 0,-1 0,1 0,0 0,1 0,-1-1,1 1,0 0,0 0,1-2,1 4,0 1,0 0,0-1,0 1,0 0,0 0,1 1,-1-1,0 0,1 1,0-1,-1 1,1 0,0 0,0 0,0 0,2 0,-4 1,0 0,-1 0,1 0,0 0,0 0,-1 0,1 0,0 0,0-1,-1 1,1 0,0-1,0 1,-1 0,1-1,0 1,-1-1,1 1,-1-1,1 1,-1-1,1 1,-1-1,1 0,-1 1,1-1,-1 0,0 1,1-1,-9-5,-1 1,1 0,-1 1,0-1,0 2,-7-2,-4-4,39 15,50 30,-39-14,-1 3,0 0,-2 2,11 15,-29-30,1 0,-1 1,-1 0,-1 1,0-1,0 2,-1-1,-1 1,-1-1,0 1,0 1,0 14,-4-23,1 0,0 0,1 0,-1 0,1 0,0-1,1 1,0-1,0 1,0-1,1 0,0 0,0 0,-2-4,1-1,-1 1,0 0,1-1,-1 1,1-1,-1 0,1 0,-1 0,1 0,0 0,0-1,0 1,-1-1,1 0,0 0,0 0,0 0,0 0,-2 0,-1 0,1 0,0 0,-1 0,1 0,0 0,-1 0,1 0,0 0,-1 0,1 0,0 0,-1-1,1 1,0 0,-1 0,1-1,-1 1,1 0,0-1,-1 1,1-1,-1 1,1 0,-1-1,1 1,-1-1,0 0,1 1,-1-1,0 1,1-1,-1 1,0-1,0 0,1 1,-1-1,0 0,0 1,0-1,0 0,0 1,0-1,0 0,0 1,0-1,0 0,-1 1,1-1,0 0,0 1,-1-1,1 0,0 1,-23-16,-1 1,0 2,-1 0,0 2,-13-4,-65-32,-6-8,97 49,-1-1,2 1,-1-2,1 0,0 0,0-1,1-1,1 1,-1-1,2-1,-1 0,1-1,7 8,0-1,0 1,1 0,0-1,-1 1,1-1,1 1,-1 0,1-1,-1 1,1 0,1-1,-1 1,1 0,-1 0,1 0,2-4,20-64,-15 16,-4-1,-1 0,-4-26,1 80,-1-1,0 1,0-1,0 1,0-1,0 1,-1-1,1 1,-1 0,0-1,0 1,0 0,-2-3,1 6,-1-1,0 0,1 1,-1 0,0-1,0 1,1 0,-1 1,0-1,0 0,1 1,-1-1,0 1,1 0,-1 0,0 0,3-1,-28 6,0 0,0 2,1 1,0 1,1 1,-16 10,40-20,-1 1,1-1,0 1,-1 0,1 0,0 0,0 0,0 0,0 1,1-1,-1 1,1-1,-1 1,1-1,0 1,0 0,0-1,0 1,0 0,1 0,-1 0,1 0,0 0,0 0,0-1,0 1,1 0,-1 0,1 0,-1 0,1 0,0-1,0 1,0 0,1-1,-1 1,1-1,-1 1,1-1,0 0,0 1,0-1,0 0,2 1,14 14,1-1,1-1,1 0,0-2,8 4,-18-10,18 11,-10-6,-1-1,1 0,1-1,0-1,0-1,5 1,-24-9,0 0,0 1,1-1,-1 0,0 0,0 0,0 1,0-1,0 0,0-1,1 1,-1 0,0 0,0 0,0-1,0 1,0-1,0 1,0-1,0 1,0-1,0 1,0-1,0 0,0 1,0-1,-1 0,1 0,0 0,-1 0,1 0,0 0,-1 0,1 0,-1 0,1 0,-1 0,0 0,0 0,0-3,-1 0,0 0,0 0,0 0,0 0,-1 1,1-1,-1 0,0 1,0-1,-1 1,1 0,0 0,-1 0,0 0,0 0,-2-1,-21-18,-1 1,0 1,-2 1,0 2,-1 1,-25-10,53 25,1 1,-1-1,1 0,-1 1,0-1,1 1,-1-1,0 1,1 0,-1-1,0 1,0 0,1 0,-1 1,0-1,1 0,-1 0,0 1,1-1,-1 1,0 0,1-1,-1 1,1 0,-1 0,1 0,-1 0,1 0,-1 1,1-1,0 0,-1 0,1 0,0 0,0 0,-1 0,1 0,0-1,-1 1,1 0,-1-1,1 1,-1-1,1 0,-1 1,1-1,-1 0,-1 0,-60-13,41 7,1 1,-1 0,0 2,-16 0,23 4,0 2,-1 0,1 1,-1 0,1 1,0 1,1 0,-1 1,1 1,1 0,-1 1,-2 3,4-4,-3 3,0-1,0 0,-1-1,0-1,-1 0,0-1,0-1,-1-1,-6 1,20-6,0 0,0-1,1 0,-1 0,0 0,0 0,1-1,-1 1,1-1,-1 0,1 0,0 0,0 0,0-1,-2-1,-2-1,7 12,64 183,37 114,-92-267,5 12,-14-48,0-1,1 1,-1-1,0 1,1 0,-1-1,1 1,-1-1,1 1,-1-1,1 1,0-1,-1 1,1-1,-1 0,1 1,0-1,-1 0,1 0,0 1,0-1,-1 0,1 0,0 0,-1 0,1 0,0 0,0 0,-1 0,1 0,0 0,-1 0,1-1,0 1,0 0,-1 0,1-1,0 1,24-18,0-1,-2-2,0 0,-1-1,13-18,-16 19,10-13,1 1,3 2,0 2,2 0,14-6,76-30,-95 52,-1-2,0-1,-2-1,21-16,-37 23,0-1,0 0,-2-1,1 0,-1 0,-1-1,-1 0,0-1,0 1,-1-1,-1-1,0 1,-1-1,-1 0,2-14,-7-34,1 60,1-1,-1 0,1 0,-1 1,1-1,0 0,1 0,-1 0,1 1,-1-1,1 0,0 1,1-1,-1 1,1-1,-1 1,1-1,0 1,1 0,6-7,1 2,0 0,1 0,0 1,1 0,-1 0,1 2,0-1,1 2,6-3,-10 4,1 1,-1 0,1 0,0 1,0 0,-1 0,1 1,0 1,0 0,0 0,-1 1,1 0,0 0,-1 1,0 1,0-1,0 2,0-1,-1 1,1 0,3 4,2 2,-1 1,0 0,-1 1,-1 0,2 4,-8-11,-1-1,-1 1,1 0,-1 1,0-1,0 0,0 1,-1 0,0-1,-1 1,1 0,-1 4,-2-7,1 1,-2-1,1 0,0 1,-1-1,0 0,0 0,0 0,0 0,-1-1,0 1,1-1,-1 1,-1-1,1 0,0 0,-1 0,1-1,-1 1,0-1,0 0,0 0,0 0,0-1,-1 1,1-1,0 0,-1 0,1 0,0-1,-1 0,-3 0,4 0,0 0,-1-1,1 1,0-1,-1 0,1-1,0 1,0-1,0 1,0-1,0-1,-3-1,6 4,1-1,-1 1,0 0,0 0,1-1,-1 1,0 0,1-1,-1 1,0-1,1 1,-1-1,1 1,-1-1,1 1,-1-1,1 0,-1 1,1-1,0 0,-1 1,1-1,0 0,0 0,-1 1,1-1,0 0,0 0,0 1,0-1,0 0,0 0,0 1,0-1,0 0,0 0,1 0,8 2,0 0,-1 1,1 0,0 0,-1 1,1 0,0 1,-11-6,-1 1,1 0,-1-1,1 0,0 1,0-1,-1 0,1 0,1 0,-1-1,0 1,0 0,1-1,-1 1,1-1,0 1,0-1,0 0,0 1,0-1,1 0,-1 0,1 0,0 0,0 1,0-1,0 0,0 0,0 0,1 0,0 1,-1-1,1 0,0 0,0 1,1-1,0-1,13-24,1 2,2 0,20-23,-3 4,-1-3,22-42,-47 72,-1 1,0-2,-1 1,-1-1,-1 0,-1-1,-1 1,1-11,-3 25,-1-1,1 0,-1 0,0 0,-1 0,0 1,0-1,0 0,0 0,-1 1,0-1,0 1,-1 0,1-1,-1 1,0 0,-1 0,1 1,-1-1,0 1,-4-4,1 4,-1 1,0-1,0 2,0-1,0 1,0 0,-1 0,1 1,-1 1,1-1,-1 1,1 1,-1-1,1 2,-5 0,-11 2,1 1,0 1,0 1,0 1,-7 5,25-11,0 0,0 0,0 1,0 0,0 0,0 0,1 0,-1 1,1 0,0 0,0 0,1 0,-1 1,-2 4,5-6,0 0,1 0,-1 0,1 1,-1-1,1 0,0 1,0-1,0 0,1 0,-1 1,1-1,0 0,0 0,0 0,0 0,1 0,-1 0,1 0,1 2,49 68,-33-49,-1 1,-1 1,13 26,-23-30,0 0,-1 1,-1-1,-2 1,0 0,-1 0,-1 0,-2 1,0-1,-1 0,-2 3,0 7,2 1,2 0,1-1,1 1,4 15,21 48,-16-64,-2 2,-1-1,-1 1,-2 0,-1 2,-5 3,-1 0,-2 0,-1 0,-2 0,-2-1,-2 0,-2 0,-12 26,-41 55,62-115,0 0,0 0,1 0,0 0,0 1,1 0,-1-1,1 1,0 0,1 0,-1 0,1 2,2-6,1 0,-1-1,0 1,1 0,-1-1,1 1,-1-1,1 1,0-1,0 0,0 1,0-1,0 0,0 0,0-1,0 1,0 0,0-1,0 1,0-1,1 0,-1 1,0-1,0 0,1-1,95 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AEE533C17AF44ABCA61C0AEC7A604" ma:contentTypeVersion="4" ma:contentTypeDescription="Create a new document." ma:contentTypeScope="" ma:versionID="454ce68866249528ac76ba44d89d1a57">
  <xsd:schema xmlns:xsd="http://www.w3.org/2001/XMLSchema" xmlns:xs="http://www.w3.org/2001/XMLSchema" xmlns:p="http://schemas.microsoft.com/office/2006/metadata/properties" xmlns:ns2="e71e7fb8-9a93-4c9a-b7a1-ec047170335e" xmlns:ns3="605f6087-bd26-4508-b3a9-2c3b852b826b" targetNamespace="http://schemas.microsoft.com/office/2006/metadata/properties" ma:root="true" ma:fieldsID="7305ceed719ab492fa04bdc83788755d" ns2:_="" ns3:_="">
    <xsd:import namespace="e71e7fb8-9a93-4c9a-b7a1-ec047170335e"/>
    <xsd:import namespace="605f6087-bd26-4508-b3a9-2c3b852b8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7fb8-9a93-4c9a-b7a1-ec0471703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2F5E-FCD0-46B3-9A97-0195CE75F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1F5B9-06D4-4AFF-B3EC-E214CA398849}">
  <ds:schemaRefs>
    <ds:schemaRef ds:uri="http://schemas.microsoft.com/sharepoint/v3/contenttype/forms"/>
  </ds:schemaRefs>
</ds:datastoreItem>
</file>

<file path=customXml/itemProps3.xml><?xml version="1.0" encoding="utf-8"?>
<ds:datastoreItem xmlns:ds="http://schemas.openxmlformats.org/officeDocument/2006/customXml" ds:itemID="{BF2B1608-BC68-4F22-AE95-3F37CD52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7fb8-9a93-4c9a-b7a1-ec047170335e"/>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3285</Words>
  <Characters>18729</Characters>
  <Application>Microsoft Office Word</Application>
  <DocSecurity>0</DocSecurity>
  <Lines>156</Lines>
  <Paragraphs>43</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Elísabet Júlíusdóttir</cp:lastModifiedBy>
  <cp:revision>3</cp:revision>
  <cp:lastPrinted>2024-07-02T09:36:00Z</cp:lastPrinted>
  <dcterms:created xsi:type="dcterms:W3CDTF">2024-07-02T10:22:00Z</dcterms:created>
  <dcterms:modified xsi:type="dcterms:W3CDTF">2024-07-02T10:22:00Z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0x010100527AEE533C17AF44ABCA61C0AEC7A604</vt:lpwstr>
  </property>
</Properties>
</file>