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68F" w:rsidRDefault="008C468F">
      <w:r w:rsidRPr="008C468F">
        <w:t>Athugasemdir í umsögnum lutu ýmist að einstökum ákvæðum, umfjöllun í greinargerð eða málinu í heild sinni. Höfð var hliðsjón af athugasemdum og viðeigandi breytingar gerðar þar sem við átti. Breytingar fólust aðallega í bættum</w:t>
      </w:r>
      <w:bookmarkStart w:id="0" w:name="_GoBack"/>
      <w:bookmarkEnd w:id="0"/>
      <w:r w:rsidRPr="008C468F">
        <w:t xml:space="preserve"> skýringum í greinargerð auk þess sem nokkur ákvæði laganna voru gerð skýrari. </w:t>
      </w:r>
    </w:p>
    <w:p w:rsidR="008C468F" w:rsidRDefault="008C468F">
      <w:r w:rsidRPr="008C468F">
        <w:t xml:space="preserve">Athugasemdir bárust um mikilvægi þess að heimila framlagningu vottorðs þar sem sýnt er fram á að staðfest hafi verið með sýnatöku að ekki hafi greinst </w:t>
      </w:r>
      <w:proofErr w:type="spellStart"/>
      <w:r w:rsidRPr="008C468F">
        <w:t>kampýlóbakter</w:t>
      </w:r>
      <w:proofErr w:type="spellEnd"/>
      <w:r w:rsidRPr="008C468F">
        <w:t xml:space="preserve"> í ómeðhöndluðum sláturafurðum alifugla við slátrun. Til samræmis við það var bætt við ákvæði 3. gr. frumvarpsins heimild til að leggja fram slíkt vottorð sem staðfesti að ekki hafi greinst </w:t>
      </w:r>
      <w:proofErr w:type="spellStart"/>
      <w:r w:rsidRPr="008C468F">
        <w:t>kampýlóbakter</w:t>
      </w:r>
      <w:proofErr w:type="spellEnd"/>
      <w:r w:rsidRPr="008C468F">
        <w:t xml:space="preserve"> í fuglunum við slátrun en ákvæðið gerði þegar ráð fyrir framlagningu vottorðs sem staðfesti slíkt með sýnatöku á eldistíma. Athugasemdir bárust um að ekki væri tekið tillit til þess við ákvörðun fjárhæðar stjórnvaldssektar ef brot væri framið af ásetningi eða gáleysi. Til samræmis við það var bætt við ákvæði 6. gr. frumvarpsins að við ákvörðun sektarfjárhæðar skuli litið til þess hvort um sé að ræða brot af ásetningi eða gáleysi. </w:t>
      </w:r>
    </w:p>
    <w:p w:rsidR="008C468F" w:rsidRDefault="008C468F">
      <w:r w:rsidRPr="008C468F">
        <w:t>Auk þess bárust athugasemdir við að ekki sé til staðar tryggingasjóður sem bændur geti leitað til vegna mögulegs tjóns á búfé. Í greinargerð var bætt við umfjöllun um að ráðuneytið hyggist taka til skoðunar hvort forsendur séu fyrir því að slíkur sjóður verði settur á fót, jafnvel þótt ráðgjöf yfirdýralæknis og sóttvarnalæknis til ráðuneytisins sé á þá leið að með vísan til aðgerðarætlunar ráðuneytisins telji þeir að afnám frystiskyldunnar muni hafa lítil áhrif á dýrasjúkdóma hér á landi og að aðgerðirnar muni minnka áhættuna. Þá komu fram ábendingar í samráðsferli um mikilvægi þess að endurskoða tollvernd. Í greinargerð var bætt við umfjöllun um að ráðuneytið hyggist taka þróun tollverndar til skoðunar.</w:t>
      </w:r>
    </w:p>
    <w:sectPr w:rsidR="008C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iraGO Light">
    <w:panose1 w:val="020B0403050000020004"/>
    <w:charset w:val="00"/>
    <w:family w:val="swiss"/>
    <w:notTrueType/>
    <w:pitch w:val="variable"/>
    <w:sig w:usb0="6500AAFF" w:usb1="40000001" w:usb2="00000008" w:usb3="00000000" w:csb0="0001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8F"/>
    <w:rsid w:val="008C468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A5A1"/>
  <w15:chartTrackingRefBased/>
  <w15:docId w15:val="{7A4E49DF-D22C-4DF6-B591-9F375D65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Fanney Valgeirsdóttir</dc:creator>
  <cp:keywords/>
  <dc:description/>
  <cp:lastModifiedBy>Linda Fanney Valgeirsdóttir</cp:lastModifiedBy>
  <cp:revision>1</cp:revision>
  <dcterms:created xsi:type="dcterms:W3CDTF">2020-01-15T12:48:00Z</dcterms:created>
  <dcterms:modified xsi:type="dcterms:W3CDTF">2020-01-15T12:49:00Z</dcterms:modified>
</cp:coreProperties>
</file>