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4BAAF0A3"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06FF201E" w14:textId="77777777" w:rsidR="00883508" w:rsidRPr="00C16582" w:rsidRDefault="00883508" w:rsidP="008C5992">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0557801A" wp14:editId="08DA25AA">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047FE197"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38FE044B"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03F7920F"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5C90F30D"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77DE76FA" w14:textId="77777777" w:rsidR="00135B40" w:rsidRPr="004E0E11" w:rsidRDefault="00135B40" w:rsidP="00851A99">
            <w:pPr>
              <w:spacing w:before="60" w:after="60"/>
              <w:rPr>
                <w:rFonts w:ascii="Times New Roman" w:hAnsi="Times New Roman" w:cs="Times New Roman"/>
                <w:b/>
                <w:lang w:val="is-IS"/>
              </w:rPr>
            </w:pPr>
            <w:permStart w:id="22772110"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2C8745E3" w14:textId="148E9153" w:rsidR="00135B40" w:rsidRPr="004E0E11" w:rsidRDefault="004865BB" w:rsidP="00795B16">
                <w:pPr>
                  <w:spacing w:before="60"/>
                  <w:rPr>
                    <w:rFonts w:ascii="Times New Roman" w:hAnsi="Times New Roman" w:cs="Times New Roman"/>
                    <w:lang w:val="is-IS"/>
                  </w:rPr>
                </w:pPr>
                <w:r w:rsidRPr="00D90A9A">
                  <w:rPr>
                    <w:rFonts w:ascii="Times New Roman" w:hAnsi="Times New Roman" w:cs="Times New Roman"/>
                    <w:lang w:val="is-IS"/>
                  </w:rPr>
                  <w:t>FJR1</w:t>
                </w:r>
                <w:r w:rsidR="00D8478E">
                  <w:rPr>
                    <w:rFonts w:ascii="Times New Roman" w:hAnsi="Times New Roman" w:cs="Times New Roman"/>
                    <w:lang w:val="is-IS"/>
                  </w:rPr>
                  <w:t>9</w:t>
                </w:r>
                <w:r w:rsidRPr="00D90A9A">
                  <w:rPr>
                    <w:rFonts w:ascii="Times New Roman" w:hAnsi="Times New Roman" w:cs="Times New Roman"/>
                    <w:lang w:val="is-IS"/>
                  </w:rPr>
                  <w:t>0</w:t>
                </w:r>
                <w:r w:rsidR="00D8478E">
                  <w:rPr>
                    <w:rFonts w:ascii="Times New Roman" w:hAnsi="Times New Roman" w:cs="Times New Roman"/>
                    <w:lang w:val="is-IS"/>
                  </w:rPr>
                  <w:t>60027</w:t>
                </w:r>
                <w:r w:rsidRPr="00D90A9A">
                  <w:rPr>
                    <w:rFonts w:ascii="Times New Roman" w:hAnsi="Times New Roman" w:cs="Times New Roman"/>
                    <w:lang w:val="is-IS"/>
                  </w:rPr>
                  <w:t>. Frumvarp til laga um breytingu á lögum um vexti og verðtryggingu, nr. 38/2001</w:t>
                </w:r>
              </w:p>
            </w:tc>
          </w:sdtContent>
        </w:sdt>
      </w:tr>
      <w:tr w:rsidR="00135B40" w:rsidRPr="00BF5ACD" w14:paraId="6A288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FC90E8B" w14:textId="77777777" w:rsidR="00135B40" w:rsidRPr="004E0E11" w:rsidRDefault="004E0E11" w:rsidP="0012646E">
            <w:pPr>
              <w:spacing w:before="60" w:after="60"/>
              <w:rPr>
                <w:rFonts w:ascii="Times New Roman" w:hAnsi="Times New Roman" w:cs="Times New Roman"/>
                <w:b/>
                <w:lang w:val="is-IS"/>
              </w:rPr>
            </w:pPr>
            <w:permStart w:id="1402352671" w:edGrp="everyone" w:colFirst="1" w:colLast="1"/>
            <w:permEnd w:id="22772110"/>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F3FB5A7" w14:textId="7777777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205156">
                  <w:rPr>
                    <w:rFonts w:ascii="Times New Roman" w:hAnsi="Times New Roman" w:cs="Times New Roman"/>
                    <w:lang w:val="is-IS"/>
                  </w:rPr>
                  <w:t>Fjármála- og efnahagsráðuneytið</w:t>
                </w:r>
              </w:p>
            </w:tc>
          </w:sdtContent>
        </w:sdt>
      </w:tr>
      <w:tr w:rsidR="00135B40" w:rsidRPr="00BF5ACD" w14:paraId="79BCA6F5"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F1A1FD4" w14:textId="77777777" w:rsidR="00135B40" w:rsidRPr="004E0E11" w:rsidRDefault="005176D0" w:rsidP="0012646E">
            <w:pPr>
              <w:spacing w:before="60" w:after="60"/>
              <w:rPr>
                <w:rFonts w:ascii="Times New Roman" w:hAnsi="Times New Roman" w:cs="Times New Roman"/>
                <w:b/>
                <w:lang w:val="is-IS"/>
              </w:rPr>
            </w:pPr>
            <w:permStart w:id="1087402930" w:edGrp="everyone" w:colFirst="1" w:colLast="1"/>
            <w:permEnd w:id="1402352671"/>
            <w:r w:rsidRPr="004E0E11">
              <w:rPr>
                <w:rFonts w:ascii="Times New Roman" w:hAnsi="Times New Roman" w:cs="Times New Roman"/>
                <w:b/>
                <w:lang w:val="is-IS"/>
              </w:rPr>
              <w:t>Stig mats</w:t>
            </w:r>
          </w:p>
        </w:tc>
        <w:tc>
          <w:tcPr>
            <w:tcW w:w="7479" w:type="dxa"/>
            <w:tcBorders>
              <w:bottom w:val="nil"/>
            </w:tcBorders>
          </w:tcPr>
          <w:p w14:paraId="1843D98A" w14:textId="603794D4" w:rsidR="00135B40" w:rsidRPr="004E0E11" w:rsidRDefault="00686E31"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07073F">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7DFD4E95" w14:textId="1E771EAD" w:rsidR="00135B40" w:rsidRPr="004E0E11" w:rsidRDefault="00686E31"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07073F">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bookmarkStart w:id="0" w:name="_GoBack"/>
        <w:bookmarkEnd w:id="0"/>
      </w:tr>
      <w:tr w:rsidR="00135B40" w:rsidRPr="00BF5ACD" w14:paraId="442391CA"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555DF685" w14:textId="77777777" w:rsidR="00135B40" w:rsidRPr="004E0E11" w:rsidRDefault="00135B40" w:rsidP="000D6E33">
            <w:pPr>
              <w:spacing w:before="60" w:after="60"/>
              <w:rPr>
                <w:rFonts w:ascii="Times New Roman" w:hAnsi="Times New Roman" w:cs="Times New Roman"/>
                <w:b/>
                <w:lang w:val="is-IS"/>
              </w:rPr>
            </w:pPr>
            <w:permStart w:id="2094210402" w:edGrp="everyone" w:colFirst="1" w:colLast="1"/>
            <w:permEnd w:id="1087402930"/>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0C72D5A" w14:textId="0260F519"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865BB">
                  <w:rPr>
                    <w:rFonts w:ascii="Times New Roman" w:hAnsi="Times New Roman" w:cs="Times New Roman"/>
                    <w:lang w:val="is-IS"/>
                  </w:rPr>
                  <w:t>0</w:t>
                </w:r>
                <w:r w:rsidR="00686E31">
                  <w:rPr>
                    <w:rFonts w:ascii="Times New Roman" w:hAnsi="Times New Roman" w:cs="Times New Roman"/>
                    <w:lang w:val="is-IS"/>
                  </w:rPr>
                  <w:t>9</w:t>
                </w:r>
                <w:r w:rsidR="004865BB">
                  <w:rPr>
                    <w:rFonts w:ascii="Times New Roman" w:hAnsi="Times New Roman" w:cs="Times New Roman"/>
                    <w:lang w:val="is-IS"/>
                  </w:rPr>
                  <w:t>.0</w:t>
                </w:r>
                <w:r w:rsidR="00686E31">
                  <w:rPr>
                    <w:rFonts w:ascii="Times New Roman" w:hAnsi="Times New Roman" w:cs="Times New Roman"/>
                    <w:lang w:val="is-IS"/>
                  </w:rPr>
                  <w:t>7</w:t>
                </w:r>
                <w:r w:rsidR="004865BB">
                  <w:rPr>
                    <w:rFonts w:ascii="Times New Roman" w:hAnsi="Times New Roman" w:cs="Times New Roman"/>
                    <w:lang w:val="is-IS"/>
                  </w:rPr>
                  <w:t>.2019</w:t>
                </w:r>
              </w:p>
            </w:tc>
          </w:sdtContent>
        </w:sdt>
      </w:tr>
      <w:permEnd w:id="2094210402"/>
    </w:tbl>
    <w:p w14:paraId="239CBFC9" w14:textId="77777777" w:rsidR="000073F7" w:rsidRPr="007414CB" w:rsidRDefault="000073F7"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263F72" w:rsidRPr="00BF5ACD" w14:paraId="089550C8" w14:textId="77777777" w:rsidTr="007414CB">
        <w:tc>
          <w:tcPr>
            <w:tcW w:w="9288" w:type="dxa"/>
            <w:shd w:val="clear" w:color="auto" w:fill="92CDDC" w:themeFill="accent5" w:themeFillTint="99"/>
          </w:tcPr>
          <w:p w14:paraId="4F764DD9"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7A6ABFAA"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656371492" w:edGrp="everyone" w:displacedByCustomXml="prev"/>
              <w:p w14:paraId="6348BF0D" w14:textId="11AD46C6" w:rsidR="0043227F" w:rsidRPr="00D96089" w:rsidRDefault="00AD6D06" w:rsidP="00AD6D06">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r w:rsidR="009F0408">
                  <w:rPr>
                    <w:rFonts w:ascii="Times New Roman" w:hAnsi="Times New Roman" w:cs="Times New Roman"/>
                    <w:b/>
                    <w:lang w:val="is-IS"/>
                  </w:rPr>
                  <w:t>.</w:t>
                </w:r>
              </w:p>
              <w:p w14:paraId="78D650FA" w14:textId="187D2F97" w:rsidR="00D96089" w:rsidRPr="009F0408" w:rsidRDefault="00D96089" w:rsidP="009F0408">
                <w:pPr>
                  <w:pStyle w:val="ListParagraph"/>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r w:rsidR="00C77558">
                  <w:rPr>
                    <w:rFonts w:ascii="Times New Roman" w:hAnsi="Times New Roman" w:cs="Times New Roman"/>
                    <w:lang w:val="is-IS"/>
                  </w:rPr>
                  <w:t xml:space="preserve"> </w:t>
                </w:r>
                <w:r w:rsidR="00496CDD" w:rsidRPr="009F0408">
                  <w:rPr>
                    <w:rFonts w:ascii="Times New Roman" w:hAnsi="Times New Roman" w:cs="Times New Roman"/>
                    <w:i/>
                    <w:lang w:val="is-IS"/>
                  </w:rPr>
                  <w:t>Greint hefur verið hvers konar áhrif</w:t>
                </w:r>
                <w:r w:rsidR="00CB2E49" w:rsidRPr="009F0408">
                  <w:rPr>
                    <w:rFonts w:ascii="Times New Roman" w:hAnsi="Times New Roman" w:cs="Times New Roman"/>
                    <w:i/>
                    <w:lang w:val="is-IS"/>
                  </w:rPr>
                  <w:t xml:space="preserve"> breytingarnar gætu haft á rík</w:t>
                </w:r>
                <w:r w:rsidR="00800728">
                  <w:rPr>
                    <w:rFonts w:ascii="Times New Roman" w:hAnsi="Times New Roman" w:cs="Times New Roman"/>
                    <w:i/>
                    <w:lang w:val="is-IS"/>
                  </w:rPr>
                  <w:t>ið, sjá umfjöllun í 6. kafla almennra athugasemda við frumvarpið</w:t>
                </w:r>
                <w:r w:rsidR="00CB2E49" w:rsidRPr="009F0408">
                  <w:rPr>
                    <w:rFonts w:ascii="Times New Roman" w:hAnsi="Times New Roman" w:cs="Times New Roman"/>
                    <w:i/>
                    <w:lang w:val="is-IS"/>
                  </w:rPr>
                  <w:t xml:space="preserve">. </w:t>
                </w:r>
                <w:r w:rsidR="00D709D1" w:rsidRPr="009F0408">
                  <w:rPr>
                    <w:rFonts w:ascii="Times New Roman" w:hAnsi="Times New Roman" w:cs="Times New Roman"/>
                    <w:i/>
                    <w:lang w:val="is-IS"/>
                  </w:rPr>
                  <w:t>Ekki var lagt tölulegt mat á möguleg áhrif.</w:t>
                </w:r>
              </w:p>
              <w:p w14:paraId="50ED7F4E" w14:textId="7EBB7C41" w:rsidR="00D96089" w:rsidRPr="009F0408" w:rsidRDefault="00D96089" w:rsidP="009F0408">
                <w:pPr>
                  <w:pStyle w:val="ListParagraph"/>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r w:rsidR="00C77558">
                  <w:rPr>
                    <w:rFonts w:ascii="Times New Roman" w:hAnsi="Times New Roman" w:cs="Times New Roman"/>
                    <w:lang w:val="is-IS"/>
                  </w:rPr>
                  <w:t xml:space="preserve">. </w:t>
                </w:r>
                <w:r w:rsidR="009458E5" w:rsidRPr="009F0408">
                  <w:rPr>
                    <w:rFonts w:ascii="Times New Roman" w:hAnsi="Times New Roman" w:cs="Times New Roman"/>
                    <w:i/>
                    <w:lang w:val="is-IS"/>
                  </w:rPr>
                  <w:t>Á ekki við.</w:t>
                </w:r>
              </w:p>
              <w:p w14:paraId="4239B02C" w14:textId="56D2B6AC" w:rsidR="00D96089" w:rsidRPr="009F0408" w:rsidRDefault="00D96089" w:rsidP="009F0408">
                <w:pPr>
                  <w:pStyle w:val="ListParagraph"/>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r w:rsidR="00C77558">
                  <w:rPr>
                    <w:rFonts w:ascii="Times New Roman" w:hAnsi="Times New Roman" w:cs="Times New Roman"/>
                    <w:lang w:val="is-IS"/>
                  </w:rPr>
                  <w:t xml:space="preserve"> </w:t>
                </w:r>
                <w:r w:rsidR="00563C46" w:rsidRPr="009F0408">
                  <w:rPr>
                    <w:rFonts w:ascii="Times New Roman" w:hAnsi="Times New Roman" w:cs="Times New Roman"/>
                    <w:i/>
                    <w:lang w:val="is-IS"/>
                  </w:rPr>
                  <w:t>Varanleg</w:t>
                </w:r>
                <w:r w:rsidR="009F0408" w:rsidRPr="009F0408">
                  <w:rPr>
                    <w:rFonts w:ascii="Times New Roman" w:hAnsi="Times New Roman" w:cs="Times New Roman"/>
                    <w:i/>
                    <w:lang w:val="is-IS"/>
                  </w:rPr>
                  <w:t>.</w:t>
                </w:r>
              </w:p>
              <w:p w14:paraId="3A2863D9" w14:textId="7420B25F" w:rsidR="00D96089" w:rsidRPr="009F0408" w:rsidRDefault="00D96089" w:rsidP="009F0408">
                <w:pPr>
                  <w:pStyle w:val="ListParagraph"/>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r w:rsidR="00C77558">
                  <w:rPr>
                    <w:rFonts w:ascii="Times New Roman" w:hAnsi="Times New Roman" w:cs="Times New Roman"/>
                    <w:lang w:val="is-IS"/>
                  </w:rPr>
                  <w:t xml:space="preserve">. </w:t>
                </w:r>
                <w:r w:rsidR="00C77558" w:rsidRPr="009F0408">
                  <w:rPr>
                    <w:rFonts w:ascii="Times New Roman" w:hAnsi="Times New Roman" w:cs="Times New Roman"/>
                    <w:i/>
                    <w:lang w:val="is-IS"/>
                  </w:rPr>
                  <w:t>Á ekki við.</w:t>
                </w:r>
              </w:p>
              <w:p w14:paraId="3A8B49D5" w14:textId="135BEE1C" w:rsidR="00D96089" w:rsidRPr="009F0408" w:rsidRDefault="00D96089" w:rsidP="009F0408">
                <w:pPr>
                  <w:pStyle w:val="ListParagraph"/>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r w:rsidR="00C77558">
                  <w:rPr>
                    <w:rFonts w:ascii="Times New Roman" w:hAnsi="Times New Roman" w:cs="Times New Roman"/>
                    <w:lang w:val="is-IS"/>
                  </w:rPr>
                  <w:t xml:space="preserve">. </w:t>
                </w:r>
                <w:r w:rsidR="00C77558" w:rsidRPr="009F0408">
                  <w:rPr>
                    <w:rFonts w:ascii="Times New Roman" w:hAnsi="Times New Roman" w:cs="Times New Roman"/>
                    <w:i/>
                    <w:lang w:val="is-IS"/>
                  </w:rPr>
                  <w:t>Á ekki við.</w:t>
                </w:r>
              </w:p>
              <w:p w14:paraId="63597232" w14:textId="11D26944" w:rsidR="00D96089" w:rsidRPr="009F0408" w:rsidRDefault="00AD6D06" w:rsidP="009F0408">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r w:rsidR="009F0408">
                  <w:rPr>
                    <w:rFonts w:ascii="Times New Roman" w:hAnsi="Times New Roman" w:cs="Times New Roman"/>
                    <w:b/>
                    <w:lang w:val="is-IS"/>
                  </w:rPr>
                  <w:t xml:space="preserve">. </w:t>
                </w:r>
                <w:r w:rsidR="008C5992" w:rsidRPr="009F0408">
                  <w:rPr>
                    <w:rFonts w:ascii="Times New Roman" w:hAnsi="Times New Roman" w:cs="Times New Roman"/>
                    <w:i/>
                    <w:lang w:val="is-IS"/>
                  </w:rPr>
                  <w:t>Á ekki við.</w:t>
                </w:r>
              </w:p>
              <w:p w14:paraId="3AB4F6F9" w14:textId="21DB8D7F" w:rsidR="00800728" w:rsidRDefault="00AD6D06" w:rsidP="00800728">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9F0408">
                  <w:rPr>
                    <w:rFonts w:ascii="Times New Roman" w:hAnsi="Times New Roman" w:cs="Times New Roman"/>
                    <w:b/>
                    <w:lang w:val="is-IS"/>
                  </w:rPr>
                  <w:t>.</w:t>
                </w:r>
                <w:r w:rsidR="00D148DB" w:rsidRPr="00FD2097">
                  <w:rPr>
                    <w:rFonts w:ascii="Times New Roman" w:hAnsi="Times New Roman" w:cs="Times New Roman"/>
                    <w:b/>
                    <w:lang w:val="is-IS"/>
                  </w:rPr>
                  <w:t xml:space="preserve"> </w:t>
                </w:r>
              </w:p>
              <w:p w14:paraId="0FC887D2" w14:textId="552ECD60" w:rsidR="00D96089" w:rsidRPr="00800728" w:rsidRDefault="00800728" w:rsidP="00800728">
                <w:pPr>
                  <w:pStyle w:val="ListParagraph"/>
                  <w:numPr>
                    <w:ilvl w:val="0"/>
                    <w:numId w:val="31"/>
                  </w:numPr>
                  <w:spacing w:before="60" w:after="60"/>
                  <w:contextualSpacing w:val="0"/>
                  <w:rPr>
                    <w:rFonts w:ascii="Times New Roman" w:hAnsi="Times New Roman" w:cs="Times New Roman"/>
                    <w:b/>
                    <w:lang w:val="is-IS"/>
                  </w:rPr>
                </w:pPr>
                <w:r w:rsidRPr="00800728">
                  <w:rPr>
                    <w:rFonts w:ascii="Times New Roman" w:hAnsi="Times New Roman" w:cs="Times New Roman"/>
                    <w:i/>
                    <w:lang w:val="is-IS"/>
                  </w:rPr>
                  <w:t xml:space="preserve">Með frumvarpinu verður ríkissjóði heimilt að gefa út verðtryggð skuldabréf tengd </w:t>
                </w:r>
                <w:r w:rsidR="00725E5F">
                  <w:rPr>
                    <w:rFonts w:ascii="Times New Roman" w:hAnsi="Times New Roman" w:cs="Times New Roman"/>
                    <w:i/>
                    <w:lang w:val="is-IS"/>
                  </w:rPr>
                  <w:t>vísitölu neysluverðs án húsnæðis</w:t>
                </w:r>
                <w:r w:rsidRPr="00800728">
                  <w:rPr>
                    <w:rFonts w:ascii="Times New Roman" w:hAnsi="Times New Roman" w:cs="Times New Roman"/>
                    <w:i/>
                    <w:lang w:val="is-IS"/>
                  </w:rPr>
                  <w:t>. Ekki er útilokað að þær markaðsaðstæður komi upp að það verði talið ákjósanlegt fyrir ríkið að gefa út slík skuldabréf og því er þessi fjölgun fjármögnunarkosta hagfelld fyrir ríkissjóð til lengri tíma litið.</w:t>
                </w:r>
                <w:r w:rsidRPr="00800728">
                  <w:rPr>
                    <w:rFonts w:ascii="Times New Roman" w:hAnsi="Times New Roman" w:cs="Times New Roman"/>
                    <w:b/>
                    <w:lang w:val="is-IS"/>
                  </w:rPr>
                  <w:t xml:space="preserve"> </w:t>
                </w:r>
                <w:r w:rsidR="00D709D1" w:rsidRPr="009F0408">
                  <w:rPr>
                    <w:rFonts w:ascii="Times New Roman" w:hAnsi="Times New Roman" w:cs="Times New Roman"/>
                    <w:i/>
                    <w:lang w:val="is-IS"/>
                  </w:rPr>
                  <w:t xml:space="preserve">Ef unnt verður að tryggja hagkvæmari fjármögnun ríkissjóðs þá gætu vaxtagjöld ríkissjóðs lækkað. </w:t>
                </w:r>
              </w:p>
              <w:p w14:paraId="5B8CDF71" w14:textId="3F344052" w:rsidR="00800728" w:rsidRPr="009F0408" w:rsidRDefault="00800728" w:rsidP="00800728">
                <w:pPr>
                  <w:pStyle w:val="ListParagraph"/>
                  <w:numPr>
                    <w:ilvl w:val="0"/>
                    <w:numId w:val="31"/>
                  </w:numPr>
                  <w:spacing w:before="60" w:after="60"/>
                  <w:contextualSpacing w:val="0"/>
                  <w:rPr>
                    <w:rFonts w:ascii="Times New Roman" w:hAnsi="Times New Roman" w:cs="Times New Roman"/>
                    <w:b/>
                    <w:lang w:val="is-IS"/>
                  </w:rPr>
                </w:pPr>
                <w:r>
                  <w:rPr>
                    <w:rFonts w:ascii="Times New Roman" w:hAnsi="Times New Roman" w:cs="Times New Roman"/>
                    <w:i/>
                    <w:lang w:val="is-IS"/>
                  </w:rPr>
                  <w:t>Áhrif á vaxtabætur hugsanlegar. Á</w:t>
                </w:r>
                <w:r w:rsidRPr="00800728">
                  <w:rPr>
                    <w:rFonts w:ascii="Times New Roman" w:hAnsi="Times New Roman" w:cs="Times New Roman"/>
                    <w:i/>
                    <w:lang w:val="is-IS"/>
                  </w:rPr>
                  <w:t>kvæði frumvarpsins taka aðeins til nýrra lánveitinga og óvíst er hvernig sá hópur sem hefði að öðrum kosti tekið 40 ára verðtryggð jafngreiðslulán mun haga sínum lántökum og þar af leiðandi hver vaxtabyrði hans verður.</w:t>
                </w:r>
              </w:p>
              <w:p w14:paraId="349A6D83" w14:textId="66CA5F8E" w:rsidR="00D96089" w:rsidRPr="009F0408" w:rsidRDefault="00AD6D06" w:rsidP="009F0408">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r w:rsidR="009F0408">
                  <w:rPr>
                    <w:rFonts w:ascii="Times New Roman" w:hAnsi="Times New Roman" w:cs="Times New Roman"/>
                    <w:b/>
                    <w:lang w:val="is-IS"/>
                  </w:rPr>
                  <w:t xml:space="preserve">. </w:t>
                </w:r>
                <w:r w:rsidR="008C5992" w:rsidRPr="009F0408">
                  <w:rPr>
                    <w:rFonts w:ascii="Times New Roman" w:hAnsi="Times New Roman" w:cs="Times New Roman"/>
                    <w:i/>
                    <w:lang w:val="is-IS"/>
                  </w:rPr>
                  <w:t>Á ekki við.</w:t>
                </w:r>
              </w:p>
              <w:p w14:paraId="2367F88F" w14:textId="6A3CC141" w:rsidR="00813003" w:rsidRDefault="00AD6D06" w:rsidP="00813003">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r w:rsidR="009F0408">
                  <w:rPr>
                    <w:rFonts w:ascii="Times New Roman" w:hAnsi="Times New Roman" w:cs="Times New Roman"/>
                    <w:b/>
                    <w:lang w:val="is-IS"/>
                  </w:rPr>
                  <w:t>.</w:t>
                </w:r>
              </w:p>
              <w:p w14:paraId="66B741BD"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1F61EDEB"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0AF10653"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5B8C493C"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2FE26DA5"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1C952D88"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22008509"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Eignaumsýsla ríkisins</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08FC80D1" w14:textId="77777777" w:rsidR="00813003" w:rsidRPr="00A72ECC"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59E67D88" w14:textId="77777777" w:rsidR="00CA3381" w:rsidRPr="00E648AA" w:rsidRDefault="00813003" w:rsidP="00BD69E0">
                <w:pPr>
                  <w:pStyle w:val="ListParagraph"/>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sdtContent>
          </w:sdt>
          <w:permEnd w:id="1656371492" w:displacedByCustomXml="prev"/>
        </w:tc>
      </w:tr>
      <w:tr w:rsidR="00263F72" w:rsidRPr="00BF5ACD" w14:paraId="1D7E6953" w14:textId="77777777" w:rsidTr="007414CB">
        <w:tc>
          <w:tcPr>
            <w:tcW w:w="9288" w:type="dxa"/>
            <w:shd w:val="clear" w:color="auto" w:fill="92CDDC" w:themeFill="accent5" w:themeFillTint="99"/>
          </w:tcPr>
          <w:p w14:paraId="6C47E739"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086F0208" w14:textId="77777777" w:rsidTr="00FD2097">
        <w:trPr>
          <w:trHeight w:val="826"/>
        </w:trPr>
        <w:tc>
          <w:tcPr>
            <w:tcW w:w="9288" w:type="dxa"/>
          </w:tcPr>
          <w:permStart w:id="2083600297" w:edGrp="everyone" w:colFirst="0" w:colLast="0" w:displacedByCustomXml="next"/>
          <w:sdt>
            <w:sdtPr>
              <w:rPr>
                <w:rFonts w:ascii="Times New Roman" w:hAnsi="Times New Roman" w:cs="Times New Roman"/>
                <w:b/>
                <w:lang w:val="is-IS"/>
              </w:rPr>
              <w:id w:val="-197159978"/>
            </w:sdtPr>
            <w:sdtEndPr/>
            <w:sdtContent>
              <w:p w14:paraId="159B531F" w14:textId="77777777" w:rsidR="006C6EA3"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02D0880F" w14:textId="77777777" w:rsidR="00237053" w:rsidRPr="00A72ECC" w:rsidRDefault="00237053" w:rsidP="00237053">
                <w:pPr>
                  <w:pStyle w:val="ListParagraph"/>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150058FB" w14:textId="77777777" w:rsidR="00237053" w:rsidRPr="00A72ECC" w:rsidRDefault="00237053" w:rsidP="00237053">
                <w:pPr>
                  <w:pStyle w:val="ListParagraph"/>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49624B22" w14:textId="77777777" w:rsidR="00237053" w:rsidRPr="00A72ECC" w:rsidRDefault="00237053" w:rsidP="00237053">
                <w:pPr>
                  <w:pStyle w:val="ListParagraph"/>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5AE93FCD" w14:textId="77777777" w:rsidR="00FD2097" w:rsidRPr="00CA3381"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41417D41" w14:textId="77777777" w:rsidR="00CA3381" w:rsidRPr="000D6E33"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sdtContent>
          </w:sdt>
        </w:tc>
      </w:tr>
      <w:permEnd w:id="2083600297"/>
      <w:tr w:rsidR="00263F72" w:rsidRPr="00BF5ACD" w14:paraId="0EA43BA9" w14:textId="77777777" w:rsidTr="007414CB">
        <w:tc>
          <w:tcPr>
            <w:tcW w:w="9288" w:type="dxa"/>
            <w:shd w:val="clear" w:color="auto" w:fill="92CDDC" w:themeFill="accent5" w:themeFillTint="99"/>
          </w:tcPr>
          <w:p w14:paraId="25AD9119"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2EA87BFC" w14:textId="77777777" w:rsidTr="00FD2097">
        <w:trPr>
          <w:trHeight w:val="826"/>
        </w:trPr>
        <w:tc>
          <w:tcPr>
            <w:tcW w:w="9288" w:type="dxa"/>
          </w:tcPr>
          <w:permStart w:id="1810264461"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55E6ACB1" w14:textId="226D5E63" w:rsidR="008A316E" w:rsidRDefault="00A410EA" w:rsidP="009F0408">
                <w:pPr>
                  <w:pStyle w:val="ListParagraph"/>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9F0408">
                  <w:rPr>
                    <w:rFonts w:ascii="Times New Roman" w:hAnsi="Times New Roman" w:cs="Times New Roman"/>
                    <w:b/>
                    <w:lang w:val="is-IS"/>
                  </w:rPr>
                  <w:t>.</w:t>
                </w:r>
                <w:r w:rsidR="00E67F09">
                  <w:rPr>
                    <w:rFonts w:ascii="Times New Roman" w:hAnsi="Times New Roman" w:cs="Times New Roman"/>
                    <w:b/>
                    <w:lang w:val="is-IS"/>
                  </w:rPr>
                  <w:t xml:space="preserve"> </w:t>
                </w:r>
              </w:p>
              <w:p w14:paraId="2937A2EA" w14:textId="39C35461" w:rsidR="00236554" w:rsidRDefault="00236554" w:rsidP="004865BB">
                <w:pPr>
                  <w:spacing w:before="60" w:after="60"/>
                  <w:rPr>
                    <w:rFonts w:ascii="Times New Roman" w:hAnsi="Times New Roman" w:cs="Times New Roman"/>
                    <w:lang w:val="is-IS"/>
                  </w:rPr>
                </w:pPr>
                <w:r w:rsidRPr="00236554">
                  <w:rPr>
                    <w:rFonts w:ascii="Times New Roman" w:hAnsi="Times New Roman" w:cs="Times New Roman"/>
                    <w:lang w:val="is-IS"/>
                  </w:rPr>
                  <w:t>Veigamestu áhrif þeirra breytinga sem eru lagðar til með frumvarpinu á lántakendur neytendalána og fasteignalána til neytenda felast annars vegar í styttingu hámarkslánstíma nýrra verðtryggðra jafngreiðslulána í 25 ár og hins vegar viðmiðun verðtryggingar á nýjum lánum við vísitölu neysluverðs án húsnæðis (VNVÁH) í stað vísitölu neysluverðs (VNV). Báðar breytingarnar vega nokkurn veginn í sömu átt, í þeim skilningi að þær eru til þess fallnar að stuðla að hraðari eignamyndun að jafnaði hjá þeim sem taka verðtryggð íbúðalán og þar</w:t>
                </w:r>
                <w:r>
                  <w:rPr>
                    <w:rFonts w:ascii="Times New Roman" w:hAnsi="Times New Roman" w:cs="Times New Roman"/>
                    <w:lang w:val="is-IS"/>
                  </w:rPr>
                  <w:t xml:space="preserve"> </w:t>
                </w:r>
                <w:r w:rsidRPr="00236554">
                  <w:rPr>
                    <w:rFonts w:ascii="Times New Roman" w:hAnsi="Times New Roman" w:cs="Times New Roman"/>
                    <w:lang w:val="is-IS"/>
                  </w:rPr>
                  <w:t>með minni hættu á að eigið fé þeirra í húsnæði verði neikvætt, en aftur á móti er líklegt að lægsta mögulega greiðslubyrði verðtryggðra íbúðalána verði hærri en ella.</w:t>
                </w:r>
              </w:p>
              <w:p w14:paraId="3EB574EC" w14:textId="0BF8EC32" w:rsidR="00236554" w:rsidRDefault="00236554" w:rsidP="004865BB">
                <w:pPr>
                  <w:spacing w:before="60" w:after="60"/>
                  <w:rPr>
                    <w:rFonts w:ascii="Times New Roman" w:hAnsi="Times New Roman" w:cs="Times New Roman"/>
                    <w:lang w:val="is-IS"/>
                  </w:rPr>
                </w:pPr>
                <w:r w:rsidRPr="00236554">
                  <w:rPr>
                    <w:rFonts w:ascii="Times New Roman" w:hAnsi="Times New Roman" w:cs="Times New Roman"/>
                    <w:lang w:val="is-IS"/>
                  </w:rPr>
                  <w:t xml:space="preserve">Ungt fólk og tekjulágir njóta samkvæmt frumvarpinu undanþágu við banni við verðtryggðum jafngreiðslulánum til lengri tíma en 25 ára og munu því áfram geta notið þeirrar lágu greiðslubyrði sem er á lengri lánum. Öll ný verðtryggð lán sem veitt eru eftir 1. júlí 2020 verða hins vegar tengd VNVÁH samkvæmt frumvarpinu, en eins og er útskýrt </w:t>
                </w:r>
                <w:r>
                  <w:rPr>
                    <w:rFonts w:ascii="Times New Roman" w:hAnsi="Times New Roman" w:cs="Times New Roman"/>
                    <w:lang w:val="is-IS"/>
                  </w:rPr>
                  <w:t xml:space="preserve">í áhrifamatskafla frumvarpsins </w:t>
                </w:r>
                <w:r w:rsidRPr="00236554">
                  <w:rPr>
                    <w:rFonts w:ascii="Times New Roman" w:hAnsi="Times New Roman" w:cs="Times New Roman"/>
                    <w:lang w:val="is-IS"/>
                  </w:rPr>
                  <w:t>er líklegt að vextir á þeim verði hærri en á lánum sem eru tengd VNV.</w:t>
                </w:r>
              </w:p>
              <w:p w14:paraId="58CAC0AD" w14:textId="292FC8D0" w:rsidR="004865BB" w:rsidRDefault="00800728" w:rsidP="004865BB">
                <w:pPr>
                  <w:spacing w:before="60" w:after="60"/>
                  <w:rPr>
                    <w:rFonts w:ascii="Times New Roman" w:hAnsi="Times New Roman" w:cs="Times New Roman"/>
                    <w:lang w:val="is-IS"/>
                  </w:rPr>
                </w:pPr>
                <w:r w:rsidRPr="00800728">
                  <w:rPr>
                    <w:rFonts w:ascii="Times New Roman" w:hAnsi="Times New Roman" w:cs="Times New Roman"/>
                    <w:lang w:val="is-IS"/>
                  </w:rPr>
                  <w:t>Til skemmri tíma eru efnahagsleg áhrif þeirra breytinga sem lagðar eru til með þessu frumvarpi einkum áhrif á húsnæðismarkað og afleidd áhrif á einkaneyslu og e.t.v. íbúðafjárfestingu. Hækki lægsta mögulega greiðslubyrði íbúðalána í kjölfar breytinganna vegur það til lækkunar íbúðaverðs.</w:t>
                </w:r>
              </w:p>
              <w:p w14:paraId="3F86F6B9" w14:textId="50209DB0" w:rsidR="00236554" w:rsidRDefault="00236554" w:rsidP="00800728">
                <w:pPr>
                  <w:spacing w:before="60" w:after="60"/>
                  <w:rPr>
                    <w:rFonts w:ascii="Times New Roman" w:hAnsi="Times New Roman" w:cs="Times New Roman"/>
                    <w:lang w:val="is-IS"/>
                  </w:rPr>
                </w:pPr>
                <w:r w:rsidRPr="00236554">
                  <w:rPr>
                    <w:rFonts w:ascii="Times New Roman" w:hAnsi="Times New Roman" w:cs="Times New Roman"/>
                    <w:lang w:val="is-IS"/>
                  </w:rPr>
                  <w:t>Íbúðalán sem veitt verða eftir þær breytingar sem felast í þessu frumvarpi verða að jafnaði með styttri líftíma og framhlaðnari greiðsluferil en við núverandi fyrirkomulag. Framboð langra, verðtryggðra fjárfestingakosta gæti minnkað. Í dag fjármagna lánveitendur íbúðalána útlán sín með skuldabréfaútgáfu og lífeyrisskuldbindingum sem eru ýmist óverðtryggðar eða tengdar VNV. Innlendur skuldabréfamarkaður með útgáfur sem eru tengdar VNVÁH er ekki til staðar enn sem komið er og mögulegt að íbúðalán tengd VNVÁH yrðu fjármögnuð með öðrum hætti, í það minnsta fyrst um sinn. Það gæti valdið tímabundið auknu ógagnsæi og óhagræði fyrir lánveitendur en til lengri tíma gætu bankar t.d. fjármagnað ný verðtryggð íbúðalán með útgáfu skuldabréfa tengda VNVÁH og/eða með því að bjóða upp á verðtryggða innlánsreikninga sem eru tengdir VNVÁH.</w:t>
                </w:r>
              </w:p>
              <w:p w14:paraId="079E1E2B" w14:textId="152010C7" w:rsidR="00800728" w:rsidRDefault="00800728" w:rsidP="00800728">
                <w:pPr>
                  <w:spacing w:before="60" w:after="60"/>
                  <w:rPr>
                    <w:rFonts w:ascii="Times New Roman" w:hAnsi="Times New Roman" w:cs="Times New Roman"/>
                    <w:lang w:val="is-IS"/>
                  </w:rPr>
                </w:pPr>
                <w:r>
                  <w:rPr>
                    <w:rFonts w:ascii="Times New Roman" w:hAnsi="Times New Roman" w:cs="Times New Roman"/>
                    <w:lang w:val="is-IS"/>
                  </w:rPr>
                  <w:t>Þær breytingar sem lagðar eru til ættu að hraða e</w:t>
                </w:r>
                <w:r w:rsidRPr="00800728">
                  <w:rPr>
                    <w:rFonts w:ascii="Times New Roman" w:hAnsi="Times New Roman" w:cs="Times New Roman"/>
                    <w:lang w:val="is-IS"/>
                  </w:rPr>
                  <w:t>ignamyndun heimilanna í húsnæði</w:t>
                </w:r>
                <w:r>
                  <w:rPr>
                    <w:rFonts w:ascii="Times New Roman" w:hAnsi="Times New Roman" w:cs="Times New Roman"/>
                    <w:lang w:val="is-IS"/>
                  </w:rPr>
                  <w:t xml:space="preserve">, </w:t>
                </w:r>
                <w:r w:rsidR="00236554">
                  <w:rPr>
                    <w:rFonts w:ascii="Times New Roman" w:hAnsi="Times New Roman" w:cs="Times New Roman"/>
                    <w:lang w:val="is-IS"/>
                  </w:rPr>
                  <w:t>s</w:t>
                </w:r>
                <w:r>
                  <w:rPr>
                    <w:rFonts w:ascii="Times New Roman" w:hAnsi="Times New Roman" w:cs="Times New Roman"/>
                    <w:lang w:val="is-IS"/>
                  </w:rPr>
                  <w:t>em</w:t>
                </w:r>
                <w:r w:rsidRPr="00800728">
                  <w:rPr>
                    <w:rFonts w:ascii="Times New Roman" w:hAnsi="Times New Roman" w:cs="Times New Roman"/>
                    <w:lang w:val="is-IS"/>
                  </w:rPr>
                  <w:t xml:space="preserve"> eykur getu þeirra til að takast á við efnahagsáföll án þess að lenda í því að eigið fé í húsnæði verði neikvætt. Því er frumvarpið til þess fallið að stuðla að auknum viðnámsþrótti hagkerfisins og minnkar líkur á því að skuldastaða heimila verði óhófleg. Þó skal það ítrekað</w:t>
                </w:r>
                <w:r w:rsidR="00236554">
                  <w:rPr>
                    <w:rFonts w:ascii="Times New Roman" w:hAnsi="Times New Roman" w:cs="Times New Roman"/>
                    <w:lang w:val="is-IS"/>
                  </w:rPr>
                  <w:t xml:space="preserve"> </w:t>
                </w:r>
                <w:r w:rsidRPr="00800728">
                  <w:rPr>
                    <w:rFonts w:ascii="Times New Roman" w:hAnsi="Times New Roman" w:cs="Times New Roman"/>
                    <w:lang w:val="is-IS"/>
                  </w:rPr>
                  <w:t>að ef íbúðaverð lækkar þá hækkar VNVÁH yfirleitt meira en VNV og það hefur einkum gerst þegar að kreppir í efnahagslífinu. Þannig má vænta þess að eignamyndun í húsnæði verði almennt hraðari, en að hjá þeim hópi sem áfram tekur 40 ára verðtryggð jafngreiðslulán kunni hún að verða næmari fyrir hagsveiflunni.</w:t>
                </w:r>
              </w:p>
              <w:p w14:paraId="0A30595E" w14:textId="313CFFDA" w:rsidR="008906E9" w:rsidRPr="00800728" w:rsidRDefault="008906E9" w:rsidP="00800728">
                <w:pPr>
                  <w:spacing w:before="60" w:after="60"/>
                  <w:rPr>
                    <w:rFonts w:ascii="Times New Roman" w:hAnsi="Times New Roman" w:cs="Times New Roman"/>
                    <w:lang w:val="is-IS"/>
                  </w:rPr>
                </w:pPr>
                <w:r w:rsidRPr="008906E9">
                  <w:rPr>
                    <w:rFonts w:ascii="Times New Roman" w:hAnsi="Times New Roman" w:cs="Times New Roman"/>
                    <w:lang w:val="is-IS"/>
                  </w:rPr>
                  <w:t xml:space="preserve">Með frumvarpinu er lagt til að verðtrygging sparifjár geti miðað við ýmist VNV eða VNVÁH. Ekki er ljóst í hversu miklum mæli innlánsstofnanir munu vilja bjóða upp á verðtryggða reikninga sem eru </w:t>
                </w:r>
                <w:r w:rsidRPr="008906E9">
                  <w:rPr>
                    <w:rFonts w:ascii="Times New Roman" w:hAnsi="Times New Roman" w:cs="Times New Roman"/>
                    <w:lang w:val="is-IS"/>
                  </w:rPr>
                  <w:lastRenderedPageBreak/>
                  <w:t>tengdir VNVÁH en þeir gætu þó t.d. nýst við að fjármagna ný verðtryggð íbúðalán. Ef boðið yrði upp á slíka reikninga yrðu áhrif á sparifjáreigendur einkum þau að úrval sparnaðarkosta myndi aukast sem gæti auðveldað áhættudreifingu.</w:t>
                </w:r>
              </w:p>
              <w:p w14:paraId="1BA866A9" w14:textId="747748FA" w:rsidR="00800728" w:rsidRPr="00800728" w:rsidRDefault="00236554" w:rsidP="00800728">
                <w:pPr>
                  <w:spacing w:before="60" w:after="60"/>
                  <w:rPr>
                    <w:rFonts w:ascii="Times New Roman" w:hAnsi="Times New Roman" w:cs="Times New Roman"/>
                    <w:lang w:val="is-IS"/>
                  </w:rPr>
                </w:pPr>
                <w:r>
                  <w:rPr>
                    <w:rFonts w:ascii="Times New Roman" w:hAnsi="Times New Roman" w:cs="Times New Roman"/>
                    <w:lang w:val="is-IS"/>
                  </w:rPr>
                  <w:t>L</w:t>
                </w:r>
                <w:r w:rsidR="00800728" w:rsidRPr="00800728">
                  <w:rPr>
                    <w:rFonts w:ascii="Times New Roman" w:hAnsi="Times New Roman" w:cs="Times New Roman"/>
                    <w:lang w:val="is-IS"/>
                  </w:rPr>
                  <w:t>íklegt að þær breytingar sem verða á verðtryggðum neytendalánum ef frumvarpið nær fram að ganga auki hvata til að taka frekar óverðtryggð íbúðalán og auki vægi þeirra á markaðnum þar með enn frekar. Þetta hefur m.a. þann ábata að áhrif peningastefnu Seðlabankans á vexti húsnæðislána aukast, þar sem fylgni stýrivaxta bankans við vexti og greiðslubyrði er meiri gagnvart óverðtryggðum íbúðalánum en verðtryggðum. Virkni peningastefnunnar mun þannig aukast og geta hagstjórnarinnar til að bregðast við efnahagssveiflum eflast.</w:t>
                </w:r>
              </w:p>
              <w:p w14:paraId="63B00D6E" w14:textId="0EE47D16" w:rsidR="00FD2097" w:rsidRPr="009F0408" w:rsidRDefault="00A410EA" w:rsidP="009F0408">
                <w:pPr>
                  <w:pStyle w:val="ListParagraph"/>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r w:rsidR="00C77558" w:rsidRPr="009F0408">
                  <w:rPr>
                    <w:rFonts w:ascii="Times New Roman" w:hAnsi="Times New Roman" w:cs="Times New Roman"/>
                    <w:i/>
                    <w:lang w:val="is-IS"/>
                  </w:rPr>
                  <w:t>Á ekki við.</w:t>
                </w:r>
              </w:p>
              <w:p w14:paraId="740016D0" w14:textId="77777777" w:rsidR="00A410EA" w:rsidRPr="004433F4" w:rsidRDefault="00A410EA" w:rsidP="00A410EA">
                <w:pPr>
                  <w:pStyle w:val="ListParagraph"/>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4278324F" w14:textId="6E30D8C1" w:rsidR="00A410EA" w:rsidRPr="004433F4" w:rsidRDefault="00301FF8" w:rsidP="00301FF8">
                <w:pPr>
                  <w:pStyle w:val="ListParagraph"/>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182EC736" w14:textId="77777777" w:rsidR="00301FF8" w:rsidRPr="00A72ECC" w:rsidRDefault="00301FF8" w:rsidP="00301FF8">
                <w:pPr>
                  <w:pStyle w:val="ListParagraph"/>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559D132B" w14:textId="77777777" w:rsidR="003F530A" w:rsidRDefault="00301FF8" w:rsidP="003F530A">
                <w:pPr>
                  <w:pStyle w:val="ListParagraph"/>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05F54D70" w14:textId="77777777" w:rsidR="00CA3381" w:rsidRPr="003F530A" w:rsidRDefault="00301FF8" w:rsidP="003F530A">
                <w:pPr>
                  <w:pStyle w:val="ListParagraph"/>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sdtContent>
          </w:sdt>
        </w:tc>
      </w:tr>
      <w:permEnd w:id="1810264461"/>
      <w:tr w:rsidR="000D6E33" w:rsidRPr="00BF5ACD" w14:paraId="45F630E7" w14:textId="77777777" w:rsidTr="007414CB">
        <w:tc>
          <w:tcPr>
            <w:tcW w:w="9288" w:type="dxa"/>
            <w:shd w:val="clear" w:color="auto" w:fill="92CDDC" w:themeFill="accent5" w:themeFillTint="99"/>
          </w:tcPr>
          <w:p w14:paraId="10A9322A" w14:textId="77777777" w:rsidR="000D6E33"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7E96408C"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956858737" w:edGrp="everyone" w:displacedByCustomXml="prev"/>
              <w:p w14:paraId="046C6A92" w14:textId="161B8036" w:rsidR="000D6E33" w:rsidRPr="009F0408" w:rsidRDefault="00AC19E3" w:rsidP="009F0408">
                <w:pPr>
                  <w:pStyle w:val="ListParagraph"/>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r w:rsidR="009F0408">
                  <w:rPr>
                    <w:rFonts w:ascii="Times New Roman" w:hAnsi="Times New Roman" w:cs="Times New Roman"/>
                    <w:b/>
                    <w:lang w:val="is-IS"/>
                  </w:rPr>
                  <w:t xml:space="preserve">. </w:t>
                </w:r>
                <w:r w:rsidR="00C77558" w:rsidRPr="009F0408">
                  <w:rPr>
                    <w:rFonts w:ascii="Times New Roman" w:hAnsi="Times New Roman" w:cs="Times New Roman"/>
                    <w:i/>
                    <w:lang w:val="is-IS"/>
                  </w:rPr>
                  <w:t>Á ekki við.</w:t>
                </w:r>
              </w:p>
              <w:p w14:paraId="30AAE767" w14:textId="7F857958" w:rsidR="00AC19E3" w:rsidRPr="009F0408" w:rsidRDefault="00AC19E3" w:rsidP="009F0408">
                <w:pPr>
                  <w:pStyle w:val="ListParagraph"/>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r w:rsidR="009F0408">
                  <w:rPr>
                    <w:rFonts w:ascii="Times New Roman" w:hAnsi="Times New Roman" w:cs="Times New Roman"/>
                    <w:b/>
                    <w:lang w:val="is-IS"/>
                  </w:rPr>
                  <w:t xml:space="preserve">. </w:t>
                </w:r>
                <w:r w:rsidR="00C77558" w:rsidRPr="009F0408">
                  <w:rPr>
                    <w:rFonts w:ascii="Times New Roman" w:hAnsi="Times New Roman" w:cs="Times New Roman"/>
                    <w:i/>
                    <w:lang w:val="is-IS"/>
                  </w:rPr>
                  <w:t>Á ekki við.</w:t>
                </w:r>
              </w:p>
              <w:p w14:paraId="63779370" w14:textId="2D69E4E6" w:rsidR="00AC19E3" w:rsidRPr="009F0408" w:rsidRDefault="00AC19E3" w:rsidP="009F0408">
                <w:pPr>
                  <w:pStyle w:val="ListParagraph"/>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9F0408">
                  <w:rPr>
                    <w:rFonts w:ascii="Times New Roman" w:hAnsi="Times New Roman" w:cs="Times New Roman"/>
                    <w:b/>
                    <w:lang w:val="is-IS"/>
                  </w:rPr>
                  <w:t>.</w:t>
                </w:r>
                <w:r w:rsidR="008734A0" w:rsidRPr="004E0E11">
                  <w:rPr>
                    <w:rFonts w:ascii="Times New Roman" w:hAnsi="Times New Roman" w:cs="Times New Roman"/>
                    <w:b/>
                    <w:lang w:val="is-IS"/>
                  </w:rPr>
                  <w:t xml:space="preserve"> </w:t>
                </w:r>
                <w:r w:rsidR="00C77558" w:rsidRPr="009F0408">
                  <w:rPr>
                    <w:rFonts w:ascii="Times New Roman" w:hAnsi="Times New Roman" w:cs="Times New Roman"/>
                    <w:i/>
                    <w:lang w:val="is-IS"/>
                  </w:rPr>
                  <w:t>Á ekki við.</w:t>
                </w:r>
              </w:p>
              <w:p w14:paraId="7D602971" w14:textId="77777777" w:rsidR="00AC19E3" w:rsidRDefault="00AC19E3" w:rsidP="00AC19E3">
                <w:pPr>
                  <w:pStyle w:val="ListParagraph"/>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r w:rsidR="00C77558">
                  <w:rPr>
                    <w:rFonts w:ascii="Times New Roman" w:hAnsi="Times New Roman" w:cs="Times New Roman"/>
                    <w:b/>
                    <w:lang w:val="is-IS"/>
                  </w:rPr>
                  <w:t>.</w:t>
                </w:r>
                <w:r w:rsidR="00C77558">
                  <w:rPr>
                    <w:rFonts w:ascii="Times New Roman" w:hAnsi="Times New Roman" w:cs="Times New Roman"/>
                    <w:lang w:val="is-IS"/>
                  </w:rPr>
                  <w:t xml:space="preserve"> </w:t>
                </w:r>
                <w:r w:rsidR="00C77558" w:rsidRPr="00C77558">
                  <w:rPr>
                    <w:rFonts w:ascii="Times New Roman" w:hAnsi="Times New Roman" w:cs="Times New Roman"/>
                    <w:i/>
                    <w:lang w:val="is-IS"/>
                  </w:rPr>
                  <w:t>Á ekki við.</w:t>
                </w:r>
              </w:p>
              <w:p w14:paraId="6D22DA9F" w14:textId="77777777" w:rsidR="00AC19E3" w:rsidRDefault="00AC19E3" w:rsidP="00AC19E3">
                <w:pPr>
                  <w:pStyle w:val="ListParagraph"/>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6D29E84A" w14:textId="5F0144F5" w:rsidR="00AC19E3" w:rsidRPr="00C77558" w:rsidRDefault="00AC19E3" w:rsidP="00C77558">
                <w:pPr>
                  <w:pStyle w:val="ListParagraph"/>
                  <w:numPr>
                    <w:ilvl w:val="0"/>
                    <w:numId w:val="16"/>
                  </w:numPr>
                  <w:spacing w:before="60" w:after="60"/>
                  <w:contextualSpacing w:val="0"/>
                  <w:rPr>
                    <w:rFonts w:ascii="Times New Roman" w:hAnsi="Times New Roman" w:cs="Times New Roman"/>
                    <w:lang w:val="is-IS"/>
                  </w:rPr>
                </w:pPr>
                <w:r w:rsidRPr="00C77558">
                  <w:rPr>
                    <w:rFonts w:ascii="Times New Roman" w:hAnsi="Times New Roman" w:cs="Times New Roman"/>
                    <w:b/>
                    <w:lang w:val="is-IS"/>
                  </w:rPr>
                  <w:t>Áhrif á jafnrétti kynjanna</w:t>
                </w:r>
                <w:r w:rsidR="009F0408">
                  <w:rPr>
                    <w:rFonts w:ascii="Times New Roman" w:hAnsi="Times New Roman" w:cs="Times New Roman"/>
                    <w:b/>
                    <w:lang w:val="is-IS"/>
                  </w:rPr>
                  <w:t>.</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7BC159B0" w14:textId="27A75E3B"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r w:rsidR="009F0408">
                  <w:rPr>
                    <w:rFonts w:ascii="Times New Roman" w:hAnsi="Times New Roman" w:cs="Times New Roman"/>
                    <w:b/>
                    <w:lang w:val="is-IS"/>
                  </w:rPr>
                  <w:t>.</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439AAA0D" w14:textId="787C5B29"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r w:rsidR="009F0408">
                  <w:rPr>
                    <w:rFonts w:ascii="Times New Roman" w:hAnsi="Times New Roman" w:cs="Times New Roman"/>
                    <w:b/>
                    <w:lang w:val="is-IS"/>
                  </w:rPr>
                  <w:t>.</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1F7A8AF8" w14:textId="53DC7A27"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r w:rsidR="009F0408">
                  <w:rPr>
                    <w:rFonts w:ascii="Times New Roman" w:hAnsi="Times New Roman" w:cs="Times New Roman"/>
                    <w:b/>
                    <w:lang w:val="is-IS"/>
                  </w:rPr>
                  <w:t>.</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3B320231" w14:textId="43DF98A8"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r w:rsidR="009F0408">
                  <w:rPr>
                    <w:rFonts w:ascii="Times New Roman" w:hAnsi="Times New Roman" w:cs="Times New Roman"/>
                    <w:b/>
                    <w:lang w:val="is-IS"/>
                  </w:rPr>
                  <w:t>.</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088AF130" w14:textId="2B807DB6"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r w:rsidR="009F0408">
                  <w:rPr>
                    <w:rFonts w:ascii="Times New Roman" w:hAnsi="Times New Roman" w:cs="Times New Roman"/>
                    <w:b/>
                    <w:lang w:val="is-IS"/>
                  </w:rPr>
                  <w:t>.</w:t>
                </w:r>
                <w:r w:rsidR="00C77558">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 w14:paraId="55537AAE" w14:textId="1A729FC0" w:rsidR="000D6E33" w:rsidRPr="00346619" w:rsidRDefault="00346619" w:rsidP="008831B4">
                <w:pPr>
                  <w:pStyle w:val="ListParagraph"/>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sidR="009F0408">
                  <w:rPr>
                    <w:rFonts w:ascii="Times New Roman" w:hAnsi="Times New Roman" w:cs="Times New Roman"/>
                    <w:b/>
                    <w:lang w:val="is-IS"/>
                  </w:rPr>
                  <w:t>.</w:t>
                </w:r>
                <w:r>
                  <w:rPr>
                    <w:rFonts w:ascii="Times New Roman" w:hAnsi="Times New Roman" w:cs="Times New Roman"/>
                    <w:b/>
                    <w:lang w:val="is-IS"/>
                  </w:rPr>
                  <w:t xml:space="preserve"> </w:t>
                </w:r>
                <w:r w:rsidR="00C77558" w:rsidRPr="00C77558">
                  <w:rPr>
                    <w:rFonts w:ascii="Times New Roman" w:hAnsi="Times New Roman" w:cs="Times New Roman"/>
                    <w:i/>
                    <w:lang w:val="is-IS"/>
                  </w:rPr>
                  <w:t>Á ekki við.</w:t>
                </w:r>
              </w:p>
              <w:permEnd w:id="1956858737" w:displacedByCustomXml="next"/>
            </w:sdtContent>
          </w:sdt>
        </w:tc>
      </w:tr>
      <w:tr w:rsidR="00311838" w:rsidRPr="0047580A" w14:paraId="0F8BED0C" w14:textId="77777777" w:rsidTr="007414CB">
        <w:tc>
          <w:tcPr>
            <w:tcW w:w="9288" w:type="dxa"/>
            <w:shd w:val="clear" w:color="auto" w:fill="92CDDC" w:themeFill="accent5" w:themeFillTint="99"/>
          </w:tcPr>
          <w:p w14:paraId="653724CE" w14:textId="77777777" w:rsidR="00311838"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645B7257"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96669159" w:edGrp="everyone" w:displacedByCustomXml="prev"/>
              <w:p w14:paraId="0611A2A8" w14:textId="6F25CE13" w:rsidR="000073F7" w:rsidRDefault="000073F7" w:rsidP="00236554">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sidR="009F0408">
                  <w:rPr>
                    <w:rFonts w:ascii="Times New Roman" w:hAnsi="Times New Roman" w:cs="Times New Roman"/>
                    <w:b/>
                    <w:lang w:val="is-IS"/>
                  </w:rPr>
                  <w:t>.</w:t>
                </w:r>
                <w:r>
                  <w:rPr>
                    <w:rFonts w:ascii="Times New Roman" w:hAnsi="Times New Roman" w:cs="Times New Roman"/>
                    <w:b/>
                    <w:lang w:val="is-IS"/>
                  </w:rPr>
                  <w:t xml:space="preserve">  </w:t>
                </w:r>
                <w:r w:rsidR="00236554" w:rsidRPr="00236554">
                  <w:rPr>
                    <w:rFonts w:ascii="Times New Roman" w:hAnsi="Times New Roman" w:cs="Times New Roman"/>
                    <w:i/>
                    <w:lang w:val="is-IS"/>
                  </w:rPr>
                  <w:t xml:space="preserve">Með frumvarpinu verður ríkissjóði heimilt að gefa út verðtryggð skuldabréf tengd VNVÁH. Ekki er útilokað að þær markaðsaðstæður komi upp að það verði talið ákjósanlegt fyrir ríkið að gefa út slík skuldabréf og því er þessi fjölgun </w:t>
                </w:r>
                <w:r w:rsidR="00236554" w:rsidRPr="00236554">
                  <w:rPr>
                    <w:rFonts w:ascii="Times New Roman" w:hAnsi="Times New Roman" w:cs="Times New Roman"/>
                    <w:i/>
                    <w:lang w:val="is-IS"/>
                  </w:rPr>
                  <w:lastRenderedPageBreak/>
                  <w:t>fjármögnunarkosta hagfelld fyrir ríkissjóð til lengri tíma litið. Að öðru leyti eru bein áhrif frumvarpsins á afkomu A-hluta ríkissjóðs óveruleg. Þau eru einkum í gegnum vaxtabótakerfið, en þar ber að líta til þess að ákvæði frumvarpsins taka aðeins til nýrra lánveitinga og óvíst er hvernig sá hópur sem hefði að öðrum kosti tekið 40 ára verðtryggð jafngreiðslulán mun haga sínum lántökum og þar af leiðandi hver vaxtabyrði hans verður.</w:t>
                </w:r>
              </w:p>
              <w:p w14:paraId="6D99AA78" w14:textId="594E9BD1" w:rsidR="000073F7" w:rsidRPr="00CA3381" w:rsidRDefault="000073F7" w:rsidP="007E6B07">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vekja athygli á</w:t>
                </w:r>
                <w:r w:rsidR="009F0408">
                  <w:rPr>
                    <w:rFonts w:ascii="Times New Roman" w:hAnsi="Times New Roman" w:cs="Times New Roman"/>
                    <w:b/>
                    <w:lang w:val="is-IS"/>
                  </w:rPr>
                  <w:t>.</w:t>
                </w:r>
                <w:r>
                  <w:rPr>
                    <w:rFonts w:ascii="Times New Roman" w:hAnsi="Times New Roman" w:cs="Times New Roman"/>
                    <w:b/>
                    <w:lang w:val="is-IS"/>
                  </w:rPr>
                  <w:t xml:space="preserve"> </w:t>
                </w:r>
                <w:r w:rsidR="007E6B07" w:rsidRPr="007E6B07">
                  <w:rPr>
                    <w:rFonts w:ascii="Times New Roman" w:hAnsi="Times New Roman" w:cs="Times New Roman"/>
                    <w:i/>
                    <w:lang w:val="is-IS"/>
                  </w:rPr>
                  <w:t>a)</w:t>
                </w:r>
                <w:r w:rsidR="007E6B07">
                  <w:rPr>
                    <w:rFonts w:ascii="Times New Roman" w:hAnsi="Times New Roman" w:cs="Times New Roman"/>
                    <w:i/>
                    <w:lang w:val="is-IS"/>
                  </w:rPr>
                  <w:t xml:space="preserve"> </w:t>
                </w:r>
                <w:r w:rsidR="008906E9" w:rsidRPr="008906E9">
                  <w:rPr>
                    <w:rFonts w:ascii="Times New Roman" w:hAnsi="Times New Roman" w:cs="Times New Roman"/>
                    <w:i/>
                    <w:lang w:val="is-IS"/>
                  </w:rPr>
                  <w:t>Með hliðsjón af núverandi útlánareglum Íbúðalánasjóðs, að því er varðar almenn lán og þróun heildarútlána undanfarin ár, gefa ákvæði frumvarpsins ekki tilefni til að ætla að samþykkt þess muni hafa áhrif á ábyrgðarskuldbindingar ríkissjóðs vegna Íbúðalánasjóðs. Þá er ekki gert ráð fyrir að samþykkt frumvarpsins muni hafa áhrif á verðmæti eignarhluta ríkissjóðs í fjármálafyrirtækjum þar sem ákvæði þess taka einungs til nýrra lánveitinga og að gera má ráð fyrir því að ekki verði teljandi breytingar á þróun heildarútlána.</w:t>
                </w:r>
                <w:r w:rsidR="007E6B07">
                  <w:rPr>
                    <w:rFonts w:ascii="Times New Roman" w:hAnsi="Times New Roman" w:cs="Times New Roman"/>
                    <w:i/>
                    <w:lang w:val="is-IS"/>
                  </w:rPr>
                  <w:t xml:space="preserve"> b) </w:t>
                </w:r>
                <w:r w:rsidR="007E6B07" w:rsidRPr="007E6B07">
                  <w:rPr>
                    <w:rFonts w:ascii="Times New Roman" w:hAnsi="Times New Roman" w:cs="Times New Roman"/>
                    <w:i/>
                    <w:lang w:val="is-IS"/>
                  </w:rPr>
                  <w:t>Lánastofnanir gætu ákveðið að bjóða upp á lán sem eru ekki verðtryggð jafngreiðslulán en líkja að einhverju leyti eftir eiginleikum þeirra, sér í lagi lágri greiðslubyrði á fyrsta gjalddaga.</w:t>
                </w:r>
              </w:p>
              <w:p w14:paraId="3B2DBA93" w14:textId="01DF1A6B" w:rsidR="00CA3381" w:rsidRPr="00F33A33" w:rsidRDefault="00346619" w:rsidP="00236554">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9F0408">
                  <w:rPr>
                    <w:rFonts w:ascii="Times New Roman" w:hAnsi="Times New Roman" w:cs="Times New Roman"/>
                    <w:b/>
                    <w:lang w:val="is-IS"/>
                  </w:rPr>
                  <w:t>.</w:t>
                </w:r>
                <w:r w:rsidR="00DE5F9F">
                  <w:rPr>
                    <w:rFonts w:ascii="Times New Roman" w:hAnsi="Times New Roman" w:cs="Times New Roman"/>
                    <w:b/>
                    <w:lang w:val="is-IS"/>
                  </w:rPr>
                  <w:t xml:space="preserve"> </w:t>
                </w:r>
                <w:r w:rsidR="00D8478E" w:rsidRPr="00D8478E">
                  <w:rPr>
                    <w:rFonts w:ascii="Times New Roman" w:hAnsi="Times New Roman" w:cs="Times New Roman"/>
                    <w:i/>
                    <w:lang w:val="is-IS"/>
                  </w:rPr>
                  <w:t xml:space="preserve">a) </w:t>
                </w:r>
                <w:r w:rsidR="00DE5F9F">
                  <w:rPr>
                    <w:rFonts w:ascii="Times New Roman" w:hAnsi="Times New Roman" w:cs="Times New Roman"/>
                    <w:i/>
                    <w:lang w:val="is-IS"/>
                  </w:rPr>
                  <w:t>Samfélagslegur ávinningur felst í því að mögulegt verði að tryggja hagkvæmari fjármögnun ríkissjóðs og lækka vaxtagjöld sjóðsins og búa þannig til svigrúm til lægri skatta eða aukinnar opinberrar þjónustu.</w:t>
                </w:r>
                <w:r w:rsidR="00D8478E">
                  <w:rPr>
                    <w:rFonts w:ascii="Times New Roman" w:hAnsi="Times New Roman" w:cs="Times New Roman"/>
                    <w:i/>
                    <w:lang w:val="is-IS"/>
                  </w:rPr>
                  <w:t xml:space="preserve"> b) Gera má ráð fyrir h</w:t>
                </w:r>
                <w:r w:rsidR="00236554" w:rsidRPr="00236554">
                  <w:rPr>
                    <w:rFonts w:ascii="Times New Roman" w:hAnsi="Times New Roman" w:cs="Times New Roman"/>
                    <w:i/>
                    <w:lang w:val="is-IS"/>
                  </w:rPr>
                  <w:t>raðari eignamyndun að jafnaði hjá þeim sem taka verðtryggð íbúðalán og þar með minni hættu á að eigið fé þeirra í húsnæði verði neikvætt, en aftur á móti er líklegt að lægsta mögulega greiðslubyrði verðtryggðra íbúðalána verði hærri en ella.</w:t>
                </w:r>
                <w:r w:rsidR="00236554">
                  <w:t xml:space="preserve"> </w:t>
                </w:r>
              </w:p>
              <w:permEnd w:id="96669159" w:displacedByCustomXml="next"/>
            </w:sdtContent>
          </w:sdt>
        </w:tc>
      </w:tr>
      <w:tr w:rsidR="00EB6651" w:rsidRPr="0047580A" w14:paraId="2BABD7DE" w14:textId="77777777" w:rsidTr="00EB6651">
        <w:tc>
          <w:tcPr>
            <w:tcW w:w="9288" w:type="dxa"/>
            <w:shd w:val="clear" w:color="auto" w:fill="92CDDC" w:themeFill="accent5" w:themeFillTint="99"/>
          </w:tcPr>
          <w:p w14:paraId="233E64C0" w14:textId="77777777" w:rsidR="00EB6651" w:rsidRPr="00BF3F59" w:rsidRDefault="00D64A3D" w:rsidP="00D64A3D">
            <w:pPr>
              <w:pStyle w:val="ListParagraph"/>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lastRenderedPageBreak/>
              <w:t>Til útfyllingar vegna endanlegs mats – breytingar frá frummati</w:t>
            </w:r>
          </w:p>
        </w:tc>
      </w:tr>
      <w:tr w:rsidR="00EB6651" w:rsidRPr="00CA3381" w14:paraId="48A38751" w14:textId="77777777" w:rsidTr="00EB6651">
        <w:tc>
          <w:tcPr>
            <w:tcW w:w="9288" w:type="dxa"/>
          </w:tcPr>
          <w:sdt>
            <w:sdtPr>
              <w:rPr>
                <w:rFonts w:ascii="Times New Roman" w:hAnsi="Times New Roman" w:cs="Times New Roman"/>
                <w:b/>
                <w:lang w:val="is-IS"/>
              </w:rPr>
              <w:id w:val="-1269299813"/>
            </w:sdtPr>
            <w:sdtEndPr/>
            <w:sdtContent>
              <w:permStart w:id="76315826" w:edGrp="everyone" w:displacedByCustomXml="prev"/>
              <w:p w14:paraId="7A852960" w14:textId="0F5673BE" w:rsidR="00EB6651" w:rsidRPr="00BF3F59" w:rsidRDefault="00D64A3D" w:rsidP="00D64A3D">
                <w:pPr>
                  <w:pStyle w:val="ListParagraph"/>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r w:rsidR="00236554" w:rsidRPr="00236554">
                  <w:rPr>
                    <w:rFonts w:ascii="Times New Roman" w:hAnsi="Times New Roman" w:cs="Times New Roman"/>
                    <w:i/>
                    <w:lang w:val="is-IS"/>
                  </w:rPr>
                  <w:t>Á ekki við.</w:t>
                </w:r>
              </w:p>
              <w:p w14:paraId="61913DE3" w14:textId="28295DD3" w:rsidR="00EB6651" w:rsidRPr="00BF3F59" w:rsidRDefault="00D64A3D" w:rsidP="00D64A3D">
                <w:pPr>
                  <w:pStyle w:val="ListParagraph"/>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r w:rsidR="00236554" w:rsidRPr="00236554">
                  <w:rPr>
                    <w:rFonts w:ascii="Times New Roman" w:hAnsi="Times New Roman" w:cs="Times New Roman"/>
                    <w:i/>
                    <w:lang w:val="is-IS"/>
                  </w:rPr>
                  <w:t>Á ekki við.</w:t>
                </w:r>
              </w:p>
              <w:p w14:paraId="1C000A9A" w14:textId="52DFE965" w:rsidR="00EB6651" w:rsidRPr="00BF3F59" w:rsidRDefault="00D64A3D" w:rsidP="000073F7">
                <w:pPr>
                  <w:pStyle w:val="ListParagraph"/>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ermEnd w:id="76315826"/>
                <w:r w:rsidR="00236554" w:rsidRPr="00236554">
                  <w:rPr>
                    <w:rFonts w:ascii="Times New Roman" w:hAnsi="Times New Roman" w:cs="Times New Roman"/>
                    <w:i/>
                    <w:lang w:val="is-IS"/>
                  </w:rPr>
                  <w:t>Á ekki við.</w:t>
                </w:r>
              </w:p>
            </w:sdtContent>
          </w:sdt>
        </w:tc>
      </w:tr>
    </w:tbl>
    <w:p w14:paraId="448B124E" w14:textId="77777777" w:rsidR="00263F72" w:rsidRDefault="00263F72">
      <w:pPr>
        <w:rPr>
          <w:rFonts w:ascii="Times New Roman" w:hAnsi="Times New Roman" w:cs="Times New Roman"/>
          <w:lang w:val="is-IS"/>
        </w:rPr>
      </w:pPr>
    </w:p>
    <w:p w14:paraId="264A190C" w14:textId="77777777" w:rsidR="00E568F6" w:rsidRDefault="00E568F6" w:rsidP="00E568F6">
      <w:pPr>
        <w:rPr>
          <w:rFonts w:ascii="Times New Roman" w:hAnsi="Times New Roman" w:cs="Times New Roman"/>
          <w:lang w:val="is-IS"/>
        </w:rPr>
      </w:pPr>
    </w:p>
    <w:p w14:paraId="03AFAB9E"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FF3F9" w14:textId="77777777" w:rsidR="00264E0F" w:rsidRDefault="00264E0F" w:rsidP="007478E0">
      <w:pPr>
        <w:spacing w:after="0" w:line="240" w:lineRule="auto"/>
      </w:pPr>
      <w:r>
        <w:separator/>
      </w:r>
    </w:p>
  </w:endnote>
  <w:endnote w:type="continuationSeparator" w:id="0">
    <w:p w14:paraId="1A209DC3" w14:textId="77777777" w:rsidR="00264E0F" w:rsidRDefault="00264E0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6EA90188" w14:textId="50295292" w:rsidR="00264E0F" w:rsidRDefault="00264E0F" w:rsidP="002A4788">
        <w:pPr>
          <w:pStyle w:val="Footer"/>
          <w:jc w:val="center"/>
        </w:pPr>
        <w:r>
          <w:fldChar w:fldCharType="begin"/>
        </w:r>
        <w:r>
          <w:instrText>PAGE   \* MERGEFORMAT</w:instrText>
        </w:r>
        <w:r>
          <w:fldChar w:fldCharType="separate"/>
        </w:r>
        <w:r w:rsidR="00686E31" w:rsidRPr="00686E31">
          <w:rPr>
            <w:noProof/>
            <w:lang w:val="is-IS"/>
          </w:rPr>
          <w:t>4</w:t>
        </w:r>
        <w:r>
          <w:rPr>
            <w:noProof/>
          </w:rPr>
          <w:fldChar w:fldCharType="end"/>
        </w:r>
      </w:p>
    </w:sdtContent>
  </w:sdt>
  <w:p w14:paraId="64ACBB29" w14:textId="77777777" w:rsidR="00264E0F" w:rsidRPr="00063E97" w:rsidRDefault="00264E0F"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1</w:t>
    </w:r>
    <w:r w:rsidRPr="00063E97">
      <w:rPr>
        <w:rFonts w:ascii="Times New Roman" w:hAnsi="Times New Roman" w:cs="Times New Roman"/>
        <w:noProof/>
        <w:sz w:val="20"/>
        <w:szCs w:val="20"/>
      </w:rPr>
      <w:t xml:space="preserve"> – </w:t>
    </w:r>
    <w:r>
      <w:rPr>
        <w:rFonts w:ascii="Times New Roman" w:hAnsi="Times New Roman" w:cs="Times New Roman"/>
        <w:noProof/>
        <w:sz w:val="20"/>
        <w:szCs w:val="20"/>
      </w:rPr>
      <w:t>Ágúst</w:t>
    </w:r>
    <w:r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6EEC1" w14:textId="77777777" w:rsidR="00264E0F" w:rsidRDefault="00264E0F" w:rsidP="007478E0">
      <w:pPr>
        <w:spacing w:after="0" w:line="240" w:lineRule="auto"/>
      </w:pPr>
      <w:r>
        <w:separator/>
      </w:r>
    </w:p>
  </w:footnote>
  <w:footnote w:type="continuationSeparator" w:id="0">
    <w:p w14:paraId="02BB34DD" w14:textId="77777777" w:rsidR="00264E0F" w:rsidRDefault="00264E0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43219F0"/>
    <w:multiLevelType w:val="hybridMultilevel"/>
    <w:tmpl w:val="C05C1288"/>
    <w:lvl w:ilvl="0" w:tplc="F9B4F2F8">
      <w:start w:val="6"/>
      <w:numFmt w:val="bullet"/>
      <w:lvlText w:val="-"/>
      <w:lvlJc w:val="left"/>
      <w:pPr>
        <w:ind w:left="1080" w:hanging="360"/>
      </w:pPr>
      <w:rPr>
        <w:rFonts w:ascii="Times New Roman" w:eastAsiaTheme="minorHAnsi" w:hAnsi="Times New Roman" w:cs="Times New Roman" w:hint="default"/>
        <w:b w:val="0"/>
        <w:i/>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1"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8"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7086810"/>
    <w:multiLevelType w:val="hybridMultilevel"/>
    <w:tmpl w:val="460CA97E"/>
    <w:lvl w:ilvl="0" w:tplc="27BCD530">
      <w:start w:val="2"/>
      <w:numFmt w:val="bullet"/>
      <w:lvlText w:val="-"/>
      <w:lvlJc w:val="left"/>
      <w:pPr>
        <w:ind w:left="1080" w:hanging="360"/>
      </w:pPr>
      <w:rPr>
        <w:rFonts w:ascii="Times New Roman" w:eastAsiaTheme="minorHAnsi" w:hAnsi="Times New Roman" w:cs="Times New Roman" w:hint="default"/>
        <w:i/>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4"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5"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6"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8"/>
  </w:num>
  <w:num w:numId="2">
    <w:abstractNumId w:val="20"/>
  </w:num>
  <w:num w:numId="3">
    <w:abstractNumId w:val="1"/>
  </w:num>
  <w:num w:numId="4">
    <w:abstractNumId w:val="29"/>
  </w:num>
  <w:num w:numId="5">
    <w:abstractNumId w:val="19"/>
  </w:num>
  <w:num w:numId="6">
    <w:abstractNumId w:val="13"/>
  </w:num>
  <w:num w:numId="7">
    <w:abstractNumId w:val="8"/>
  </w:num>
  <w:num w:numId="8">
    <w:abstractNumId w:val="6"/>
  </w:num>
  <w:num w:numId="9">
    <w:abstractNumId w:val="15"/>
  </w:num>
  <w:num w:numId="10">
    <w:abstractNumId w:val="16"/>
  </w:num>
  <w:num w:numId="11">
    <w:abstractNumId w:val="26"/>
  </w:num>
  <w:num w:numId="12">
    <w:abstractNumId w:val="28"/>
  </w:num>
  <w:num w:numId="13">
    <w:abstractNumId w:val="2"/>
  </w:num>
  <w:num w:numId="14">
    <w:abstractNumId w:val="3"/>
  </w:num>
  <w:num w:numId="15">
    <w:abstractNumId w:val="30"/>
  </w:num>
  <w:num w:numId="16">
    <w:abstractNumId w:val="0"/>
  </w:num>
  <w:num w:numId="17">
    <w:abstractNumId w:val="14"/>
  </w:num>
  <w:num w:numId="18">
    <w:abstractNumId w:val="24"/>
  </w:num>
  <w:num w:numId="19">
    <w:abstractNumId w:val="25"/>
  </w:num>
  <w:num w:numId="20">
    <w:abstractNumId w:val="21"/>
  </w:num>
  <w:num w:numId="21">
    <w:abstractNumId w:val="11"/>
  </w:num>
  <w:num w:numId="22">
    <w:abstractNumId w:val="22"/>
  </w:num>
  <w:num w:numId="23">
    <w:abstractNumId w:val="17"/>
  </w:num>
  <w:num w:numId="24">
    <w:abstractNumId w:val="4"/>
  </w:num>
  <w:num w:numId="25">
    <w:abstractNumId w:val="9"/>
  </w:num>
  <w:num w:numId="26">
    <w:abstractNumId w:val="7"/>
  </w:num>
  <w:num w:numId="27">
    <w:abstractNumId w:val="27"/>
  </w:num>
  <w:num w:numId="28">
    <w:abstractNumId w:val="5"/>
  </w:num>
  <w:num w:numId="29">
    <w:abstractNumId w:val="12"/>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ocumentProtection w:edit="readOnly" w:enforcement="1" w:cryptProviderType="rsaFull" w:cryptAlgorithmClass="hash" w:cryptAlgorithmType="typeAny" w:cryptAlgorithmSid="4" w:cryptSpinCount="100000" w:hash="ovMPgZfD/s4mmAc76JQO8+rn12Y=" w:salt="nxkSRBtERt9kfNoXlWurIg=="/>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7073F"/>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87E36"/>
    <w:rsid w:val="001972B9"/>
    <w:rsid w:val="001B69DD"/>
    <w:rsid w:val="001D117E"/>
    <w:rsid w:val="001D278A"/>
    <w:rsid w:val="001D30D8"/>
    <w:rsid w:val="001D5BCE"/>
    <w:rsid w:val="001E2499"/>
    <w:rsid w:val="001E7950"/>
    <w:rsid w:val="001F7268"/>
    <w:rsid w:val="00204605"/>
    <w:rsid w:val="00205156"/>
    <w:rsid w:val="002115E6"/>
    <w:rsid w:val="0021293B"/>
    <w:rsid w:val="00236554"/>
    <w:rsid w:val="00237053"/>
    <w:rsid w:val="00242342"/>
    <w:rsid w:val="00244F3D"/>
    <w:rsid w:val="00263F72"/>
    <w:rsid w:val="00264E0F"/>
    <w:rsid w:val="002666DE"/>
    <w:rsid w:val="00267F64"/>
    <w:rsid w:val="002704D7"/>
    <w:rsid w:val="00281D86"/>
    <w:rsid w:val="002A4788"/>
    <w:rsid w:val="002B70B7"/>
    <w:rsid w:val="002C2C53"/>
    <w:rsid w:val="002C76B6"/>
    <w:rsid w:val="002F1F8D"/>
    <w:rsid w:val="002F5A2D"/>
    <w:rsid w:val="00301FF8"/>
    <w:rsid w:val="003025EB"/>
    <w:rsid w:val="00311838"/>
    <w:rsid w:val="00312CBE"/>
    <w:rsid w:val="00332D49"/>
    <w:rsid w:val="00335A2A"/>
    <w:rsid w:val="00346619"/>
    <w:rsid w:val="00350CD3"/>
    <w:rsid w:val="0035270D"/>
    <w:rsid w:val="00364D97"/>
    <w:rsid w:val="003711B1"/>
    <w:rsid w:val="003A1821"/>
    <w:rsid w:val="003B784E"/>
    <w:rsid w:val="003C66CA"/>
    <w:rsid w:val="003D01BF"/>
    <w:rsid w:val="003D1515"/>
    <w:rsid w:val="003E611E"/>
    <w:rsid w:val="003F530A"/>
    <w:rsid w:val="00403139"/>
    <w:rsid w:val="004259FF"/>
    <w:rsid w:val="0043227F"/>
    <w:rsid w:val="004433F4"/>
    <w:rsid w:val="00450029"/>
    <w:rsid w:val="004604F4"/>
    <w:rsid w:val="00461BF8"/>
    <w:rsid w:val="0047580A"/>
    <w:rsid w:val="004865BB"/>
    <w:rsid w:val="00496CDD"/>
    <w:rsid w:val="004978E5"/>
    <w:rsid w:val="004A3002"/>
    <w:rsid w:val="004A515F"/>
    <w:rsid w:val="004D291D"/>
    <w:rsid w:val="004E0322"/>
    <w:rsid w:val="004E0E11"/>
    <w:rsid w:val="004E4F53"/>
    <w:rsid w:val="004F0024"/>
    <w:rsid w:val="004F142F"/>
    <w:rsid w:val="004F1C38"/>
    <w:rsid w:val="004F5331"/>
    <w:rsid w:val="00516A63"/>
    <w:rsid w:val="005176D0"/>
    <w:rsid w:val="00532D45"/>
    <w:rsid w:val="00535EC4"/>
    <w:rsid w:val="00563C46"/>
    <w:rsid w:val="005641B1"/>
    <w:rsid w:val="00564856"/>
    <w:rsid w:val="00592E19"/>
    <w:rsid w:val="005A2A30"/>
    <w:rsid w:val="005B46C8"/>
    <w:rsid w:val="005C123A"/>
    <w:rsid w:val="005C1678"/>
    <w:rsid w:val="005E44E3"/>
    <w:rsid w:val="00600B43"/>
    <w:rsid w:val="00613815"/>
    <w:rsid w:val="00614FAD"/>
    <w:rsid w:val="00676A80"/>
    <w:rsid w:val="00686E31"/>
    <w:rsid w:val="00694183"/>
    <w:rsid w:val="006960C1"/>
    <w:rsid w:val="00697B19"/>
    <w:rsid w:val="006C5CA8"/>
    <w:rsid w:val="006C6EA3"/>
    <w:rsid w:val="006D5876"/>
    <w:rsid w:val="006D76C1"/>
    <w:rsid w:val="006F0215"/>
    <w:rsid w:val="006F69D7"/>
    <w:rsid w:val="00700AB1"/>
    <w:rsid w:val="00704B91"/>
    <w:rsid w:val="00706737"/>
    <w:rsid w:val="0072290C"/>
    <w:rsid w:val="00725E5F"/>
    <w:rsid w:val="00730F7B"/>
    <w:rsid w:val="00731AD2"/>
    <w:rsid w:val="007365C0"/>
    <w:rsid w:val="007414CB"/>
    <w:rsid w:val="007478E0"/>
    <w:rsid w:val="00761AFD"/>
    <w:rsid w:val="00784383"/>
    <w:rsid w:val="00795B16"/>
    <w:rsid w:val="00796FBB"/>
    <w:rsid w:val="007A02FD"/>
    <w:rsid w:val="007B71B2"/>
    <w:rsid w:val="007C7454"/>
    <w:rsid w:val="007E6B07"/>
    <w:rsid w:val="007F64AB"/>
    <w:rsid w:val="00800728"/>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906E9"/>
    <w:rsid w:val="008A2C75"/>
    <w:rsid w:val="008A316E"/>
    <w:rsid w:val="008C5992"/>
    <w:rsid w:val="008D09FC"/>
    <w:rsid w:val="008D6046"/>
    <w:rsid w:val="008E14CF"/>
    <w:rsid w:val="008E4EEE"/>
    <w:rsid w:val="00924C69"/>
    <w:rsid w:val="00927155"/>
    <w:rsid w:val="009304E2"/>
    <w:rsid w:val="00932BC6"/>
    <w:rsid w:val="00933946"/>
    <w:rsid w:val="00941142"/>
    <w:rsid w:val="009439F8"/>
    <w:rsid w:val="00944199"/>
    <w:rsid w:val="009449CA"/>
    <w:rsid w:val="009458E5"/>
    <w:rsid w:val="00951F81"/>
    <w:rsid w:val="00956B33"/>
    <w:rsid w:val="009602BA"/>
    <w:rsid w:val="00960D10"/>
    <w:rsid w:val="00986DC2"/>
    <w:rsid w:val="00993115"/>
    <w:rsid w:val="00994012"/>
    <w:rsid w:val="009941D2"/>
    <w:rsid w:val="009B7A52"/>
    <w:rsid w:val="009C2DA3"/>
    <w:rsid w:val="009C3565"/>
    <w:rsid w:val="009F0408"/>
    <w:rsid w:val="009F43E8"/>
    <w:rsid w:val="009F64EA"/>
    <w:rsid w:val="00A01DD4"/>
    <w:rsid w:val="00A30C51"/>
    <w:rsid w:val="00A32C07"/>
    <w:rsid w:val="00A3629C"/>
    <w:rsid w:val="00A40657"/>
    <w:rsid w:val="00A410EA"/>
    <w:rsid w:val="00A51298"/>
    <w:rsid w:val="00A64F53"/>
    <w:rsid w:val="00A6722A"/>
    <w:rsid w:val="00A72ECC"/>
    <w:rsid w:val="00A77160"/>
    <w:rsid w:val="00AA2EFD"/>
    <w:rsid w:val="00AB3CC3"/>
    <w:rsid w:val="00AB5511"/>
    <w:rsid w:val="00AB6474"/>
    <w:rsid w:val="00AB7771"/>
    <w:rsid w:val="00AB7DCB"/>
    <w:rsid w:val="00AC19E3"/>
    <w:rsid w:val="00AC1AE9"/>
    <w:rsid w:val="00AC47A3"/>
    <w:rsid w:val="00AD6D06"/>
    <w:rsid w:val="00AE50E5"/>
    <w:rsid w:val="00B339AF"/>
    <w:rsid w:val="00B65214"/>
    <w:rsid w:val="00B677F5"/>
    <w:rsid w:val="00B76342"/>
    <w:rsid w:val="00B863E2"/>
    <w:rsid w:val="00BA4BB1"/>
    <w:rsid w:val="00BA5089"/>
    <w:rsid w:val="00BA5B20"/>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3261E"/>
    <w:rsid w:val="00C412C9"/>
    <w:rsid w:val="00C5037E"/>
    <w:rsid w:val="00C55589"/>
    <w:rsid w:val="00C67F5E"/>
    <w:rsid w:val="00C7397C"/>
    <w:rsid w:val="00C77558"/>
    <w:rsid w:val="00CA3381"/>
    <w:rsid w:val="00CB2E49"/>
    <w:rsid w:val="00CC343A"/>
    <w:rsid w:val="00CC774F"/>
    <w:rsid w:val="00CD60E4"/>
    <w:rsid w:val="00CE06FC"/>
    <w:rsid w:val="00CE190D"/>
    <w:rsid w:val="00CF477F"/>
    <w:rsid w:val="00D03E7A"/>
    <w:rsid w:val="00D0424B"/>
    <w:rsid w:val="00D121DE"/>
    <w:rsid w:val="00D148DB"/>
    <w:rsid w:val="00D23EAD"/>
    <w:rsid w:val="00D503AC"/>
    <w:rsid w:val="00D53AA7"/>
    <w:rsid w:val="00D62AAC"/>
    <w:rsid w:val="00D62CC3"/>
    <w:rsid w:val="00D64A3D"/>
    <w:rsid w:val="00D709D1"/>
    <w:rsid w:val="00D74D0E"/>
    <w:rsid w:val="00D8478E"/>
    <w:rsid w:val="00D87B33"/>
    <w:rsid w:val="00D913A8"/>
    <w:rsid w:val="00D96089"/>
    <w:rsid w:val="00DD7EA1"/>
    <w:rsid w:val="00DE5F9F"/>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33A33"/>
    <w:rsid w:val="00F34ED1"/>
    <w:rsid w:val="00F51F2D"/>
    <w:rsid w:val="00F64E78"/>
    <w:rsid w:val="00F656C4"/>
    <w:rsid w:val="00F7438A"/>
    <w:rsid w:val="00F841D8"/>
    <w:rsid w:val="00F92D2C"/>
    <w:rsid w:val="00F93B5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4CA0B6"/>
  <w15:docId w15:val="{B73E05C5-B190-4EBB-9084-8E2FB78F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paragraph" w:styleId="FootnoteText">
    <w:name w:val="footnote text"/>
    <w:basedOn w:val="Normal"/>
    <w:link w:val="FootnoteTextChar"/>
    <w:uiPriority w:val="99"/>
    <w:semiHidden/>
    <w:unhideWhenUsed/>
    <w:rsid w:val="00007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3F7"/>
    <w:rPr>
      <w:sz w:val="20"/>
      <w:szCs w:val="20"/>
    </w:rPr>
  </w:style>
  <w:style w:type="character" w:styleId="FootnoteReference">
    <w:name w:val="footnote reference"/>
    <w:basedOn w:val="DefaultParagraphFont"/>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563E08"/>
    <w:rsid w:val="0062144B"/>
    <w:rsid w:val="006B17C6"/>
    <w:rsid w:val="006D157A"/>
    <w:rsid w:val="006F1B63"/>
    <w:rsid w:val="0070759F"/>
    <w:rsid w:val="0074164A"/>
    <w:rsid w:val="00757EF8"/>
    <w:rsid w:val="00805AC3"/>
    <w:rsid w:val="00823CBA"/>
    <w:rsid w:val="008E61E5"/>
    <w:rsid w:val="0095447C"/>
    <w:rsid w:val="00983C8A"/>
    <w:rsid w:val="009F53A8"/>
    <w:rsid w:val="00AC13E9"/>
    <w:rsid w:val="00C15123"/>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350B-1AE7-4A20-984A-03D87603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1818</Words>
  <Characters>10363</Characters>
  <Application>Microsoft Office Word</Application>
  <DocSecurity>8</DocSecurity>
  <Lines>86</Lines>
  <Paragraphs>24</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Guðmundur Kári Kárason</cp:lastModifiedBy>
  <cp:revision>3</cp:revision>
  <cp:lastPrinted>2019-06-06T16:04:00Z</cp:lastPrinted>
  <dcterms:created xsi:type="dcterms:W3CDTF">2019-06-06T16:34:00Z</dcterms:created>
  <dcterms:modified xsi:type="dcterms:W3CDTF">2019-07-09T14:42:00Z</dcterms:modified>
</cp:coreProperties>
</file>