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5FAF707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C316DF9"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471E99C2" wp14:editId="7BFD873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F54B655"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FE3C2A7"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ACD5B8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87A3901" w14:textId="77777777" w:rsidR="00135B40" w:rsidRPr="00E34B42" w:rsidRDefault="00135B40" w:rsidP="00851A99">
            <w:pPr>
              <w:spacing w:before="60" w:after="60"/>
              <w:rPr>
                <w:rFonts w:ascii="Times New Roman" w:hAnsi="Times New Roman" w:cs="Times New Roman"/>
                <w:b/>
                <w:lang w:val="is-IS"/>
              </w:rPr>
            </w:pPr>
            <w:permStart w:id="1221092120"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3E9C8E9" w14:textId="3F6005EE" w:rsidR="00135B40" w:rsidRPr="00E34B42" w:rsidRDefault="00CE28AE" w:rsidP="00795B16">
                <w:pPr>
                  <w:spacing w:before="60"/>
                  <w:rPr>
                    <w:rFonts w:ascii="Times New Roman" w:hAnsi="Times New Roman" w:cs="Times New Roman"/>
                    <w:lang w:val="is-IS"/>
                  </w:rPr>
                </w:pPr>
                <w:r>
                  <w:rPr>
                    <w:rFonts w:ascii="Times New Roman" w:hAnsi="Times New Roman" w:cs="Times New Roman"/>
                    <w:lang w:val="is-IS"/>
                  </w:rPr>
                  <w:t>Frumvarp til laga um breytingu á hafnalögum nr. 61/2003 – 15</w:t>
                </w:r>
                <w:r w:rsidR="00284B85">
                  <w:rPr>
                    <w:rFonts w:ascii="Times New Roman" w:hAnsi="Times New Roman" w:cs="Times New Roman"/>
                    <w:lang w:val="is-IS"/>
                  </w:rPr>
                  <w:t>2</w:t>
                </w:r>
                <w:r>
                  <w:rPr>
                    <w:rFonts w:ascii="Times New Roman" w:hAnsi="Times New Roman" w:cs="Times New Roman"/>
                    <w:lang w:val="is-IS"/>
                  </w:rPr>
                  <w:t>. löggjafarþing (SRN</w:t>
                </w:r>
                <w:r w:rsidR="009437D7">
                  <w:rPr>
                    <w:rFonts w:ascii="Times New Roman" w:hAnsi="Times New Roman" w:cs="Times New Roman"/>
                    <w:lang w:val="is-IS"/>
                  </w:rPr>
                  <w:t>21070016</w:t>
                </w:r>
                <w:r>
                  <w:rPr>
                    <w:rFonts w:ascii="Times New Roman" w:hAnsi="Times New Roman" w:cs="Times New Roman"/>
                    <w:lang w:val="is-IS"/>
                  </w:rPr>
                  <w:t>)</w:t>
                </w:r>
                <w:r w:rsidR="006D7958">
                  <w:rPr>
                    <w:rFonts w:ascii="Times New Roman" w:hAnsi="Times New Roman" w:cs="Times New Roman"/>
                    <w:lang w:val="is-IS"/>
                  </w:rPr>
                  <w:t>.</w:t>
                </w:r>
                <w:r w:rsidR="00135B40" w:rsidRPr="00E34B42">
                  <w:rPr>
                    <w:rFonts w:ascii="Times New Roman" w:hAnsi="Times New Roman" w:cs="Times New Roman"/>
                    <w:lang w:val="is-IS"/>
                  </w:rPr>
                  <w:t xml:space="preserve"> </w:t>
                </w:r>
              </w:p>
            </w:tc>
          </w:sdtContent>
        </w:sdt>
      </w:tr>
      <w:tr w:rsidR="00E34B42" w:rsidRPr="00E34B42" w14:paraId="79C66C3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33DFFF3" w14:textId="77777777" w:rsidR="00135B40" w:rsidRPr="00E34B42" w:rsidRDefault="00135B40" w:rsidP="0012646E">
            <w:pPr>
              <w:spacing w:before="60" w:after="60"/>
              <w:rPr>
                <w:rFonts w:ascii="Times New Roman" w:hAnsi="Times New Roman" w:cs="Times New Roman"/>
                <w:b/>
                <w:lang w:val="is-IS"/>
              </w:rPr>
            </w:pPr>
            <w:permStart w:id="698309318" w:edGrp="everyone" w:colFirst="1" w:colLast="1"/>
            <w:permEnd w:id="1221092120"/>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C90CAF2" w14:textId="642760AA"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CE28AE">
                  <w:rPr>
                    <w:rFonts w:ascii="Times New Roman" w:hAnsi="Times New Roman" w:cs="Times New Roman"/>
                    <w:lang w:val="is-IS"/>
                  </w:rPr>
                  <w:t>Samgöngu- og sveitarstjórnarráðuneytið / Eggert Ólafsson</w:t>
                </w:r>
              </w:p>
            </w:tc>
          </w:sdtContent>
        </w:sdt>
      </w:tr>
      <w:tr w:rsidR="00E34B42" w:rsidRPr="00E34B42" w14:paraId="05B418D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C31A28A" w14:textId="77777777" w:rsidR="00135B40" w:rsidRPr="00E34B42" w:rsidRDefault="00135B40" w:rsidP="0012646E">
            <w:pPr>
              <w:spacing w:before="60" w:after="60"/>
              <w:rPr>
                <w:rFonts w:ascii="Times New Roman" w:hAnsi="Times New Roman" w:cs="Times New Roman"/>
                <w:b/>
                <w:lang w:val="is-IS"/>
              </w:rPr>
            </w:pPr>
            <w:permStart w:id="1831823923" w:edGrp="everyone" w:colFirst="1" w:colLast="1"/>
            <w:permEnd w:id="698309318"/>
            <w:r w:rsidRPr="00E34B42">
              <w:rPr>
                <w:rFonts w:ascii="Times New Roman" w:hAnsi="Times New Roman" w:cs="Times New Roman"/>
                <w:b/>
                <w:lang w:val="is-IS"/>
              </w:rPr>
              <w:t>Innleiðing EES-gerðar?</w:t>
            </w:r>
          </w:p>
        </w:tc>
        <w:tc>
          <w:tcPr>
            <w:tcW w:w="7479" w:type="dxa"/>
            <w:tcBorders>
              <w:bottom w:val="nil"/>
            </w:tcBorders>
          </w:tcPr>
          <w:p w14:paraId="27356306" w14:textId="08FDA194" w:rsidR="00135B40" w:rsidRPr="00E34B42" w:rsidRDefault="001A270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CE28AE">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46249D51" w14:textId="77777777" w:rsidR="00135B40" w:rsidRPr="00E34B42" w:rsidRDefault="001A2707"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23902D3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92A104D" w14:textId="77777777" w:rsidR="00135B40" w:rsidRPr="00E34B42" w:rsidRDefault="00135B40" w:rsidP="000D6E33">
            <w:pPr>
              <w:spacing w:before="60" w:after="60"/>
              <w:rPr>
                <w:rFonts w:ascii="Times New Roman" w:hAnsi="Times New Roman" w:cs="Times New Roman"/>
                <w:b/>
                <w:lang w:val="is-IS"/>
              </w:rPr>
            </w:pPr>
            <w:permStart w:id="95682859" w:edGrp="everyone" w:colFirst="1" w:colLast="1"/>
            <w:permEnd w:id="183182392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DC04127" w14:textId="05D8254A"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284B85">
                  <w:rPr>
                    <w:rFonts w:ascii="Times New Roman" w:hAnsi="Times New Roman" w:cs="Times New Roman"/>
                    <w:lang w:val="is-IS"/>
                  </w:rPr>
                  <w:t>11</w:t>
                </w:r>
                <w:r w:rsidR="00CE28AE">
                  <w:rPr>
                    <w:rFonts w:ascii="Times New Roman" w:hAnsi="Times New Roman" w:cs="Times New Roman"/>
                    <w:lang w:val="is-IS"/>
                  </w:rPr>
                  <w:t xml:space="preserve">. </w:t>
                </w:r>
                <w:r w:rsidR="00284B85">
                  <w:rPr>
                    <w:rFonts w:ascii="Times New Roman" w:hAnsi="Times New Roman" w:cs="Times New Roman"/>
                    <w:lang w:val="is-IS"/>
                  </w:rPr>
                  <w:t>nóvember</w:t>
                </w:r>
                <w:r w:rsidR="00CE28AE">
                  <w:rPr>
                    <w:rFonts w:ascii="Times New Roman" w:hAnsi="Times New Roman" w:cs="Times New Roman"/>
                    <w:lang w:val="is-IS"/>
                  </w:rPr>
                  <w:t xml:space="preserve"> 202</w:t>
                </w:r>
                <w:r w:rsidR="00C55DD9">
                  <w:rPr>
                    <w:rFonts w:ascii="Times New Roman" w:hAnsi="Times New Roman" w:cs="Times New Roman"/>
                    <w:lang w:val="is-IS"/>
                  </w:rPr>
                  <w:t>1</w:t>
                </w:r>
                <w:r w:rsidR="00CE28AE">
                  <w:rPr>
                    <w:rFonts w:ascii="Times New Roman" w:hAnsi="Times New Roman" w:cs="Times New Roman"/>
                    <w:lang w:val="is-IS"/>
                  </w:rPr>
                  <w:t>.</w:t>
                </w:r>
              </w:p>
            </w:tc>
          </w:sdtContent>
        </w:sdt>
      </w:tr>
      <w:permEnd w:id="95682859"/>
    </w:tbl>
    <w:p w14:paraId="6D236BB9"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2CED0B58" w14:textId="77777777" w:rsidTr="007414CB">
        <w:tc>
          <w:tcPr>
            <w:tcW w:w="9288" w:type="dxa"/>
            <w:shd w:val="clear" w:color="auto" w:fill="92CDDC" w:themeFill="accent5" w:themeFillTint="99"/>
          </w:tcPr>
          <w:p w14:paraId="02E882C2"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2F3D4D6C"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532176985" w:edGrp="everyone" w:displacedByCustomXml="prev"/>
              <w:p w14:paraId="5810E820" w14:textId="77777777" w:rsidR="00CE28AE"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E64732">
                  <w:rPr>
                    <w:rFonts w:ascii="Times New Roman" w:hAnsi="Times New Roman" w:cs="Times New Roman"/>
                    <w:b/>
                    <w:lang w:val="is-IS"/>
                  </w:rPr>
                  <w:t xml:space="preserve">. </w:t>
                </w:r>
              </w:p>
              <w:p w14:paraId="1754DDF2" w14:textId="53EDF3E8" w:rsidR="002A7538" w:rsidRPr="00A92F9D" w:rsidRDefault="002A7538" w:rsidP="002A7538">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Með frumvarpi þessu er ætlunin að gera tillögur að breytingum til innleiðingar á tilteknum ákvæðum reglugerðar (ESB) 2017/35</w:t>
                </w:r>
                <w:r w:rsidR="00594B02">
                  <w:rPr>
                    <w:rFonts w:ascii="Times New Roman" w:hAnsi="Times New Roman" w:cs="Times New Roman"/>
                    <w:bCs/>
                    <w:lang w:val="is-IS"/>
                  </w:rPr>
                  <w:t xml:space="preserve">2. Þá verða gerðar tillögur að nýjum ákvæðum er snúa að </w:t>
                </w:r>
                <w:r>
                  <w:rPr>
                    <w:rFonts w:ascii="Times New Roman" w:hAnsi="Times New Roman" w:cs="Times New Roman"/>
                    <w:bCs/>
                    <w:lang w:val="is-IS"/>
                  </w:rPr>
                  <w:t>gjaldtöku</w:t>
                </w:r>
                <w:r w:rsidR="000B2308">
                  <w:rPr>
                    <w:rFonts w:ascii="Times New Roman" w:hAnsi="Times New Roman" w:cs="Times New Roman"/>
                    <w:bCs/>
                    <w:lang w:val="is-IS"/>
                  </w:rPr>
                  <w:t xml:space="preserve"> </w:t>
                </w:r>
                <w:r w:rsidR="00594B02">
                  <w:rPr>
                    <w:rFonts w:ascii="Times New Roman" w:hAnsi="Times New Roman" w:cs="Times New Roman"/>
                    <w:bCs/>
                    <w:lang w:val="is-IS"/>
                  </w:rPr>
                  <w:t>v</w:t>
                </w:r>
                <w:r>
                  <w:rPr>
                    <w:rFonts w:ascii="Times New Roman" w:hAnsi="Times New Roman" w:cs="Times New Roman"/>
                    <w:bCs/>
                    <w:lang w:val="is-IS"/>
                  </w:rPr>
                  <w:t>egna fiskeldis</w:t>
                </w:r>
                <w:r w:rsidR="00594B02">
                  <w:rPr>
                    <w:rFonts w:ascii="Times New Roman" w:hAnsi="Times New Roman" w:cs="Times New Roman"/>
                    <w:bCs/>
                    <w:lang w:val="is-IS"/>
                  </w:rPr>
                  <w:t>, rafrænnar vöktunar í höfnum og skilgreiningu á hafnarsvæði. Loks verða</w:t>
                </w:r>
                <w:r w:rsidR="000B2308">
                  <w:rPr>
                    <w:rFonts w:ascii="Times New Roman" w:hAnsi="Times New Roman" w:cs="Times New Roman"/>
                    <w:bCs/>
                    <w:lang w:val="is-IS"/>
                  </w:rPr>
                  <w:t xml:space="preserve"> </w:t>
                </w:r>
                <w:r w:rsidR="00594B02">
                  <w:rPr>
                    <w:rFonts w:ascii="Times New Roman" w:hAnsi="Times New Roman" w:cs="Times New Roman"/>
                    <w:bCs/>
                    <w:lang w:val="is-IS"/>
                  </w:rPr>
                  <w:t>tiltekin ákvæði endurskoðuð, t.a.m. að því er varðar kærur á gjaldskrárákvörðunum og ákvæði um hafnsögu og leiðsögu færð í hafnalög</w:t>
                </w:r>
                <w:r>
                  <w:rPr>
                    <w:rFonts w:ascii="Times New Roman" w:hAnsi="Times New Roman" w:cs="Times New Roman"/>
                    <w:bCs/>
                    <w:lang w:val="is-IS"/>
                  </w:rPr>
                  <w:t>.</w:t>
                </w:r>
              </w:p>
              <w:p w14:paraId="5B7010D3" w14:textId="33A8926F" w:rsidR="00143CDF" w:rsidRPr="00D737EC" w:rsidRDefault="00E64732" w:rsidP="00406327">
                <w:pPr>
                  <w:pStyle w:val="ListParagraph"/>
                  <w:numPr>
                    <w:ilvl w:val="0"/>
                    <w:numId w:val="22"/>
                  </w:numPr>
                  <w:spacing w:before="60" w:after="60"/>
                  <w:ind w:left="738"/>
                  <w:contextualSpacing w:val="0"/>
                  <w:jc w:val="both"/>
                  <w:rPr>
                    <w:rFonts w:ascii="Times New Roman" w:hAnsi="Times New Roman" w:cs="Times New Roman"/>
                    <w:bCs/>
                    <w:lang w:val="is-IS"/>
                  </w:rPr>
                </w:pPr>
                <w:r w:rsidRPr="00BA22BF">
                  <w:rPr>
                    <w:rFonts w:ascii="Times New Roman" w:hAnsi="Times New Roman" w:cs="Times New Roman"/>
                    <w:bCs/>
                    <w:lang w:val="is-IS"/>
                  </w:rPr>
                  <w:t>Með ákvörðun sameiginlegu EES-nefndarinnar nr. 128/2019 frá 8. maí 2019 var reglugerð Evrópuþingsins og ráðsins (ESB) 2017/352 frá 15. febrúar 2017 um að setja ramma um veitingu hafnarþjónustu og um sameiginlegar reglur um gagnsæi í fjármálum fyrir hafnir, tekin upp í EES-</w:t>
                </w:r>
                <w:r w:rsidRPr="00D737EC">
                  <w:rPr>
                    <w:rFonts w:ascii="Times New Roman" w:hAnsi="Times New Roman" w:cs="Times New Roman"/>
                    <w:bCs/>
                    <w:lang w:val="is-IS"/>
                  </w:rPr>
                  <w:t xml:space="preserve">samninginn. </w:t>
                </w:r>
              </w:p>
              <w:p w14:paraId="0FB22419" w14:textId="12694D32" w:rsidR="00143CDF" w:rsidRPr="00D737EC" w:rsidRDefault="00DB21BC" w:rsidP="00406327">
                <w:pPr>
                  <w:pStyle w:val="ListParagraph"/>
                  <w:numPr>
                    <w:ilvl w:val="0"/>
                    <w:numId w:val="22"/>
                  </w:numPr>
                  <w:spacing w:before="60" w:after="60"/>
                  <w:ind w:left="738"/>
                  <w:contextualSpacing w:val="0"/>
                  <w:jc w:val="both"/>
                  <w:rPr>
                    <w:rFonts w:ascii="Times New Roman" w:hAnsi="Times New Roman" w:cs="Times New Roman"/>
                    <w:bCs/>
                    <w:lang w:val="is-IS"/>
                  </w:rPr>
                </w:pPr>
                <w:r w:rsidRPr="00D737EC">
                  <w:rPr>
                    <w:rFonts w:ascii="Times New Roman" w:hAnsi="Times New Roman" w:cs="Times New Roman"/>
                    <w:bCs/>
                    <w:lang w:val="is-IS"/>
                  </w:rPr>
                  <w:t>Hafnir</w:t>
                </w:r>
                <w:r w:rsidR="00143CDF" w:rsidRPr="00D737EC">
                  <w:rPr>
                    <w:rFonts w:ascii="Times New Roman" w:hAnsi="Times New Roman" w:cs="Times New Roman"/>
                    <w:bCs/>
                    <w:lang w:val="is-IS"/>
                  </w:rPr>
                  <w:t xml:space="preserve"> innheimta aflagjöld í samræmi við</w:t>
                </w:r>
                <w:r w:rsidR="00406327" w:rsidRPr="00D737EC">
                  <w:rPr>
                    <w:rFonts w:ascii="Times New Roman" w:hAnsi="Times New Roman" w:cs="Times New Roman"/>
                    <w:bCs/>
                    <w:lang w:val="is-IS"/>
                  </w:rPr>
                  <w:t xml:space="preserve"> e-lið</w:t>
                </w:r>
                <w:r w:rsidR="00143CDF" w:rsidRPr="00D737EC">
                  <w:rPr>
                    <w:rFonts w:ascii="Times New Roman" w:hAnsi="Times New Roman" w:cs="Times New Roman"/>
                    <w:bCs/>
                    <w:lang w:val="is-IS"/>
                  </w:rPr>
                  <w:t xml:space="preserve"> 1. t</w:t>
                </w:r>
                <w:r w:rsidR="00406327" w:rsidRPr="00D737EC">
                  <w:rPr>
                    <w:rFonts w:ascii="Times New Roman" w:hAnsi="Times New Roman" w:cs="Times New Roman"/>
                    <w:bCs/>
                    <w:lang w:val="is-IS"/>
                  </w:rPr>
                  <w:t>ölu</w:t>
                </w:r>
                <w:r w:rsidR="00143CDF" w:rsidRPr="00D737EC">
                  <w:rPr>
                    <w:rFonts w:ascii="Times New Roman" w:hAnsi="Times New Roman" w:cs="Times New Roman"/>
                    <w:bCs/>
                    <w:lang w:val="is-IS"/>
                  </w:rPr>
                  <w:t xml:space="preserve">l. 2. mgr. 17. gr. hafnalaga nr. 61/2003. Ákvæðinu hefur verið beitt í tengslum við aflagjöld af eldisfiski og hefur verið óskað eftir því að þetta ákvæði hafnalega verði endurskoðað þar sem lagagrunnur fyrir gjaldtöku er </w:t>
                </w:r>
                <w:r w:rsidR="002A7538" w:rsidRPr="00D737EC">
                  <w:rPr>
                    <w:rFonts w:ascii="Times New Roman" w:hAnsi="Times New Roman" w:cs="Times New Roman"/>
                    <w:bCs/>
                    <w:lang w:val="is-IS"/>
                  </w:rPr>
                  <w:t xml:space="preserve">talinn </w:t>
                </w:r>
                <w:r w:rsidR="00143CDF" w:rsidRPr="00D737EC">
                  <w:rPr>
                    <w:rFonts w:ascii="Times New Roman" w:hAnsi="Times New Roman" w:cs="Times New Roman"/>
                    <w:bCs/>
                    <w:lang w:val="is-IS"/>
                  </w:rPr>
                  <w:t>óskýr.</w:t>
                </w:r>
              </w:p>
              <w:p w14:paraId="6CC33221" w14:textId="2A654F85" w:rsidR="00D737EC" w:rsidRPr="00D737EC" w:rsidRDefault="00D737EC" w:rsidP="00406327">
                <w:pPr>
                  <w:pStyle w:val="ListParagraph"/>
                  <w:numPr>
                    <w:ilvl w:val="0"/>
                    <w:numId w:val="22"/>
                  </w:numPr>
                  <w:spacing w:before="60" w:after="60"/>
                  <w:ind w:left="738"/>
                  <w:contextualSpacing w:val="0"/>
                  <w:jc w:val="both"/>
                  <w:rPr>
                    <w:rFonts w:ascii="Times New Roman" w:hAnsi="Times New Roman" w:cs="Times New Roman"/>
                    <w:bCs/>
                    <w:lang w:val="is-IS"/>
                  </w:rPr>
                </w:pPr>
                <w:r w:rsidRPr="00D737EC">
                  <w:rPr>
                    <w:rFonts w:ascii="Times New Roman" w:hAnsi="Times New Roman" w:cs="Times New Roman"/>
                    <w:lang w:val="is-IS"/>
                  </w:rPr>
                  <w:t xml:space="preserve">Á mörgum hafnarsvæðum er viðhaft myndavélaeftirlit. Þá er algengt að rauntímaefni myndavélanna sé sýnt á vefsíðum hafna í því skyni að leyfa bátaeigendum að fylgjast með bátum sínum og veðurlagi. Hafa skipstjórnarmenn, sem eru á leið til hafnar, einnig notað þessar upplýsingar til að sjá hvar laus pláss við hafnir séu. </w:t>
                </w:r>
                <w:r>
                  <w:rPr>
                    <w:rFonts w:ascii="Times New Roman" w:hAnsi="Times New Roman" w:cs="Times New Roman"/>
                    <w:lang w:val="is-IS"/>
                  </w:rPr>
                  <w:t>Ekki er hins vegar til lagaheimild fyrir hafnir til að miðla þessu efni.</w:t>
                </w:r>
              </w:p>
              <w:p w14:paraId="31EF5750" w14:textId="73197515" w:rsidR="00284B85" w:rsidRDefault="00284B85" w:rsidP="00406327">
                <w:pPr>
                  <w:pStyle w:val="ListParagraph"/>
                  <w:numPr>
                    <w:ilvl w:val="0"/>
                    <w:numId w:val="22"/>
                  </w:numPr>
                  <w:spacing w:before="60" w:after="60"/>
                  <w:ind w:left="738"/>
                  <w:contextualSpacing w:val="0"/>
                  <w:jc w:val="both"/>
                  <w:rPr>
                    <w:rFonts w:ascii="Times New Roman" w:hAnsi="Times New Roman" w:cs="Times New Roman"/>
                    <w:bCs/>
                    <w:lang w:val="is-IS"/>
                  </w:rPr>
                </w:pPr>
                <w:r w:rsidRPr="00D737EC">
                  <w:rPr>
                    <w:rFonts w:ascii="Times New Roman" w:hAnsi="Times New Roman" w:cs="Times New Roman"/>
                    <w:bCs/>
                    <w:lang w:val="is-IS"/>
                  </w:rPr>
                  <w:t xml:space="preserve">Í 27. gr. hafnalaga, nr. 61/2003 segir að notendum hafna sé heimilt að skjóta ákvörðunum hafnarstjórnasamkvæmt hafnalögum og reglugerðum settum samkvæmt þeim, öðrum en gjaldskrárákvörðunum, til Samgöngustofu. </w:t>
                </w:r>
                <w:r w:rsidR="008D5030" w:rsidRPr="00D737EC">
                  <w:rPr>
                    <w:rFonts w:ascii="Times New Roman" w:hAnsi="Times New Roman" w:cs="Times New Roman"/>
                    <w:bCs/>
                    <w:lang w:val="is-IS"/>
                  </w:rPr>
                  <w:t>Tengt þessu er efni 6. mgr. 17. gr. laganna sem segir að notendur hafnar geti krafið hafnarstjórn upplýsinga um afkomu hafnar og um almennar forsendur gjaldtöku samkvæmt</w:t>
                </w:r>
                <w:r w:rsidR="008D5030">
                  <w:rPr>
                    <w:rFonts w:ascii="Times New Roman" w:hAnsi="Times New Roman" w:cs="Times New Roman"/>
                    <w:bCs/>
                    <w:lang w:val="is-IS"/>
                  </w:rPr>
                  <w:t xml:space="preserve"> gjaldskrá. </w:t>
                </w:r>
                <w:r w:rsidR="00F036EC">
                  <w:rPr>
                    <w:rFonts w:ascii="Times New Roman" w:hAnsi="Times New Roman" w:cs="Times New Roman"/>
                    <w:bCs/>
                    <w:lang w:val="is-IS"/>
                  </w:rPr>
                  <w:t>Hafa notendur hafna kvartað undan því að erfitt sé að fá upplýsingar um forsendur gjaldtöku og að ekki sé unnt að fá skorið úr lögmæti gjaldtökunnar.</w:t>
                </w:r>
              </w:p>
              <w:p w14:paraId="0F93677A" w14:textId="116D327C" w:rsidR="00C706DE" w:rsidRDefault="00C706DE" w:rsidP="00406327">
                <w:pPr>
                  <w:pStyle w:val="ListParagraph"/>
                  <w:numPr>
                    <w:ilvl w:val="0"/>
                    <w:numId w:val="22"/>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 xml:space="preserve">Í 4. gr. hafnalaga er fjallað um hafnarreglugerðir. Þar kemur fram að í reglugerð skuli vera ákvæði um stærð og takmörk hafnarsvæðis á sjó og landi. Í lögunum er hins vegar ekki að finna skilgreiningu á hafnarsvæðum sem gefi til kynna hvernig beri að afmarka hafnarsvæði. Hefur þetta leitt til áskorana við framkvæmd hafnalaga með hliðsjón af ákvæðum annarra laga. </w:t>
                </w:r>
              </w:p>
              <w:p w14:paraId="6C332056" w14:textId="1F6BB5B2" w:rsidR="002459B6" w:rsidRDefault="008D5030" w:rsidP="002459B6">
                <w:pPr>
                  <w:pStyle w:val="ListParagraph"/>
                  <w:numPr>
                    <w:ilvl w:val="0"/>
                    <w:numId w:val="22"/>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 xml:space="preserve">Í </w:t>
                </w:r>
                <w:r w:rsidR="00E74765">
                  <w:rPr>
                    <w:rFonts w:ascii="Times New Roman" w:hAnsi="Times New Roman" w:cs="Times New Roman"/>
                    <w:bCs/>
                    <w:lang w:val="is-IS"/>
                  </w:rPr>
                  <w:t xml:space="preserve">III: kafla laga </w:t>
                </w:r>
                <w:r>
                  <w:rPr>
                    <w:rFonts w:ascii="Times New Roman" w:hAnsi="Times New Roman" w:cs="Times New Roman"/>
                    <w:bCs/>
                    <w:lang w:val="is-IS"/>
                  </w:rPr>
                  <w:t>um vaktstöð siglinga</w:t>
                </w:r>
                <w:r w:rsidR="00E74765">
                  <w:rPr>
                    <w:rFonts w:ascii="Times New Roman" w:hAnsi="Times New Roman" w:cs="Times New Roman"/>
                    <w:bCs/>
                    <w:lang w:val="is-IS"/>
                  </w:rPr>
                  <w:t>, nr. 41/2003, er fjallað um hafnsögu og leiðsögu. Að mati samgöngu- og sveitarstjórnarráðuneytisins eiga þessi ákvæði betur heima í hafnalögum, nr. 61/2003.</w:t>
                </w:r>
              </w:p>
              <w:p w14:paraId="02262544" w14:textId="3FD97DBC" w:rsidR="002459B6" w:rsidRPr="002459B6" w:rsidRDefault="002459B6" w:rsidP="002459B6">
                <w:pPr>
                  <w:pStyle w:val="ListParagraph"/>
                  <w:numPr>
                    <w:ilvl w:val="0"/>
                    <w:numId w:val="22"/>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 xml:space="preserve">Með lögum um Farsýsluna, stjórnsýslustofnun samgöngumála, nr. 119/2012 (nú lög um Samgöngustofu, stjórnsýslustofnun samgöngumála) voru lög um Siglingastofnun Íslands, nr. </w:t>
                </w:r>
                <w:r>
                  <w:rPr>
                    <w:rFonts w:ascii="Times New Roman" w:hAnsi="Times New Roman" w:cs="Times New Roman"/>
                    <w:bCs/>
                    <w:lang w:val="is-IS"/>
                  </w:rPr>
                  <w:lastRenderedPageBreak/>
                  <w:t xml:space="preserve">6/1996, felld niður. Tiltekin verkefni Siglingastofnunar Íslands á sviði hafnamála voru þá færð til nýrrar stofnunar en önnur til Vegagerðarinnar. </w:t>
                </w:r>
              </w:p>
              <w:p w14:paraId="6F84EA28" w14:textId="077BD4F6" w:rsidR="00CE28AE"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3323BAD1" w14:textId="1CB258CB" w:rsidR="00406327" w:rsidRDefault="00681F41" w:rsidP="00EA0C1D">
                <w:pPr>
                  <w:pStyle w:val="ListParagraph"/>
                  <w:numPr>
                    <w:ilvl w:val="0"/>
                    <w:numId w:val="23"/>
                  </w:numPr>
                  <w:spacing w:before="60" w:after="60"/>
                  <w:ind w:left="714"/>
                  <w:contextualSpacing w:val="0"/>
                  <w:jc w:val="both"/>
                  <w:rPr>
                    <w:rFonts w:ascii="Times New Roman" w:hAnsi="Times New Roman" w:cs="Times New Roman"/>
                    <w:bCs/>
                    <w:lang w:val="is-IS"/>
                  </w:rPr>
                </w:pPr>
                <w:r w:rsidRPr="00406327">
                  <w:rPr>
                    <w:rFonts w:ascii="Times New Roman" w:hAnsi="Times New Roman" w:cs="Times New Roman"/>
                    <w:bCs/>
                    <w:lang w:val="is-IS"/>
                  </w:rPr>
                  <w:t>Reglugerð (ESB) 2017/352 er um fjárhagslegt gagnsæi í rekstri hafna, jafnræði aðila, samráð við hagsmunaaðila og notendur auk skilyrða fyrir veitingu þjónustu í höfnum. Kveðið er á um skipulag þjónustu sem veitt er í höfnum og skilyrði sem slík þjónusta skal uppfylla. Sérstaklega er kveðið á um fjárhagsleg tengsl hafnarstjórna við þá sem bjóða upp á hafnarþjónustu og gagnsæi þeirra tengsla. Þá er kveðið á um þær skyldur sem leggja má á veitendur hafnarþjónustu og hvaða skilyrði má setja fyrir því að nýir aðilar komi inn á markað til að veita hafnarþjónustu. Fjallað er um sjónarmið sem réttlæta fjöldatakmarkanir á þeim sem veita þjónustu í höfnum, möguleika til að leggja á þjónustuveitendur skyldu til að veita opinbera þjónustu, réttindi starfsmanna hafna og þjálfun starfsfólks.</w:t>
                </w:r>
                <w:r w:rsidR="00D737EC">
                  <w:rPr>
                    <w:rFonts w:ascii="Times New Roman" w:hAnsi="Times New Roman" w:cs="Times New Roman"/>
                    <w:bCs/>
                    <w:lang w:val="is-IS"/>
                  </w:rPr>
                  <w:t xml:space="preserve"> Þá er í reglugerðinni kveðið á um að hafnir megi veita </w:t>
                </w:r>
              </w:p>
              <w:p w14:paraId="5BE98846" w14:textId="77777777" w:rsidR="00A452D9" w:rsidRDefault="00681F41" w:rsidP="00406327">
                <w:pPr>
                  <w:pStyle w:val="ListParagraph"/>
                  <w:spacing w:before="60" w:after="60"/>
                  <w:ind w:left="714"/>
                  <w:contextualSpacing w:val="0"/>
                  <w:jc w:val="both"/>
                  <w:rPr>
                    <w:rFonts w:ascii="Times New Roman" w:hAnsi="Times New Roman" w:cs="Times New Roman"/>
                    <w:bCs/>
                    <w:lang w:val="is-IS"/>
                  </w:rPr>
                </w:pPr>
                <w:r w:rsidRPr="00406327">
                  <w:rPr>
                    <w:rFonts w:ascii="Times New Roman" w:hAnsi="Times New Roman" w:cs="Times New Roman"/>
                    <w:bCs/>
                    <w:lang w:val="is-IS"/>
                  </w:rPr>
                  <w:t>Reglugerðin nær til allra evrópskra hafna sem eru hluti af samevrópska flutninganetinu. Þær íslensku hafnir sem falla undir reglugerðina eru hafnirnar í Reykjavík, Seyðisfirði, Reyðarfirði/Mjóeyrarhöfn, Vestmannaeyjum og Landeyjahöfn.</w:t>
                </w:r>
              </w:p>
              <w:p w14:paraId="29346259" w14:textId="1A26B2DC" w:rsidR="00681F41" w:rsidRPr="00A452D9" w:rsidRDefault="00A452D9" w:rsidP="00A452D9">
                <w:pPr>
                  <w:pStyle w:val="ListParagraph"/>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Innleiða þarf reglugerð þessa í landsrétt í samræmi við skuldbindingar íslenska ríkisins samkvæmt EES-samningnum. Ljóst er að gera þarf lagabreytingar til að innleiða tiltekin ákvæði reglugerðarinnar, sér í lagi þar sem ákvæði fela í sér </w:t>
                </w:r>
                <w:r w:rsidRPr="00281BF3">
                  <w:rPr>
                    <w:rFonts w:ascii="Times New Roman" w:hAnsi="Times New Roman" w:cs="Times New Roman"/>
                    <w:bCs/>
                    <w:lang w:val="is-IS"/>
                  </w:rPr>
                  <w:t>heimild til atvinnufrelsisskerðingar sem verð</w:t>
                </w:r>
                <w:r>
                  <w:rPr>
                    <w:rFonts w:ascii="Times New Roman" w:hAnsi="Times New Roman" w:cs="Times New Roman"/>
                    <w:bCs/>
                    <w:lang w:val="is-IS"/>
                  </w:rPr>
                  <w:t>ur</w:t>
                </w:r>
                <w:r w:rsidRPr="00281BF3">
                  <w:rPr>
                    <w:rFonts w:ascii="Times New Roman" w:hAnsi="Times New Roman" w:cs="Times New Roman"/>
                    <w:bCs/>
                    <w:lang w:val="is-IS"/>
                  </w:rPr>
                  <w:t xml:space="preserve"> að vera skýrt mælt fyrir um í hafnalögum.</w:t>
                </w:r>
              </w:p>
              <w:p w14:paraId="444C351C" w14:textId="2AE48A5A" w:rsidR="00406327" w:rsidRPr="000B2308" w:rsidRDefault="00406327" w:rsidP="00406327">
                <w:pPr>
                  <w:pStyle w:val="ListParagraph"/>
                  <w:numPr>
                    <w:ilvl w:val="0"/>
                    <w:numId w:val="23"/>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Samkvæmt e-lið 1. tölul. 2. mgr. 17. gr. hafnalaga skulu aflagjöld vera að lágmarki 1,25% af heildaraflaverðmæti og 3% að hámarki. Undanfarin ár h</w:t>
                </w:r>
                <w:r w:rsidR="00A8538F">
                  <w:rPr>
                    <w:rFonts w:ascii="Times New Roman" w:hAnsi="Times New Roman" w:cs="Times New Roman"/>
                    <w:bCs/>
                    <w:lang w:val="is-IS"/>
                  </w:rPr>
                  <w:t>efur gjaldtaka</w:t>
                </w:r>
                <w:r>
                  <w:rPr>
                    <w:rFonts w:ascii="Times New Roman" w:hAnsi="Times New Roman" w:cs="Times New Roman"/>
                    <w:bCs/>
                    <w:lang w:val="is-IS"/>
                  </w:rPr>
                  <w:t xml:space="preserve"> sveitarfél</w:t>
                </w:r>
                <w:r w:rsidR="00A8538F">
                  <w:rPr>
                    <w:rFonts w:ascii="Times New Roman" w:hAnsi="Times New Roman" w:cs="Times New Roman"/>
                    <w:bCs/>
                    <w:lang w:val="is-IS"/>
                  </w:rPr>
                  <w:t xml:space="preserve">aga vegna fiskeldis </w:t>
                </w:r>
                <w:r>
                  <w:rPr>
                    <w:rFonts w:ascii="Times New Roman" w:hAnsi="Times New Roman" w:cs="Times New Roman"/>
                    <w:bCs/>
                    <w:lang w:val="is-IS"/>
                  </w:rPr>
                  <w:t>verið umtalsvert lægri en nemur lágmarki samkvæmt lögum þessum</w:t>
                </w:r>
                <w:r w:rsidR="00671152">
                  <w:rPr>
                    <w:rFonts w:ascii="Times New Roman" w:hAnsi="Times New Roman" w:cs="Times New Roman"/>
                    <w:bCs/>
                    <w:lang w:val="is-IS"/>
                  </w:rPr>
                  <w:t xml:space="preserve"> en </w:t>
                </w:r>
                <w:r>
                  <w:rPr>
                    <w:rFonts w:ascii="Times New Roman" w:hAnsi="Times New Roman" w:cs="Times New Roman"/>
                    <w:bCs/>
                    <w:lang w:val="is-IS"/>
                  </w:rPr>
                  <w:t xml:space="preserve">framkvæmdin </w:t>
                </w:r>
                <w:r w:rsidR="00671152">
                  <w:rPr>
                    <w:rFonts w:ascii="Times New Roman" w:hAnsi="Times New Roman" w:cs="Times New Roman"/>
                    <w:bCs/>
                    <w:lang w:val="is-IS"/>
                  </w:rPr>
                  <w:t xml:space="preserve">er </w:t>
                </w:r>
                <w:r w:rsidRPr="000B2308">
                  <w:rPr>
                    <w:rFonts w:ascii="Times New Roman" w:hAnsi="Times New Roman" w:cs="Times New Roman"/>
                    <w:bCs/>
                    <w:lang w:val="is-IS"/>
                  </w:rPr>
                  <w:t>mismundandi eftir sveitarfélögum og hefur farið eftir gjaldskrám hverrar hafnar fyrir sig.</w:t>
                </w:r>
                <w:r w:rsidR="00671152" w:rsidRPr="000B2308">
                  <w:rPr>
                    <w:rFonts w:ascii="Times New Roman" w:hAnsi="Times New Roman" w:cs="Times New Roman"/>
                    <w:bCs/>
                    <w:lang w:val="is-IS"/>
                  </w:rPr>
                  <w:t xml:space="preserve"> Þá byggir útreikningur afl</w:t>
                </w:r>
                <w:r w:rsidR="00A8538F" w:rsidRPr="000B2308">
                  <w:rPr>
                    <w:rFonts w:ascii="Times New Roman" w:hAnsi="Times New Roman" w:cs="Times New Roman"/>
                    <w:bCs/>
                    <w:lang w:val="is-IS"/>
                  </w:rPr>
                  <w:t>a</w:t>
                </w:r>
                <w:r w:rsidR="00671152" w:rsidRPr="000B2308">
                  <w:rPr>
                    <w:rFonts w:ascii="Times New Roman" w:hAnsi="Times New Roman" w:cs="Times New Roman"/>
                    <w:bCs/>
                    <w:lang w:val="is-IS"/>
                  </w:rPr>
                  <w:t>gjalda á innsendum upplýsingum frá fiskeldisfyrirtækjum þar sem ekki eru til opinberar upplýsingar um afla.</w:t>
                </w:r>
                <w:r w:rsidRPr="000B2308">
                  <w:rPr>
                    <w:rFonts w:ascii="Times New Roman" w:hAnsi="Times New Roman" w:cs="Times New Roman"/>
                    <w:bCs/>
                    <w:lang w:val="is-IS"/>
                  </w:rPr>
                  <w:t xml:space="preserve"> </w:t>
                </w:r>
              </w:p>
              <w:p w14:paraId="7704CA5D" w14:textId="6AD2E16B" w:rsidR="00E70ECD" w:rsidRPr="000B2308" w:rsidRDefault="00E70ECD" w:rsidP="00406327">
                <w:pPr>
                  <w:pStyle w:val="ListParagraph"/>
                  <w:numPr>
                    <w:ilvl w:val="0"/>
                    <w:numId w:val="23"/>
                  </w:numPr>
                  <w:spacing w:before="60" w:after="60"/>
                  <w:ind w:left="738"/>
                  <w:contextualSpacing w:val="0"/>
                  <w:jc w:val="both"/>
                  <w:rPr>
                    <w:rFonts w:ascii="Times New Roman" w:hAnsi="Times New Roman" w:cs="Times New Roman"/>
                    <w:bCs/>
                    <w:lang w:val="is-IS"/>
                  </w:rPr>
                </w:pPr>
                <w:r w:rsidRPr="000B2308">
                  <w:rPr>
                    <w:rFonts w:ascii="Times New Roman" w:hAnsi="Times New Roman" w:cs="Times New Roman"/>
                    <w:bCs/>
                    <w:lang w:val="is-IS"/>
                  </w:rPr>
                  <w:t>Setja þarf ákvæði</w:t>
                </w:r>
                <w:r w:rsidRPr="000B2308">
                  <w:rPr>
                    <w:rFonts w:ascii="Times New Roman" w:hAnsi="Times New Roman" w:cs="Times New Roman"/>
                  </w:rPr>
                  <w:t xml:space="preserve"> um rafræna vöktun í höfnum. Er talin þörf á þessu ákvæði til að vinnsla persónuupplýsinga byggist á viðhlítandi lagastoð. Horft hefur verið til 4. mgr. 4. gr. laga um Vegagerðina, framkvæmdastofnun samgöngumála, nr. 120/2012,</w:t>
                </w:r>
              </w:p>
              <w:p w14:paraId="52C982AF" w14:textId="0C4CBD3F" w:rsidR="00F036EC" w:rsidRDefault="00E74765" w:rsidP="00406327">
                <w:pPr>
                  <w:pStyle w:val="ListParagraph"/>
                  <w:numPr>
                    <w:ilvl w:val="0"/>
                    <w:numId w:val="23"/>
                  </w:numPr>
                  <w:spacing w:before="60" w:after="60"/>
                  <w:ind w:left="738"/>
                  <w:contextualSpacing w:val="0"/>
                  <w:jc w:val="both"/>
                  <w:rPr>
                    <w:rFonts w:ascii="Times New Roman" w:hAnsi="Times New Roman" w:cs="Times New Roman"/>
                    <w:bCs/>
                    <w:lang w:val="is-IS"/>
                  </w:rPr>
                </w:pPr>
                <w:r w:rsidRPr="000B2308">
                  <w:rPr>
                    <w:rFonts w:ascii="Times New Roman" w:hAnsi="Times New Roman" w:cs="Times New Roman"/>
                    <w:bCs/>
                    <w:lang w:val="is-IS"/>
                  </w:rPr>
                  <w:t xml:space="preserve">Í reglugerð (ESB) 2017/352 </w:t>
                </w:r>
                <w:r w:rsidR="00C55DD9" w:rsidRPr="000B2308">
                  <w:rPr>
                    <w:rFonts w:ascii="Times New Roman" w:hAnsi="Times New Roman" w:cs="Times New Roman"/>
                    <w:bCs/>
                    <w:lang w:val="is-IS"/>
                  </w:rPr>
                  <w:t xml:space="preserve">er mælt fyrir um kæruferli vegna ágreinings um beitingu reglugerðarinnar. Þörf er á breytingu á 27. gr. hafnalaga til innleiðingar á þessu ákvæði. </w:t>
                </w:r>
                <w:r w:rsidR="00F036EC" w:rsidRPr="000B2308">
                  <w:rPr>
                    <w:rFonts w:ascii="Times New Roman" w:hAnsi="Times New Roman" w:cs="Times New Roman"/>
                    <w:bCs/>
                    <w:lang w:val="is-IS"/>
                  </w:rPr>
                  <w:t>Umboðsmaður Alþingis hefur sent</w:t>
                </w:r>
                <w:r w:rsidR="00F036EC">
                  <w:rPr>
                    <w:rFonts w:ascii="Times New Roman" w:hAnsi="Times New Roman" w:cs="Times New Roman"/>
                    <w:bCs/>
                    <w:lang w:val="is-IS"/>
                  </w:rPr>
                  <w:t xml:space="preserve"> samgöngu- og sveitarstjónarráðuneytinu erindi er varðar beitingu 27. gr. laganna. Í kjölfar þessa telur ráðuneytið þörf á að endurskoða annaðhvort ákvæði um heimild til kæru ákvarðana hafna eða ákvæði um upplýsingagjöf hafna.</w:t>
                </w:r>
              </w:p>
              <w:p w14:paraId="1C9C7816" w14:textId="44147589" w:rsidR="00E74765" w:rsidRDefault="00F036EC" w:rsidP="00406327">
                <w:pPr>
                  <w:pStyle w:val="ListParagraph"/>
                  <w:numPr>
                    <w:ilvl w:val="0"/>
                    <w:numId w:val="23"/>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 xml:space="preserve">Setja þarf í hafnalög ákvæði er skilgreinir hafnarsvæði þannig að sett séu fram viðmið um hvernig beri að afmarka hafnasvæði á sjó í hafnarreglugerðum. </w:t>
                </w:r>
              </w:p>
              <w:p w14:paraId="5FEDD7F8" w14:textId="3AD8285C" w:rsidR="00F036EC" w:rsidRDefault="00F036EC" w:rsidP="00406327">
                <w:pPr>
                  <w:pStyle w:val="ListParagraph"/>
                  <w:numPr>
                    <w:ilvl w:val="0"/>
                    <w:numId w:val="23"/>
                  </w:numPr>
                  <w:spacing w:before="60" w:after="60"/>
                  <w:ind w:left="738"/>
                  <w:contextualSpacing w:val="0"/>
                  <w:jc w:val="both"/>
                  <w:rPr>
                    <w:rFonts w:ascii="Times New Roman" w:hAnsi="Times New Roman" w:cs="Times New Roman"/>
                    <w:bCs/>
                    <w:lang w:val="is-IS"/>
                  </w:rPr>
                </w:pPr>
                <w:bookmarkStart w:id="0" w:name="_Hlk87529645"/>
                <w:r>
                  <w:rPr>
                    <w:rFonts w:ascii="Times New Roman" w:hAnsi="Times New Roman" w:cs="Times New Roman"/>
                    <w:bCs/>
                    <w:lang w:val="is-IS"/>
                  </w:rPr>
                  <w:t>Færa þarf ákvæði III: kafla laga um vaktstöð siglinga, nr. 41/2003, í hafnalög.</w:t>
                </w:r>
              </w:p>
              <w:p w14:paraId="119130CF" w14:textId="0030E140" w:rsidR="00F036EC" w:rsidRDefault="00F036EC" w:rsidP="00406327">
                <w:pPr>
                  <w:pStyle w:val="ListParagraph"/>
                  <w:numPr>
                    <w:ilvl w:val="0"/>
                    <w:numId w:val="23"/>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 xml:space="preserve">Skoðaðar verða breytingar á heimild ráðherra til setningar reglugerðar um hafnamál, m.a. þannig að ráðherra verði heimilað að setja almenna hafnarreglugerð fyrir hafnir sem hafa ekki sett sér hafnarreglugerð. </w:t>
                </w:r>
              </w:p>
              <w:p w14:paraId="6E3E1237" w14:textId="53A174AB" w:rsidR="00F036EC" w:rsidRPr="00281BF3" w:rsidRDefault="002459B6" w:rsidP="00406327">
                <w:pPr>
                  <w:pStyle w:val="ListParagraph"/>
                  <w:numPr>
                    <w:ilvl w:val="0"/>
                    <w:numId w:val="23"/>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Að fenginni reynslu í kjölfar gildistöku laga um Samgöngustofu, stjórnsýslustofnunar samgöngumála, nr. 119/2012, með síðari breytingum, er talið rétt að endurskoða verkaskiptingu Samgöngustofu og Vegagerðarinnar á sviði hafnamála, m.a. er lýtur að</w:t>
                </w:r>
                <w:r w:rsidR="00D737EC">
                  <w:rPr>
                    <w:rFonts w:ascii="Times New Roman" w:hAnsi="Times New Roman" w:cs="Times New Roman"/>
                    <w:bCs/>
                    <w:lang w:val="is-IS"/>
                  </w:rPr>
                  <w:t xml:space="preserve"> eftirliti með hönnun og byggingu hafnarmannvirkja, sbr. 6. gr. laganna, og upplýsingar um hafnir, sbr. 9. gr. laganna. </w:t>
                </w:r>
                <w:r>
                  <w:rPr>
                    <w:rFonts w:ascii="Times New Roman" w:hAnsi="Times New Roman" w:cs="Times New Roman"/>
                    <w:bCs/>
                    <w:lang w:val="is-IS"/>
                  </w:rPr>
                  <w:t xml:space="preserve"> </w:t>
                </w:r>
              </w:p>
              <w:bookmarkEnd w:id="0"/>
              <w:p w14:paraId="31EFD655" w14:textId="77777777" w:rsidR="00CE28AE"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4C7B010A" w14:textId="1CB572E8" w:rsidR="00A452D9" w:rsidRPr="00223102" w:rsidRDefault="00223102" w:rsidP="00223102">
                <w:pPr>
                  <w:pStyle w:val="ListParagraph"/>
                  <w:numPr>
                    <w:ilvl w:val="0"/>
                    <w:numId w:val="27"/>
                  </w:numPr>
                  <w:spacing w:before="60" w:after="60"/>
                  <w:ind w:left="742"/>
                  <w:contextualSpacing w:val="0"/>
                  <w:jc w:val="both"/>
                  <w:rPr>
                    <w:rFonts w:ascii="Times New Roman" w:hAnsi="Times New Roman" w:cs="Times New Roman"/>
                    <w:lang w:val="is-IS"/>
                  </w:rPr>
                </w:pPr>
                <w:r w:rsidRPr="00671152">
                  <w:rPr>
                    <w:rFonts w:ascii="Times New Roman" w:hAnsi="Times New Roman" w:cs="Times New Roman"/>
                    <w:lang w:val="is-IS"/>
                  </w:rPr>
                  <w:t xml:space="preserve">Í reglugerð </w:t>
                </w:r>
                <w:r>
                  <w:rPr>
                    <w:rFonts w:ascii="Times New Roman" w:hAnsi="Times New Roman" w:cs="Times New Roman"/>
                    <w:lang w:val="is-IS"/>
                  </w:rPr>
                  <w:t>(ESB) 2017/352</w:t>
                </w:r>
                <w:r w:rsidRPr="00223102">
                  <w:rPr>
                    <w:rFonts w:ascii="Times New Roman" w:hAnsi="Times New Roman" w:cs="Times New Roman"/>
                    <w:lang w:val="is-IS"/>
                  </w:rPr>
                  <w:t xml:space="preserve"> er talsvert fjallað um réttindi og skyldur </w:t>
                </w:r>
                <w:r>
                  <w:rPr>
                    <w:rFonts w:ascii="Times New Roman" w:hAnsi="Times New Roman" w:cs="Times New Roman"/>
                    <w:lang w:val="is-IS"/>
                  </w:rPr>
                  <w:t xml:space="preserve">þjónustuveitenda, sem eru ekki hafnirnar sjálfar, </w:t>
                </w:r>
                <w:r w:rsidRPr="00223102">
                  <w:rPr>
                    <w:rFonts w:ascii="Times New Roman" w:hAnsi="Times New Roman" w:cs="Times New Roman"/>
                    <w:lang w:val="is-IS"/>
                  </w:rPr>
                  <w:t xml:space="preserve">og réttindi og skyldur eigenda og/eða rekstraraðila hafna gagnvart slíkum aðilum. Reglugerðin heimilar ýmis frávik frá reglum hér að lútandi m.a. út frá aðstæðum á hverjum stað. </w:t>
                </w:r>
                <w:r w:rsidR="0099357B">
                  <w:rPr>
                    <w:rFonts w:ascii="Times New Roman" w:hAnsi="Times New Roman" w:cs="Times New Roman"/>
                    <w:lang w:val="is-IS"/>
                  </w:rPr>
                  <w:t xml:space="preserve">Hafnalög heimila höfnum að bjóða ýmsa þjónustu og fer heimildin eftir rekstrarformi. Heimildir opinberra hafna eða hafna í opinberri eigu takmarkast við hafntengda þjónustu. </w:t>
                </w:r>
                <w:r w:rsidRPr="00223102">
                  <w:rPr>
                    <w:rFonts w:ascii="Times New Roman" w:hAnsi="Times New Roman" w:cs="Times New Roman"/>
                    <w:bCs/>
                    <w:lang w:val="is-IS"/>
                  </w:rPr>
                  <w:t>Í hafnalögunum eru ekki ákvæði um það þegar einhver annar en höfnin sjálf býður upp á þessa þjónustu. Þannig er ekkert í lögunum um möguleika hafnar</w:t>
                </w:r>
                <w:r w:rsidR="0099357B">
                  <w:rPr>
                    <w:rFonts w:ascii="Times New Roman" w:hAnsi="Times New Roman" w:cs="Times New Roman"/>
                    <w:bCs/>
                    <w:lang w:val="is-IS"/>
                  </w:rPr>
                  <w:t xml:space="preserve"> eða lögbærs yfirvalds til</w:t>
                </w:r>
                <w:r w:rsidRPr="00223102">
                  <w:rPr>
                    <w:rFonts w:ascii="Times New Roman" w:hAnsi="Times New Roman" w:cs="Times New Roman"/>
                    <w:bCs/>
                    <w:lang w:val="is-IS"/>
                  </w:rPr>
                  <w:t xml:space="preserve"> að gera lágmarkskröfur til utanaðkomandi aðila til að fá að bjóða upp á þjónustu við skip. Í </w:t>
                </w:r>
                <w:r w:rsidRPr="00223102">
                  <w:rPr>
                    <w:rFonts w:ascii="Times New Roman" w:hAnsi="Times New Roman" w:cs="Times New Roman"/>
                    <w:bCs/>
                    <w:lang w:val="is-IS"/>
                  </w:rPr>
                  <w:lastRenderedPageBreak/>
                  <w:t>lögunum kemur heldur ekkert fram um að ekki megi takmarka fjölda þeirra sem bjóða upp á þessa þjónustu</w:t>
                </w:r>
                <w:r>
                  <w:rPr>
                    <w:rFonts w:ascii="Times New Roman" w:hAnsi="Times New Roman" w:cs="Times New Roman"/>
                    <w:bCs/>
                    <w:lang w:val="is-IS"/>
                  </w:rPr>
                  <w:t xml:space="preserve">. </w:t>
                </w:r>
                <w:r w:rsidRPr="00223102">
                  <w:rPr>
                    <w:rFonts w:ascii="Times New Roman" w:hAnsi="Times New Roman" w:cs="Times New Roman"/>
                    <w:lang w:val="is-IS"/>
                  </w:rPr>
                  <w:t>Því þarf að huga að lagabreytingum vegna þessa.</w:t>
                </w:r>
              </w:p>
              <w:p w14:paraId="4F4099DC" w14:textId="77777777" w:rsidR="00423F9B" w:rsidRPr="00423F9B" w:rsidRDefault="00223102" w:rsidP="00423F9B">
                <w:pPr>
                  <w:pStyle w:val="ListParagraph"/>
                  <w:spacing w:before="60" w:after="60"/>
                  <w:ind w:left="738"/>
                  <w:contextualSpacing w:val="0"/>
                  <w:jc w:val="both"/>
                  <w:rPr>
                    <w:rFonts w:ascii="Times New Roman" w:hAnsi="Times New Roman" w:cs="Times New Roman"/>
                    <w:lang w:val="is-IS"/>
                  </w:rPr>
                </w:pPr>
                <w:r w:rsidRPr="002D4FD7">
                  <w:rPr>
                    <w:rFonts w:ascii="Times New Roman" w:hAnsi="Times New Roman" w:cs="Times New Roman"/>
                    <w:lang w:val="is-IS"/>
                  </w:rPr>
                  <w:t>Í reglugerð</w:t>
                </w:r>
                <w:r>
                  <w:rPr>
                    <w:rFonts w:ascii="Times New Roman" w:hAnsi="Times New Roman" w:cs="Times New Roman"/>
                    <w:lang w:val="is-IS"/>
                  </w:rPr>
                  <w:t xml:space="preserve"> (ESB) 2017/352</w:t>
                </w:r>
                <w:r w:rsidRPr="002D4FD7">
                  <w:rPr>
                    <w:rFonts w:ascii="Times New Roman" w:hAnsi="Times New Roman" w:cs="Times New Roman"/>
                    <w:lang w:val="is-IS"/>
                  </w:rPr>
                  <w:t xml:space="preserve"> er mælt fyrir um kæruferli vegna ágreinings um beitingu reglugerðarinnar. Í 27. gr. hafnalaga segir að notendum hafna sé heimilt að skjóta ákvörðunum hafnarstjórna samkvæmt lögunum, öðrum er gjaldskrárákvörðunum, til Samgöngustofu. Ljóst er að hér þyrfti að gera breytingu þar sem gjaldskrárákvarðanir mega ekki vera undanskildar </w:t>
                </w:r>
                <w:r w:rsidRPr="00423F9B">
                  <w:rPr>
                    <w:rFonts w:ascii="Times New Roman" w:hAnsi="Times New Roman" w:cs="Times New Roman"/>
                    <w:lang w:val="is-IS"/>
                  </w:rPr>
                  <w:t>slíkum kærum.</w:t>
                </w:r>
              </w:p>
              <w:p w14:paraId="007B79C3" w14:textId="7F4CD20C" w:rsidR="00D737EC" w:rsidRPr="00E70ECD" w:rsidRDefault="00423F9B" w:rsidP="00D737EC">
                <w:pPr>
                  <w:pStyle w:val="ListParagraph"/>
                  <w:spacing w:before="60" w:after="60"/>
                  <w:ind w:left="738"/>
                  <w:contextualSpacing w:val="0"/>
                  <w:jc w:val="both"/>
                  <w:rPr>
                    <w:rFonts w:ascii="Times New Roman" w:hAnsi="Times New Roman" w:cs="Times New Roman"/>
                    <w:lang w:val="is-IS"/>
                  </w:rPr>
                </w:pPr>
                <w:r w:rsidRPr="00E70ECD">
                  <w:rPr>
                    <w:rFonts w:ascii="Times New Roman" w:hAnsi="Times New Roman" w:cs="Times New Roman"/>
                    <w:lang w:val="is-IS"/>
                  </w:rPr>
                  <w:t>Gert er ráð fyrir að hafnarstjórn skuli ráðfæra sig við notendur hafna við álagningu gjalda. Núgildandi 17. gr. hafnalaga mælir fyrir um að notendur geti krafið hafnarstjórn upplýsinga um afkomu hafnar og um almennar forsendur gjaldtöku samkvæmt gjaldskrá. Þannig gera núgildandi lög ráð fyrir upplýsingagjöf, sé þess óskað, um gildandi gjaldskrá. Reglugerð ESB gerir hins vegar ráð fyrir því að breytingar á gjöldum verði gerðar að höfðu samráði við notendur. Þetta kallar á lagabreytingu.</w:t>
                </w:r>
              </w:p>
              <w:p w14:paraId="41231FB4" w14:textId="6C662111" w:rsidR="00E70ECD" w:rsidRPr="00E70ECD" w:rsidRDefault="00E70ECD" w:rsidP="00D737EC">
                <w:pPr>
                  <w:pStyle w:val="ListParagraph"/>
                  <w:spacing w:before="60" w:after="60"/>
                  <w:ind w:left="738"/>
                  <w:contextualSpacing w:val="0"/>
                  <w:jc w:val="both"/>
                  <w:rPr>
                    <w:rFonts w:ascii="Times New Roman" w:hAnsi="Times New Roman" w:cs="Times New Roman"/>
                    <w:lang w:val="is-IS"/>
                  </w:rPr>
                </w:pPr>
                <w:r w:rsidRPr="00E70ECD">
                  <w:rPr>
                    <w:rFonts w:ascii="Times New Roman" w:hAnsi="Times New Roman" w:cs="Times New Roman"/>
                    <w:lang w:val="da-DK"/>
                  </w:rPr>
                  <w:t>Í 2. mgr. hafnalaga segir að gjaldtaka samkvæmt kaflanum skuli miðuð við að hún standi undir kostnaði við þá þjónustu sem veitt er ásamt hlutdeild í sameiginlegum rekstri hafnarinnar, stofnkostnaði og kostnaði við viðhald hennar, auk þess sem heimilt sé að taka tillit til arðsemi á endurmetnu eigin fé. Samkvæmt gildiandi lögum er höfnum því ekki heimilt að veita umhverfisafslætti, eins og reglugerð (ESB) 2017/352 mælir fyrir um, nema sýnt sé fram á að kostnaður lækki við þá þjónustu sem þau veita. Verður að gera breytingu á þessu ákvæði hafnalaga til að höfnum sé heimilt að veita umhverfisafslætti. Ráðuneytið hyggst setja ákvæði þannig að þessi heimild sé ekki takmörkuð við hafnir á samevrópska flutninganetinu.</w:t>
                </w:r>
              </w:p>
              <w:p w14:paraId="7818B5E7" w14:textId="6AEF1F2C" w:rsidR="00753EF7" w:rsidRPr="00671152" w:rsidRDefault="00406327" w:rsidP="00D737EC">
                <w:pPr>
                  <w:pStyle w:val="ListParagraph"/>
                  <w:numPr>
                    <w:ilvl w:val="0"/>
                    <w:numId w:val="27"/>
                  </w:numPr>
                  <w:spacing w:before="60" w:after="60"/>
                  <w:ind w:left="731"/>
                  <w:contextualSpacing w:val="0"/>
                  <w:jc w:val="both"/>
                  <w:rPr>
                    <w:rFonts w:ascii="Times New Roman" w:hAnsi="Times New Roman" w:cs="Times New Roman"/>
                    <w:bCs/>
                    <w:lang w:val="is-IS"/>
                  </w:rPr>
                </w:pPr>
                <w:r w:rsidRPr="00E70ECD">
                  <w:rPr>
                    <w:rFonts w:ascii="Times New Roman" w:hAnsi="Times New Roman" w:cs="Times New Roman"/>
                    <w:bCs/>
                    <w:lang w:val="is-IS"/>
                  </w:rPr>
                  <w:t>Í 1. mgr. 17. gr. hafnalaga nr. 61/2003 segir</w:t>
                </w:r>
                <w:r w:rsidRPr="00671152">
                  <w:rPr>
                    <w:rFonts w:ascii="Times New Roman" w:hAnsi="Times New Roman" w:cs="Times New Roman"/>
                    <w:bCs/>
                    <w:lang w:val="is-IS"/>
                  </w:rPr>
                  <w:t xml:space="preserve"> að stjórn hafnar skuli semja gjaldskrá fyrir höfn þar sem nánar er kveðið á um </w:t>
                </w:r>
                <w:r w:rsidR="00753EF7" w:rsidRPr="00671152">
                  <w:rPr>
                    <w:rFonts w:ascii="Times New Roman" w:hAnsi="Times New Roman" w:cs="Times New Roman"/>
                    <w:bCs/>
                    <w:lang w:val="is-IS"/>
                  </w:rPr>
                  <w:t xml:space="preserve">innheimtu gjalda samkvæmt greininni. Miða skuli gjaldtöku við að hún standi undir rekstri hafnarinnar, þ.m.t. fjármagnskostnaði, afskriftum, kostnaði við endurnýjun hafnarinnar og stofnkostnaði samkvæmt langtímaáætlun hafnarinnar. </w:t>
                </w:r>
              </w:p>
              <w:p w14:paraId="2F47C85D" w14:textId="282B3842" w:rsidR="00753EF7" w:rsidRPr="00671152" w:rsidRDefault="00753EF7" w:rsidP="00671152">
                <w:pPr>
                  <w:pStyle w:val="ListParagraph"/>
                  <w:spacing w:before="60" w:after="60"/>
                  <w:ind w:left="738"/>
                  <w:contextualSpacing w:val="0"/>
                  <w:jc w:val="both"/>
                  <w:rPr>
                    <w:rFonts w:ascii="Times New Roman" w:hAnsi="Times New Roman" w:cs="Times New Roman"/>
                    <w:bCs/>
                    <w:lang w:val="is-IS"/>
                  </w:rPr>
                </w:pPr>
                <w:r w:rsidRPr="00671152">
                  <w:rPr>
                    <w:rFonts w:ascii="Times New Roman" w:hAnsi="Times New Roman" w:cs="Times New Roman"/>
                    <w:bCs/>
                    <w:lang w:val="is-IS"/>
                  </w:rPr>
                  <w:t xml:space="preserve">Í </w:t>
                </w:r>
                <w:r w:rsidR="00406327" w:rsidRPr="00671152">
                  <w:rPr>
                    <w:rFonts w:ascii="Times New Roman" w:hAnsi="Times New Roman" w:cs="Times New Roman"/>
                    <w:bCs/>
                    <w:lang w:val="is-IS"/>
                  </w:rPr>
                  <w:t>2. mgr. 17. gr</w:t>
                </w:r>
                <w:r w:rsidRPr="00671152">
                  <w:rPr>
                    <w:rFonts w:ascii="Times New Roman" w:hAnsi="Times New Roman" w:cs="Times New Roman"/>
                    <w:bCs/>
                    <w:lang w:val="is-IS"/>
                  </w:rPr>
                  <w:t xml:space="preserve"> laganna er kveðið á um heimila gjaldtöku. Í e-lið 1. tölul. segir að ákveða megi aflagjald af sjávarafurðum sem umskipað er, lestaðar eru eða losaðar í höfnum. Sé gjaldið innheimt skuli það vera minnst 1,25% og mest 3% af heildaraflaverðmæti</w:t>
                </w:r>
                <w:r w:rsidR="00406327" w:rsidRPr="00671152">
                  <w:rPr>
                    <w:rFonts w:ascii="Times New Roman" w:hAnsi="Times New Roman" w:cs="Times New Roman"/>
                    <w:bCs/>
                    <w:lang w:val="is-IS"/>
                  </w:rPr>
                  <w:t>.</w:t>
                </w:r>
                <w:r w:rsidRPr="00671152">
                  <w:rPr>
                    <w:rFonts w:ascii="Times New Roman" w:hAnsi="Times New Roman" w:cs="Times New Roman"/>
                    <w:bCs/>
                    <w:lang w:val="is-IS"/>
                  </w:rPr>
                  <w:t xml:space="preserve"> Þó skuli gjaldið vera minnst 0,7% af heildaraflaverðmæti frystra sjávarafurða. Sjávarafurðir séu sjávarafli, þ.e. sjávardýr önnur en spendýr sem og matvæli sem eru unnin að öllu leyti eða að hluta úr sjávarafla.</w:t>
                </w:r>
              </w:p>
              <w:p w14:paraId="430FBF6D" w14:textId="77777777" w:rsidR="00D737EC" w:rsidRPr="000A57C8" w:rsidRDefault="00671152" w:rsidP="00671152">
                <w:pPr>
                  <w:pStyle w:val="ListParagraph"/>
                  <w:spacing w:before="60" w:after="60"/>
                  <w:ind w:left="738"/>
                  <w:contextualSpacing w:val="0"/>
                  <w:jc w:val="both"/>
                  <w:rPr>
                    <w:rFonts w:ascii="Times New Roman" w:hAnsi="Times New Roman" w:cs="Times New Roman"/>
                    <w:bCs/>
                    <w:lang w:val="is-IS"/>
                  </w:rPr>
                </w:pPr>
                <w:r w:rsidRPr="00671152">
                  <w:rPr>
                    <w:rFonts w:ascii="Times New Roman" w:hAnsi="Times New Roman" w:cs="Times New Roman"/>
                    <w:bCs/>
                    <w:lang w:val="is-IS"/>
                  </w:rPr>
                  <w:t>Með l</w:t>
                </w:r>
                <w:r w:rsidR="00753EF7" w:rsidRPr="00671152">
                  <w:rPr>
                    <w:rFonts w:ascii="Times New Roman" w:hAnsi="Times New Roman" w:cs="Times New Roman"/>
                    <w:bCs/>
                    <w:lang w:val="is-IS"/>
                  </w:rPr>
                  <w:t>ögum nr. 88/2010 um breytingar á hafnalögum nr. 61/2003, með síðari breytingum</w:t>
                </w:r>
                <w:r w:rsidRPr="00671152">
                  <w:rPr>
                    <w:rFonts w:ascii="Times New Roman" w:hAnsi="Times New Roman" w:cs="Times New Roman"/>
                    <w:bCs/>
                    <w:lang w:val="is-IS"/>
                  </w:rPr>
                  <w:t>, var e-lið bætt við 1. tölul.  2. mgr. 17. gr. laganna</w:t>
                </w:r>
                <w:r w:rsidR="00753EF7" w:rsidRPr="00671152">
                  <w:rPr>
                    <w:rFonts w:ascii="Times New Roman" w:hAnsi="Times New Roman" w:cs="Times New Roman"/>
                    <w:bCs/>
                    <w:lang w:val="is-IS"/>
                  </w:rPr>
                  <w:t xml:space="preserve">. Af orðalagi ákvæðisins og athugasemdum við frumvarpið sem varð að lögum má ráða að það er fyrst og fremst ætlað að ná til afla af fiskveiðum. Ekki er afdráttarlaust kveðið á um að gjaldtökuheimildin nái til eldisfisks í </w:t>
                </w:r>
                <w:r w:rsidR="00753EF7" w:rsidRPr="000A57C8">
                  <w:rPr>
                    <w:rFonts w:ascii="Times New Roman" w:hAnsi="Times New Roman" w:cs="Times New Roman"/>
                    <w:bCs/>
                    <w:lang w:val="is-IS"/>
                  </w:rPr>
                  <w:t>sjókvíaeldi.</w:t>
                </w:r>
              </w:p>
              <w:p w14:paraId="01DE6586" w14:textId="59A78E50" w:rsidR="00E70ECD" w:rsidRPr="000A57C8" w:rsidRDefault="00E70ECD" w:rsidP="00D737EC">
                <w:pPr>
                  <w:pStyle w:val="ListParagraph"/>
                  <w:numPr>
                    <w:ilvl w:val="0"/>
                    <w:numId w:val="27"/>
                  </w:numPr>
                  <w:spacing w:before="60" w:after="60"/>
                  <w:ind w:left="731"/>
                  <w:contextualSpacing w:val="0"/>
                  <w:jc w:val="both"/>
                  <w:rPr>
                    <w:rFonts w:ascii="Times New Roman" w:hAnsi="Times New Roman" w:cs="Times New Roman"/>
                    <w:bCs/>
                    <w:lang w:val="is-IS"/>
                  </w:rPr>
                </w:pPr>
                <w:r w:rsidRPr="000A57C8">
                  <w:rPr>
                    <w:rFonts w:ascii="Times New Roman" w:hAnsi="Times New Roman" w:cs="Times New Roman"/>
                    <w:bCs/>
                    <w:lang w:val="is-IS"/>
                  </w:rPr>
                  <w:t>Hafnalög hafa ekki að geyma ákvæði um rafræna vöktun í höfnum</w:t>
                </w:r>
                <w:r w:rsidR="0074650F">
                  <w:rPr>
                    <w:rFonts w:ascii="Times New Roman" w:hAnsi="Times New Roman" w:cs="Times New Roman"/>
                    <w:bCs/>
                    <w:lang w:val="is-IS"/>
                  </w:rPr>
                  <w:t xml:space="preserve"> og miðlun upplýsinga</w:t>
                </w:r>
                <w:r w:rsidRPr="000A57C8">
                  <w:rPr>
                    <w:rFonts w:ascii="Times New Roman" w:hAnsi="Times New Roman" w:cs="Times New Roman"/>
                    <w:bCs/>
                    <w:lang w:val="is-IS"/>
                  </w:rPr>
                  <w:t xml:space="preserve">. </w:t>
                </w:r>
              </w:p>
              <w:p w14:paraId="26E051F8" w14:textId="77777777" w:rsidR="000A57C8" w:rsidRDefault="002A394C" w:rsidP="00D737EC">
                <w:pPr>
                  <w:pStyle w:val="ListParagraph"/>
                  <w:numPr>
                    <w:ilvl w:val="0"/>
                    <w:numId w:val="27"/>
                  </w:numPr>
                  <w:spacing w:before="60" w:after="60"/>
                  <w:ind w:left="731"/>
                  <w:contextualSpacing w:val="0"/>
                  <w:jc w:val="both"/>
                  <w:rPr>
                    <w:rFonts w:ascii="Times New Roman" w:hAnsi="Times New Roman" w:cs="Times New Roman"/>
                    <w:b/>
                    <w:lang w:val="is-IS"/>
                  </w:rPr>
                </w:pPr>
                <w:r w:rsidRPr="000A57C8">
                  <w:rPr>
                    <w:rFonts w:ascii="Times New Roman" w:hAnsi="Times New Roman" w:cs="Times New Roman"/>
                    <w:bCs/>
                    <w:lang w:val="is-IS"/>
                  </w:rPr>
                  <w:t xml:space="preserve">Samkvæmt 27. gr.  er heimilt að skjóta ákvörðunum hafnarstjórna, öðrum en gjaldskrárákvörðunum, til Samgöngustofu.  Í athugasemdum við frumvarp sem varð að hafnalögum nr. 61/2003, segir að ágreiningur vegna gjaldskrárákvarðana hafna heyri undir Samkeppnisstofnun (nú Samkeppniseftirlitið). </w:t>
                </w:r>
                <w:r w:rsidR="000A57C8" w:rsidRPr="000A57C8">
                  <w:rPr>
                    <w:rFonts w:ascii="Times New Roman" w:hAnsi="Times New Roman" w:cs="Times New Roman"/>
                    <w:bCs/>
                    <w:lang w:val="is-IS"/>
                  </w:rPr>
                  <w:t>Samkeppniseftirlitið hefur talið að hlutverk þess er lýtur að gjaldskrárkvörðunum sé bundið við ákvæði samkeppnislaga og að ekki sé kveðið sérstaklega á um aðkomu stofnunarinnar að eftirliti með gjaldskrármálefnum eða rekstri hafna í hafnalögum.</w:t>
                </w:r>
                <w:r w:rsidR="000A57C8">
                  <w:rPr>
                    <w:rFonts w:ascii="Times New Roman" w:hAnsi="Times New Roman" w:cs="Times New Roman"/>
                    <w:b/>
                    <w:lang w:val="is-IS"/>
                  </w:rPr>
                  <w:t xml:space="preserve"> </w:t>
                </w:r>
              </w:p>
              <w:p w14:paraId="3DA2F27C" w14:textId="5EC2F206" w:rsidR="00CA3381" w:rsidRPr="00CE28AE" w:rsidRDefault="00594B02" w:rsidP="00594B02">
                <w:pPr>
                  <w:pStyle w:val="ListParagraph"/>
                  <w:numPr>
                    <w:ilvl w:val="0"/>
                    <w:numId w:val="27"/>
                  </w:numPr>
                  <w:spacing w:before="60" w:after="60"/>
                  <w:ind w:left="731"/>
                  <w:contextualSpacing w:val="0"/>
                  <w:jc w:val="both"/>
                  <w:rPr>
                    <w:rFonts w:ascii="Times New Roman" w:hAnsi="Times New Roman" w:cs="Times New Roman"/>
                    <w:b/>
                    <w:lang w:val="is-IS"/>
                  </w:rPr>
                </w:pPr>
                <w:r>
                  <w:rPr>
                    <w:rFonts w:ascii="Times New Roman" w:hAnsi="Times New Roman" w:cs="Times New Roman"/>
                    <w:bCs/>
                    <w:lang w:val="is-IS"/>
                  </w:rPr>
                  <w:t>Varðandi aðra þætti frumvarps þá er brugðist við því að h</w:t>
                </w:r>
                <w:r w:rsidR="000A57C8" w:rsidRPr="000A57C8">
                  <w:rPr>
                    <w:rFonts w:ascii="Times New Roman" w:hAnsi="Times New Roman" w:cs="Times New Roman"/>
                    <w:bCs/>
                    <w:lang w:val="is-IS"/>
                  </w:rPr>
                  <w:t>afnalög skilgreina ekki hafnarsvæði.</w:t>
                </w:r>
                <w:r>
                  <w:rPr>
                    <w:rFonts w:ascii="Times New Roman" w:hAnsi="Times New Roman" w:cs="Times New Roman"/>
                    <w:bCs/>
                    <w:lang w:val="is-IS"/>
                  </w:rPr>
                  <w:t xml:space="preserve"> Þá er talið að heimild ráðherra til setningar reglugerðar um lágmarkskröfur um hafnarmannvirki ekki fullnægjandi til að hægt sé að setja almenna hafnarreglugerð. Loks verður ekki fullyrt að ákvæði um hafnsögu og leiðsögu, sem er að finna í lögum um vaktstöð siglinga, nr. 41/2003, séu ekki fullnægjandi. Þykir hins vegar rétt að þau séu að finna í hafnalögum.</w:t>
                </w:r>
                <w:r w:rsidR="000A57C8">
                  <w:rPr>
                    <w:rFonts w:ascii="Times New Roman" w:hAnsi="Times New Roman" w:cs="Times New Roman"/>
                    <w:b/>
                    <w:lang w:val="is-IS"/>
                  </w:rPr>
                  <w:t xml:space="preserve"> </w:t>
                </w:r>
              </w:p>
            </w:sdtContent>
          </w:sdt>
          <w:permEnd w:id="1532176985" w:displacedByCustomXml="prev"/>
        </w:tc>
      </w:tr>
      <w:tr w:rsidR="00E34B42" w:rsidRPr="00E34B42" w14:paraId="0FE6A4D6" w14:textId="77777777" w:rsidTr="007414CB">
        <w:tc>
          <w:tcPr>
            <w:tcW w:w="9288" w:type="dxa"/>
            <w:shd w:val="clear" w:color="auto" w:fill="92CDDC" w:themeFill="accent5" w:themeFillTint="99"/>
          </w:tcPr>
          <w:p w14:paraId="5DD001EC"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6E99F678" w14:textId="77777777" w:rsidTr="005E6791">
        <w:trPr>
          <w:trHeight w:val="747"/>
        </w:trPr>
        <w:tc>
          <w:tcPr>
            <w:tcW w:w="9288" w:type="dxa"/>
          </w:tcPr>
          <w:permStart w:id="152557867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E4E6103" w14:textId="562C36C1"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1713E69F" w14:textId="77777777" w:rsidR="0094782B" w:rsidRDefault="006835C5" w:rsidP="002C39F0">
                <w:pPr>
                  <w:pStyle w:val="ListParagraph"/>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Málefni hafna og sjóvarna falla undir málefnasvið „11.1 Samgöngur“ í þingsályktun um fjármálaáætlun fyrir árin 2021-2025, nr. 11/151. </w:t>
                </w:r>
                <w:r w:rsidR="0094782B">
                  <w:rPr>
                    <w:rFonts w:ascii="Times New Roman" w:hAnsi="Times New Roman" w:cs="Times New Roman"/>
                    <w:bCs/>
                    <w:lang w:val="is-IS"/>
                  </w:rPr>
                  <w:t xml:space="preserve">Framtíðarsýn málefnasviðsins er að Ísland verði í fremstu röð með trausta og örugga innviði og meginmarkmiðið að innviðir og þjónusta mæti þörfum almennings og atvinnulífs og sjálfbær þróun byggða um land allt. </w:t>
                </w:r>
              </w:p>
              <w:p w14:paraId="793D7D6D" w14:textId="2426C08D" w:rsidR="00671152" w:rsidRPr="002C39F0" w:rsidRDefault="00482ECF" w:rsidP="002C39F0">
                <w:pPr>
                  <w:pStyle w:val="ListParagraph"/>
                  <w:spacing w:before="60" w:after="60"/>
                  <w:ind w:left="714"/>
                  <w:contextualSpacing w:val="0"/>
                  <w:jc w:val="both"/>
                  <w:rPr>
                    <w:rFonts w:ascii="Times New Roman" w:hAnsi="Times New Roman" w:cs="Times New Roman"/>
                    <w:bCs/>
                    <w:lang w:val="is-IS"/>
                  </w:rPr>
                </w:pPr>
                <w:r w:rsidRPr="002C39F0">
                  <w:rPr>
                    <w:rFonts w:ascii="Times New Roman" w:hAnsi="Times New Roman" w:cs="Times New Roman"/>
                    <w:bCs/>
                    <w:lang w:val="is-IS"/>
                  </w:rPr>
                  <w:t xml:space="preserve">Hafnaraðstaða býður upp á margs konar atvinnutækifæri, einkum tengd fiskveiðum eða ferðaþjónustu sem geta skipt miklu máli fyrir byggðalög. Þá eru hafnir meðal samgönguinnviða sem eru lykill að samkeppnishæfni landsins. </w:t>
                </w:r>
                <w:r w:rsidR="002C39F0" w:rsidRPr="002C39F0">
                  <w:rPr>
                    <w:rFonts w:ascii="Times New Roman" w:hAnsi="Times New Roman" w:cs="Times New Roman"/>
                    <w:bCs/>
                    <w:lang w:val="is-IS"/>
                  </w:rPr>
                  <w:t xml:space="preserve">Um þær fer megnið af vöruflutningum hér á landi. </w:t>
                </w:r>
                <w:r w:rsidRPr="002C39F0">
                  <w:rPr>
                    <w:rFonts w:ascii="Times New Roman" w:hAnsi="Times New Roman" w:cs="Times New Roman"/>
                    <w:bCs/>
                    <w:lang w:val="is-IS"/>
                  </w:rPr>
                  <w:t>Þ</w:t>
                </w:r>
                <w:r w:rsidR="002C39F0" w:rsidRPr="002C39F0">
                  <w:rPr>
                    <w:rFonts w:ascii="Times New Roman" w:hAnsi="Times New Roman" w:cs="Times New Roman"/>
                    <w:bCs/>
                    <w:lang w:val="is-IS"/>
                  </w:rPr>
                  <w:t>á</w:t>
                </w:r>
                <w:r w:rsidRPr="002C39F0">
                  <w:rPr>
                    <w:rFonts w:ascii="Times New Roman" w:hAnsi="Times New Roman" w:cs="Times New Roman"/>
                    <w:bCs/>
                    <w:lang w:val="is-IS"/>
                  </w:rPr>
                  <w:t xml:space="preserve"> er</w:t>
                </w:r>
                <w:r w:rsidR="002C39F0" w:rsidRPr="002C39F0">
                  <w:rPr>
                    <w:rFonts w:ascii="Times New Roman" w:hAnsi="Times New Roman" w:cs="Times New Roman"/>
                    <w:bCs/>
                    <w:lang w:val="is-IS"/>
                  </w:rPr>
                  <w:t xml:space="preserve"> það </w:t>
                </w:r>
                <w:r w:rsidRPr="002C39F0">
                  <w:rPr>
                    <w:rFonts w:ascii="Times New Roman" w:hAnsi="Times New Roman" w:cs="Times New Roman"/>
                    <w:bCs/>
                    <w:lang w:val="is-IS"/>
                  </w:rPr>
                  <w:t xml:space="preserve"> lykilatriði að atvinnulíf á landsbyggðinni hafi gott að aðgengi að gáttum, þ.e. inn- og útflutningshöfnum.</w:t>
                </w:r>
              </w:p>
              <w:p w14:paraId="700E2EAB" w14:textId="6C4BD5A9" w:rsidR="002C39F0" w:rsidRPr="002C39F0" w:rsidRDefault="002C39F0" w:rsidP="002C39F0">
                <w:pPr>
                  <w:pStyle w:val="ListParagraph"/>
                  <w:spacing w:before="60" w:after="60"/>
                  <w:ind w:left="714"/>
                  <w:contextualSpacing w:val="0"/>
                  <w:jc w:val="both"/>
                  <w:rPr>
                    <w:rFonts w:ascii="Times New Roman" w:hAnsi="Times New Roman" w:cs="Times New Roman"/>
                    <w:bCs/>
                    <w:lang w:val="is-IS"/>
                  </w:rPr>
                </w:pPr>
                <w:r w:rsidRPr="002C39F0">
                  <w:rPr>
                    <w:rFonts w:ascii="Times New Roman" w:hAnsi="Times New Roman" w:cs="Times New Roman"/>
                    <w:bCs/>
                    <w:lang w:val="is-IS"/>
                  </w:rPr>
                  <w:t xml:space="preserve">Hafnir eru </w:t>
                </w:r>
                <w:r w:rsidR="0094782B">
                  <w:rPr>
                    <w:rFonts w:ascii="Times New Roman" w:hAnsi="Times New Roman" w:cs="Times New Roman"/>
                    <w:bCs/>
                    <w:lang w:val="is-IS"/>
                  </w:rPr>
                  <w:t>allar, utan Landeyjahafnar, í eigu sveitarfélaga</w:t>
                </w:r>
                <w:r w:rsidRPr="002C39F0">
                  <w:rPr>
                    <w:rFonts w:ascii="Times New Roman" w:hAnsi="Times New Roman" w:cs="Times New Roman"/>
                    <w:bCs/>
                    <w:lang w:val="is-IS"/>
                  </w:rPr>
                  <w:t xml:space="preserve"> og eru flestar reknar af hafnarsjóðum sveitarfélaga. Hafnarsjóðir reka hafnir og taka ákvarðanir um uppbyggingu þeirra.</w:t>
                </w:r>
              </w:p>
              <w:p w14:paraId="560468E5" w14:textId="77777777" w:rsidR="002D4FD7"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2D4FD7">
                  <w:rPr>
                    <w:rFonts w:ascii="Times New Roman" w:hAnsi="Times New Roman" w:cs="Times New Roman"/>
                    <w:b/>
                    <w:lang w:val="is-IS"/>
                  </w:rPr>
                  <w:t>.</w:t>
                </w:r>
              </w:p>
              <w:p w14:paraId="3C148BAC" w14:textId="002F3310" w:rsidR="00A8538F" w:rsidRDefault="002D4FD7" w:rsidP="00D3678B">
                <w:pPr>
                  <w:pStyle w:val="ListParagraph"/>
                  <w:numPr>
                    <w:ilvl w:val="0"/>
                    <w:numId w:val="25"/>
                  </w:numPr>
                  <w:spacing w:before="60" w:after="60"/>
                  <w:ind w:left="742"/>
                  <w:contextualSpacing w:val="0"/>
                  <w:jc w:val="both"/>
                  <w:rPr>
                    <w:rFonts w:ascii="Times New Roman" w:hAnsi="Times New Roman" w:cs="Times New Roman"/>
                    <w:bCs/>
                    <w:lang w:val="is-IS"/>
                  </w:rPr>
                </w:pPr>
                <w:r w:rsidRPr="002D4FD7">
                  <w:rPr>
                    <w:rFonts w:ascii="Times New Roman" w:hAnsi="Times New Roman" w:cs="Times New Roman"/>
                    <w:bCs/>
                    <w:lang w:val="is-IS"/>
                  </w:rPr>
                  <w:t>Markmiðið með lagasetningunni er að innleiða með fullnægjandi hætti þau ákvæði reglugerðar (ESB) 2017/352 sem kalla á lagabreytingar. Ekki verði gengið lengra við innleiðingu ákvæðanna en þörf krefur.</w:t>
                </w:r>
              </w:p>
              <w:p w14:paraId="1BBD9447" w14:textId="77777777" w:rsidR="000A57C8" w:rsidRPr="000A57C8" w:rsidRDefault="00A8538F" w:rsidP="00D3678B">
                <w:pPr>
                  <w:pStyle w:val="ListParagraph"/>
                  <w:numPr>
                    <w:ilvl w:val="0"/>
                    <w:numId w:val="25"/>
                  </w:numPr>
                  <w:spacing w:before="60" w:after="60"/>
                  <w:ind w:left="742"/>
                  <w:contextualSpacing w:val="0"/>
                  <w:jc w:val="both"/>
                  <w:rPr>
                    <w:rFonts w:ascii="Times New Roman" w:hAnsi="Times New Roman" w:cs="Times New Roman"/>
                    <w:b/>
                    <w:lang w:val="is-IS"/>
                  </w:rPr>
                </w:pPr>
                <w:r w:rsidRPr="0098268F">
                  <w:rPr>
                    <w:rFonts w:ascii="Times New Roman" w:hAnsi="Times New Roman" w:cs="Times New Roman"/>
                    <w:bCs/>
                    <w:lang w:val="is-IS"/>
                  </w:rPr>
                  <w:t>Þá er markmiðið með endurskoðun á ákvæði um gjaldtöku hafna að tryggja að hafnir hafi skýra heimild til að taka gjald tengt starfsemi fiskeldisfyrirtækja þannig að þær standi undir rekstri þeirra, en samkvæmt 3. tölul. 3. gr. laganna táknar það að byggja, reka, viðhalda og endurnýja hafnarmannvirki sem og rekstur hafnten</w:t>
                </w:r>
                <w:r w:rsidR="0098268F">
                  <w:rPr>
                    <w:rFonts w:ascii="Times New Roman" w:hAnsi="Times New Roman" w:cs="Times New Roman"/>
                    <w:bCs/>
                    <w:lang w:val="is-IS"/>
                  </w:rPr>
                  <w:t>g</w:t>
                </w:r>
                <w:r w:rsidRPr="0098268F">
                  <w:rPr>
                    <w:rFonts w:ascii="Times New Roman" w:hAnsi="Times New Roman" w:cs="Times New Roman"/>
                    <w:bCs/>
                    <w:lang w:val="is-IS"/>
                  </w:rPr>
                  <w:t>drar atvinnuaðstöðu og jafnframt rekstur hafnten</w:t>
                </w:r>
                <w:r w:rsidR="0098268F">
                  <w:rPr>
                    <w:rFonts w:ascii="Times New Roman" w:hAnsi="Times New Roman" w:cs="Times New Roman"/>
                    <w:bCs/>
                    <w:lang w:val="is-IS"/>
                  </w:rPr>
                  <w:t>g</w:t>
                </w:r>
                <w:r w:rsidRPr="0098268F">
                  <w:rPr>
                    <w:rFonts w:ascii="Times New Roman" w:hAnsi="Times New Roman" w:cs="Times New Roman"/>
                    <w:bCs/>
                    <w:lang w:val="is-IS"/>
                  </w:rPr>
                  <w:t>drar þjónustu.</w:t>
                </w:r>
                <w:r>
                  <w:rPr>
                    <w:rFonts w:ascii="Times New Roman" w:hAnsi="Times New Roman" w:cs="Times New Roman"/>
                    <w:bCs/>
                    <w:lang w:val="is-IS"/>
                  </w:rPr>
                  <w:t xml:space="preserve"> </w:t>
                </w:r>
              </w:p>
              <w:p w14:paraId="3FEC7D91" w14:textId="0A096D62" w:rsidR="00CA3381" w:rsidRPr="00E34B42" w:rsidRDefault="000A57C8" w:rsidP="00D3678B">
                <w:pPr>
                  <w:pStyle w:val="ListParagraph"/>
                  <w:numPr>
                    <w:ilvl w:val="0"/>
                    <w:numId w:val="25"/>
                  </w:numPr>
                  <w:spacing w:before="60" w:after="60"/>
                  <w:ind w:left="742"/>
                  <w:contextualSpacing w:val="0"/>
                  <w:jc w:val="both"/>
                  <w:rPr>
                    <w:rFonts w:ascii="Times New Roman" w:hAnsi="Times New Roman" w:cs="Times New Roman"/>
                    <w:b/>
                    <w:lang w:val="is-IS"/>
                  </w:rPr>
                </w:pPr>
                <w:r>
                  <w:rPr>
                    <w:rFonts w:ascii="Times New Roman" w:hAnsi="Times New Roman" w:cs="Times New Roman"/>
                    <w:bCs/>
                    <w:lang w:val="is-IS"/>
                  </w:rPr>
                  <w:t>Loks er markmiðið að bregðast við athugasemdum sem hafa komið við ákvæði hafnalaga, nr. 61/2003, þar sem þau eru talin annaðhvort óskýr eða ófullnægjandi, sbr. umfjöllun hér að ofan.</w:t>
                </w:r>
              </w:p>
            </w:sdtContent>
          </w:sdt>
        </w:tc>
      </w:tr>
      <w:permEnd w:id="1525578675"/>
      <w:tr w:rsidR="00E34B42" w:rsidRPr="00E34B42" w14:paraId="18882BCB" w14:textId="77777777" w:rsidTr="007414CB">
        <w:tc>
          <w:tcPr>
            <w:tcW w:w="9288" w:type="dxa"/>
            <w:shd w:val="clear" w:color="auto" w:fill="92CDDC" w:themeFill="accent5" w:themeFillTint="99"/>
          </w:tcPr>
          <w:p w14:paraId="23914EC9"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4ACD7B9E" w14:textId="77777777" w:rsidTr="00FD2097">
        <w:trPr>
          <w:trHeight w:val="826"/>
        </w:trPr>
        <w:tc>
          <w:tcPr>
            <w:tcW w:w="9288" w:type="dxa"/>
          </w:tcPr>
          <w:permStart w:id="6686080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6F86C5A" w14:textId="77777777" w:rsidR="002D4FD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3B04DC1E" w14:textId="1ED3A9D9" w:rsidR="00FD2097" w:rsidRDefault="002D4FD7" w:rsidP="00D3678B">
                <w:pPr>
                  <w:pStyle w:val="ListParagraph"/>
                  <w:numPr>
                    <w:ilvl w:val="0"/>
                    <w:numId w:val="26"/>
                  </w:numPr>
                  <w:spacing w:before="60" w:after="60"/>
                  <w:ind w:left="742"/>
                  <w:contextualSpacing w:val="0"/>
                  <w:jc w:val="both"/>
                  <w:rPr>
                    <w:rFonts w:ascii="Times New Roman" w:hAnsi="Times New Roman" w:cs="Times New Roman"/>
                    <w:bCs/>
                    <w:lang w:val="is-IS"/>
                  </w:rPr>
                </w:pPr>
                <w:r w:rsidRPr="002D4FD7">
                  <w:rPr>
                    <w:rFonts w:ascii="Times New Roman" w:hAnsi="Times New Roman" w:cs="Times New Roman"/>
                    <w:bCs/>
                    <w:lang w:val="is-IS"/>
                  </w:rPr>
                  <w:t xml:space="preserve">Samkvæmt samningi um stofnun dómstóls og Eftirlitsstofnunar hefur Eftirlitsstofnun EFTA það hlutverk að fylgjast með því að innleiðing og beiting reglna, sem teknar hafa verið upp í EES-samninginn sé með fullnægjandi hætti. Ef innleiðing reglugerðar (ESB) fer ekki fram getur stofnunin hafið mál vegna ófullnægjandi innleiðingar. Slíku máli getur lyktað með að stofnunin sendi málið til EFTA-dómstólsins. </w:t>
                </w:r>
              </w:p>
              <w:p w14:paraId="26EE5823" w14:textId="1B550DB1" w:rsidR="0098268F" w:rsidRPr="002D4FD7" w:rsidRDefault="0098268F" w:rsidP="00D3678B">
                <w:pPr>
                  <w:pStyle w:val="ListParagraph"/>
                  <w:numPr>
                    <w:ilvl w:val="0"/>
                    <w:numId w:val="26"/>
                  </w:numPr>
                  <w:spacing w:before="60" w:after="60"/>
                  <w:ind w:left="742"/>
                  <w:contextualSpacing w:val="0"/>
                  <w:jc w:val="both"/>
                  <w:rPr>
                    <w:rFonts w:ascii="Times New Roman" w:hAnsi="Times New Roman" w:cs="Times New Roman"/>
                    <w:bCs/>
                    <w:lang w:val="is-IS"/>
                  </w:rPr>
                </w:pPr>
                <w:r>
                  <w:rPr>
                    <w:rFonts w:ascii="Times New Roman" w:hAnsi="Times New Roman" w:cs="Times New Roman"/>
                    <w:bCs/>
                    <w:lang w:val="is-IS"/>
                  </w:rPr>
                  <w:t xml:space="preserve">Markmiðið með endurskoðun á gjaldtökuákvæði hafnalaga m.t.t. fiskeldis er að setja skýra heimild fyrir hafnir til að taka hafnargjöld vegna starfsemi fiskeldisfyrirtækja. </w:t>
                </w:r>
                <w:bookmarkStart w:id="1" w:name="_Hlk46843376"/>
                <w:r>
                  <w:rPr>
                    <w:rFonts w:ascii="Times New Roman" w:hAnsi="Times New Roman" w:cs="Times New Roman"/>
                    <w:bCs/>
                    <w:lang w:val="is-IS"/>
                  </w:rPr>
                  <w:t>Ef ákvæði standa ób</w:t>
                </w:r>
                <w:r w:rsidR="00E253D2">
                  <w:rPr>
                    <w:rFonts w:ascii="Times New Roman" w:hAnsi="Times New Roman" w:cs="Times New Roman"/>
                    <w:bCs/>
                    <w:lang w:val="is-IS"/>
                  </w:rPr>
                  <w:t xml:space="preserve">reytt er hætt við að hafnir muni innheimta lægri gjöld </w:t>
                </w:r>
                <w:r w:rsidR="002F36B6">
                  <w:rPr>
                    <w:rFonts w:ascii="Times New Roman" w:hAnsi="Times New Roman" w:cs="Times New Roman"/>
                    <w:bCs/>
                    <w:lang w:val="is-IS"/>
                  </w:rPr>
                  <w:t xml:space="preserve">og ekki ná eðlilegu framlagi á móti kostnaði vegna þessarar starfsemi eins og </w:t>
                </w:r>
                <w:r w:rsidR="00E253D2">
                  <w:rPr>
                    <w:rFonts w:ascii="Times New Roman" w:hAnsi="Times New Roman" w:cs="Times New Roman"/>
                    <w:bCs/>
                    <w:lang w:val="is-IS"/>
                  </w:rPr>
                  <w:t>hafnalög nr. 61/2003</w:t>
                </w:r>
                <w:r w:rsidR="002F36B6">
                  <w:rPr>
                    <w:rFonts w:ascii="Times New Roman" w:hAnsi="Times New Roman" w:cs="Times New Roman"/>
                    <w:bCs/>
                    <w:lang w:val="is-IS"/>
                  </w:rPr>
                  <w:t xml:space="preserve"> gera ráð fyrir</w:t>
                </w:r>
                <w:bookmarkEnd w:id="1"/>
                <w:r w:rsidR="00E253D2">
                  <w:rPr>
                    <w:rFonts w:ascii="Times New Roman" w:hAnsi="Times New Roman" w:cs="Times New Roman"/>
                    <w:bCs/>
                    <w:lang w:val="is-IS"/>
                  </w:rPr>
                  <w:t>.</w:t>
                </w:r>
              </w:p>
              <w:p w14:paraId="447D4EC7" w14:textId="0D01B9FA"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2D4FD7">
                  <w:rPr>
                    <w:rFonts w:ascii="Times New Roman" w:hAnsi="Times New Roman" w:cs="Times New Roman"/>
                    <w:b/>
                    <w:lang w:val="is-IS"/>
                  </w:rPr>
                  <w:t>.</w:t>
                </w:r>
              </w:p>
              <w:p w14:paraId="16486DD6" w14:textId="29CB17C3" w:rsidR="002D4FD7" w:rsidRPr="002D4FD7" w:rsidRDefault="002D4FD7" w:rsidP="002D4FD7">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Ekki eru önnur úrræði en lagasetning tæk í þessu tilviki.</w:t>
                </w:r>
              </w:p>
              <w:p w14:paraId="38606F73" w14:textId="77777777" w:rsidR="002D4FD7"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2D4FD7">
                  <w:rPr>
                    <w:rFonts w:ascii="Times New Roman" w:hAnsi="Times New Roman" w:cs="Times New Roman"/>
                    <w:b/>
                    <w:lang w:val="is-IS"/>
                  </w:rPr>
                  <w:t>.</w:t>
                </w:r>
              </w:p>
              <w:p w14:paraId="16440701" w14:textId="48BCFEE5" w:rsidR="00CA3381" w:rsidRPr="0074650F" w:rsidRDefault="002D4FD7" w:rsidP="0074650F">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 xml:space="preserve">Það er unnt að innleiða </w:t>
                </w:r>
                <w:r w:rsidR="002C39F0">
                  <w:rPr>
                    <w:rFonts w:ascii="Times New Roman" w:hAnsi="Times New Roman" w:cs="Times New Roman"/>
                    <w:bCs/>
                    <w:lang w:val="is-IS"/>
                  </w:rPr>
                  <w:t>reglugerð (ESB) 2017/352</w:t>
                </w:r>
                <w:r w:rsidRPr="002D4FD7">
                  <w:rPr>
                    <w:rFonts w:ascii="Times New Roman" w:hAnsi="Times New Roman" w:cs="Times New Roman"/>
                    <w:bCs/>
                    <w:lang w:val="is-IS"/>
                  </w:rPr>
                  <w:t xml:space="preserve"> með heildstæðum hætti í lög eða þau ákvæði sérstaklega sem kalla á lagabreytingar. Horft er til þess að fara síðari leiðina og innleiða ákvæði</w:t>
                </w:r>
                <w:r w:rsidR="002F36B6">
                  <w:rPr>
                    <w:rFonts w:ascii="Times New Roman" w:hAnsi="Times New Roman" w:cs="Times New Roman"/>
                    <w:bCs/>
                    <w:lang w:val="is-IS"/>
                  </w:rPr>
                  <w:t xml:space="preserve"> reglugerðarinnar</w:t>
                </w:r>
                <w:r w:rsidRPr="002D4FD7">
                  <w:rPr>
                    <w:rFonts w:ascii="Times New Roman" w:hAnsi="Times New Roman" w:cs="Times New Roman"/>
                    <w:bCs/>
                    <w:lang w:val="is-IS"/>
                  </w:rPr>
                  <w:t xml:space="preserve"> síðan í heild sinni í landsrétt með stjórnvaldsfyrirmælum. Slíkt veitir stjórnvöldum færi á að gera breytingar á sem kunna að verða gerðar á reglugerð (ESB) 2017/352 á síðari stigum án lagabreytinga, enda séu breytingar ekki þess eðlis að lagabreytinga sé þörf.</w:t>
                </w:r>
              </w:p>
            </w:sdtContent>
          </w:sdt>
        </w:tc>
      </w:tr>
      <w:permEnd w:id="66860805"/>
      <w:tr w:rsidR="00E34B42" w:rsidRPr="00E34B42" w14:paraId="17923372" w14:textId="77777777" w:rsidTr="007414CB">
        <w:tc>
          <w:tcPr>
            <w:tcW w:w="9288" w:type="dxa"/>
            <w:shd w:val="clear" w:color="auto" w:fill="92CDDC" w:themeFill="accent5" w:themeFillTint="99"/>
          </w:tcPr>
          <w:p w14:paraId="480C3676"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0E21A79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28937883" w:edGrp="everyone" w:displacedByCustomXml="prev"/>
              <w:p w14:paraId="5ECC6970" w14:textId="6AC0DAA0"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2D4FD7">
                  <w:rPr>
                    <w:rFonts w:ascii="Times New Roman" w:hAnsi="Times New Roman" w:cs="Times New Roman"/>
                    <w:b/>
                    <w:lang w:val="is-IS"/>
                  </w:rPr>
                  <w:t>.</w:t>
                </w:r>
              </w:p>
              <w:p w14:paraId="03902F07" w14:textId="4E76121F" w:rsidR="002D4FD7" w:rsidRPr="00440232" w:rsidRDefault="002D4FD7" w:rsidP="002D4FD7">
                <w:pPr>
                  <w:pStyle w:val="ListParagraph"/>
                  <w:spacing w:before="60" w:after="60"/>
                  <w:ind w:left="714"/>
                  <w:contextualSpacing w:val="0"/>
                  <w:rPr>
                    <w:rFonts w:ascii="Times New Roman" w:hAnsi="Times New Roman" w:cs="Times New Roman"/>
                    <w:bCs/>
                    <w:lang w:val="is-IS"/>
                  </w:rPr>
                </w:pPr>
                <w:r w:rsidRPr="00440232">
                  <w:rPr>
                    <w:rFonts w:ascii="Times New Roman" w:hAnsi="Times New Roman" w:cs="Times New Roman"/>
                    <w:bCs/>
                    <w:lang w:val="is-IS"/>
                  </w:rPr>
                  <w:t xml:space="preserve">Áformað er að gera nauðsynlegar breytingar á </w:t>
                </w:r>
                <w:r w:rsidR="00350BDB" w:rsidRPr="00440232">
                  <w:rPr>
                    <w:rFonts w:ascii="Times New Roman" w:hAnsi="Times New Roman" w:cs="Times New Roman"/>
                    <w:bCs/>
                    <w:lang w:val="is-IS"/>
                  </w:rPr>
                  <w:t xml:space="preserve">hafnalögum nr. 61/2003 </w:t>
                </w:r>
                <w:r w:rsidR="00440232" w:rsidRPr="00440232">
                  <w:rPr>
                    <w:rFonts w:ascii="Times New Roman" w:hAnsi="Times New Roman" w:cs="Times New Roman"/>
                    <w:bCs/>
                    <w:lang w:val="is-IS"/>
                  </w:rPr>
                  <w:t xml:space="preserve">þannig að þau ákvæði reglugerðar (ESB) 2017/352, sem kalla á lagabreytingar, verði innleiddar í lög. Önnur ákvæði reglugerðarinnar verði síðan innleidd með stjórnvaldsfyrirmælum. </w:t>
                </w:r>
              </w:p>
              <w:p w14:paraId="5F1F0D35" w14:textId="6FEB83BF" w:rsidR="006F2CBB"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6F2CBB">
                  <w:rPr>
                    <w:rFonts w:ascii="Times New Roman" w:hAnsi="Times New Roman" w:cs="Times New Roman"/>
                    <w:b/>
                    <w:lang w:val="is-IS"/>
                  </w:rPr>
                  <w:t>.</w:t>
                </w:r>
              </w:p>
              <w:p w14:paraId="62F5E366" w14:textId="154CD7BF" w:rsidR="000D6E33" w:rsidRPr="00BD401E" w:rsidRDefault="00BD401E" w:rsidP="00BD401E">
                <w:pPr>
                  <w:pStyle w:val="ListParagraph"/>
                  <w:spacing w:before="60" w:after="60"/>
                  <w:ind w:left="714"/>
                  <w:contextualSpacing w:val="0"/>
                  <w:rPr>
                    <w:rFonts w:ascii="Times New Roman" w:hAnsi="Times New Roman" w:cs="Times New Roman"/>
                    <w:b/>
                    <w:lang w:val="is-IS"/>
                  </w:rPr>
                </w:pPr>
                <w:r w:rsidRPr="00223102">
                  <w:rPr>
                    <w:rFonts w:ascii="Times New Roman" w:hAnsi="Times New Roman" w:cs="Times New Roman"/>
                    <w:bCs/>
                    <w:lang w:val="is-IS"/>
                  </w:rPr>
                  <w:t xml:space="preserve">Meðal þeirra ákvæða sem breyta þarf eru </w:t>
                </w:r>
                <w:r w:rsidR="000A57C8">
                  <w:rPr>
                    <w:rFonts w:ascii="Times New Roman" w:hAnsi="Times New Roman" w:cs="Times New Roman"/>
                    <w:bCs/>
                    <w:lang w:val="is-IS"/>
                  </w:rPr>
                  <w:t xml:space="preserve">3. gr. að því er varðar nýja skilgreiningu á hafnarsvæði. 4. gr. um hafnarreglugerðir, 6. gr. um lágmarkskröfur um hafnarmannvirki, slysavarnir og staðfestingu á fjármögnun, </w:t>
                </w:r>
                <w:r w:rsidRPr="00223102">
                  <w:rPr>
                    <w:rFonts w:ascii="Times New Roman" w:hAnsi="Times New Roman" w:cs="Times New Roman"/>
                    <w:bCs/>
                    <w:lang w:val="is-IS"/>
                  </w:rPr>
                  <w:t xml:space="preserve">17. gr. um gjöld, 27. gr. um kæruheimild. Þá þarf að kveða á um </w:t>
                </w:r>
                <w:r w:rsidR="002F36B6">
                  <w:rPr>
                    <w:rFonts w:ascii="Times New Roman" w:hAnsi="Times New Roman" w:cs="Times New Roman"/>
                    <w:bCs/>
                    <w:lang w:val="is-IS"/>
                  </w:rPr>
                  <w:t>hafntengda þjónustu</w:t>
                </w:r>
                <w:r w:rsidR="000A57C8">
                  <w:rPr>
                    <w:rFonts w:ascii="Times New Roman" w:hAnsi="Times New Roman" w:cs="Times New Roman"/>
                    <w:bCs/>
                    <w:lang w:val="is-IS"/>
                  </w:rPr>
                  <w:t xml:space="preserve"> og rafræna vöktun</w:t>
                </w:r>
                <w:r w:rsidR="002F36B6">
                  <w:rPr>
                    <w:rFonts w:ascii="Times New Roman" w:hAnsi="Times New Roman" w:cs="Times New Roman"/>
                    <w:bCs/>
                    <w:lang w:val="is-IS"/>
                  </w:rPr>
                  <w:t>.</w:t>
                </w:r>
                <w:r w:rsidRPr="00223102">
                  <w:rPr>
                    <w:rFonts w:ascii="Times New Roman" w:hAnsi="Times New Roman" w:cs="Times New Roman"/>
                    <w:bCs/>
                    <w:lang w:val="is-IS"/>
                  </w:rPr>
                  <w:t>.</w:t>
                </w:r>
              </w:p>
              <w:permEnd w:id="228937883" w:displacedByCustomXml="next"/>
            </w:sdtContent>
          </w:sdt>
        </w:tc>
      </w:tr>
      <w:tr w:rsidR="00E34B42" w:rsidRPr="002A54E0" w14:paraId="5C0524AA" w14:textId="77777777" w:rsidTr="007414CB">
        <w:tc>
          <w:tcPr>
            <w:tcW w:w="9288" w:type="dxa"/>
            <w:shd w:val="clear" w:color="auto" w:fill="92CDDC" w:themeFill="accent5" w:themeFillTint="99"/>
          </w:tcPr>
          <w:p w14:paraId="3C27C032"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45F37BE0" w14:textId="77777777" w:rsidTr="00FD2097">
        <w:tc>
          <w:tcPr>
            <w:tcW w:w="9288" w:type="dxa"/>
          </w:tcPr>
          <w:sdt>
            <w:sdtPr>
              <w:rPr>
                <w:rFonts w:ascii="Times New Roman" w:hAnsi="Times New Roman" w:cs="Times New Roman"/>
                <w:b/>
                <w:lang w:val="is-IS"/>
              </w:rPr>
              <w:id w:val="515513155"/>
            </w:sdtPr>
            <w:sdtEndPr/>
            <w:sdtContent>
              <w:permStart w:id="339415321" w:edGrp="everyone" w:displacedByCustomXml="prev"/>
              <w:p w14:paraId="4C5C7A2E" w14:textId="2E9ABA13"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00E1433F" w14:textId="29B51163" w:rsidR="00350BDB" w:rsidRPr="00350BDB" w:rsidRDefault="00350BDB" w:rsidP="00223102">
                <w:pPr>
                  <w:pStyle w:val="ListParagraph"/>
                  <w:spacing w:before="60" w:after="60"/>
                  <w:ind w:left="714"/>
                  <w:contextualSpacing w:val="0"/>
                  <w:jc w:val="both"/>
                  <w:rPr>
                    <w:rFonts w:ascii="Times New Roman" w:hAnsi="Times New Roman" w:cs="Times New Roman"/>
                    <w:bCs/>
                    <w:lang w:val="is-IS"/>
                  </w:rPr>
                </w:pPr>
                <w:r w:rsidRPr="00350BDB">
                  <w:rPr>
                    <w:rFonts w:ascii="Times New Roman" w:hAnsi="Times New Roman" w:cs="Times New Roman"/>
                    <w:bCs/>
                    <w:lang w:val="is-IS"/>
                  </w:rPr>
                  <w:t>Sumar þeirra ákvæða reglugerðar (ESB) 2017/352, sem innleiddar verða varða atvinnufrelsi. Í 75. gr. stjórnarskrár lýðveldisins Íslands, nr. 33/1944 segir að öllum sé frjálst að stunda þá atvinnu sem þeir kjósa. Þessu frelsi megi þó setja skorður með lögum, enda krefjist almannahagsmunir þess.</w:t>
                </w:r>
              </w:p>
              <w:p w14:paraId="2268C73A" w14:textId="0E34D7A7" w:rsidR="00350BDB" w:rsidRPr="00350BDB" w:rsidRDefault="00350BDB" w:rsidP="00223102">
                <w:pPr>
                  <w:pStyle w:val="ListParagraph"/>
                  <w:spacing w:before="60" w:after="60"/>
                  <w:ind w:left="714"/>
                  <w:contextualSpacing w:val="0"/>
                  <w:jc w:val="both"/>
                  <w:rPr>
                    <w:rFonts w:ascii="Times New Roman" w:hAnsi="Times New Roman" w:cs="Times New Roman"/>
                    <w:bCs/>
                    <w:lang w:val="is-IS"/>
                  </w:rPr>
                </w:pPr>
                <w:r w:rsidRPr="00350BDB">
                  <w:rPr>
                    <w:rFonts w:ascii="Times New Roman" w:hAnsi="Times New Roman" w:cs="Times New Roman"/>
                    <w:bCs/>
                    <w:lang w:val="is-IS"/>
                  </w:rPr>
                  <w:t xml:space="preserve">Þá er frumvarpi ætlað að uppfylla þjóðréttarskuldbindingar íslenska ríkisins sem leiða af samningnum um Evrópska efnahagssvæðið. </w:t>
                </w:r>
              </w:p>
              <w:p w14:paraId="4287ECF9" w14:textId="6294682A" w:rsidR="00350BDB" w:rsidRPr="00350BDB" w:rsidRDefault="002B70B7" w:rsidP="00350BDB">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1892C7A9" w14:textId="3FBB29FB" w:rsidR="006D7958" w:rsidRPr="006D7958" w:rsidRDefault="006D7958" w:rsidP="006D7958">
                <w:pPr>
                  <w:pStyle w:val="ListParagraph"/>
                  <w:spacing w:before="60" w:after="60"/>
                  <w:ind w:left="714"/>
                  <w:contextualSpacing w:val="0"/>
                  <w:rPr>
                    <w:rFonts w:ascii="Times New Roman" w:hAnsi="Times New Roman" w:cs="Times New Roman"/>
                    <w:bCs/>
                    <w:lang w:val="is-IS"/>
                  </w:rPr>
                </w:pPr>
                <w:r w:rsidRPr="006D7958">
                  <w:rPr>
                    <w:rFonts w:ascii="Times New Roman" w:hAnsi="Times New Roman" w:cs="Times New Roman"/>
                    <w:bCs/>
                    <w:lang w:val="is-IS"/>
                  </w:rPr>
                  <w:t>Nei.</w:t>
                </w:r>
              </w:p>
              <w:p w14:paraId="5C5155E5" w14:textId="77777777" w:rsidR="00350BDB"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1F3B6DE4" w14:textId="31C4E26B" w:rsidR="00CA3381" w:rsidRPr="00E34B42" w:rsidRDefault="00350BDB" w:rsidP="00350BDB">
                <w:pPr>
                  <w:pStyle w:val="ListParagraph"/>
                  <w:spacing w:before="60" w:after="60"/>
                  <w:ind w:left="714"/>
                  <w:contextualSpacing w:val="0"/>
                  <w:rPr>
                    <w:rFonts w:ascii="Times New Roman" w:hAnsi="Times New Roman" w:cs="Times New Roman"/>
                    <w:b/>
                    <w:lang w:val="is-IS"/>
                  </w:rPr>
                </w:pPr>
                <w:r w:rsidRPr="00350BDB">
                  <w:rPr>
                    <w:rFonts w:ascii="Times New Roman" w:hAnsi="Times New Roman" w:cs="Times New Roman"/>
                    <w:bCs/>
                    <w:lang w:val="is-IS"/>
                  </w:rPr>
                  <w:t>Nei.</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339415321" w:displacedByCustomXml="next"/>
            </w:sdtContent>
          </w:sdt>
        </w:tc>
      </w:tr>
      <w:tr w:rsidR="00E34B42" w:rsidRPr="00E34B42" w14:paraId="510B0A72" w14:textId="77777777" w:rsidTr="007414CB">
        <w:tc>
          <w:tcPr>
            <w:tcW w:w="9288" w:type="dxa"/>
            <w:shd w:val="clear" w:color="auto" w:fill="92CDDC" w:themeFill="accent5" w:themeFillTint="99"/>
          </w:tcPr>
          <w:p w14:paraId="28E4151F"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40763D1D" w14:textId="77777777" w:rsidTr="00FD2097">
        <w:trPr>
          <w:trHeight w:val="826"/>
        </w:trPr>
        <w:tc>
          <w:tcPr>
            <w:tcW w:w="9288" w:type="dxa"/>
          </w:tcPr>
          <w:sdt>
            <w:sdtPr>
              <w:rPr>
                <w:rFonts w:ascii="Times New Roman" w:hAnsi="Times New Roman" w:cs="Times New Roman"/>
                <w:b/>
                <w:lang w:val="is-IS"/>
              </w:rPr>
              <w:id w:val="501779221"/>
            </w:sdtPr>
            <w:sdtEndPr/>
            <w:sdtContent>
              <w:permStart w:id="1000285697" w:edGrp="everyone" w:displacedByCustomXml="prev"/>
              <w:p w14:paraId="2F9C9C7E" w14:textId="7C519B3F"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61BDB034" w14:textId="42E7F97D" w:rsidR="002D4FD7" w:rsidRPr="002D4FD7" w:rsidRDefault="002D4FD7" w:rsidP="002D4FD7">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Hafnasamband Íslands, SVÞ – Samtök verslunar og þjónustu</w:t>
                </w:r>
                <w:r w:rsidR="00223102">
                  <w:rPr>
                    <w:rFonts w:ascii="Times New Roman" w:hAnsi="Times New Roman" w:cs="Times New Roman"/>
                    <w:bCs/>
                    <w:lang w:val="is-IS"/>
                  </w:rPr>
                  <w:t xml:space="preserve">, </w:t>
                </w:r>
                <w:r w:rsidRPr="002D4FD7">
                  <w:rPr>
                    <w:rFonts w:ascii="Times New Roman" w:hAnsi="Times New Roman" w:cs="Times New Roman"/>
                    <w:bCs/>
                    <w:lang w:val="is-IS"/>
                  </w:rPr>
                  <w:t>Samtök atvinnulífsins</w:t>
                </w:r>
                <w:r w:rsidR="00223102">
                  <w:rPr>
                    <w:rFonts w:ascii="Times New Roman" w:hAnsi="Times New Roman" w:cs="Times New Roman"/>
                    <w:bCs/>
                    <w:lang w:val="is-IS"/>
                  </w:rPr>
                  <w:t xml:space="preserve">, Landssamband Fiskeldisstöðva, Samband íslenskra sveitarfélaga. </w:t>
                </w:r>
              </w:p>
              <w:p w14:paraId="56CB71B1" w14:textId="77777777" w:rsidR="002D4FD7"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262C68E3" w14:textId="21349B6E" w:rsidR="009941D2" w:rsidRPr="008652EB" w:rsidRDefault="0088186A" w:rsidP="002D4FD7">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Atvinnuvega- og nýsköpunarráðuneytið (sjávarútvegs- og landbúnaðarráðherra að því er varðar málefni fiskeldis.</w:t>
                </w:r>
                <w:r w:rsidR="00F656C4" w:rsidRPr="008652EB">
                  <w:rPr>
                    <w:rFonts w:ascii="Times New Roman" w:hAnsi="Times New Roman" w:cs="Times New Roman"/>
                    <w:bCs/>
                    <w:lang w:val="is-IS"/>
                  </w:rPr>
                  <w:t xml:space="preserve"> </w:t>
                </w:r>
                <w:r w:rsidR="001A2707">
                  <w:rPr>
                    <w:rFonts w:ascii="Times New Roman" w:hAnsi="Times New Roman" w:cs="Times New Roman"/>
                    <w:bCs/>
                    <w:lang w:val="is-IS"/>
                  </w:rPr>
                  <w:t>Samráð hefur verið haft við ráðuneytið um áformað frumvarp.</w:t>
                </w:r>
              </w:p>
              <w:p w14:paraId="10C0A183" w14:textId="7958D731"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2D4FD7">
                  <w:rPr>
                    <w:rFonts w:ascii="Times New Roman" w:hAnsi="Times New Roman" w:cs="Times New Roman"/>
                    <w:b/>
                    <w:lang w:val="is-IS"/>
                  </w:rPr>
                  <w:t>.</w:t>
                </w:r>
              </w:p>
              <w:p w14:paraId="604459FA" w14:textId="1D54FFD9" w:rsidR="002D4FD7" w:rsidRPr="002D4FD7" w:rsidRDefault="00440232" w:rsidP="002D4FD7">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Á árunum 2017 og 2018, þegar unnið var að upptöku </w:t>
                </w:r>
                <w:r w:rsidR="002D4FD7" w:rsidRPr="002D4FD7">
                  <w:rPr>
                    <w:rFonts w:ascii="Times New Roman" w:hAnsi="Times New Roman" w:cs="Times New Roman"/>
                    <w:bCs/>
                    <w:lang w:val="is-IS"/>
                  </w:rPr>
                  <w:t xml:space="preserve">reglugerðar (ESB) 2017/352 </w:t>
                </w:r>
                <w:r>
                  <w:rPr>
                    <w:rFonts w:ascii="Times New Roman" w:hAnsi="Times New Roman" w:cs="Times New Roman"/>
                    <w:bCs/>
                    <w:lang w:val="is-IS"/>
                  </w:rPr>
                  <w:t xml:space="preserve">í EES-samninginn, var samráð haft </w:t>
                </w:r>
                <w:r w:rsidR="002D4FD7" w:rsidRPr="002D4FD7">
                  <w:rPr>
                    <w:rFonts w:ascii="Times New Roman" w:hAnsi="Times New Roman" w:cs="Times New Roman"/>
                    <w:bCs/>
                    <w:lang w:val="is-IS"/>
                  </w:rPr>
                  <w:t xml:space="preserve">við þá hagsmunaaðila sem getið er hér að ofan. </w:t>
                </w:r>
                <w:r w:rsidR="007B5E47">
                  <w:rPr>
                    <w:rFonts w:ascii="Times New Roman" w:hAnsi="Times New Roman" w:cs="Times New Roman"/>
                    <w:bCs/>
                    <w:lang w:val="is-IS"/>
                  </w:rPr>
                  <w:t>Þá hafa fundir verið haldnir með fulltrúum Vesturbyggðar og Arnarlax vegna gjaldtökumála.</w:t>
                </w:r>
              </w:p>
              <w:p w14:paraId="0D44AEC0" w14:textId="77777777" w:rsidR="002D4FD7"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4900D849" w14:textId="2D02B2C3" w:rsidR="00CA3381" w:rsidRPr="00E34B42" w:rsidRDefault="002D4FD7" w:rsidP="002D4FD7">
                <w:pPr>
                  <w:pStyle w:val="ListParagraph"/>
                  <w:spacing w:before="60" w:after="60"/>
                  <w:ind w:left="714"/>
                  <w:contextualSpacing w:val="0"/>
                  <w:rPr>
                    <w:rFonts w:ascii="Times New Roman" w:hAnsi="Times New Roman" w:cs="Times New Roman"/>
                    <w:b/>
                    <w:lang w:val="is-IS"/>
                  </w:rPr>
                </w:pPr>
                <w:r w:rsidRPr="002D4FD7">
                  <w:rPr>
                    <w:rFonts w:ascii="Times New Roman" w:hAnsi="Times New Roman" w:cs="Times New Roman"/>
                    <w:bCs/>
                    <w:lang w:val="is-IS"/>
                  </w:rPr>
                  <w:t>Áform um lagasetningu og drög að frumvarpi verða kynnt á samráðsvef stjórnvalda.</w:t>
                </w:r>
                <w:r w:rsidR="00BA4BB1" w:rsidRPr="00E34B42">
                  <w:rPr>
                    <w:rFonts w:ascii="Times New Roman" w:hAnsi="Times New Roman" w:cs="Times New Roman"/>
                    <w:b/>
                    <w:lang w:val="is-IS"/>
                  </w:rPr>
                  <w:t xml:space="preserve"> </w:t>
                </w:r>
              </w:p>
              <w:permEnd w:id="1000285697" w:displacedByCustomXml="next"/>
            </w:sdtContent>
          </w:sdt>
        </w:tc>
      </w:tr>
      <w:tr w:rsidR="00E34B42" w:rsidRPr="00E34B42" w14:paraId="690F9EC2" w14:textId="77777777" w:rsidTr="007414CB">
        <w:tc>
          <w:tcPr>
            <w:tcW w:w="9288" w:type="dxa"/>
            <w:shd w:val="clear" w:color="auto" w:fill="92CDDC" w:themeFill="accent5" w:themeFillTint="99"/>
          </w:tcPr>
          <w:p w14:paraId="13135E26"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1F189BFB" w14:textId="77777777" w:rsidTr="007414CB">
        <w:trPr>
          <w:trHeight w:val="283"/>
        </w:trPr>
        <w:tc>
          <w:tcPr>
            <w:tcW w:w="9288" w:type="dxa"/>
          </w:tcPr>
          <w:permStart w:id="154353355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723B40A2" w14:textId="77777777" w:rsidR="001415D5"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174A7935" w14:textId="375E90A6" w:rsidR="00F93B5C" w:rsidRPr="0074650F" w:rsidRDefault="0074650F" w:rsidP="0074650F">
                <w:pPr>
                  <w:pStyle w:val="ListParagraph"/>
                  <w:spacing w:before="60" w:after="60"/>
                  <w:contextualSpacing w:val="0"/>
                  <w:jc w:val="both"/>
                  <w:rPr>
                    <w:rFonts w:ascii="Times New Roman" w:hAnsi="Times New Roman" w:cs="Times New Roman"/>
                    <w:bCs/>
                    <w:lang w:val="is-IS"/>
                  </w:rPr>
                </w:pPr>
                <w:r w:rsidRPr="00004D30">
                  <w:rPr>
                    <w:rFonts w:ascii="Times New Roman" w:hAnsi="Times New Roman" w:cs="Times New Roman"/>
                    <w:bCs/>
                    <w:lang w:val="is-IS"/>
                  </w:rPr>
                  <w:t xml:space="preserve">Frumvarp þetta lýtur að innleiðingu reglugerðar (ESB) 2017/352 um að setja ramma um veitingu hafnarþjónustu og um sameiginlegar reglur um gagnsæi í fjármálum fyrir hafnir. </w:t>
                </w:r>
                <w:r w:rsidRPr="00004D30">
                  <w:rPr>
                    <w:rFonts w:ascii="Times New Roman" w:hAnsi="Times New Roman" w:cs="Times New Roman"/>
                    <w:lang w:val="is-IS"/>
                  </w:rPr>
                  <w:t xml:space="preserve">Reglugerðin nær til hafnanna í Reykjavík, Seyðisfirði, Reyðarfirði/Mjóeyrarhöfn, Vestmannaeyjum auk Landeyjahafnar. </w:t>
                </w:r>
                <w:r w:rsidRPr="00004D30">
                  <w:rPr>
                    <w:rFonts w:ascii="Times New Roman" w:hAnsi="Times New Roman" w:cs="Times New Roman"/>
                    <w:bCs/>
                    <w:lang w:val="is-IS"/>
                  </w:rPr>
                  <w:t>Innleiðing ákvæðis, um að gjaldskrárákvarðanir skuli vera kæranlegar, leiðir til nýs verkefnis fyrir Samgöngustofu. Stofnunin sinnir þegar kærum vegna ákvarðana hafnarstjórna, öðrum en gjaldskrárákvörðunum..</w:t>
                </w:r>
              </w:p>
            </w:sdtContent>
          </w:sdt>
        </w:tc>
      </w:tr>
      <w:permEnd w:id="1543533554"/>
      <w:tr w:rsidR="00E34B42" w:rsidRPr="00E34B42" w14:paraId="2F69B86B" w14:textId="77777777" w:rsidTr="007414CB">
        <w:tc>
          <w:tcPr>
            <w:tcW w:w="9288" w:type="dxa"/>
            <w:shd w:val="clear" w:color="auto" w:fill="92CDDC" w:themeFill="accent5" w:themeFillTint="99"/>
          </w:tcPr>
          <w:p w14:paraId="0E24A8BB"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301F28F8" w14:textId="77777777" w:rsidTr="00FD2097">
        <w:trPr>
          <w:trHeight w:val="826"/>
        </w:trPr>
        <w:tc>
          <w:tcPr>
            <w:tcW w:w="9288" w:type="dxa"/>
          </w:tcPr>
          <w:permStart w:id="1079862023" w:edGrp="everyone" w:colFirst="0" w:colLast="0" w:displacedByCustomXml="next"/>
          <w:sdt>
            <w:sdtPr>
              <w:rPr>
                <w:rFonts w:ascii="Times New Roman" w:hAnsi="Times New Roman" w:cs="Times New Roman"/>
                <w:b/>
                <w:lang w:val="is-IS"/>
              </w:rPr>
              <w:id w:val="-954320449"/>
            </w:sdtPr>
            <w:sdtEndPr/>
            <w:sdtContent>
              <w:p w14:paraId="05D4BA57" w14:textId="30F61952"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6C362811" w14:textId="14744550" w:rsidR="002D4FD7" w:rsidRPr="002D4FD7" w:rsidRDefault="002D4FD7" w:rsidP="002D4FD7">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Já.</w:t>
                </w:r>
              </w:p>
              <w:p w14:paraId="4CFD4A6F" w14:textId="03A13F04"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5BFB3925" w14:textId="363707B5" w:rsidR="00440232" w:rsidRPr="00440232" w:rsidRDefault="00440232" w:rsidP="007637A1">
                <w:pPr>
                  <w:pStyle w:val="ListParagraph"/>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lastRenderedPageBreak/>
                  <w:t>Haft var samráð við</w:t>
                </w:r>
                <w:r w:rsidRPr="00440232">
                  <w:rPr>
                    <w:rFonts w:ascii="Times New Roman" w:hAnsi="Times New Roman" w:cs="Times New Roman"/>
                    <w:bCs/>
                    <w:lang w:val="is-IS"/>
                  </w:rPr>
                  <w:t xml:space="preserve"> hagsmunaaðila </w:t>
                </w:r>
                <w:r>
                  <w:rPr>
                    <w:rFonts w:ascii="Times New Roman" w:hAnsi="Times New Roman" w:cs="Times New Roman"/>
                    <w:bCs/>
                    <w:lang w:val="is-IS"/>
                  </w:rPr>
                  <w:t xml:space="preserve">við vinnu við upptöku </w:t>
                </w:r>
                <w:r w:rsidR="007637A1">
                  <w:rPr>
                    <w:rFonts w:ascii="Times New Roman" w:hAnsi="Times New Roman" w:cs="Times New Roman"/>
                    <w:bCs/>
                    <w:lang w:val="is-IS"/>
                  </w:rPr>
                  <w:t xml:space="preserve">reglugerðar (ESB) 2017/352 </w:t>
                </w:r>
                <w:r>
                  <w:rPr>
                    <w:rFonts w:ascii="Times New Roman" w:hAnsi="Times New Roman" w:cs="Times New Roman"/>
                    <w:bCs/>
                    <w:lang w:val="is-IS"/>
                  </w:rPr>
                  <w:t xml:space="preserve">á árunum 2017 og 2018. Hafa þeir því haft </w:t>
                </w:r>
                <w:r w:rsidRPr="00440232">
                  <w:rPr>
                    <w:rFonts w:ascii="Times New Roman" w:hAnsi="Times New Roman" w:cs="Times New Roman"/>
                    <w:bCs/>
                    <w:lang w:val="is-IS"/>
                  </w:rPr>
                  <w:t xml:space="preserve">vitneskju um nokkurn tíma um að </w:t>
                </w:r>
                <w:r>
                  <w:rPr>
                    <w:rFonts w:ascii="Times New Roman" w:hAnsi="Times New Roman" w:cs="Times New Roman"/>
                    <w:bCs/>
                    <w:lang w:val="is-IS"/>
                  </w:rPr>
                  <w:t xml:space="preserve">reglur þessar yrði innleiddar í landsrétt á komandi árum. Íslenska ríkinu ber að beita ákvæðum reglugerðarinnar frá þeim tíma er þau öðlast gildi innan Evrópska efnahagssvæðisins. </w:t>
                </w:r>
              </w:p>
              <w:p w14:paraId="2C1D7252" w14:textId="36E56855"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14:paraId="19E055CE" w14:textId="095855B0" w:rsidR="00440232" w:rsidRPr="00440232" w:rsidRDefault="00440232" w:rsidP="007637A1">
                <w:pPr>
                  <w:pStyle w:val="ListParagraph"/>
                  <w:spacing w:before="60" w:after="60"/>
                  <w:ind w:left="714"/>
                  <w:contextualSpacing w:val="0"/>
                  <w:jc w:val="both"/>
                  <w:rPr>
                    <w:rFonts w:ascii="Times New Roman" w:hAnsi="Times New Roman" w:cs="Times New Roman"/>
                    <w:bCs/>
                    <w:lang w:val="is-IS"/>
                  </w:rPr>
                </w:pPr>
                <w:r w:rsidRPr="00440232">
                  <w:rPr>
                    <w:rFonts w:ascii="Times New Roman" w:hAnsi="Times New Roman" w:cs="Times New Roman"/>
                    <w:bCs/>
                    <w:lang w:val="is-IS"/>
                  </w:rPr>
                  <w:t>Til að lagasetning beri árangur þurfa ákvæði laga, að breytingum loknum, og stjórnvaldsfyrirmæla að vera fullnægjandi til innleiðingar á reglugerð (ESB) 2017/352. Þá þurfa stjórnvöld að tryggja að beiting reglna sé til samræmis við inntak reglnanna.</w:t>
                </w:r>
              </w:p>
              <w:p w14:paraId="00B78025" w14:textId="4B4678AD"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440232">
                  <w:rPr>
                    <w:rFonts w:ascii="Times New Roman" w:hAnsi="Times New Roman" w:cs="Times New Roman"/>
                    <w:b/>
                    <w:lang w:val="is-IS"/>
                  </w:rPr>
                  <w:t>.</w:t>
                </w:r>
              </w:p>
              <w:p w14:paraId="69906EA5" w14:textId="022BCA17" w:rsidR="00440232" w:rsidRPr="006F2CBB" w:rsidRDefault="00440232" w:rsidP="007637A1">
                <w:pPr>
                  <w:pStyle w:val="ListParagraph"/>
                  <w:spacing w:before="60" w:after="60"/>
                  <w:ind w:left="714"/>
                  <w:contextualSpacing w:val="0"/>
                  <w:jc w:val="both"/>
                  <w:rPr>
                    <w:rFonts w:ascii="Times New Roman" w:hAnsi="Times New Roman" w:cs="Times New Roman"/>
                    <w:bCs/>
                    <w:lang w:val="is-IS"/>
                  </w:rPr>
                </w:pPr>
                <w:r w:rsidRPr="006F2CBB">
                  <w:rPr>
                    <w:rFonts w:ascii="Times New Roman" w:hAnsi="Times New Roman" w:cs="Times New Roman"/>
                    <w:bCs/>
                    <w:lang w:val="is-IS"/>
                  </w:rPr>
                  <w:t xml:space="preserve">Eftirlitsstofnun EFTA hefur það hlutverk að tryggja að hin svokölluðu EFTA-EES ríki (þ.e. Ísland, Noregur og Liechtenstein) innleiði og beiti </w:t>
                </w:r>
                <w:r w:rsidR="006F2CBB" w:rsidRPr="006F2CBB">
                  <w:rPr>
                    <w:rFonts w:ascii="Times New Roman" w:hAnsi="Times New Roman" w:cs="Times New Roman"/>
                    <w:bCs/>
                    <w:lang w:val="is-IS"/>
                  </w:rPr>
                  <w:t xml:space="preserve">ákvæðum gerða, sem teknar eru upp í EES-samninginn, með fullnægjandi hætti. Hafi stofnunin ekki athugasemdir við innleiðingu gerðar eða beitingu má telja að íslenska ríkið hafi fullnægt þjóðréttarlegum skuldbindingum sínum. </w:t>
                </w:r>
              </w:p>
              <w:p w14:paraId="5D7ACF05" w14:textId="77777777" w:rsidR="006F2CBB"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1ABBC271" w14:textId="61F66443" w:rsidR="009941D2" w:rsidRPr="00E34B42" w:rsidRDefault="006F2CBB" w:rsidP="006F2CBB">
                <w:pPr>
                  <w:pStyle w:val="ListParagraph"/>
                  <w:spacing w:before="60" w:after="60"/>
                  <w:ind w:left="714"/>
                  <w:contextualSpacing w:val="0"/>
                  <w:rPr>
                    <w:rFonts w:ascii="Times New Roman" w:hAnsi="Times New Roman" w:cs="Times New Roman"/>
                    <w:b/>
                    <w:lang w:val="is-IS"/>
                  </w:rPr>
                </w:pPr>
                <w:r w:rsidRPr="006F2CBB">
                  <w:rPr>
                    <w:rFonts w:ascii="Times New Roman" w:hAnsi="Times New Roman" w:cs="Times New Roman"/>
                    <w:bCs/>
                    <w:lang w:val="is-IS"/>
                  </w:rPr>
                  <w:t>Nei.</w:t>
                </w:r>
              </w:p>
            </w:sdtContent>
          </w:sdt>
        </w:tc>
      </w:tr>
      <w:permEnd w:id="1079862023"/>
      <w:tr w:rsidR="00E34B42" w:rsidRPr="00E34B42" w14:paraId="056C83DF" w14:textId="77777777" w:rsidTr="00744E3E">
        <w:trPr>
          <w:trHeight w:val="312"/>
        </w:trPr>
        <w:tc>
          <w:tcPr>
            <w:tcW w:w="9288" w:type="dxa"/>
            <w:shd w:val="clear" w:color="auto" w:fill="92CDDC" w:themeFill="accent5" w:themeFillTint="99"/>
          </w:tcPr>
          <w:p w14:paraId="36736EC0"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1127249579" w:edGrp="everyone" w:colFirst="0" w:colLast="0"/>
      <w:tr w:rsidR="00E34B42" w:rsidRPr="00E34B42" w14:paraId="71241839" w14:textId="77777777" w:rsidTr="00744E3E">
        <w:trPr>
          <w:trHeight w:val="300"/>
        </w:trPr>
        <w:tc>
          <w:tcPr>
            <w:tcW w:w="9288" w:type="dxa"/>
          </w:tcPr>
          <w:p w14:paraId="2F0BC227" w14:textId="77777777" w:rsidR="00E34B42" w:rsidRPr="00E34B42" w:rsidRDefault="001A2707"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127249579"/>
      <w:tr w:rsidR="00E34B42" w:rsidRPr="00E34B42" w14:paraId="06996176" w14:textId="77777777" w:rsidTr="007414CB">
        <w:trPr>
          <w:trHeight w:val="312"/>
        </w:trPr>
        <w:tc>
          <w:tcPr>
            <w:tcW w:w="9288" w:type="dxa"/>
            <w:shd w:val="clear" w:color="auto" w:fill="92CDDC" w:themeFill="accent5" w:themeFillTint="99"/>
          </w:tcPr>
          <w:p w14:paraId="10C23C8B"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74A9CBF5" w14:textId="77777777" w:rsidTr="007414CB">
        <w:trPr>
          <w:trHeight w:val="300"/>
        </w:trPr>
        <w:tc>
          <w:tcPr>
            <w:tcW w:w="9288" w:type="dxa"/>
          </w:tcPr>
          <w:permStart w:id="1290420319" w:edGrp="everyone" w:colFirst="0" w:colLast="0" w:displacedByCustomXml="next"/>
          <w:sdt>
            <w:sdtPr>
              <w:rPr>
                <w:lang w:val="is-IS"/>
              </w:rPr>
              <w:id w:val="1543943641"/>
            </w:sdtPr>
            <w:sdtEndPr/>
            <w:sdtContent>
              <w:p w14:paraId="447FC4B2" w14:textId="5F041297" w:rsidR="00000C39" w:rsidRPr="00223102" w:rsidRDefault="00E34B42" w:rsidP="00223102">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sdtContent>
          </w:sdt>
        </w:tc>
      </w:tr>
      <w:permEnd w:id="1290420319"/>
    </w:tbl>
    <w:p w14:paraId="31027A67"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1ECE" w14:textId="77777777" w:rsidR="0092759D" w:rsidRDefault="0092759D" w:rsidP="007478E0">
      <w:pPr>
        <w:spacing w:after="0" w:line="240" w:lineRule="auto"/>
      </w:pPr>
      <w:r>
        <w:separator/>
      </w:r>
    </w:p>
  </w:endnote>
  <w:endnote w:type="continuationSeparator" w:id="0">
    <w:p w14:paraId="546067E2"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2DCD57B5"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39AA9558"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E7E1" w14:textId="77777777" w:rsidR="0092759D" w:rsidRDefault="0092759D" w:rsidP="007478E0">
      <w:pPr>
        <w:spacing w:after="0" w:line="240" w:lineRule="auto"/>
      </w:pPr>
      <w:r>
        <w:separator/>
      </w:r>
    </w:p>
  </w:footnote>
  <w:footnote w:type="continuationSeparator" w:id="0">
    <w:p w14:paraId="357AAA13"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5A37"/>
    <w:multiLevelType w:val="hybridMultilevel"/>
    <w:tmpl w:val="7988E8FA"/>
    <w:lvl w:ilvl="0" w:tplc="73CE3A2E">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9" w15:restartNumberingAfterBreak="0">
    <w:nsid w:val="2DC638AC"/>
    <w:multiLevelType w:val="hybridMultilevel"/>
    <w:tmpl w:val="2CCA9420"/>
    <w:lvl w:ilvl="0" w:tplc="957892E6">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10" w15:restartNumberingAfterBreak="0">
    <w:nsid w:val="30C24FB0"/>
    <w:multiLevelType w:val="hybridMultilevel"/>
    <w:tmpl w:val="D39C9B8E"/>
    <w:lvl w:ilvl="0" w:tplc="02AA7C52">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11"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92740DB"/>
    <w:multiLevelType w:val="hybridMultilevel"/>
    <w:tmpl w:val="968A9330"/>
    <w:lvl w:ilvl="0" w:tplc="D20A6E66">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542DA"/>
    <w:multiLevelType w:val="hybridMultilevel"/>
    <w:tmpl w:val="EE56FE5A"/>
    <w:lvl w:ilvl="0" w:tplc="FC38BB46">
      <w:start w:val="1"/>
      <w:numFmt w:val="lowerLetter"/>
      <w:lvlText w:val="%1."/>
      <w:lvlJc w:val="left"/>
      <w:pPr>
        <w:ind w:left="1070"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22"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470673"/>
    <w:multiLevelType w:val="hybridMultilevel"/>
    <w:tmpl w:val="1950916E"/>
    <w:lvl w:ilvl="0" w:tplc="B1E4F052">
      <w:start w:val="1"/>
      <w:numFmt w:val="lowerLetter"/>
      <w:lvlText w:val="%1."/>
      <w:lvlJc w:val="left"/>
      <w:pPr>
        <w:ind w:left="1074" w:hanging="360"/>
      </w:pPr>
      <w:rPr>
        <w:rFonts w:hint="default"/>
        <w:b w:val="0"/>
        <w:bCs/>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24"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1"/>
  </w:num>
  <w:num w:numId="4">
    <w:abstractNumId w:val="25"/>
  </w:num>
  <w:num w:numId="5">
    <w:abstractNumId w:val="19"/>
  </w:num>
  <w:num w:numId="6">
    <w:abstractNumId w:val="13"/>
  </w:num>
  <w:num w:numId="7">
    <w:abstractNumId w:val="7"/>
  </w:num>
  <w:num w:numId="8">
    <w:abstractNumId w:val="5"/>
  </w:num>
  <w:num w:numId="9">
    <w:abstractNumId w:val="14"/>
  </w:num>
  <w:num w:numId="10">
    <w:abstractNumId w:val="16"/>
  </w:num>
  <w:num w:numId="11">
    <w:abstractNumId w:val="22"/>
  </w:num>
  <w:num w:numId="12">
    <w:abstractNumId w:val="24"/>
  </w:num>
  <w:num w:numId="13">
    <w:abstractNumId w:val="2"/>
  </w:num>
  <w:num w:numId="14">
    <w:abstractNumId w:val="3"/>
  </w:num>
  <w:num w:numId="15">
    <w:abstractNumId w:val="26"/>
  </w:num>
  <w:num w:numId="16">
    <w:abstractNumId w:val="0"/>
  </w:num>
  <w:num w:numId="17">
    <w:abstractNumId w:val="6"/>
  </w:num>
  <w:num w:numId="18">
    <w:abstractNumId w:val="18"/>
  </w:num>
  <w:num w:numId="19">
    <w:abstractNumId w:val="15"/>
  </w:num>
  <w:num w:numId="20">
    <w:abstractNumId w:val="4"/>
  </w:num>
  <w:num w:numId="21">
    <w:abstractNumId w:val="11"/>
  </w:num>
  <w:num w:numId="22">
    <w:abstractNumId w:val="21"/>
  </w:num>
  <w:num w:numId="23">
    <w:abstractNumId w:val="10"/>
  </w:num>
  <w:num w:numId="24">
    <w:abstractNumId w:val="8"/>
  </w:num>
  <w:num w:numId="25">
    <w:abstractNumId w:val="9"/>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ocumentProtection w:edit="readOnly"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57C8"/>
    <w:rsid w:val="000A7176"/>
    <w:rsid w:val="000B2308"/>
    <w:rsid w:val="000C58BD"/>
    <w:rsid w:val="000D6E33"/>
    <w:rsid w:val="000E1312"/>
    <w:rsid w:val="000E34DF"/>
    <w:rsid w:val="00100138"/>
    <w:rsid w:val="0012646E"/>
    <w:rsid w:val="00126525"/>
    <w:rsid w:val="00133146"/>
    <w:rsid w:val="00135B40"/>
    <w:rsid w:val="0013710B"/>
    <w:rsid w:val="001415D5"/>
    <w:rsid w:val="00143B7A"/>
    <w:rsid w:val="00143CDF"/>
    <w:rsid w:val="00176943"/>
    <w:rsid w:val="00187E36"/>
    <w:rsid w:val="001928E6"/>
    <w:rsid w:val="001972B9"/>
    <w:rsid w:val="001A2707"/>
    <w:rsid w:val="001D117E"/>
    <w:rsid w:val="001D5BCE"/>
    <w:rsid w:val="001E2499"/>
    <w:rsid w:val="001E7950"/>
    <w:rsid w:val="001F1687"/>
    <w:rsid w:val="001F2301"/>
    <w:rsid w:val="001F7268"/>
    <w:rsid w:val="002115E6"/>
    <w:rsid w:val="0021293B"/>
    <w:rsid w:val="00223102"/>
    <w:rsid w:val="002330BC"/>
    <w:rsid w:val="00242342"/>
    <w:rsid w:val="00244F3D"/>
    <w:rsid w:val="002459B6"/>
    <w:rsid w:val="00251D26"/>
    <w:rsid w:val="00256CD2"/>
    <w:rsid w:val="00263F72"/>
    <w:rsid w:val="0026420F"/>
    <w:rsid w:val="002666DE"/>
    <w:rsid w:val="002704D7"/>
    <w:rsid w:val="00281BF3"/>
    <w:rsid w:val="00281D86"/>
    <w:rsid w:val="00284B85"/>
    <w:rsid w:val="002A394C"/>
    <w:rsid w:val="002A4788"/>
    <w:rsid w:val="002A54E0"/>
    <w:rsid w:val="002A7538"/>
    <w:rsid w:val="002B70B7"/>
    <w:rsid w:val="002C39F0"/>
    <w:rsid w:val="002C573F"/>
    <w:rsid w:val="002C76B6"/>
    <w:rsid w:val="002D4FA8"/>
    <w:rsid w:val="002D4FD7"/>
    <w:rsid w:val="002F36B6"/>
    <w:rsid w:val="003025EB"/>
    <w:rsid w:val="00311838"/>
    <w:rsid w:val="00314679"/>
    <w:rsid w:val="00335A2A"/>
    <w:rsid w:val="00350BDB"/>
    <w:rsid w:val="00350CD3"/>
    <w:rsid w:val="0035270D"/>
    <w:rsid w:val="00360301"/>
    <w:rsid w:val="00364D97"/>
    <w:rsid w:val="003821A7"/>
    <w:rsid w:val="003A1821"/>
    <w:rsid w:val="003B784E"/>
    <w:rsid w:val="003D01BF"/>
    <w:rsid w:val="003D1515"/>
    <w:rsid w:val="003E1722"/>
    <w:rsid w:val="003E270A"/>
    <w:rsid w:val="003E611E"/>
    <w:rsid w:val="00403139"/>
    <w:rsid w:val="00406327"/>
    <w:rsid w:val="00423F9B"/>
    <w:rsid w:val="0043227F"/>
    <w:rsid w:val="00440232"/>
    <w:rsid w:val="00441AD0"/>
    <w:rsid w:val="00450029"/>
    <w:rsid w:val="0047580A"/>
    <w:rsid w:val="00480BB0"/>
    <w:rsid w:val="00482ECF"/>
    <w:rsid w:val="00485F36"/>
    <w:rsid w:val="004978E5"/>
    <w:rsid w:val="004A515F"/>
    <w:rsid w:val="004E0322"/>
    <w:rsid w:val="004E4F53"/>
    <w:rsid w:val="004F0024"/>
    <w:rsid w:val="004F142F"/>
    <w:rsid w:val="004F1C38"/>
    <w:rsid w:val="004F4FC8"/>
    <w:rsid w:val="004F5331"/>
    <w:rsid w:val="00532D45"/>
    <w:rsid w:val="00535EC4"/>
    <w:rsid w:val="005641B1"/>
    <w:rsid w:val="00564856"/>
    <w:rsid w:val="00592E19"/>
    <w:rsid w:val="00594B02"/>
    <w:rsid w:val="005B46C8"/>
    <w:rsid w:val="005C123A"/>
    <w:rsid w:val="005C1678"/>
    <w:rsid w:val="005C5DEB"/>
    <w:rsid w:val="005E51EA"/>
    <w:rsid w:val="005E6791"/>
    <w:rsid w:val="00614066"/>
    <w:rsid w:val="00614FAD"/>
    <w:rsid w:val="00631C8F"/>
    <w:rsid w:val="00645781"/>
    <w:rsid w:val="00670F44"/>
    <w:rsid w:val="00671152"/>
    <w:rsid w:val="00676A80"/>
    <w:rsid w:val="00681F41"/>
    <w:rsid w:val="006835C5"/>
    <w:rsid w:val="00683957"/>
    <w:rsid w:val="00694183"/>
    <w:rsid w:val="006960C1"/>
    <w:rsid w:val="00697B19"/>
    <w:rsid w:val="006C5CA8"/>
    <w:rsid w:val="006C6EA3"/>
    <w:rsid w:val="006D5876"/>
    <w:rsid w:val="006D76C1"/>
    <w:rsid w:val="006D7958"/>
    <w:rsid w:val="006F0215"/>
    <w:rsid w:val="006F2947"/>
    <w:rsid w:val="006F2CBB"/>
    <w:rsid w:val="00700AB1"/>
    <w:rsid w:val="00704B91"/>
    <w:rsid w:val="0070586C"/>
    <w:rsid w:val="00730F7B"/>
    <w:rsid w:val="00731AD2"/>
    <w:rsid w:val="007365C0"/>
    <w:rsid w:val="007414CB"/>
    <w:rsid w:val="0074650F"/>
    <w:rsid w:val="007478E0"/>
    <w:rsid w:val="00753EF7"/>
    <w:rsid w:val="007637A1"/>
    <w:rsid w:val="007822E4"/>
    <w:rsid w:val="0078460B"/>
    <w:rsid w:val="00795B16"/>
    <w:rsid w:val="00796FBB"/>
    <w:rsid w:val="007A02FD"/>
    <w:rsid w:val="007B5E47"/>
    <w:rsid w:val="007B71B2"/>
    <w:rsid w:val="007C7454"/>
    <w:rsid w:val="007E0D8F"/>
    <w:rsid w:val="007F64AB"/>
    <w:rsid w:val="00811C11"/>
    <w:rsid w:val="00820DCE"/>
    <w:rsid w:val="008210FC"/>
    <w:rsid w:val="008218F2"/>
    <w:rsid w:val="00823C70"/>
    <w:rsid w:val="00826B1C"/>
    <w:rsid w:val="00851A99"/>
    <w:rsid w:val="0085776D"/>
    <w:rsid w:val="00863BC9"/>
    <w:rsid w:val="008652EB"/>
    <w:rsid w:val="00872634"/>
    <w:rsid w:val="0088186A"/>
    <w:rsid w:val="00883508"/>
    <w:rsid w:val="00886412"/>
    <w:rsid w:val="00886AC9"/>
    <w:rsid w:val="00892071"/>
    <w:rsid w:val="008A2C75"/>
    <w:rsid w:val="008D09FC"/>
    <w:rsid w:val="008D5030"/>
    <w:rsid w:val="008E130E"/>
    <w:rsid w:val="008E14CF"/>
    <w:rsid w:val="0091519C"/>
    <w:rsid w:val="00923554"/>
    <w:rsid w:val="0092759D"/>
    <w:rsid w:val="00932BC6"/>
    <w:rsid w:val="00933946"/>
    <w:rsid w:val="00941142"/>
    <w:rsid w:val="009437D7"/>
    <w:rsid w:val="009439F8"/>
    <w:rsid w:val="00944199"/>
    <w:rsid w:val="009449CA"/>
    <w:rsid w:val="0094782B"/>
    <w:rsid w:val="00951F81"/>
    <w:rsid w:val="00956B33"/>
    <w:rsid w:val="00960D10"/>
    <w:rsid w:val="0098268F"/>
    <w:rsid w:val="00993115"/>
    <w:rsid w:val="0099357B"/>
    <w:rsid w:val="00994012"/>
    <w:rsid w:val="009941D2"/>
    <w:rsid w:val="009B7A52"/>
    <w:rsid w:val="009C1771"/>
    <w:rsid w:val="009C2DA3"/>
    <w:rsid w:val="009C3565"/>
    <w:rsid w:val="009F64EA"/>
    <w:rsid w:val="00A30C51"/>
    <w:rsid w:val="00A452D9"/>
    <w:rsid w:val="00A51298"/>
    <w:rsid w:val="00A6722A"/>
    <w:rsid w:val="00A77160"/>
    <w:rsid w:val="00A8538F"/>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22BF"/>
    <w:rsid w:val="00BA4BB1"/>
    <w:rsid w:val="00BA5089"/>
    <w:rsid w:val="00BB2B30"/>
    <w:rsid w:val="00BD401E"/>
    <w:rsid w:val="00BE1D1C"/>
    <w:rsid w:val="00BF3B4A"/>
    <w:rsid w:val="00BF5ACD"/>
    <w:rsid w:val="00C10C94"/>
    <w:rsid w:val="00C171B2"/>
    <w:rsid w:val="00C209C4"/>
    <w:rsid w:val="00C22E8B"/>
    <w:rsid w:val="00C24145"/>
    <w:rsid w:val="00C412C9"/>
    <w:rsid w:val="00C454D6"/>
    <w:rsid w:val="00C5037E"/>
    <w:rsid w:val="00C55DD9"/>
    <w:rsid w:val="00C61306"/>
    <w:rsid w:val="00C67F5E"/>
    <w:rsid w:val="00C706DE"/>
    <w:rsid w:val="00C7397C"/>
    <w:rsid w:val="00CA3381"/>
    <w:rsid w:val="00CC774F"/>
    <w:rsid w:val="00CD60E4"/>
    <w:rsid w:val="00CE190D"/>
    <w:rsid w:val="00CE28AE"/>
    <w:rsid w:val="00CF477F"/>
    <w:rsid w:val="00D03E7A"/>
    <w:rsid w:val="00D0424B"/>
    <w:rsid w:val="00D121DE"/>
    <w:rsid w:val="00D148DB"/>
    <w:rsid w:val="00D23EAD"/>
    <w:rsid w:val="00D30286"/>
    <w:rsid w:val="00D3678B"/>
    <w:rsid w:val="00D46483"/>
    <w:rsid w:val="00D503AC"/>
    <w:rsid w:val="00D62AAC"/>
    <w:rsid w:val="00D62CC3"/>
    <w:rsid w:val="00D63ED7"/>
    <w:rsid w:val="00D737EC"/>
    <w:rsid w:val="00D87B33"/>
    <w:rsid w:val="00D913A8"/>
    <w:rsid w:val="00DA4633"/>
    <w:rsid w:val="00DB21BC"/>
    <w:rsid w:val="00DB645F"/>
    <w:rsid w:val="00DC4A56"/>
    <w:rsid w:val="00DD7EA1"/>
    <w:rsid w:val="00DF2AA7"/>
    <w:rsid w:val="00E02D04"/>
    <w:rsid w:val="00E17DA4"/>
    <w:rsid w:val="00E231B6"/>
    <w:rsid w:val="00E253D2"/>
    <w:rsid w:val="00E31864"/>
    <w:rsid w:val="00E31C26"/>
    <w:rsid w:val="00E34B42"/>
    <w:rsid w:val="00E57920"/>
    <w:rsid w:val="00E64732"/>
    <w:rsid w:val="00E664C8"/>
    <w:rsid w:val="00E67F09"/>
    <w:rsid w:val="00E70ECD"/>
    <w:rsid w:val="00E71099"/>
    <w:rsid w:val="00E74765"/>
    <w:rsid w:val="00E832C9"/>
    <w:rsid w:val="00E8379D"/>
    <w:rsid w:val="00E97CD1"/>
    <w:rsid w:val="00EA460C"/>
    <w:rsid w:val="00F036EC"/>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A9307B"/>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BodyText">
    <w:name w:val="Body Text"/>
    <w:basedOn w:val="Normal"/>
    <w:link w:val="BodyTextChar"/>
    <w:rsid w:val="00681F4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1F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0291">
      <w:bodyDiv w:val="1"/>
      <w:marLeft w:val="0"/>
      <w:marRight w:val="0"/>
      <w:marTop w:val="0"/>
      <w:marBottom w:val="0"/>
      <w:divBdr>
        <w:top w:val="none" w:sz="0" w:space="0" w:color="auto"/>
        <w:left w:val="none" w:sz="0" w:space="0" w:color="auto"/>
        <w:bottom w:val="none" w:sz="0" w:space="0" w:color="auto"/>
        <w:right w:val="none" w:sz="0" w:space="0" w:color="auto"/>
      </w:divBdr>
    </w:div>
    <w:div w:id="1714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555F-C8E2-4564-A08D-F1E73D17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Pages>
  <Words>2861</Words>
  <Characters>16308</Characters>
  <Application>Microsoft Office Word</Application>
  <DocSecurity>0</DocSecurity>
  <Lines>135</Lines>
  <Paragraphs>38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30</cp:revision>
  <cp:lastPrinted>2020-07-07T08:54:00Z</cp:lastPrinted>
  <dcterms:created xsi:type="dcterms:W3CDTF">2018-05-29T11:15:00Z</dcterms:created>
  <dcterms:modified xsi:type="dcterms:W3CDTF">2021-12-02T11:11:00Z</dcterms:modified>
</cp:coreProperties>
</file>