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9586E" w14:textId="77777777" w:rsidR="00D06A0A" w:rsidRPr="00FD2D3A" w:rsidRDefault="00D06A0A" w:rsidP="00120DEC">
      <w:pPr>
        <w:spacing w:after="120" w:line="276" w:lineRule="auto"/>
        <w:rPr>
          <w:rFonts w:ascii="Calibri" w:hAnsi="Calibri" w:cs="Arial"/>
          <w:sz w:val="22"/>
          <w:szCs w:val="22"/>
        </w:rPr>
      </w:pPr>
      <w:bookmarkStart w:id="0" w:name="_Hlk170473045"/>
    </w:p>
    <w:p w14:paraId="599250B9" w14:textId="77777777" w:rsidR="00EC74AB" w:rsidRPr="00FD2D3A" w:rsidRDefault="00EC74AB" w:rsidP="00EC74AB">
      <w:pPr>
        <w:pStyle w:val="NoSpacing"/>
      </w:pPr>
    </w:p>
    <w:p w14:paraId="79C92E5D" w14:textId="77777777" w:rsidR="004E1120" w:rsidRPr="00FD2D3A" w:rsidRDefault="004E1120" w:rsidP="00EC74AB">
      <w:pPr>
        <w:pStyle w:val="NoSpacing"/>
      </w:pPr>
    </w:p>
    <w:p w14:paraId="699D6109" w14:textId="77777777" w:rsidR="004E1120" w:rsidRPr="00FD2D3A" w:rsidRDefault="004E1120" w:rsidP="00EC74AB">
      <w:pPr>
        <w:pStyle w:val="NoSpacing"/>
      </w:pPr>
    </w:p>
    <w:p w14:paraId="78B41D73" w14:textId="0D6A5F15" w:rsidR="00EC74AB" w:rsidRPr="00FD2D3A" w:rsidRDefault="00146EA9" w:rsidP="00EC74AB">
      <w:pPr>
        <w:pStyle w:val="NoSpacing"/>
      </w:pPr>
      <w:r>
        <w:rPr>
          <w:noProof/>
        </w:rPr>
        <w:t>Samráðsgátt stjórnvalda</w:t>
      </w:r>
    </w:p>
    <w:p w14:paraId="30DAB924" w14:textId="77777777" w:rsidR="00EC74AB" w:rsidRPr="00FD2D3A" w:rsidRDefault="00EC74AB" w:rsidP="00EC74AB">
      <w:pPr>
        <w:pStyle w:val="NoSpacing"/>
      </w:pPr>
    </w:p>
    <w:p w14:paraId="51FD775D" w14:textId="77777777" w:rsidR="00D06A0A" w:rsidRPr="00FD2D3A" w:rsidRDefault="00D06A0A" w:rsidP="00120DEC">
      <w:pPr>
        <w:spacing w:after="120" w:line="276" w:lineRule="auto"/>
        <w:rPr>
          <w:rFonts w:ascii="Calibri" w:hAnsi="Calibri"/>
          <w:sz w:val="22"/>
          <w:szCs w:val="22"/>
        </w:rPr>
      </w:pPr>
    </w:p>
    <w:p w14:paraId="03D90A19" w14:textId="77777777" w:rsidR="00D06A0A" w:rsidRPr="00FD2D3A" w:rsidRDefault="00D06A0A" w:rsidP="00120DEC">
      <w:pPr>
        <w:spacing w:after="120" w:line="276" w:lineRule="auto"/>
        <w:rPr>
          <w:rFonts w:ascii="Calibri" w:hAnsi="Calibri"/>
          <w:sz w:val="22"/>
          <w:szCs w:val="22"/>
        </w:rPr>
      </w:pPr>
    </w:p>
    <w:p w14:paraId="3865165B" w14:textId="4BED2AD5" w:rsidR="00D06A0A" w:rsidRDefault="00CE4295" w:rsidP="004E1120">
      <w:pPr>
        <w:jc w:val="right"/>
        <w:rPr>
          <w:rFonts w:ascii="Calibri" w:hAnsi="Calibri"/>
          <w:sz w:val="22"/>
          <w:szCs w:val="22"/>
        </w:rPr>
      </w:pPr>
      <w:r w:rsidRPr="00FD2D3A">
        <w:rPr>
          <w:rFonts w:ascii="Calibri" w:hAnsi="Calibri"/>
          <w:sz w:val="22"/>
          <w:szCs w:val="22"/>
        </w:rPr>
        <w:t xml:space="preserve">Akranesi, </w:t>
      </w:r>
      <w:r w:rsidR="00331269" w:rsidRPr="00FD2D3A">
        <w:rPr>
          <w:rFonts w:ascii="Calibri" w:hAnsi="Calibri"/>
          <w:sz w:val="22"/>
          <w:szCs w:val="22"/>
        </w:rPr>
        <w:fldChar w:fldCharType="begin"/>
      </w:r>
      <w:r w:rsidR="00331269" w:rsidRPr="00FD2D3A">
        <w:rPr>
          <w:rFonts w:ascii="Calibri" w:hAnsi="Calibri"/>
          <w:sz w:val="22"/>
          <w:szCs w:val="22"/>
        </w:rPr>
        <w:instrText xml:space="preserve"> CREATEDATE  \@ "d. MMMM yyyy"  \* MERGEFORMAT </w:instrText>
      </w:r>
      <w:r w:rsidR="00331269" w:rsidRPr="00FD2D3A">
        <w:rPr>
          <w:rFonts w:ascii="Calibri" w:hAnsi="Calibri"/>
          <w:sz w:val="22"/>
          <w:szCs w:val="22"/>
        </w:rPr>
        <w:fldChar w:fldCharType="separate"/>
      </w:r>
      <w:r w:rsidR="00331269" w:rsidRPr="00FD2D3A">
        <w:rPr>
          <w:rFonts w:ascii="Calibri" w:hAnsi="Calibri"/>
          <w:noProof/>
          <w:sz w:val="22"/>
          <w:szCs w:val="22"/>
        </w:rPr>
        <w:t>9. febrúar 2026</w:t>
      </w:r>
      <w:r w:rsidR="00331269" w:rsidRPr="00FD2D3A">
        <w:rPr>
          <w:rFonts w:ascii="Calibri" w:hAnsi="Calibri"/>
          <w:sz w:val="22"/>
          <w:szCs w:val="22"/>
        </w:rPr>
        <w:fldChar w:fldCharType="end"/>
      </w:r>
    </w:p>
    <w:p w14:paraId="4363D074" w14:textId="5E583ECF" w:rsidR="001A2A43" w:rsidRPr="001A2A43" w:rsidRDefault="00CE4295" w:rsidP="001A2A43">
      <w:pPr>
        <w:spacing w:after="120" w:line="276" w:lineRule="auto"/>
        <w:jc w:val="right"/>
        <w:rPr>
          <w:rFonts w:ascii="Calibri" w:hAnsi="Calibri"/>
          <w:i/>
          <w:noProof/>
          <w:sz w:val="20"/>
          <w:szCs w:val="20"/>
        </w:rPr>
      </w:pPr>
      <w:r w:rsidRPr="001A2A43">
        <w:rPr>
          <w:rFonts w:ascii="Calibri" w:hAnsi="Calibri"/>
          <w:i/>
          <w:noProof/>
          <w:sz w:val="20"/>
          <w:szCs w:val="20"/>
        </w:rPr>
        <w:t>2602-1164</w:t>
      </w:r>
    </w:p>
    <w:p w14:paraId="1D95F9EA" w14:textId="77777777" w:rsidR="004E1120" w:rsidRPr="00FD2D3A" w:rsidRDefault="004E1120" w:rsidP="004E1120">
      <w:pPr>
        <w:spacing w:after="120" w:line="276" w:lineRule="auto"/>
        <w:jc w:val="right"/>
        <w:rPr>
          <w:rFonts w:ascii="Calibri" w:hAnsi="Calibri"/>
          <w:sz w:val="22"/>
          <w:szCs w:val="22"/>
        </w:rPr>
      </w:pPr>
    </w:p>
    <w:p w14:paraId="5D3ADF42" w14:textId="77777777" w:rsidR="00FC503C" w:rsidRPr="00FD2D3A" w:rsidRDefault="00FC503C" w:rsidP="00120DEC">
      <w:pPr>
        <w:spacing w:after="120" w:line="276" w:lineRule="auto"/>
        <w:rPr>
          <w:rFonts w:ascii="Calibri" w:hAnsi="Calibri"/>
          <w:sz w:val="22"/>
          <w:szCs w:val="22"/>
        </w:rPr>
      </w:pPr>
    </w:p>
    <w:p w14:paraId="3693D14D" w14:textId="31AE8AFC" w:rsidR="00D06A0A" w:rsidRPr="00FD2D3A" w:rsidRDefault="00CE4295" w:rsidP="00120DEC">
      <w:pPr>
        <w:spacing w:after="120" w:line="276" w:lineRule="auto"/>
        <w:rPr>
          <w:rFonts w:ascii="Calibri" w:hAnsi="Calibri"/>
          <w:b/>
          <w:bCs/>
          <w:sz w:val="22"/>
          <w:szCs w:val="22"/>
        </w:rPr>
      </w:pPr>
      <w:r w:rsidRPr="00FD2D3A">
        <w:rPr>
          <w:rFonts w:ascii="Calibri" w:hAnsi="Calibri"/>
          <w:b/>
          <w:bCs/>
          <w:sz w:val="22"/>
          <w:szCs w:val="22"/>
        </w:rPr>
        <w:t>Efni:</w:t>
      </w:r>
      <w:bookmarkStart w:id="1" w:name="CaseName"/>
      <w:r w:rsidR="00493EA3" w:rsidRPr="00493EA3">
        <w:rPr>
          <w:rFonts w:ascii="Calibri" w:hAnsi="Calibri"/>
          <w:b/>
          <w:bCs/>
          <w:sz w:val="22"/>
          <w:szCs w:val="22"/>
        </w:rPr>
        <w:t xml:space="preserve"> </w:t>
      </w:r>
      <w:r w:rsidR="00493EA3">
        <w:rPr>
          <w:rFonts w:ascii="Calibri" w:hAnsi="Calibri"/>
          <w:b/>
          <w:bCs/>
          <w:sz w:val="22"/>
          <w:szCs w:val="22"/>
        </w:rPr>
        <w:tab/>
      </w:r>
      <w:bookmarkEnd w:id="1"/>
      <w:r w:rsidR="001A2A43">
        <w:rPr>
          <w:rFonts w:ascii="Calibri" w:hAnsi="Calibri"/>
          <w:b/>
          <w:bCs/>
          <w:noProof/>
          <w:sz w:val="22"/>
          <w:szCs w:val="22"/>
        </w:rPr>
        <w:t>drög að frumvarpi um stofnun innviðafélags</w:t>
      </w:r>
    </w:p>
    <w:p w14:paraId="4EA7EAB7" w14:textId="77777777" w:rsidR="00D03AF6" w:rsidRPr="007C6618" w:rsidRDefault="00D03AF6" w:rsidP="00D03AF6">
      <w:pPr>
        <w:jc w:val="both"/>
        <w:rPr>
          <w:rFonts w:ascii="Calbri" w:hAnsi="Calbri"/>
          <w:b/>
          <w:bCs/>
          <w:sz w:val="22"/>
          <w:szCs w:val="22"/>
        </w:rPr>
      </w:pPr>
      <w:r w:rsidRPr="007C6618">
        <w:rPr>
          <w:rFonts w:ascii="Calbri" w:hAnsi="Calbri"/>
          <w:b/>
          <w:bCs/>
          <w:sz w:val="22"/>
          <w:szCs w:val="22"/>
        </w:rPr>
        <w:t>I.  Almennt</w:t>
      </w:r>
    </w:p>
    <w:p w14:paraId="1AE45C41" w14:textId="77777777" w:rsidR="00D03AF6" w:rsidRPr="007C6618" w:rsidRDefault="00D03AF6" w:rsidP="00D03AF6">
      <w:pPr>
        <w:jc w:val="both"/>
        <w:rPr>
          <w:rFonts w:ascii="Calbri" w:hAnsi="Calbri"/>
          <w:sz w:val="22"/>
          <w:szCs w:val="22"/>
        </w:rPr>
      </w:pPr>
      <w:r w:rsidRPr="007C6618">
        <w:rPr>
          <w:rFonts w:ascii="Calbri" w:hAnsi="Calbri"/>
          <w:sz w:val="22"/>
          <w:szCs w:val="22"/>
        </w:rPr>
        <w:t>Í samráðsgátt stjórnvalda, þann 23. janúar sl, voru birt drög að frumvarpi um innviðafélag í samgönguframkvæmdum.</w:t>
      </w:r>
    </w:p>
    <w:p w14:paraId="45B3E10F" w14:textId="77777777" w:rsidR="00D03AF6" w:rsidRPr="007C6618" w:rsidRDefault="00D03AF6" w:rsidP="00D03AF6">
      <w:pPr>
        <w:jc w:val="both"/>
        <w:rPr>
          <w:rFonts w:ascii="Calbri" w:hAnsi="Calbri"/>
          <w:sz w:val="22"/>
          <w:szCs w:val="22"/>
        </w:rPr>
      </w:pPr>
      <w:r w:rsidRPr="007C6618">
        <w:rPr>
          <w:rFonts w:ascii="Calbri" w:hAnsi="Calbri"/>
          <w:sz w:val="22"/>
          <w:szCs w:val="22"/>
        </w:rPr>
        <w:t>Megintilgangur félagsins er að byggja samgöngumannvirki, sem heimilað verður að innheimta veggjöld til að greiða niður fjárfestingu og rekstur viðkomandi mannvirkis.  Einnig er heimilt að byggja samgöngumannvirki sem að hluta til verði fjármagnar með framlögum úr ríkissjóði.</w:t>
      </w:r>
    </w:p>
    <w:p w14:paraId="20CDE62D" w14:textId="77777777" w:rsidR="00D03AF6" w:rsidRPr="007C6618" w:rsidRDefault="00D03AF6" w:rsidP="00D03AF6">
      <w:pPr>
        <w:jc w:val="both"/>
        <w:rPr>
          <w:rFonts w:ascii="Calbri" w:hAnsi="Calbri"/>
          <w:sz w:val="22"/>
          <w:szCs w:val="22"/>
        </w:rPr>
      </w:pPr>
      <w:r w:rsidRPr="007C6618">
        <w:rPr>
          <w:rFonts w:ascii="Calbri" w:hAnsi="Calbri"/>
          <w:sz w:val="22"/>
          <w:szCs w:val="22"/>
        </w:rPr>
        <w:t>Akraneskaupstaður tekur undir meginmarkmið frumvarpsins, að mikilvægt sé að leita leiða til að flýta byggingu stærri samgöngumannvirkja og skapa grundvöll til að laða að fjárfesingu í félaginu og afla lánsfjármagns.  Stofnun innviðafélags, sem sérhæfir sig í byggingu slíkra mannvirkja, getur flýtt verulega mikilvægum samgöngumannvirkjum.</w:t>
      </w:r>
    </w:p>
    <w:p w14:paraId="16040B24" w14:textId="77777777" w:rsidR="00D03AF6" w:rsidRPr="007C6618" w:rsidRDefault="00D03AF6" w:rsidP="00D03AF6">
      <w:pPr>
        <w:jc w:val="both"/>
        <w:rPr>
          <w:rFonts w:ascii="Calbri" w:hAnsi="Calbri"/>
          <w:sz w:val="22"/>
          <w:szCs w:val="22"/>
        </w:rPr>
      </w:pPr>
      <w:r w:rsidRPr="007C6618">
        <w:rPr>
          <w:rFonts w:ascii="Calbri" w:hAnsi="Calbri"/>
          <w:sz w:val="22"/>
          <w:szCs w:val="22"/>
        </w:rPr>
        <w:t xml:space="preserve">Augljóst er að mannvirki eins og Sundabraut fellur vel að markmiðum Innviðafélagsins.  </w:t>
      </w:r>
    </w:p>
    <w:p w14:paraId="342C1FCC" w14:textId="77777777" w:rsidR="00D03AF6" w:rsidRPr="007C6618" w:rsidRDefault="00D03AF6" w:rsidP="00D03AF6">
      <w:pPr>
        <w:jc w:val="both"/>
        <w:rPr>
          <w:rFonts w:ascii="Calbri" w:hAnsi="Calbri"/>
          <w:sz w:val="22"/>
          <w:szCs w:val="22"/>
        </w:rPr>
      </w:pPr>
      <w:r w:rsidRPr="007C6618">
        <w:rPr>
          <w:rFonts w:ascii="Calbri" w:hAnsi="Calbri"/>
          <w:sz w:val="22"/>
          <w:szCs w:val="22"/>
        </w:rPr>
        <w:t>Akraneskaupstaður hefur góða reynslu af því að koma að byggingu og framkvæmd á samgöngumannvirki, Hvalfjarðargöngum.  Tilkoma Hvalfjarðarganga gjörbreytti samkeppnishæfni byggðarinnar norðan Hvalfjarðar og hefur bráðum í 30 ár þjónað vegfarendum og stytt ferðatíma.</w:t>
      </w:r>
    </w:p>
    <w:p w14:paraId="1BCCA609" w14:textId="77777777" w:rsidR="00D03AF6" w:rsidRPr="007C6618" w:rsidRDefault="00D03AF6" w:rsidP="00D03AF6">
      <w:pPr>
        <w:jc w:val="both"/>
        <w:rPr>
          <w:rFonts w:ascii="Calbri" w:hAnsi="Calbri"/>
          <w:sz w:val="22"/>
          <w:szCs w:val="22"/>
        </w:rPr>
      </w:pPr>
      <w:r w:rsidRPr="007C6618">
        <w:rPr>
          <w:rFonts w:ascii="Calbri" w:hAnsi="Calbri"/>
          <w:sz w:val="22"/>
          <w:szCs w:val="22"/>
        </w:rPr>
        <w:t>Undirbúningur og bygging Hvalfjarðarganga var algjört frumherjastarf í einkaframkvæmd í vegagerð á Íslandi.  Bygging og rekstur, ásamt undirbúningi og fjármögnun var á höndum Eignarhaldsfélagsins Spalar hf – og Spalar ehf., sem Akraneskaupstaður átti aðild að frá upphafi.</w:t>
      </w:r>
    </w:p>
    <w:p w14:paraId="150A6158" w14:textId="77777777" w:rsidR="00D03AF6" w:rsidRPr="007C6618" w:rsidRDefault="00D03AF6" w:rsidP="00D03AF6">
      <w:pPr>
        <w:jc w:val="both"/>
        <w:rPr>
          <w:rFonts w:ascii="Calbri" w:hAnsi="Calbri"/>
          <w:sz w:val="22"/>
          <w:szCs w:val="22"/>
        </w:rPr>
      </w:pPr>
      <w:r w:rsidRPr="007C6618">
        <w:rPr>
          <w:rFonts w:ascii="Calbri" w:hAnsi="Calbri"/>
          <w:sz w:val="22"/>
          <w:szCs w:val="22"/>
        </w:rPr>
        <w:t xml:space="preserve">Aðkoma Akraneskaupstaðar,  annara sveitafélaga og fyrirtækja norðan Hvalfjarðar tryggði i raun að ráðist var í framkvæmdina.  Samkvæmt ákvæðum samninga við ríkið og laga um verkefnið, var alltaf stefnt að því skila mannvirkinu til ríkisins, þegar lán voru uppgreidd og stofnkostnaður greiddur . </w:t>
      </w:r>
    </w:p>
    <w:p w14:paraId="4A4517AD" w14:textId="77777777" w:rsidR="00D03AF6" w:rsidRPr="007C6618" w:rsidRDefault="00D03AF6" w:rsidP="00D03AF6">
      <w:pPr>
        <w:jc w:val="both"/>
        <w:rPr>
          <w:rFonts w:ascii="Calbri" w:hAnsi="Calbri"/>
          <w:b/>
          <w:bCs/>
          <w:sz w:val="22"/>
          <w:szCs w:val="22"/>
        </w:rPr>
      </w:pPr>
      <w:r w:rsidRPr="007C6618">
        <w:rPr>
          <w:rFonts w:ascii="Calbri" w:hAnsi="Calbri"/>
          <w:sz w:val="22"/>
          <w:szCs w:val="22"/>
        </w:rPr>
        <w:t>Í samræmi við samninga sem gerðir voru árið 1995 og með samningi við ríkið í september 2018 var hlutafé í Speli framselt ríkinu, en innheimtu veggjalds hætt, enda samningur um byggingu og rekstur mannvirkisins að fullu uppfylltur. Ríkið varð þannig eigandi Hvalfjarðarganga, sem verður að teljast jákvæð yfirfærsla til ríkisins á verulegum verðmætum sem greidd voru af vegfarendum. Vegagerðin tók við rekstrinum á sömu forsendum og gilt hafa um rekstur annarra almennra samgöngumannvirkja. Notendur Hvalfjarðaganga hafa því nú þegar greitt upp framkvæmdakostnað við mannvirkið.  Verulegum hluta þeirra fjármuna hafa íbúar og fyrirtæki á Akranesi staðið undir með notkun á göngunum.</w:t>
      </w:r>
    </w:p>
    <w:p w14:paraId="57AA3637" w14:textId="77777777" w:rsidR="00D03AF6" w:rsidRPr="007C6618" w:rsidRDefault="00D03AF6" w:rsidP="00D03AF6">
      <w:pPr>
        <w:jc w:val="both"/>
        <w:rPr>
          <w:rFonts w:ascii="Calbri" w:hAnsi="Calbri"/>
          <w:sz w:val="22"/>
          <w:szCs w:val="22"/>
        </w:rPr>
      </w:pPr>
      <w:r w:rsidRPr="007C6618">
        <w:rPr>
          <w:rFonts w:ascii="Calbri" w:hAnsi="Calbri"/>
          <w:b/>
          <w:bCs/>
          <w:sz w:val="22"/>
          <w:szCs w:val="22"/>
        </w:rPr>
        <w:t>II. Um 4. grein frumvarpsins</w:t>
      </w:r>
    </w:p>
    <w:p w14:paraId="37EECB2D" w14:textId="77777777" w:rsidR="00D03AF6" w:rsidRPr="007C6618" w:rsidRDefault="00D03AF6" w:rsidP="00D03AF6">
      <w:pPr>
        <w:jc w:val="both"/>
        <w:rPr>
          <w:rFonts w:ascii="Calbri" w:hAnsi="Calbri"/>
          <w:sz w:val="22"/>
          <w:szCs w:val="22"/>
        </w:rPr>
      </w:pPr>
      <w:r w:rsidRPr="007C6618">
        <w:rPr>
          <w:rFonts w:ascii="Calbri" w:hAnsi="Calbri"/>
          <w:sz w:val="22"/>
          <w:szCs w:val="22"/>
        </w:rPr>
        <w:t>Í 4 grein frumvarpsins í samráðsgátt er opnað fyrir heimild til fjármálaráðherra að færa þegar byggð samgöngumannvirki til hins nýja félags.</w:t>
      </w:r>
    </w:p>
    <w:p w14:paraId="5EF5461A" w14:textId="77777777" w:rsidR="00D03AF6" w:rsidRPr="007C6618" w:rsidRDefault="00D03AF6" w:rsidP="00D03AF6">
      <w:pPr>
        <w:jc w:val="both"/>
        <w:rPr>
          <w:rFonts w:ascii="Calbri" w:hAnsi="Calbri"/>
          <w:sz w:val="22"/>
          <w:szCs w:val="22"/>
        </w:rPr>
      </w:pPr>
      <w:r w:rsidRPr="007C6618">
        <w:rPr>
          <w:rFonts w:ascii="Calbri" w:hAnsi="Calbri"/>
          <w:sz w:val="22"/>
          <w:szCs w:val="22"/>
        </w:rPr>
        <w:t xml:space="preserve">Ekki þarf að efast um, eins og komið hefur fram í opinberri umræðu og greinargerð um ákvæðið, að þar er m.a. horft til Hvalfjarðarganga.  Með öðrum orðum boða þessi frumvarpsdrög að með samþykkt þessa frumvarps verði á ný verði hafin gjaldtaka í Hvalfjarðargöngum. </w:t>
      </w:r>
    </w:p>
    <w:p w14:paraId="028F3B9A" w14:textId="77777777" w:rsidR="00D03AF6" w:rsidRPr="007C6618" w:rsidRDefault="00D03AF6" w:rsidP="00D03AF6">
      <w:pPr>
        <w:jc w:val="both"/>
        <w:rPr>
          <w:rFonts w:ascii="Calbri" w:hAnsi="Calbri"/>
          <w:b/>
          <w:bCs/>
          <w:sz w:val="22"/>
          <w:szCs w:val="22"/>
        </w:rPr>
      </w:pPr>
      <w:r w:rsidRPr="007C6618">
        <w:rPr>
          <w:rFonts w:ascii="Calbri" w:hAnsi="Calbri"/>
          <w:b/>
          <w:bCs/>
          <w:sz w:val="22"/>
          <w:szCs w:val="22"/>
        </w:rPr>
        <w:lastRenderedPageBreak/>
        <w:t>Akraneskaupstaður leggst eindregið og hart gegn þeim áformum.</w:t>
      </w:r>
    </w:p>
    <w:p w14:paraId="4BEE227D" w14:textId="77777777" w:rsidR="00D03AF6" w:rsidRPr="007C6618" w:rsidRDefault="00D03AF6" w:rsidP="00D03AF6">
      <w:pPr>
        <w:jc w:val="both"/>
        <w:rPr>
          <w:rFonts w:ascii="Calbri" w:hAnsi="Calbri"/>
          <w:sz w:val="22"/>
          <w:szCs w:val="22"/>
        </w:rPr>
      </w:pPr>
      <w:r w:rsidRPr="007C6618">
        <w:rPr>
          <w:rFonts w:ascii="Calbri" w:hAnsi="Calbri"/>
          <w:sz w:val="22"/>
          <w:szCs w:val="22"/>
        </w:rPr>
        <w:t>Hvalfjarðagöng hafa þá sérstöðu á Íslandi að notendur þeirra hafa þegar greitt fyrir byggingu þeirra og rekstur.  Þetta er algjör sérstaða varðandi samgöngumannvirki, sem byggð hafa verið á Íslandi.  Heimild til þessarar gjaldtöku er áformuð þrátt fyrir að verulegar samgöngubætur hafi á grundvelli veggjalds haft gríðarleg áhrif og þýðingu fyrir mörg byggðalög, einstaka sveitafélög og ekki síður ríkissjóð.</w:t>
      </w:r>
    </w:p>
    <w:p w14:paraId="09AE0150" w14:textId="77777777" w:rsidR="00D03AF6" w:rsidRPr="007C6618" w:rsidRDefault="00D03AF6" w:rsidP="00D03AF6">
      <w:pPr>
        <w:jc w:val="both"/>
        <w:rPr>
          <w:rFonts w:ascii="Calbri" w:hAnsi="Calbri"/>
          <w:sz w:val="22"/>
          <w:szCs w:val="22"/>
        </w:rPr>
      </w:pPr>
      <w:r w:rsidRPr="007C6618">
        <w:rPr>
          <w:rFonts w:ascii="Calbri" w:hAnsi="Calbri"/>
          <w:sz w:val="22"/>
          <w:szCs w:val="22"/>
        </w:rPr>
        <w:t>Í 4. gr. fyrirhugaðs frumvarps er gert ráð fyrir að ráðherra geti ákveðið að ráðstafa eignarhaldi ríkisins á þegar byggðum samgöngumannvirkjum.  Með því væri ríkið að veita ráðherra heimild, sem nú er í höndum Alþingis og án þess að gætt sé fyrirsjáanleika og gagnsæis.  Þá er einnig vert að benda á, að veggjöld eru í eðli sínu þjónustugjöld, sem ætlað er  við upphaf rekstrar mannvirkis að standa undir rekstri og stofnkostnaði samgöngumannvirkja.  Sú aðferðafræði sem lagt er upp með í greininni, er í eðli sínu skattheimta til þess að standa undir eiginfjárframlagi ríkisins til fyrirhugaðs innviðafélags. Ætla má að lagarammi utan um slíka aðferðafræði þurfi að vera mun skýrari.</w:t>
      </w:r>
    </w:p>
    <w:p w14:paraId="737513C1" w14:textId="77777777" w:rsidR="00D03AF6" w:rsidRPr="007C6618" w:rsidRDefault="00D03AF6" w:rsidP="00D03AF6">
      <w:pPr>
        <w:jc w:val="both"/>
        <w:rPr>
          <w:rFonts w:ascii="Calbri" w:hAnsi="Calbri"/>
          <w:sz w:val="22"/>
          <w:szCs w:val="22"/>
        </w:rPr>
      </w:pPr>
      <w:r w:rsidRPr="007C6618">
        <w:rPr>
          <w:rFonts w:ascii="Calbri" w:hAnsi="Calbri"/>
          <w:sz w:val="22"/>
          <w:szCs w:val="22"/>
        </w:rPr>
        <w:t>Akraneskaupstaður skorar á innviðaráðherra gæta fullkomins jafnræðis í nálgun á þeim samgöngumannvirkjum sem ætlunin er að leggja til eignar hins nýja. Jafnræðis á milli landshluta, byggðalaga og íbúa sveitafélaga.  Fullkomin ósanngirni felst í því að mannvirki sem byggð hafa verið af sameiginlegum sjóðum landsmanna, án notendagjalda af vegfarendum, verði lögð að jöfnu við Hvalfjarðargöng.</w:t>
      </w:r>
    </w:p>
    <w:p w14:paraId="6D83CE11" w14:textId="77777777" w:rsidR="00D03AF6" w:rsidRPr="007C6618" w:rsidRDefault="00D03AF6" w:rsidP="00D03AF6">
      <w:pPr>
        <w:jc w:val="both"/>
        <w:rPr>
          <w:rFonts w:ascii="Calbri" w:hAnsi="Calbri"/>
          <w:b/>
          <w:bCs/>
          <w:sz w:val="22"/>
          <w:szCs w:val="22"/>
        </w:rPr>
      </w:pPr>
      <w:r w:rsidRPr="007C6618">
        <w:rPr>
          <w:rFonts w:ascii="Calbri" w:hAnsi="Calbri"/>
          <w:b/>
          <w:bCs/>
          <w:sz w:val="22"/>
          <w:szCs w:val="22"/>
        </w:rPr>
        <w:t>III. Önnur atriði</w:t>
      </w:r>
    </w:p>
    <w:p w14:paraId="74856539" w14:textId="77777777" w:rsidR="00D03AF6" w:rsidRPr="007C6618" w:rsidRDefault="00D03AF6" w:rsidP="00D03AF6">
      <w:pPr>
        <w:jc w:val="both"/>
        <w:rPr>
          <w:rFonts w:ascii="Calbri" w:hAnsi="Calbri"/>
          <w:sz w:val="22"/>
          <w:szCs w:val="22"/>
        </w:rPr>
      </w:pPr>
      <w:r w:rsidRPr="007C6618">
        <w:rPr>
          <w:rFonts w:ascii="Calbri" w:hAnsi="Calbri"/>
          <w:sz w:val="22"/>
          <w:szCs w:val="22"/>
        </w:rPr>
        <w:t xml:space="preserve">Í greinargerð frumvarpsins er horft til fordæma í öðrum löndum. Ekki kemur fram hvort fordæmi séu erlendis fyrir fjármögnun eignfjarframlags með gjaldheimtu af þegar byggðum mannvirkjum.  </w:t>
      </w:r>
    </w:p>
    <w:p w14:paraId="3C893012" w14:textId="77777777" w:rsidR="00D03AF6" w:rsidRPr="007C6618" w:rsidRDefault="00D03AF6" w:rsidP="00D03AF6">
      <w:pPr>
        <w:jc w:val="both"/>
        <w:rPr>
          <w:rFonts w:ascii="Calbri" w:hAnsi="Calbri"/>
          <w:sz w:val="22"/>
          <w:szCs w:val="22"/>
        </w:rPr>
      </w:pPr>
      <w:r w:rsidRPr="007C6618">
        <w:rPr>
          <w:rFonts w:ascii="Calbri" w:hAnsi="Calbri"/>
          <w:sz w:val="22"/>
          <w:szCs w:val="22"/>
        </w:rPr>
        <w:t>Af lestri greinargerðarinnar sést einnig að góð skuldastaða ríkissjóðs getur haft úrslitaáhrif á kostnað fjármögnunar innviðafélagsins. Þetta er þýðingarmikið atriði og getur í raun haft úrslitaáhrif á hvort einstakar samgönguframkvæmdir verði fýslilegar án mikillar meðgjafar frá ríkissjóði.  Þá væntanlega af því fjármagni sem varið er til samgöngumála.</w:t>
      </w:r>
    </w:p>
    <w:p w14:paraId="7605FFD2" w14:textId="77777777" w:rsidR="00D03AF6" w:rsidRPr="007C6618" w:rsidRDefault="00D03AF6" w:rsidP="00D03AF6">
      <w:pPr>
        <w:jc w:val="both"/>
        <w:rPr>
          <w:rFonts w:ascii="Calbri" w:hAnsi="Calbri"/>
          <w:sz w:val="22"/>
          <w:szCs w:val="22"/>
        </w:rPr>
      </w:pPr>
      <w:r w:rsidRPr="007C6618">
        <w:rPr>
          <w:rFonts w:ascii="Calbri" w:hAnsi="Calbri"/>
          <w:sz w:val="22"/>
          <w:szCs w:val="22"/>
        </w:rPr>
        <w:t>Tekið er sérstaklega undir að góður kostur getur verið að hluti tekna til einstakra verkefna í samgönguframkvæmdum geti komið með beinum framlögum ríkisins.  Sú leið opnar ekki síst fyrir að fara megi í þýðingarmiklar framkvæmdir fyrir einstakar byggðir, sem flokkast ekki sem stórframkvæmdir í skilningi þeirra áforma sem innviðafélaginu er ætlað að sinna.  Hvatt er til að útfæra þann þátt frumvarpsins frekar og ekki síst með þeim hætti að opna á aðkomu sveitafélaga að undirbúningi að slíkum framkvæmdum.</w:t>
      </w:r>
    </w:p>
    <w:p w14:paraId="5F3420F6" w14:textId="77777777" w:rsidR="00D03AF6" w:rsidRPr="007C6618" w:rsidRDefault="00D03AF6" w:rsidP="00D03AF6">
      <w:pPr>
        <w:jc w:val="both"/>
        <w:rPr>
          <w:rFonts w:ascii="Calbri" w:hAnsi="Calbri"/>
          <w:sz w:val="22"/>
          <w:szCs w:val="22"/>
        </w:rPr>
      </w:pPr>
      <w:r w:rsidRPr="007C6618">
        <w:rPr>
          <w:rFonts w:ascii="Calbri" w:hAnsi="Calbri"/>
          <w:sz w:val="22"/>
          <w:szCs w:val="22"/>
        </w:rPr>
        <w:t>Af lestri frumvarpsdraganna er hvorki ljóst hvernig samgönguframkvæmdir er gætu notið framlaga af fjármagni til samgönguframkvæmda verða valin, né hvaða verkefni verða talin fýsileg á markaðslegum forsendum.  Væri það hluti af framlagðri samgönguáætlun á hverjum tíma og/eða markaðslegar forsendur sem munu ráða vali?</w:t>
      </w:r>
    </w:p>
    <w:p w14:paraId="6DE15901" w14:textId="77777777" w:rsidR="00D03AF6" w:rsidRPr="007C6618" w:rsidRDefault="00D03AF6" w:rsidP="00D03AF6">
      <w:pPr>
        <w:jc w:val="both"/>
        <w:rPr>
          <w:rFonts w:ascii="Calbri" w:hAnsi="Calbri"/>
          <w:sz w:val="22"/>
          <w:szCs w:val="22"/>
        </w:rPr>
      </w:pPr>
      <w:r w:rsidRPr="007C6618">
        <w:rPr>
          <w:rFonts w:ascii="Calbri" w:hAnsi="Calbri"/>
          <w:sz w:val="22"/>
          <w:szCs w:val="22"/>
        </w:rPr>
        <w:t>Þá gera drög að frumvarpinu ráð fyrir að til greina komi síðar að selja hlut í innviðafélaginu til fjárfesta og þá væntanlega helst fagfjárfesta.  Væntanlega þarf skýra lagaumgjörð um slíka aðgerð þar sem m.a. þak verði sett á kröfu um ávöxtun, eiginfjár og framsetningu gjaldskrár</w:t>
      </w:r>
    </w:p>
    <w:p w14:paraId="79205AD2" w14:textId="77777777" w:rsidR="00D03AF6" w:rsidRPr="007C6618" w:rsidRDefault="00D03AF6" w:rsidP="00D03AF6">
      <w:pPr>
        <w:jc w:val="both"/>
        <w:rPr>
          <w:rFonts w:ascii="Calbri" w:hAnsi="Calbri"/>
          <w:b/>
          <w:bCs/>
          <w:sz w:val="22"/>
          <w:szCs w:val="22"/>
        </w:rPr>
      </w:pPr>
      <w:r w:rsidRPr="007C6618">
        <w:rPr>
          <w:rFonts w:ascii="Calbri" w:hAnsi="Calbri"/>
          <w:b/>
          <w:bCs/>
          <w:sz w:val="22"/>
          <w:szCs w:val="22"/>
        </w:rPr>
        <w:t>IV. Niðurlag</w:t>
      </w:r>
    </w:p>
    <w:p w14:paraId="69491403" w14:textId="77777777" w:rsidR="00D03AF6" w:rsidRPr="007C6618" w:rsidRDefault="00D03AF6" w:rsidP="00D03AF6">
      <w:pPr>
        <w:jc w:val="both"/>
        <w:rPr>
          <w:rFonts w:ascii="Calbri" w:hAnsi="Calbri"/>
          <w:sz w:val="22"/>
          <w:szCs w:val="22"/>
        </w:rPr>
      </w:pPr>
      <w:r w:rsidRPr="007C6618">
        <w:rPr>
          <w:rFonts w:ascii="Calbri" w:hAnsi="Calbri"/>
          <w:sz w:val="22"/>
          <w:szCs w:val="22"/>
        </w:rPr>
        <w:t>Akraneskaupstaður leggur sérstaka áherslu á nokkur atriði sem algjöra forsendu fyrir því að góður framgangur geti orðið í kjölfar þess að Innviðafélagið geti byggt upp traust á starfsemi sína:</w:t>
      </w:r>
    </w:p>
    <w:p w14:paraId="33919C52" w14:textId="77777777" w:rsidR="00D03AF6" w:rsidRPr="007C6618" w:rsidRDefault="00D03AF6" w:rsidP="00D03AF6">
      <w:pPr>
        <w:pStyle w:val="ListParagraph"/>
        <w:numPr>
          <w:ilvl w:val="0"/>
          <w:numId w:val="3"/>
        </w:numPr>
        <w:spacing w:after="160" w:line="278" w:lineRule="auto"/>
        <w:jc w:val="both"/>
        <w:rPr>
          <w:rFonts w:ascii="Calbri" w:hAnsi="Calbri"/>
          <w:sz w:val="22"/>
          <w:szCs w:val="22"/>
        </w:rPr>
      </w:pPr>
      <w:r w:rsidRPr="007C6618">
        <w:rPr>
          <w:rFonts w:ascii="Calbri" w:hAnsi="Calbri"/>
          <w:sz w:val="22"/>
          <w:szCs w:val="22"/>
        </w:rPr>
        <w:t>Að ekki verði innheimt veggjöld af samgöngumannvirki sem þegar hafa verið byggð og þeim mannvirkjum sem þegar hafa verið greidd af notendum.</w:t>
      </w:r>
    </w:p>
    <w:p w14:paraId="7426B879" w14:textId="77777777" w:rsidR="00D03AF6" w:rsidRPr="007C6618" w:rsidRDefault="00D03AF6" w:rsidP="00D03AF6">
      <w:pPr>
        <w:pStyle w:val="ListParagraph"/>
        <w:numPr>
          <w:ilvl w:val="0"/>
          <w:numId w:val="3"/>
        </w:numPr>
        <w:spacing w:after="160" w:line="278" w:lineRule="auto"/>
        <w:jc w:val="both"/>
        <w:rPr>
          <w:rFonts w:ascii="Calbri" w:hAnsi="Calbri"/>
          <w:sz w:val="22"/>
          <w:szCs w:val="22"/>
        </w:rPr>
      </w:pPr>
      <w:r w:rsidRPr="007C6618">
        <w:rPr>
          <w:rFonts w:ascii="Calbri" w:hAnsi="Calbri"/>
          <w:sz w:val="22"/>
          <w:szCs w:val="22"/>
        </w:rPr>
        <w:t>Að gagnsæi verði um val á framkvæmdum, ávöxtun eiginfjár og fjárhæð veggjalds í þeim mannvirkjum sem innviðafélagið mun byggja.</w:t>
      </w:r>
    </w:p>
    <w:p w14:paraId="0C7FED20" w14:textId="77777777" w:rsidR="00D03AF6" w:rsidRPr="007C6618" w:rsidRDefault="00D03AF6" w:rsidP="00D03AF6">
      <w:pPr>
        <w:pStyle w:val="ListParagraph"/>
        <w:numPr>
          <w:ilvl w:val="0"/>
          <w:numId w:val="3"/>
        </w:numPr>
        <w:spacing w:after="160" w:line="278" w:lineRule="auto"/>
        <w:jc w:val="both"/>
        <w:rPr>
          <w:rFonts w:ascii="Calbri" w:hAnsi="Calbri"/>
          <w:sz w:val="22"/>
          <w:szCs w:val="22"/>
        </w:rPr>
      </w:pPr>
      <w:r w:rsidRPr="007C6618">
        <w:rPr>
          <w:rFonts w:ascii="Calbri" w:hAnsi="Calbri"/>
          <w:sz w:val="22"/>
          <w:szCs w:val="22"/>
        </w:rPr>
        <w:t>Að veggjaldi sé einungis ætlað að standa undir rekstri og stofnkostnaði nýrra mannvirkja og falli niður að lokinni uppgreiðslu lána.</w:t>
      </w:r>
    </w:p>
    <w:p w14:paraId="22B89F25" w14:textId="77777777" w:rsidR="00D03AF6" w:rsidRPr="007C6618" w:rsidRDefault="00D03AF6" w:rsidP="00D03AF6">
      <w:pPr>
        <w:jc w:val="both"/>
        <w:rPr>
          <w:rFonts w:ascii="Calbri" w:hAnsi="Calbri"/>
          <w:sz w:val="22"/>
          <w:szCs w:val="22"/>
        </w:rPr>
      </w:pPr>
      <w:r w:rsidRPr="007C6618">
        <w:rPr>
          <w:rFonts w:ascii="Calbri" w:hAnsi="Calbri"/>
          <w:sz w:val="22"/>
          <w:szCs w:val="22"/>
        </w:rPr>
        <w:t xml:space="preserve">Augljóst er að flýting mikilvægra samgöngumannvirkja eykur hag þeirra sem mannvirkjanna njóta.  Slík mannvirki styðja við byggðaþróun, öryggi á vegum og umhverfissjónarmið.  Stofnun innviðafélags er valkostur til að ná þeim markmiðum.  Hins vegar verður heimild slíks félags til innheimtu veggjalda að byggja á sanngirni og skýrum ramma m.a. með hliðsjón af almennu </w:t>
      </w:r>
      <w:r w:rsidRPr="007C6618">
        <w:rPr>
          <w:rFonts w:ascii="Calbri" w:hAnsi="Calbri"/>
          <w:sz w:val="22"/>
          <w:szCs w:val="22"/>
        </w:rPr>
        <w:lastRenderedPageBreak/>
        <w:t>kílómetragjald sem nú hefur verið leitt í lög.  Því er sú forsenda eðlileg að veggjald leggist eingöngu á ný samgöngumannvirki, en falli niður þegar framkvæmdin er að fullu greidd.  Sú aðferðafræði getur hvað best fallið að sjónarmiðum almennings um gagnsæi og sanngirni.</w:t>
      </w:r>
    </w:p>
    <w:p w14:paraId="1FBE22F6" w14:textId="77777777" w:rsidR="00D03AF6" w:rsidRPr="007C6618" w:rsidRDefault="00D03AF6" w:rsidP="00D03AF6">
      <w:pPr>
        <w:jc w:val="both"/>
        <w:rPr>
          <w:rFonts w:ascii="Calbri" w:hAnsi="Calbri"/>
          <w:sz w:val="22"/>
          <w:szCs w:val="22"/>
        </w:rPr>
      </w:pPr>
      <w:r w:rsidRPr="007C6618">
        <w:rPr>
          <w:rFonts w:ascii="Calbri" w:hAnsi="Calbri"/>
          <w:sz w:val="22"/>
          <w:szCs w:val="22"/>
        </w:rPr>
        <w:t xml:space="preserve">Akraneskaupstaður vill leggja sérstaka áherslu á að strax í upphafi og undirbúningi lagasetningar verði horft til þess að hafa ákvæði um aðsetur Innviðafélagsins á Vesturlandi.  </w:t>
      </w:r>
    </w:p>
    <w:p w14:paraId="5C500D02" w14:textId="77777777" w:rsidR="00D03AF6" w:rsidRPr="007C6618" w:rsidRDefault="00D03AF6" w:rsidP="00D03AF6">
      <w:pPr>
        <w:jc w:val="both"/>
        <w:rPr>
          <w:rFonts w:ascii="Calbri" w:hAnsi="Calbri"/>
          <w:sz w:val="22"/>
          <w:szCs w:val="22"/>
        </w:rPr>
      </w:pPr>
    </w:p>
    <w:p w14:paraId="060FF72C" w14:textId="77777777" w:rsidR="00D03AF6" w:rsidRPr="007C6618" w:rsidRDefault="00D03AF6" w:rsidP="00D03AF6">
      <w:pPr>
        <w:jc w:val="center"/>
        <w:rPr>
          <w:rFonts w:ascii="Calbri" w:hAnsi="Calbri"/>
          <w:sz w:val="22"/>
          <w:szCs w:val="22"/>
        </w:rPr>
      </w:pPr>
      <w:r w:rsidRPr="007C6618">
        <w:rPr>
          <w:rFonts w:ascii="Calbri" w:hAnsi="Calbri"/>
          <w:sz w:val="22"/>
          <w:szCs w:val="22"/>
        </w:rPr>
        <w:t>Fh Akraneskaupstaðar</w:t>
      </w:r>
    </w:p>
    <w:p w14:paraId="2D8A069D" w14:textId="77777777" w:rsidR="00D03AF6" w:rsidRPr="007C6618" w:rsidRDefault="00D03AF6" w:rsidP="00D03AF6">
      <w:pPr>
        <w:jc w:val="center"/>
        <w:rPr>
          <w:rFonts w:ascii="Calbri" w:hAnsi="Calbri"/>
          <w:sz w:val="22"/>
          <w:szCs w:val="22"/>
        </w:rPr>
      </w:pPr>
      <w:r w:rsidRPr="007C6618">
        <w:rPr>
          <w:rFonts w:ascii="Calbri" w:hAnsi="Calbri"/>
          <w:sz w:val="22"/>
          <w:szCs w:val="22"/>
        </w:rPr>
        <w:t>Haraldur Benediktsson</w:t>
      </w:r>
    </w:p>
    <w:p w14:paraId="232C6E48" w14:textId="77777777" w:rsidR="00D03AF6" w:rsidRPr="007C6618" w:rsidRDefault="00D03AF6" w:rsidP="00D03AF6">
      <w:pPr>
        <w:jc w:val="center"/>
        <w:rPr>
          <w:rFonts w:ascii="Calbri" w:hAnsi="Calbri"/>
          <w:sz w:val="22"/>
          <w:szCs w:val="22"/>
        </w:rPr>
      </w:pPr>
      <w:r w:rsidRPr="007C6618">
        <w:rPr>
          <w:rFonts w:ascii="Calbri" w:hAnsi="Calbri"/>
          <w:sz w:val="22"/>
          <w:szCs w:val="22"/>
        </w:rPr>
        <w:t>bæjarstjóri</w:t>
      </w:r>
    </w:p>
    <w:p w14:paraId="56B8B280" w14:textId="77777777" w:rsidR="00493EA3" w:rsidRPr="007C6618" w:rsidRDefault="00493EA3" w:rsidP="00493EA3">
      <w:pPr>
        <w:spacing w:after="120" w:line="276" w:lineRule="auto"/>
        <w:jc w:val="both"/>
        <w:rPr>
          <w:rFonts w:ascii="Calbri" w:hAnsi="Calbri"/>
          <w:sz w:val="22"/>
          <w:szCs w:val="22"/>
        </w:rPr>
      </w:pPr>
    </w:p>
    <w:p w14:paraId="06A4C839" w14:textId="77777777" w:rsidR="00493EA3" w:rsidRPr="007C6618" w:rsidRDefault="00493EA3" w:rsidP="00493EA3">
      <w:pPr>
        <w:spacing w:after="120" w:line="276" w:lineRule="auto"/>
        <w:jc w:val="both"/>
        <w:rPr>
          <w:rFonts w:ascii="Calbri" w:hAnsi="Calbri"/>
          <w:sz w:val="22"/>
          <w:szCs w:val="22"/>
        </w:rPr>
      </w:pPr>
    </w:p>
    <w:p w14:paraId="7AA1DF83" w14:textId="77777777" w:rsidR="00493EA3" w:rsidRPr="007C6618" w:rsidRDefault="00493EA3" w:rsidP="00493EA3">
      <w:pPr>
        <w:spacing w:after="120" w:line="276" w:lineRule="auto"/>
        <w:ind w:left="4536" w:hanging="4536"/>
        <w:jc w:val="both"/>
        <w:rPr>
          <w:rFonts w:ascii="Calbri" w:hAnsi="Calbri"/>
          <w:sz w:val="22"/>
          <w:szCs w:val="22"/>
        </w:rPr>
      </w:pPr>
    </w:p>
    <w:p w14:paraId="2F089642" w14:textId="77777777" w:rsidR="00493EA3" w:rsidRPr="007C6618" w:rsidRDefault="00493EA3" w:rsidP="00493EA3">
      <w:pPr>
        <w:spacing w:after="120" w:line="276" w:lineRule="auto"/>
        <w:ind w:left="4536" w:hanging="4536"/>
        <w:jc w:val="both"/>
        <w:rPr>
          <w:rFonts w:ascii="Calbri" w:hAnsi="Calbri"/>
          <w:sz w:val="22"/>
          <w:szCs w:val="22"/>
        </w:rPr>
      </w:pPr>
    </w:p>
    <w:p w14:paraId="77792A94" w14:textId="77777777" w:rsidR="00493EA3" w:rsidRPr="007C6618" w:rsidRDefault="00493EA3" w:rsidP="00493EA3">
      <w:pPr>
        <w:spacing w:after="120" w:line="276" w:lineRule="auto"/>
        <w:ind w:left="4536" w:hanging="4536"/>
        <w:jc w:val="both"/>
        <w:rPr>
          <w:rFonts w:ascii="Calbri" w:hAnsi="Calbri"/>
          <w:sz w:val="22"/>
          <w:szCs w:val="22"/>
        </w:rPr>
      </w:pPr>
    </w:p>
    <w:bookmarkEnd w:id="0"/>
    <w:p w14:paraId="3C980E9B" w14:textId="77777777" w:rsidR="006F428C" w:rsidRPr="007C6618" w:rsidRDefault="006F428C" w:rsidP="00FD2D3A">
      <w:pPr>
        <w:spacing w:after="120"/>
        <w:rPr>
          <w:rFonts w:ascii="Calbri" w:hAnsi="Calbri"/>
          <w:sz w:val="22"/>
          <w:szCs w:val="22"/>
        </w:rPr>
      </w:pPr>
    </w:p>
    <w:sectPr w:rsidR="006F428C" w:rsidRPr="007C6618" w:rsidSect="004E1120">
      <w:footerReference w:type="default" r:id="rId11"/>
      <w:headerReference w:type="first" r:id="rId12"/>
      <w:footerReference w:type="first" r:id="rId13"/>
      <w:pgSz w:w="11906" w:h="16838"/>
      <w:pgMar w:top="1417" w:right="1417" w:bottom="1417" w:left="1417"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69190" w14:textId="77777777" w:rsidR="00CE4295" w:rsidRDefault="00CE4295">
      <w:r>
        <w:separator/>
      </w:r>
    </w:p>
  </w:endnote>
  <w:endnote w:type="continuationSeparator" w:id="0">
    <w:p w14:paraId="58566843" w14:textId="77777777" w:rsidR="00CE4295" w:rsidRDefault="00CE4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0"/>
        <w:szCs w:val="20"/>
      </w:rPr>
      <w:id w:val="945016151"/>
      <w:docPartObj>
        <w:docPartGallery w:val="Page Numbers (Bottom of Page)"/>
        <w:docPartUnique/>
      </w:docPartObj>
    </w:sdtPr>
    <w:sdtEndPr/>
    <w:sdtContent>
      <w:p w14:paraId="2FE004FE" w14:textId="5886F669" w:rsidR="004E1120" w:rsidRPr="00B456BA" w:rsidRDefault="00CE4295" w:rsidP="00B456BA">
        <w:pPr>
          <w:pStyle w:val="Footer"/>
          <w:spacing w:line="480" w:lineRule="auto"/>
          <w:jc w:val="right"/>
          <w:rPr>
            <w:rFonts w:asciiTheme="minorHAnsi" w:hAnsiTheme="minorHAnsi" w:cstheme="minorHAnsi"/>
            <w:sz w:val="20"/>
            <w:szCs w:val="20"/>
          </w:rPr>
        </w:pPr>
        <w:r w:rsidRPr="00B456BA">
          <w:rPr>
            <w:rFonts w:asciiTheme="minorHAnsi" w:hAnsiTheme="minorHAnsi" w:cstheme="minorHAnsi"/>
            <w:noProof/>
            <w:color w:val="003B72"/>
            <w:sz w:val="20"/>
            <w:szCs w:val="20"/>
          </w:rPr>
          <w:drawing>
            <wp:anchor distT="0" distB="0" distL="114300" distR="114300" simplePos="0" relativeHeight="251657216" behindDoc="1" locked="0" layoutInCell="1" allowOverlap="1" wp14:anchorId="44CE4DF1" wp14:editId="399101EC">
              <wp:simplePos x="0" y="0"/>
              <wp:positionH relativeFrom="page">
                <wp:align>right</wp:align>
              </wp:positionH>
              <wp:positionV relativeFrom="paragraph">
                <wp:posOffset>-1803163</wp:posOffset>
              </wp:positionV>
              <wp:extent cx="7559675" cy="3779520"/>
              <wp:effectExtent l="0" t="0" r="3175" b="0"/>
              <wp:wrapNone/>
              <wp:docPr id="1866315616" name="Mynd 1" descr="Mynd sem inniheldur �tl�nur&#10;&#10;Lýsing sjálfkrafa búin 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315616" name="Mynd 1" descr="Mynd sem inniheldur �tl�nur&#10;&#10;Lýsing sjálfkrafa búin til"/>
                      <pic:cNvPicPr/>
                    </pic:nvPicPr>
                    <pic:blipFill>
                      <a:blip r:embed="rId1">
                        <a:extLst>
                          <a:ext uri="{28A0092B-C50C-407E-A947-70E740481C1C}">
                            <a14:useLocalDpi xmlns:a14="http://schemas.microsoft.com/office/drawing/2010/main" val="0"/>
                          </a:ext>
                        </a:extLst>
                      </a:blip>
                      <a:stretch>
                        <a:fillRect/>
                      </a:stretch>
                    </pic:blipFill>
                    <pic:spPr>
                      <a:xfrm>
                        <a:off x="0" y="0"/>
                        <a:ext cx="7559675" cy="3779520"/>
                      </a:xfrm>
                      <a:prstGeom prst="rect">
                        <a:avLst/>
                      </a:prstGeom>
                    </pic:spPr>
                  </pic:pic>
                </a:graphicData>
              </a:graphic>
            </wp:anchor>
          </w:drawing>
        </w:r>
        <w:r w:rsidRPr="00B456BA">
          <w:rPr>
            <w:rFonts w:asciiTheme="minorHAnsi" w:hAnsiTheme="minorHAnsi" w:cstheme="minorHAnsi"/>
            <w:sz w:val="20"/>
            <w:szCs w:val="20"/>
          </w:rPr>
          <w:fldChar w:fldCharType="begin"/>
        </w:r>
        <w:r w:rsidRPr="00B456BA">
          <w:rPr>
            <w:rFonts w:asciiTheme="minorHAnsi" w:hAnsiTheme="minorHAnsi" w:cstheme="minorHAnsi"/>
            <w:sz w:val="20"/>
            <w:szCs w:val="20"/>
          </w:rPr>
          <w:instrText>PAGE   \* MERGEFORMAT</w:instrText>
        </w:r>
        <w:r w:rsidRPr="00B456BA">
          <w:rPr>
            <w:rFonts w:asciiTheme="minorHAnsi" w:hAnsiTheme="minorHAnsi" w:cstheme="minorHAnsi"/>
            <w:sz w:val="20"/>
            <w:szCs w:val="20"/>
          </w:rPr>
          <w:fldChar w:fldCharType="separate"/>
        </w:r>
        <w:r w:rsidRPr="00B456BA">
          <w:rPr>
            <w:rFonts w:asciiTheme="minorHAnsi" w:hAnsiTheme="minorHAnsi" w:cstheme="minorHAnsi"/>
            <w:sz w:val="20"/>
            <w:szCs w:val="20"/>
          </w:rPr>
          <w:t>2</w:t>
        </w:r>
        <w:r w:rsidRPr="00B456BA">
          <w:rPr>
            <w:rFonts w:asciiTheme="minorHAnsi" w:hAnsiTheme="minorHAnsi" w:cstheme="minorHAnsi"/>
            <w:sz w:val="20"/>
            <w:szCs w:val="20"/>
          </w:rPr>
          <w:fldChar w:fldCharType="end"/>
        </w:r>
        <w:r w:rsidRPr="00B456BA">
          <w:rPr>
            <w:rFonts w:asciiTheme="minorHAnsi" w:hAnsiTheme="minorHAnsi" w:cstheme="minorHAnsi"/>
            <w:sz w:val="20"/>
            <w:szCs w:val="20"/>
          </w:rPr>
          <w:t>/</w:t>
        </w:r>
        <w:r w:rsidR="00B456BA" w:rsidRPr="00B456BA">
          <w:rPr>
            <w:rFonts w:asciiTheme="minorHAnsi" w:hAnsiTheme="minorHAnsi" w:cstheme="minorHAnsi"/>
            <w:sz w:val="20"/>
            <w:szCs w:val="20"/>
          </w:rPr>
          <w:fldChar w:fldCharType="begin"/>
        </w:r>
        <w:r w:rsidR="00B456BA" w:rsidRPr="00B456BA">
          <w:rPr>
            <w:rFonts w:asciiTheme="minorHAnsi" w:hAnsiTheme="minorHAnsi" w:cstheme="minorHAnsi"/>
            <w:sz w:val="20"/>
            <w:szCs w:val="20"/>
          </w:rPr>
          <w:instrText xml:space="preserve"> NUMPAGES   \* MERGEFORMAT </w:instrText>
        </w:r>
        <w:r w:rsidR="00B456BA" w:rsidRPr="00B456BA">
          <w:rPr>
            <w:rFonts w:asciiTheme="minorHAnsi" w:hAnsiTheme="minorHAnsi" w:cstheme="minorHAnsi"/>
            <w:sz w:val="20"/>
            <w:szCs w:val="20"/>
          </w:rPr>
          <w:fldChar w:fldCharType="separate"/>
        </w:r>
        <w:r w:rsidRPr="00B456BA">
          <w:rPr>
            <w:rFonts w:asciiTheme="minorHAnsi" w:hAnsiTheme="minorHAnsi" w:cstheme="minorHAnsi"/>
            <w:noProof/>
            <w:sz w:val="20"/>
            <w:szCs w:val="20"/>
          </w:rPr>
          <w:t>2</w:t>
        </w:r>
        <w:r w:rsidR="00B456BA" w:rsidRPr="00B456BA">
          <w:rPr>
            <w:rFonts w:asciiTheme="minorHAnsi" w:hAnsiTheme="minorHAnsi" w:cstheme="minorHAnsi"/>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67C5D" w14:textId="4E0E87C0" w:rsidR="004E1120" w:rsidRPr="00FD2D3A" w:rsidRDefault="00CE4295" w:rsidP="006F428C">
    <w:pPr>
      <w:pStyle w:val="Footer"/>
      <w:spacing w:after="240"/>
      <w:jc w:val="center"/>
      <w:rPr>
        <w:color w:val="003B72"/>
      </w:rPr>
    </w:pPr>
    <w:r w:rsidRPr="00FD2D3A">
      <w:rPr>
        <w:noProof/>
        <w:color w:val="003B72"/>
      </w:rPr>
      <w:drawing>
        <wp:anchor distT="0" distB="0" distL="114300" distR="114300" simplePos="0" relativeHeight="251658240" behindDoc="1" locked="0" layoutInCell="1" allowOverlap="1" wp14:anchorId="0E8519B1" wp14:editId="23376628">
          <wp:simplePos x="0" y="0"/>
          <wp:positionH relativeFrom="page">
            <wp:align>left</wp:align>
          </wp:positionH>
          <wp:positionV relativeFrom="paragraph">
            <wp:posOffset>-1820835</wp:posOffset>
          </wp:positionV>
          <wp:extent cx="7559675" cy="3779520"/>
          <wp:effectExtent l="0" t="0" r="3175" b="0"/>
          <wp:wrapNone/>
          <wp:docPr id="1155074230" name="Mynd 1" descr="Mynd sem inniheldur �tl�nur&#10;&#10;Lýsing sjálfkrafa búin 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074230" name="Mynd 1" descr="Mynd sem inniheldur �tl�nur&#10;&#10;Lýsing sjálfkrafa búin til"/>
                  <pic:cNvPicPr/>
                </pic:nvPicPr>
                <pic:blipFill>
                  <a:blip r:embed="rId1">
                    <a:extLst>
                      <a:ext uri="{28A0092B-C50C-407E-A947-70E740481C1C}">
                        <a14:useLocalDpi xmlns:a14="http://schemas.microsoft.com/office/drawing/2010/main" val="0"/>
                      </a:ext>
                    </a:extLst>
                  </a:blip>
                  <a:stretch>
                    <a:fillRect/>
                  </a:stretch>
                </pic:blipFill>
                <pic:spPr>
                  <a:xfrm>
                    <a:off x="0" y="0"/>
                    <a:ext cx="7559675" cy="3779520"/>
                  </a:xfrm>
                  <a:prstGeom prst="rect">
                    <a:avLst/>
                  </a:prstGeom>
                </pic:spPr>
              </pic:pic>
            </a:graphicData>
          </a:graphic>
        </wp:anchor>
      </w:drawing>
    </w:r>
    <w:hyperlink r:id="rId2" w:history="1">
      <w:r w:rsidR="00FD2D3A" w:rsidRPr="00FD2D3A">
        <w:rPr>
          <w:rStyle w:val="Hyperlink"/>
          <w:rFonts w:asciiTheme="minorHAnsi" w:hAnsiTheme="minorHAnsi" w:cstheme="minorHAnsi"/>
          <w:color w:val="003B72"/>
          <w:u w:val="none"/>
        </w:rPr>
        <w:t>www.akranes.is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D835D" w14:textId="77777777" w:rsidR="00CE4295" w:rsidRDefault="00CE4295">
      <w:r>
        <w:separator/>
      </w:r>
    </w:p>
  </w:footnote>
  <w:footnote w:type="continuationSeparator" w:id="0">
    <w:p w14:paraId="2FF04532" w14:textId="77777777" w:rsidR="00CE4295" w:rsidRDefault="00CE4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2E70A" w14:textId="6FE50A3E" w:rsidR="005F2381" w:rsidRDefault="00CE4295">
    <w:pPr>
      <w:pStyle w:val="Header"/>
    </w:pPr>
    <w:r>
      <w:rPr>
        <w:noProof/>
      </w:rPr>
      <mc:AlternateContent>
        <mc:Choice Requires="wps">
          <w:drawing>
            <wp:anchor distT="0" distB="0" distL="114300" distR="114300" simplePos="0" relativeHeight="251659264" behindDoc="1" locked="0" layoutInCell="1" allowOverlap="1" wp14:anchorId="0B039FBE" wp14:editId="2513E9CE">
              <wp:simplePos x="0" y="0"/>
              <wp:positionH relativeFrom="column">
                <wp:posOffset>-479381</wp:posOffset>
              </wp:positionH>
              <wp:positionV relativeFrom="paragraph">
                <wp:posOffset>-450216</wp:posOffset>
              </wp:positionV>
              <wp:extent cx="0" cy="11298621"/>
              <wp:effectExtent l="19050" t="0" r="19050" b="36195"/>
              <wp:wrapNone/>
              <wp:docPr id="1363776516" name="Bein tengilína 3"/>
              <wp:cNvGraphicFramePr/>
              <a:graphic xmlns:a="http://schemas.openxmlformats.org/drawingml/2006/main">
                <a:graphicData uri="http://schemas.microsoft.com/office/word/2010/wordprocessingShape">
                  <wps:wsp>
                    <wps:cNvCnPr/>
                    <wps:spPr>
                      <a:xfrm>
                        <a:off x="0" y="0"/>
                        <a:ext cx="0" cy="11298621"/>
                      </a:xfrm>
                      <a:prstGeom prst="line">
                        <a:avLst/>
                      </a:prstGeom>
                      <a:ln w="28575">
                        <a:solidFill>
                          <a:srgbClr val="003B7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BAB6E01" id="Bein tengilína 3"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37.75pt,-35.45pt" to="-37.75pt,8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" strokecolor="#003b72" strokeweight="2.25pt">
              <v:stroke joinstyle="miter"/>
            </v:line>
          </w:pict>
        </mc:Fallback>
      </mc:AlternateContent>
    </w:r>
    <w:r w:rsidR="004E1120">
      <w:rPr>
        <w:noProof/>
      </w:rPr>
      <w:drawing>
        <wp:anchor distT="0" distB="0" distL="114300" distR="114300" simplePos="0" relativeHeight="251656192" behindDoc="0" locked="0" layoutInCell="1" allowOverlap="1" wp14:anchorId="07FD5D01" wp14:editId="1DE5A8B0">
          <wp:simplePos x="0" y="0"/>
          <wp:positionH relativeFrom="margin">
            <wp:align>right</wp:align>
          </wp:positionH>
          <wp:positionV relativeFrom="paragraph">
            <wp:posOffset>-25454</wp:posOffset>
          </wp:positionV>
          <wp:extent cx="1482950" cy="720000"/>
          <wp:effectExtent l="0" t="0" r="3175" b="4445"/>
          <wp:wrapThrough wrapText="bothSides">
            <wp:wrapPolygon edited="0">
              <wp:start x="7215" y="0"/>
              <wp:lineTo x="7215" y="9151"/>
              <wp:lineTo x="1110" y="14870"/>
              <wp:lineTo x="0" y="16586"/>
              <wp:lineTo x="0" y="20590"/>
              <wp:lineTo x="12488" y="21162"/>
              <wp:lineTo x="14153" y="21162"/>
              <wp:lineTo x="21369" y="20590"/>
              <wp:lineTo x="21369" y="16586"/>
              <wp:lineTo x="13321" y="9151"/>
              <wp:lineTo x="13321" y="0"/>
              <wp:lineTo x="7215" y="0"/>
            </wp:wrapPolygon>
          </wp:wrapThrough>
          <wp:docPr id="798599289" name="Mynd 798599289" descr="Mynd sem inniheldur texti&#10;&#10;Lýsing sjálfkrafa búin t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599289" name="Mynd 1498564894" descr="Mynd sem inniheldur texti&#10;&#10;Lýsing sjálfkrafa búin til"/>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82950" cy="72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83550"/>
    <w:multiLevelType w:val="hybridMultilevel"/>
    <w:tmpl w:val="F0C0910A"/>
    <w:lvl w:ilvl="0" w:tplc="9912F47A">
      <w:start w:val="1"/>
      <w:numFmt w:val="decimal"/>
      <w:lvlText w:val="%1."/>
      <w:lvlJc w:val="left"/>
      <w:pPr>
        <w:ind w:left="720" w:hanging="360"/>
      </w:pPr>
    </w:lvl>
    <w:lvl w:ilvl="1" w:tplc="6D08673E" w:tentative="1">
      <w:start w:val="1"/>
      <w:numFmt w:val="lowerLetter"/>
      <w:lvlText w:val="%2."/>
      <w:lvlJc w:val="left"/>
      <w:pPr>
        <w:ind w:left="1440" w:hanging="360"/>
      </w:pPr>
    </w:lvl>
    <w:lvl w:ilvl="2" w:tplc="48207CF0" w:tentative="1">
      <w:start w:val="1"/>
      <w:numFmt w:val="lowerRoman"/>
      <w:lvlText w:val="%3."/>
      <w:lvlJc w:val="right"/>
      <w:pPr>
        <w:ind w:left="2160" w:hanging="180"/>
      </w:pPr>
    </w:lvl>
    <w:lvl w:ilvl="3" w:tplc="65E44E06" w:tentative="1">
      <w:start w:val="1"/>
      <w:numFmt w:val="decimal"/>
      <w:lvlText w:val="%4."/>
      <w:lvlJc w:val="left"/>
      <w:pPr>
        <w:ind w:left="2880" w:hanging="360"/>
      </w:pPr>
    </w:lvl>
    <w:lvl w:ilvl="4" w:tplc="B986D852" w:tentative="1">
      <w:start w:val="1"/>
      <w:numFmt w:val="lowerLetter"/>
      <w:lvlText w:val="%5."/>
      <w:lvlJc w:val="left"/>
      <w:pPr>
        <w:ind w:left="3600" w:hanging="360"/>
      </w:pPr>
    </w:lvl>
    <w:lvl w:ilvl="5" w:tplc="62E43488" w:tentative="1">
      <w:start w:val="1"/>
      <w:numFmt w:val="lowerRoman"/>
      <w:lvlText w:val="%6."/>
      <w:lvlJc w:val="right"/>
      <w:pPr>
        <w:ind w:left="4320" w:hanging="180"/>
      </w:pPr>
    </w:lvl>
    <w:lvl w:ilvl="6" w:tplc="C52A6DD6" w:tentative="1">
      <w:start w:val="1"/>
      <w:numFmt w:val="decimal"/>
      <w:lvlText w:val="%7."/>
      <w:lvlJc w:val="left"/>
      <w:pPr>
        <w:ind w:left="5040" w:hanging="360"/>
      </w:pPr>
    </w:lvl>
    <w:lvl w:ilvl="7" w:tplc="06E867DC" w:tentative="1">
      <w:start w:val="1"/>
      <w:numFmt w:val="lowerLetter"/>
      <w:lvlText w:val="%8."/>
      <w:lvlJc w:val="left"/>
      <w:pPr>
        <w:ind w:left="5760" w:hanging="360"/>
      </w:pPr>
    </w:lvl>
    <w:lvl w:ilvl="8" w:tplc="C032E8D8" w:tentative="1">
      <w:start w:val="1"/>
      <w:numFmt w:val="lowerRoman"/>
      <w:lvlText w:val="%9."/>
      <w:lvlJc w:val="right"/>
      <w:pPr>
        <w:ind w:left="6480" w:hanging="180"/>
      </w:pPr>
    </w:lvl>
  </w:abstractNum>
  <w:abstractNum w:abstractNumId="1" w15:restartNumberingAfterBreak="0">
    <w:nsid w:val="22387618"/>
    <w:multiLevelType w:val="hybridMultilevel"/>
    <w:tmpl w:val="02164F12"/>
    <w:lvl w:ilvl="0" w:tplc="E056EF4E">
      <w:start w:val="1"/>
      <w:numFmt w:val="decimal"/>
      <w:lvlText w:val="%1."/>
      <w:lvlJc w:val="left"/>
      <w:pPr>
        <w:ind w:left="720" w:hanging="360"/>
      </w:pPr>
      <w:rPr>
        <w:rFonts w:hint="default"/>
      </w:rPr>
    </w:lvl>
    <w:lvl w:ilvl="1" w:tplc="06A423A6" w:tentative="1">
      <w:start w:val="1"/>
      <w:numFmt w:val="lowerLetter"/>
      <w:lvlText w:val="%2."/>
      <w:lvlJc w:val="left"/>
      <w:pPr>
        <w:ind w:left="1440" w:hanging="360"/>
      </w:pPr>
    </w:lvl>
    <w:lvl w:ilvl="2" w:tplc="E75A1AA6" w:tentative="1">
      <w:start w:val="1"/>
      <w:numFmt w:val="lowerRoman"/>
      <w:lvlText w:val="%3."/>
      <w:lvlJc w:val="right"/>
      <w:pPr>
        <w:ind w:left="2160" w:hanging="180"/>
      </w:pPr>
    </w:lvl>
    <w:lvl w:ilvl="3" w:tplc="D43E0342" w:tentative="1">
      <w:start w:val="1"/>
      <w:numFmt w:val="decimal"/>
      <w:lvlText w:val="%4."/>
      <w:lvlJc w:val="left"/>
      <w:pPr>
        <w:ind w:left="2880" w:hanging="360"/>
      </w:pPr>
    </w:lvl>
    <w:lvl w:ilvl="4" w:tplc="598E0606" w:tentative="1">
      <w:start w:val="1"/>
      <w:numFmt w:val="lowerLetter"/>
      <w:lvlText w:val="%5."/>
      <w:lvlJc w:val="left"/>
      <w:pPr>
        <w:ind w:left="3600" w:hanging="360"/>
      </w:pPr>
    </w:lvl>
    <w:lvl w:ilvl="5" w:tplc="89AAC89A" w:tentative="1">
      <w:start w:val="1"/>
      <w:numFmt w:val="lowerRoman"/>
      <w:lvlText w:val="%6."/>
      <w:lvlJc w:val="right"/>
      <w:pPr>
        <w:ind w:left="4320" w:hanging="180"/>
      </w:pPr>
    </w:lvl>
    <w:lvl w:ilvl="6" w:tplc="684CC460" w:tentative="1">
      <w:start w:val="1"/>
      <w:numFmt w:val="decimal"/>
      <w:lvlText w:val="%7."/>
      <w:lvlJc w:val="left"/>
      <w:pPr>
        <w:ind w:left="5040" w:hanging="360"/>
      </w:pPr>
    </w:lvl>
    <w:lvl w:ilvl="7" w:tplc="1806E3FC" w:tentative="1">
      <w:start w:val="1"/>
      <w:numFmt w:val="lowerLetter"/>
      <w:lvlText w:val="%8."/>
      <w:lvlJc w:val="left"/>
      <w:pPr>
        <w:ind w:left="5760" w:hanging="360"/>
      </w:pPr>
    </w:lvl>
    <w:lvl w:ilvl="8" w:tplc="D818C62C" w:tentative="1">
      <w:start w:val="1"/>
      <w:numFmt w:val="lowerRoman"/>
      <w:lvlText w:val="%9."/>
      <w:lvlJc w:val="right"/>
      <w:pPr>
        <w:ind w:left="6480" w:hanging="180"/>
      </w:pPr>
    </w:lvl>
  </w:abstractNum>
  <w:abstractNum w:abstractNumId="2" w15:restartNumberingAfterBreak="0">
    <w:nsid w:val="29F546DB"/>
    <w:multiLevelType w:val="hybridMultilevel"/>
    <w:tmpl w:val="0DEC96F8"/>
    <w:lvl w:ilvl="0" w:tplc="040F0017">
      <w:start w:val="1"/>
      <w:numFmt w:val="lowerLetter"/>
      <w:lvlText w:val="%1)"/>
      <w:lvlJc w:val="left"/>
      <w:pPr>
        <w:ind w:left="777" w:hanging="360"/>
      </w:pPr>
    </w:lvl>
    <w:lvl w:ilvl="1" w:tplc="040F0019" w:tentative="1">
      <w:start w:val="1"/>
      <w:numFmt w:val="lowerLetter"/>
      <w:lvlText w:val="%2."/>
      <w:lvlJc w:val="left"/>
      <w:pPr>
        <w:ind w:left="1497" w:hanging="360"/>
      </w:pPr>
    </w:lvl>
    <w:lvl w:ilvl="2" w:tplc="040F001B" w:tentative="1">
      <w:start w:val="1"/>
      <w:numFmt w:val="lowerRoman"/>
      <w:lvlText w:val="%3."/>
      <w:lvlJc w:val="right"/>
      <w:pPr>
        <w:ind w:left="2217" w:hanging="180"/>
      </w:pPr>
    </w:lvl>
    <w:lvl w:ilvl="3" w:tplc="040F000F" w:tentative="1">
      <w:start w:val="1"/>
      <w:numFmt w:val="decimal"/>
      <w:lvlText w:val="%4."/>
      <w:lvlJc w:val="left"/>
      <w:pPr>
        <w:ind w:left="2937" w:hanging="360"/>
      </w:pPr>
    </w:lvl>
    <w:lvl w:ilvl="4" w:tplc="040F0019" w:tentative="1">
      <w:start w:val="1"/>
      <w:numFmt w:val="lowerLetter"/>
      <w:lvlText w:val="%5."/>
      <w:lvlJc w:val="left"/>
      <w:pPr>
        <w:ind w:left="3657" w:hanging="360"/>
      </w:pPr>
    </w:lvl>
    <w:lvl w:ilvl="5" w:tplc="040F001B" w:tentative="1">
      <w:start w:val="1"/>
      <w:numFmt w:val="lowerRoman"/>
      <w:lvlText w:val="%6."/>
      <w:lvlJc w:val="right"/>
      <w:pPr>
        <w:ind w:left="4377" w:hanging="180"/>
      </w:pPr>
    </w:lvl>
    <w:lvl w:ilvl="6" w:tplc="040F000F" w:tentative="1">
      <w:start w:val="1"/>
      <w:numFmt w:val="decimal"/>
      <w:lvlText w:val="%7."/>
      <w:lvlJc w:val="left"/>
      <w:pPr>
        <w:ind w:left="5097" w:hanging="360"/>
      </w:pPr>
    </w:lvl>
    <w:lvl w:ilvl="7" w:tplc="040F0019" w:tentative="1">
      <w:start w:val="1"/>
      <w:numFmt w:val="lowerLetter"/>
      <w:lvlText w:val="%8."/>
      <w:lvlJc w:val="left"/>
      <w:pPr>
        <w:ind w:left="5817" w:hanging="360"/>
      </w:pPr>
    </w:lvl>
    <w:lvl w:ilvl="8" w:tplc="040F001B" w:tentative="1">
      <w:start w:val="1"/>
      <w:numFmt w:val="lowerRoman"/>
      <w:lvlText w:val="%9."/>
      <w:lvlJc w:val="right"/>
      <w:pPr>
        <w:ind w:left="6537" w:hanging="180"/>
      </w:pPr>
    </w:lvl>
  </w:abstractNum>
  <w:num w:numId="1" w16cid:durableId="1099712379">
    <w:abstractNumId w:val="0"/>
  </w:num>
  <w:num w:numId="2" w16cid:durableId="1667632745">
    <w:abstractNumId w:val="1"/>
  </w:num>
  <w:num w:numId="3" w16cid:durableId="13260852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D7D"/>
    <w:rsid w:val="000245F3"/>
    <w:rsid w:val="00035E9D"/>
    <w:rsid w:val="00063F56"/>
    <w:rsid w:val="000A12B0"/>
    <w:rsid w:val="000C3163"/>
    <w:rsid w:val="00120DEC"/>
    <w:rsid w:val="001218C3"/>
    <w:rsid w:val="00122596"/>
    <w:rsid w:val="00136FDA"/>
    <w:rsid w:val="00146EA9"/>
    <w:rsid w:val="001534DE"/>
    <w:rsid w:val="00157EC0"/>
    <w:rsid w:val="00192516"/>
    <w:rsid w:val="001A2A43"/>
    <w:rsid w:val="001B65E4"/>
    <w:rsid w:val="001C3258"/>
    <w:rsid w:val="001D2794"/>
    <w:rsid w:val="00201075"/>
    <w:rsid w:val="002369F7"/>
    <w:rsid w:val="00267BFA"/>
    <w:rsid w:val="002D188C"/>
    <w:rsid w:val="003165B6"/>
    <w:rsid w:val="00331269"/>
    <w:rsid w:val="0035147F"/>
    <w:rsid w:val="0038044F"/>
    <w:rsid w:val="0038198A"/>
    <w:rsid w:val="003B2470"/>
    <w:rsid w:val="003C7375"/>
    <w:rsid w:val="00417C93"/>
    <w:rsid w:val="00484729"/>
    <w:rsid w:val="00493EA3"/>
    <w:rsid w:val="004E1120"/>
    <w:rsid w:val="004F10A1"/>
    <w:rsid w:val="00502078"/>
    <w:rsid w:val="00533A4F"/>
    <w:rsid w:val="00567EC6"/>
    <w:rsid w:val="00586253"/>
    <w:rsid w:val="0059073C"/>
    <w:rsid w:val="00592267"/>
    <w:rsid w:val="005F2381"/>
    <w:rsid w:val="005F71DD"/>
    <w:rsid w:val="00614179"/>
    <w:rsid w:val="006648EB"/>
    <w:rsid w:val="006757FC"/>
    <w:rsid w:val="0068683D"/>
    <w:rsid w:val="006D087B"/>
    <w:rsid w:val="006E1E0E"/>
    <w:rsid w:val="006F428C"/>
    <w:rsid w:val="006F4F79"/>
    <w:rsid w:val="00712604"/>
    <w:rsid w:val="007263FF"/>
    <w:rsid w:val="00730411"/>
    <w:rsid w:val="007C6618"/>
    <w:rsid w:val="008048DB"/>
    <w:rsid w:val="008346EB"/>
    <w:rsid w:val="008552EE"/>
    <w:rsid w:val="008B27A0"/>
    <w:rsid w:val="008D434C"/>
    <w:rsid w:val="008D77EE"/>
    <w:rsid w:val="008E013A"/>
    <w:rsid w:val="008E4A3A"/>
    <w:rsid w:val="00913333"/>
    <w:rsid w:val="00920E52"/>
    <w:rsid w:val="00930FDB"/>
    <w:rsid w:val="0096313F"/>
    <w:rsid w:val="00975A01"/>
    <w:rsid w:val="009C0A8D"/>
    <w:rsid w:val="009F0775"/>
    <w:rsid w:val="00A1117A"/>
    <w:rsid w:val="00A65723"/>
    <w:rsid w:val="00A66304"/>
    <w:rsid w:val="00A66893"/>
    <w:rsid w:val="00AA4093"/>
    <w:rsid w:val="00AE26BC"/>
    <w:rsid w:val="00AE44D5"/>
    <w:rsid w:val="00AE47CA"/>
    <w:rsid w:val="00B12808"/>
    <w:rsid w:val="00B352A9"/>
    <w:rsid w:val="00B36291"/>
    <w:rsid w:val="00B456BA"/>
    <w:rsid w:val="00BA3C2B"/>
    <w:rsid w:val="00BB5EE5"/>
    <w:rsid w:val="00BE0B51"/>
    <w:rsid w:val="00BF6C88"/>
    <w:rsid w:val="00C75808"/>
    <w:rsid w:val="00C9685D"/>
    <w:rsid w:val="00CC1DBB"/>
    <w:rsid w:val="00CE4295"/>
    <w:rsid w:val="00D03AF6"/>
    <w:rsid w:val="00D06A0A"/>
    <w:rsid w:val="00D323F2"/>
    <w:rsid w:val="00D62D7D"/>
    <w:rsid w:val="00D86A08"/>
    <w:rsid w:val="00DA1859"/>
    <w:rsid w:val="00DA79D1"/>
    <w:rsid w:val="00DE789F"/>
    <w:rsid w:val="00E0637C"/>
    <w:rsid w:val="00E129EC"/>
    <w:rsid w:val="00E24320"/>
    <w:rsid w:val="00E31151"/>
    <w:rsid w:val="00E423D1"/>
    <w:rsid w:val="00E4262E"/>
    <w:rsid w:val="00E62686"/>
    <w:rsid w:val="00E81A48"/>
    <w:rsid w:val="00E92275"/>
    <w:rsid w:val="00E92780"/>
    <w:rsid w:val="00EA768E"/>
    <w:rsid w:val="00EC74AB"/>
    <w:rsid w:val="00EE6AF0"/>
    <w:rsid w:val="00EF7B0E"/>
    <w:rsid w:val="00F0386E"/>
    <w:rsid w:val="00F80FAA"/>
    <w:rsid w:val="00F82D2A"/>
    <w:rsid w:val="00FC503C"/>
    <w:rsid w:val="00FD2D3A"/>
    <w:rsid w:val="00FE4EB1"/>
    <w:rsid w:val="00FF55A8"/>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EA64C"/>
  <w15:chartTrackingRefBased/>
  <w15:docId w15:val="{CF025ECA-447C-4200-8687-A4FA063CD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s-IS" w:eastAsia="is-I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129EC"/>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A3C2B"/>
    <w:pPr>
      <w:tabs>
        <w:tab w:val="center" w:pos="4320"/>
        <w:tab w:val="right" w:pos="8640"/>
      </w:tabs>
    </w:pPr>
  </w:style>
  <w:style w:type="paragraph" w:styleId="Footer">
    <w:name w:val="footer"/>
    <w:basedOn w:val="Normal"/>
    <w:link w:val="FooterChar"/>
    <w:uiPriority w:val="99"/>
    <w:rsid w:val="00BA3C2B"/>
    <w:pPr>
      <w:tabs>
        <w:tab w:val="center" w:pos="4320"/>
        <w:tab w:val="right" w:pos="8640"/>
      </w:tabs>
    </w:pPr>
  </w:style>
  <w:style w:type="character" w:customStyle="1" w:styleId="HeaderChar">
    <w:name w:val="Header Char"/>
    <w:link w:val="Header"/>
    <w:uiPriority w:val="99"/>
    <w:rsid w:val="000C3163"/>
    <w:rPr>
      <w:sz w:val="24"/>
      <w:szCs w:val="24"/>
      <w:lang w:eastAsia="en-US"/>
    </w:rPr>
  </w:style>
  <w:style w:type="paragraph" w:styleId="NoSpacing">
    <w:name w:val="No Spacing"/>
    <w:uiPriority w:val="1"/>
    <w:qFormat/>
    <w:rsid w:val="00EC74AB"/>
    <w:rPr>
      <w:rFonts w:ascii="Calibri" w:eastAsia="Calibri" w:hAnsi="Calibri"/>
      <w:sz w:val="22"/>
      <w:szCs w:val="22"/>
      <w:lang w:eastAsia="en-US"/>
    </w:rPr>
  </w:style>
  <w:style w:type="character" w:customStyle="1" w:styleId="FooterChar">
    <w:name w:val="Footer Char"/>
    <w:basedOn w:val="DefaultParagraphFont"/>
    <w:link w:val="Footer"/>
    <w:uiPriority w:val="99"/>
    <w:rsid w:val="004E1120"/>
    <w:rPr>
      <w:sz w:val="24"/>
      <w:szCs w:val="24"/>
      <w:lang w:eastAsia="en-US"/>
    </w:rPr>
  </w:style>
  <w:style w:type="character" w:styleId="Hyperlink">
    <w:name w:val="Hyperlink"/>
    <w:basedOn w:val="DefaultParagraphFont"/>
    <w:rsid w:val="006F428C"/>
    <w:rPr>
      <w:color w:val="0563C1" w:themeColor="hyperlink"/>
      <w:u w:val="single"/>
    </w:rPr>
  </w:style>
  <w:style w:type="character" w:styleId="UnresolvedMention">
    <w:name w:val="Unresolved Mention"/>
    <w:basedOn w:val="DefaultParagraphFont"/>
    <w:uiPriority w:val="99"/>
    <w:semiHidden/>
    <w:unhideWhenUsed/>
    <w:rsid w:val="006F428C"/>
    <w:rPr>
      <w:color w:val="605E5C"/>
      <w:shd w:val="clear" w:color="auto" w:fill="E1DFDD"/>
    </w:rPr>
  </w:style>
  <w:style w:type="paragraph" w:styleId="ListParagraph">
    <w:name w:val="List Paragraph"/>
    <w:basedOn w:val="Normal"/>
    <w:uiPriority w:val="34"/>
    <w:qFormat/>
    <w:rsid w:val="004F10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hyperlink" Target="https://www.akranes.is/"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kjal" ma:contentTypeID="0x010100D4E08D421D9C684C9AE90F86B90C015F00E0646B737582C74CB65C30D0F17270D2" ma:contentTypeVersion="43" ma:contentTypeDescription="Create a new document." ma:contentTypeScope="" ma:versionID="518c7b84e8fe1b5119cc1949bca3124c">
  <xsd:schema xmlns:xsd="http://www.w3.org/2001/XMLSchema" xmlns:xs="http://www.w3.org/2001/XMLSchema" xmlns:p="http://schemas.microsoft.com/office/2006/metadata/properties" xmlns:ns2="24415375-8ff0-435e-9c90-56637a748a49" xmlns:ns3="1f9f868a-b75e-49f8-8511-ec79ed25ffa8" xmlns:ns4="d2e68a7b-a341-436f-9970-8b0d5f8cc0ef" xmlns:ns5="3d815d55-d4f1-4917-a2d6-8f3ac7defde3" xmlns:ns6="14bfd2bb-3d4a-4549-9197-f3410a8da64b" xmlns:ns7="abbeec68-b05e-4e2e-88e5-2ac3e13fe809" xmlns:ns8="2a1dbc60-5e4a-403e-a977-e5796f660c58" targetNamespace="http://schemas.microsoft.com/office/2006/metadata/properties" ma:root="true" ma:fieldsID="b43b2c3e9bfe9d5f5287f8c070c339c5" ns2:_="" ns3:_="" ns4:_="" ns5:_="" ns6:_="" ns7:_="" ns8:_="">
    <xsd:import namespace="24415375-8ff0-435e-9c90-56637a748a49"/>
    <xsd:import namespace="1f9f868a-b75e-49f8-8511-ec79ed25ffa8"/>
    <xsd:import namespace="d2e68a7b-a341-436f-9970-8b0d5f8cc0ef"/>
    <xsd:import namespace="3d815d55-d4f1-4917-a2d6-8f3ac7defde3"/>
    <xsd:import namespace="14bfd2bb-3d4a-4549-9197-f3410a8da64b"/>
    <xsd:import namespace="abbeec68-b05e-4e2e-88e5-2ac3e13fe809"/>
    <xsd:import namespace="2a1dbc60-5e4a-403e-a977-e5796f660c58"/>
    <xsd:element name="properties">
      <xsd:complexType>
        <xsd:sequence>
          <xsd:element name="documentManagement">
            <xsd:complexType>
              <xsd:all>
                <xsd:element ref="ns3:wpSenderReceiver" minOccurs="0"/>
                <xsd:element ref="ns3:wpSentReceived" minOccurs="0"/>
                <xsd:element ref="ns3:Dagsetning" minOccurs="0"/>
                <xsd:element ref="ns3:Vistunarform" minOccurs="0"/>
                <xsd:element ref="ns4:wpParent" minOccurs="0"/>
                <xsd:element ref="ns5:wpCaseResponsible" minOccurs="0"/>
                <xsd:element ref="ns3:wpBusinessModule" minOccurs="0"/>
                <xsd:element ref="ns5:wpCompanyId" minOccurs="0"/>
                <xsd:element ref="ns6:wpItemLocation" minOccurs="0"/>
                <xsd:element ref="ns7:wp_tag" minOccurs="0"/>
                <xsd:element ref="ns8:MediaServiceSearchProperties" minOccurs="0"/>
                <xsd:element ref="ns8:MediaServiceObjectDetectorVersions" minOccurs="0"/>
                <xsd:element ref="ns3:Undirritun" minOccurs="0"/>
                <xsd:element ref="ns3:wpRelationSets" minOccurs="0"/>
                <xsd:element ref="ns3:wpHasRelatedContent" minOccurs="0"/>
                <xsd:element ref="ns5:wpCaseID" minOccurs="0"/>
                <xsd:element ref="ns4:akLodir" minOccurs="0"/>
                <xsd:element ref="ns4:bfe98924e7fa4e80ab39892467cfe7d1" minOccurs="0"/>
                <xsd:element ref="ns2:TaxCatchAll" minOccurs="0"/>
                <xsd:element ref="ns2:TaxCatchAllLabel" minOccurs="0"/>
                <xsd:element ref="ns3:ef59a972c7c24afd94c6bceb851f9320" minOccurs="0"/>
                <xsd:element ref="ns3:c0c356ef89244a5fb9506e34e81ef65c" minOccurs="0"/>
                <xsd:element ref="ns7:wpTemplateListId" minOccurs="0"/>
                <xsd:element ref="ns7:wpTemplateDocumentId" minOccurs="0"/>
                <xsd:element ref="ns7:wpTemplate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15375-8ff0-435e-9c90-56637a748a49"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6d64e6c3-7c87-445c-a076-9688f9f0513e}" ma:internalName="TaxCatchAll" ma:showField="CatchAllData" ma:web="24415375-8ff0-435e-9c90-56637a748a49">
      <xsd:complexType>
        <xsd:complexContent>
          <xsd:extension base="dms:MultiChoiceLookup">
            <xsd:sequence>
              <xsd:element name="Value" type="dms:Lookup" maxOccurs="unbounded" minOccurs="0" nillable="true"/>
            </xsd:sequence>
          </xsd:extension>
        </xsd:complexContent>
      </xsd:complexType>
    </xsd:element>
    <xsd:element name="TaxCatchAllLabel" ma:index="29" nillable="true" ma:displayName="Taxonomy Catch All Column1" ma:hidden="true" ma:list="{6d64e6c3-7c87-445c-a076-9688f9f0513e}" ma:internalName="TaxCatchAllLabel" ma:readOnly="true" ma:showField="CatchAllDataLabel" ma:web="24415375-8ff0-435e-9c90-56637a748a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9f868a-b75e-49f8-8511-ec79ed25ffa8" elementFormDefault="qualified">
    <xsd:import namespace="http://schemas.microsoft.com/office/2006/documentManagement/types"/>
    <xsd:import namespace="http://schemas.microsoft.com/office/infopath/2007/PartnerControls"/>
    <xsd:element name="wpSenderReceiver" ma:index="6" nillable="true" ma:displayName="Sendandi/Móttakandi" ma:internalName="wpSenderReceiver">
      <xsd:simpleType>
        <xsd:restriction base="dms:Text"/>
      </xsd:simpleType>
    </xsd:element>
    <xsd:element name="wpSentReceived" ma:index="7" nillable="true" ma:displayName="Sent/Móttekið" ma:format="DateOnly" ma:internalName="wpSentReceived">
      <xsd:simpleType>
        <xsd:restriction base="dms:DateTime"/>
      </xsd:simpleType>
    </xsd:element>
    <xsd:element name="Dagsetning" ma:index="8" nillable="true" ma:displayName="Dagsetning" ma:format="DateOnly" ma:internalName="Dagsetning">
      <xsd:simpleType>
        <xsd:restriction base="dms:DateTime"/>
      </xsd:simpleType>
    </xsd:element>
    <xsd:element name="Vistunarform" ma:index="9" nillable="true" ma:displayName="Vistunarform" ma:default="Stafrænt" ma:internalName="Vistunarform">
      <xsd:simpleType>
        <xsd:restriction base="dms:Choice">
          <xsd:enumeration value="Að hluta á pappír"/>
          <xsd:enumeration value="Stafrænt"/>
        </xsd:restriction>
      </xsd:simpleType>
    </xsd:element>
    <xsd:element name="wpBusinessModule" ma:index="12" nillable="true" ma:displayName="Business Module" ma:default="Stjórnsýslumál" ma:internalName="wpBusinessModule" ma:readOnly="false">
      <xsd:simpleType>
        <xsd:restriction base="dms:Text">
          <xsd:maxLength value="255"/>
        </xsd:restriction>
      </xsd:simpleType>
    </xsd:element>
    <xsd:element name="Undirritun" ma:index="18" nillable="true" ma:displayName="Undirritun" ma:internalName="Undirritun">
      <xsd:simpleType>
        <xsd:restriction base="dms:Text">
          <xsd:maxLength value="255"/>
        </xsd:restriction>
      </xsd:simpleType>
    </xsd:element>
    <xsd:element name="wpRelationSets" ma:index="19" nillable="true" ma:displayName="Relation Sets" ma:description="Contains data about an element's related content" ma:internalName="wpRelationSets" ma:readOnly="false">
      <xsd:simpleType>
        <xsd:restriction base="dms:Note"/>
      </xsd:simpleType>
    </xsd:element>
    <xsd:element name="wpHasRelatedContent" ma:index="20" nillable="true" ma:displayName="Has related content" ma:default="0" ma:description="Indicates whether an item has related content" ma:internalName="wpHasRelatedContent" ma:readOnly="false">
      <xsd:simpleType>
        <xsd:restriction base="dms:Boolean"/>
      </xsd:simpleType>
    </xsd:element>
    <xsd:element name="ef59a972c7c24afd94c6bceb851f9320" ma:index="31" ma:taxonomy="true" ma:internalName="ef59a972c7c24afd94c6bceb851f9320" ma:taxonomyFieldName="DocumentType" ma:displayName="Skjalategund" ma:readOnly="false" ma:default="" ma:fieldId="{ef59a972-c7c2-4afd-94c6-bceb851f9320}" ma:sspId="6813b9cc-03db-4ef7-963b-0b3f7232eee9" ma:termSetId="b57ccc76-287c-47af-831f-2d43d0a73e0a" ma:anchorId="00000000-0000-0000-0000-000000000000" ma:open="false" ma:isKeyword="false">
      <xsd:complexType>
        <xsd:sequence>
          <xsd:element ref="pc:Terms" minOccurs="0" maxOccurs="1"/>
        </xsd:sequence>
      </xsd:complexType>
    </xsd:element>
    <xsd:element name="c0c356ef89244a5fb9506e34e81ef65c" ma:index="32" nillable="true" ma:taxonomy="true" ma:internalName="c0c356ef89244a5fb9506e34e81ef65c" ma:taxonomyFieldName="Efnisord" ma:displayName="Efnisorð" ma:readOnly="false" ma:default="" ma:fieldId="{c0c356ef-8924-4a5f-b950-6e34e81ef65c}" ma:taxonomyMulti="true" ma:sspId="6813b9cc-03db-4ef7-963b-0b3f7232eee9" ma:termSetId="0d6fe58a-7bdc-49d4-b240-65f31e0467f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2e68a7b-a341-436f-9970-8b0d5f8cc0ef" elementFormDefault="qualified">
    <xsd:import namespace="http://schemas.microsoft.com/office/2006/documentManagement/types"/>
    <xsd:import namespace="http://schemas.microsoft.com/office/infopath/2007/PartnerControls"/>
    <xsd:element name="wpParent" ma:index="10" nillable="true" ma:displayName="Aðili" ma:default="Akraneskaupstaður - 4101694449" ma:internalName="wpParent" ma:readOnly="false">
      <xsd:simpleType>
        <xsd:restriction base="dms:Text"/>
      </xsd:simpleType>
    </xsd:element>
    <xsd:element name="akLodir" ma:index="24" nillable="true" ma:displayName="Tengd lóð" ma:default="" ma:internalName="akLodir" ma:readOnly="false">
      <xsd:simpleType>
        <xsd:restriction base="dms:Text"/>
      </xsd:simpleType>
    </xsd:element>
    <xsd:element name="bfe98924e7fa4e80ab39892467cfe7d1" ma:index="27" nillable="true" ma:taxonomy="true" ma:internalName="bfe98924e7fa4e80ab39892467cfe7d1" ma:taxonomyFieldName="Malalykill" ma:displayName="Málalykill" ma:readOnly="false" ma:default="206;#00.03.03 Bæjarstjóri|24d0f191-79d2-4213-aa29-d4394d2bc6ea" ma:fieldId="{bfe98924-e7fa-4e80-ab39-892467cfe7d1}" ma:sspId="6813b9cc-03db-4ef7-963b-0b3f7232eee9" ma:termSetId="be966bd3-4115-4813-9132-606d9afa968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d815d55-d4f1-4917-a2d6-8f3ac7defde3" elementFormDefault="qualified">
    <xsd:import namespace="http://schemas.microsoft.com/office/2006/documentManagement/types"/>
    <xsd:import namespace="http://schemas.microsoft.com/office/infopath/2007/PartnerControls"/>
    <xsd:element name="wpCaseResponsible" ma:index="11" nillable="true" ma:displayName="Ábyrgðaraðili" ma:default="" ma:internalName="wpCaseResponsible"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pCompanyId" ma:index="13" nillable="true" ma:displayName="Kennitala" ma:default="4101694449" ma:indexed="true" ma:internalName="wpCompanyId" ma:readOnly="false">
      <xsd:simpleType>
        <xsd:restriction base="dms:Text"/>
      </xsd:simpleType>
    </xsd:element>
    <xsd:element name="wpCaseID" ma:index="23" nillable="true" ma:displayName="Málsnúmer" ma:default="2602-1164" ma:hidden="true" ma:indexed="true" ma:internalName="wpCase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bfd2bb-3d4a-4549-9197-f3410a8da64b" elementFormDefault="qualified">
    <xsd:import namespace="http://schemas.microsoft.com/office/2006/documentManagement/types"/>
    <xsd:import namespace="http://schemas.microsoft.com/office/infopath/2007/PartnerControls"/>
    <xsd:element name="wpItemLocation" ma:index="14" nillable="true" ma:displayName="wpItemLocation" ma:default="e55b2cb4def649868592dadd163d2e92;9da0532ba20149d5b5f2de6cd16ae1f2;33401;9a7ce8d194184b9aadf1f372bd4498a5;2996;" ma:internalName="wpItem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beec68-b05e-4e2e-88e5-2ac3e13fe809" elementFormDefault="qualified">
    <xsd:import namespace="http://schemas.microsoft.com/office/2006/documentManagement/types"/>
    <xsd:import namespace="http://schemas.microsoft.com/office/infopath/2007/PartnerControls"/>
    <xsd:element name="wp_tag" ma:index="15" nillable="true" ma:displayName="Stage tag" ma:default="Í vinnslu" ma:internalName="wp_tag" ma:readOnly="false">
      <xsd:simpleType>
        <xsd:restriction base="dms:Text"/>
      </xsd:simpleType>
    </xsd:element>
    <xsd:element name="wpTemplateListId" ma:index="33" nillable="true" ma:displayName="Template list ID" ma:description="The id of the template list where the template used to create the document is located" ma:internalName="wpTemplateListId" ma:readOnly="false">
      <xsd:simpleType>
        <xsd:restriction base="dms:Text"/>
      </xsd:simpleType>
    </xsd:element>
    <xsd:element name="wpTemplateDocumentId" ma:index="34" nillable="true" ma:displayName="Template ID" ma:description="The id of the template used to create the item" ma:internalName="wpTemplateDocumentId" ma:readOnly="false">
      <xsd:simpleType>
        <xsd:restriction base="dms:Text"/>
      </xsd:simpleType>
    </xsd:element>
    <xsd:element name="wpTemplateDocumentVersion" ma:index="35" nillable="true" ma:displayName="Template version" ma:description="The version number of the template used to create the item" ma:internalName="wpTemplateDocumentVers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1dbc60-5e4a-403e-a977-e5796f660c58" elementFormDefault="qualified">
    <xsd:import namespace="http://schemas.microsoft.com/office/2006/documentManagement/types"/>
    <xsd:import namespace="http://schemas.microsoft.com/office/infopath/2007/PartnerControls"/>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3" ma:displayName="Heit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wpCaseID xmlns="3d815d55-d4f1-4917-a2d6-8f3ac7defde3">2602-1164</wpCaseID>
    <ef59a972c7c24afd94c6bceb851f9320 xmlns="1f9f868a-b75e-49f8-8511-ec79ed25ffa8">
      <Terms xmlns="http://schemas.microsoft.com/office/infopath/2007/PartnerControls">
        <TermInfo xmlns="http://schemas.microsoft.com/office/infopath/2007/PartnerControls">
          <TermName xmlns="http://schemas.microsoft.com/office/infopath/2007/PartnerControls">Bréf út</TermName>
          <TermId xmlns="http://schemas.microsoft.com/office/infopath/2007/PartnerControls">e55ba558-5796-4e05-8abe-dc76f08db97e</TermId>
        </TermInfo>
      </Terms>
    </ef59a972c7c24afd94c6bceb851f9320>
    <TaxCatchAll xmlns="24415375-8ff0-435e-9c90-56637a748a49">
      <Value>206</Value>
      <Value>61</Value>
    </TaxCatchAll>
    <Vistunarform xmlns="1f9f868a-b75e-49f8-8511-ec79ed25ffa8">Stafrænt</Vistunarform>
    <wpCaseResponsible xmlns="3d815d55-d4f1-4917-a2d6-8f3ac7defde3">
      <UserInfo>
        <DisplayName>Haraldur Benediktsson</DisplayName>
        <AccountId>145</AccountId>
        <AccountType/>
      </UserInfo>
    </wpCaseResponsible>
    <bfe98924e7fa4e80ab39892467cfe7d1 xmlns="d2e68a7b-a341-436f-9970-8b0d5f8cc0ef">
      <Terms xmlns="http://schemas.microsoft.com/office/infopath/2007/PartnerControls">
        <TermInfo xmlns="http://schemas.microsoft.com/office/infopath/2007/PartnerControls">
          <TermName xmlns="http://schemas.microsoft.com/office/infopath/2007/PartnerControls">00.03.03 Bæjarstjóri</TermName>
          <TermId xmlns="http://schemas.microsoft.com/office/infopath/2007/PartnerControls">24d0f191-79d2-4213-aa29-d4394d2bc6ea</TermId>
        </TermInfo>
      </Terms>
    </bfe98924e7fa4e80ab39892467cfe7d1>
    <wpCompanyId xmlns="3d815d55-d4f1-4917-a2d6-8f3ac7defde3">4101694449</wpCompanyId>
    <wp_tag xmlns="abbeec68-b05e-4e2e-88e5-2ac3e13fe809">Í vinnslu</wp_tag>
    <wpTemplateDocumentId xmlns="abbeec68-b05e-4e2e-88e5-2ac3e13fe809">d8d09a7e-ee66-48f1-8d9f-a626c8563731</wpTemplateDocumentId>
    <wpTemplateListId xmlns="abbeec68-b05e-4e2e-88e5-2ac3e13fe809">0887a6e8-cf9b-4d47-aade-b4ac81b30806</wpTemplateListId>
    <wpBusinessModule xmlns="1f9f868a-b75e-49f8-8511-ec79ed25ffa8">Stjórnsýslumál</wpBusinessModule>
    <akLodir xmlns="d2e68a7b-a341-436f-9970-8b0d5f8cc0ef" xsi:nil="true"/>
    <wpHasRelatedContent xmlns="1f9f868a-b75e-49f8-8511-ec79ed25ffa8">false</wpHasRelatedContent>
    <wpSenderReceiver xmlns="1f9f868a-b75e-49f8-8511-ec79ed25ffa8" xsi:nil="true"/>
    <wpParent xmlns="d2e68a7b-a341-436f-9970-8b0d5f8cc0ef">Akraneskaupstaður - 4101694449</wpParent>
    <wpTemplateDocumentVersion xmlns="abbeec68-b05e-4e2e-88e5-2ac3e13fe809">15.0</wpTemplateDocumentVersion>
    <wpRelationSets xmlns="1f9f868a-b75e-49f8-8511-ec79ed25ffa8" xsi:nil="true"/>
    <wpSentReceived xmlns="1f9f868a-b75e-49f8-8511-ec79ed25ffa8" xsi:nil="true"/>
    <Undirritun xmlns="1f9f868a-b75e-49f8-8511-ec79ed25ffa8" xsi:nil="true"/>
    <Dagsetning xmlns="1f9f868a-b75e-49f8-8511-ec79ed25ffa8" xsi:nil="true"/>
    <c0c356ef89244a5fb9506e34e81ef65c xmlns="1f9f868a-b75e-49f8-8511-ec79ed25ffa8">
      <Terms xmlns="http://schemas.microsoft.com/office/infopath/2007/PartnerControls"/>
    </c0c356ef89244a5fb9506e34e81ef65c>
    <wpItemLocation xmlns="14bfd2bb-3d4a-4549-9197-f3410a8da64b">e55b2cb4def649868592dadd163d2e92;9da0532ba20149d5b5f2de6cd16ae1f2;33401;9a7ce8d194184b9aadf1f372bd4498a5;2996;</wpItemLocation>
  </documentManagement>
</p:properties>
</file>

<file path=customXml/itemProps1.xml><?xml version="1.0" encoding="utf-8"?>
<ds:datastoreItem xmlns:ds="http://schemas.openxmlformats.org/officeDocument/2006/customXml" ds:itemID="{CD3437B4-6486-492A-A06A-21896016AC50}">
  <ds:schemaRefs>
    <ds:schemaRef ds:uri="http://schemas.openxmlformats.org/officeDocument/2006/bibliography"/>
  </ds:schemaRefs>
</ds:datastoreItem>
</file>

<file path=customXml/itemProps2.xml><?xml version="1.0" encoding="utf-8"?>
<ds:datastoreItem xmlns:ds="http://schemas.openxmlformats.org/officeDocument/2006/customXml" ds:itemID="{5F7DF8F0-96E9-48EF-9D0B-8012349EE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15375-8ff0-435e-9c90-56637a748a49"/>
    <ds:schemaRef ds:uri="1f9f868a-b75e-49f8-8511-ec79ed25ffa8"/>
    <ds:schemaRef ds:uri="d2e68a7b-a341-436f-9970-8b0d5f8cc0ef"/>
    <ds:schemaRef ds:uri="3d815d55-d4f1-4917-a2d6-8f3ac7defde3"/>
    <ds:schemaRef ds:uri="14bfd2bb-3d4a-4549-9197-f3410a8da64b"/>
    <ds:schemaRef ds:uri="abbeec68-b05e-4e2e-88e5-2ac3e13fe809"/>
    <ds:schemaRef ds:uri="2a1dbc60-5e4a-403e-a977-e5796f660c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397879-33C6-4F42-9778-66E32D7A8736}">
  <ds:schemaRefs>
    <ds:schemaRef ds:uri="http://schemas.microsoft.com/sharepoint/v3/contenttype/forms"/>
  </ds:schemaRefs>
</ds:datastoreItem>
</file>

<file path=customXml/itemProps4.xml><?xml version="1.0" encoding="utf-8"?>
<ds:datastoreItem xmlns:ds="http://schemas.openxmlformats.org/officeDocument/2006/customXml" ds:itemID="{5BE7D1AA-77A1-4663-B585-47E8618F03EE}">
  <ds:schemaRefs>
    <ds:schemaRef ds:uri="http://schemas.microsoft.com/office/2006/metadata/properties"/>
    <ds:schemaRef ds:uri="1f9f868a-b75e-49f8-8511-ec79ed25ffa8"/>
    <ds:schemaRef ds:uri="d2e68a7b-a341-436f-9970-8b0d5f8cc0ef"/>
    <ds:schemaRef ds:uri="http://schemas.microsoft.com/office/2006/documentManagement/types"/>
    <ds:schemaRef ds:uri="14bfd2bb-3d4a-4549-9197-f3410a8da64b"/>
    <ds:schemaRef ds:uri="24415375-8ff0-435e-9c90-56637a748a49"/>
    <ds:schemaRef ds:uri="http://schemas.microsoft.com/office/infopath/2007/PartnerControls"/>
    <ds:schemaRef ds:uri="http://www.w3.org/XML/1998/namespace"/>
    <ds:schemaRef ds:uri="http://purl.org/dc/elements/1.1/"/>
    <ds:schemaRef ds:uri="http://schemas.openxmlformats.org/package/2006/metadata/core-properties"/>
    <ds:schemaRef ds:uri="2a1dbc60-5e4a-403e-a977-e5796f660c58"/>
    <ds:schemaRef ds:uri="http://purl.org/dc/dcmitype/"/>
    <ds:schemaRef ds:uri="abbeec68-b05e-4e2e-88e5-2ac3e13fe809"/>
    <ds:schemaRef ds:uri="3d815d55-d4f1-4917-a2d6-8f3ac7defde3"/>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1143</Words>
  <Characters>6517</Characters>
  <Application>Microsoft Office Word</Application>
  <DocSecurity>0</DocSecurity>
  <Lines>54</Lines>
  <Paragraphs>15</Paragraphs>
  <ScaleCrop>false</ScaleCrop>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Bréf út</dc:title>
  <dc:creator>Haraldur Benediktsson</dc:creator>
  <cp:lastModifiedBy>Haraldur Benediktsson</cp:lastModifiedBy>
  <cp:revision>2</cp:revision>
  <dcterms:created xsi:type="dcterms:W3CDTF">2026-02-09T10:17:00Z</dcterms:created>
  <dcterms:modified xsi:type="dcterms:W3CDTF">2026-02-09T10:17:00Z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PEntityId">
    <vt:i4>2996</vt:i4>
  </property>
  <property fmtid="{D5CDD505-2E9C-101B-9397-08002B2CF9AE}" pid="3" name="ContentTypeId">
    <vt:lpwstr>0x010100D4E08D421D9C684C9AE90F86B90C015F00E0646B737582C74CB65C30D0F17270D2</vt:lpwstr>
  </property>
  <property fmtid="{D5CDD505-2E9C-101B-9397-08002B2CF9AE}" pid="4" name="DocumentType">
    <vt:lpwstr>61;#Bréf út|e55ba558-5796-4e05-8abe-dc76f08db97e</vt:lpwstr>
  </property>
  <property fmtid="{D5CDD505-2E9C-101B-9397-08002B2CF9AE}" pid="5" name="Malalykill">
    <vt:lpwstr>206;#00.03.03 Bæjarstjóri|24d0f191-79d2-4213-aa29-d4394d2bc6ea</vt:lpwstr>
  </property>
  <property fmtid="{D5CDD505-2E9C-101B-9397-08002B2CF9AE}" pid="6" name="Efnisord">
    <vt:lpwstr/>
  </property>
  <property fmtid="{D5CDD505-2E9C-101B-9397-08002B2CF9AE}" pid="7" name="wpEyda">
    <vt:bool>false</vt:bool>
  </property>
  <property fmtid="{D5CDD505-2E9C-101B-9397-08002B2CF9AE}" pid="8" name="_ExtendedDescription">
    <vt:lpwstr/>
  </property>
  <property fmtid="{D5CDD505-2E9C-101B-9397-08002B2CF9AE}" pid="9" name="spePostholf">
    <vt:lpwstr/>
  </property>
</Properties>
</file>