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315B22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5EC20AA3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B380D">
                  <w:rPr>
                    <w:rFonts w:ascii="Times New Roman" w:hAnsi="Times New Roman" w:cs="Times New Roman"/>
                    <w:lang w:val="is-IS"/>
                  </w:rPr>
                  <w:t>URN</w:t>
                </w:r>
                <w:r w:rsidR="009F0FC6">
                  <w:rPr>
                    <w:rFonts w:ascii="Times New Roman" w:hAnsi="Times New Roman" w:cs="Times New Roman"/>
                    <w:lang w:val="is-IS"/>
                  </w:rPr>
                  <w:t>26010043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5219C6A9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B380D">
                  <w:rPr>
                    <w:rFonts w:ascii="Times New Roman" w:hAnsi="Times New Roman" w:cs="Times New Roman"/>
                    <w:lang w:val="is-IS"/>
                  </w:rPr>
                  <w:t>Umhverfis-, orku- og loftslagsráðuneyti</w:t>
                </w:r>
              </w:p>
            </w:tc>
          </w:sdtContent>
        </w:sdt>
      </w:tr>
      <w:tr w:rsidR="00135B40" w:rsidRPr="00315B22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11F392A6" w:rsidR="00135B40" w:rsidRPr="004E0E11" w:rsidRDefault="00451C89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565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3DF3937" w:rsidR="00135B40" w:rsidRPr="004E0E11" w:rsidRDefault="00451C89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565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32F336D7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533E6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AE4F03">
                  <w:rPr>
                    <w:rFonts w:ascii="Times New Roman" w:hAnsi="Times New Roman" w:cs="Times New Roman"/>
                    <w:lang w:val="is-IS"/>
                  </w:rPr>
                  <w:t>3</w:t>
                </w:r>
                <w:r w:rsidR="007B380D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9F0FC6">
                  <w:rPr>
                    <w:rFonts w:ascii="Times New Roman" w:hAnsi="Times New Roman" w:cs="Times New Roman"/>
                    <w:lang w:val="is-IS"/>
                  </w:rPr>
                  <w:t>mars</w:t>
                </w:r>
                <w:r w:rsidR="007B380D">
                  <w:rPr>
                    <w:rFonts w:ascii="Times New Roman" w:hAnsi="Times New Roman" w:cs="Times New Roman"/>
                    <w:lang w:val="is-IS"/>
                  </w:rPr>
                  <w:t xml:space="preserve"> 2026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315B22" w14:paraId="473C8AD2" w14:textId="77777777" w:rsidTr="00FD2097">
        <w:trPr>
          <w:trHeight w:val="826"/>
        </w:trPr>
        <w:tc>
          <w:tcPr>
            <w:tcW w:w="9288" w:type="dxa"/>
          </w:tcPr>
          <w:permStart w:id="208203585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4FB025E1" w14:textId="6A1FCED7" w:rsidR="0043227F" w:rsidRP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B455744" w14:textId="77777777" w:rsidR="00271E8D" w:rsidRDefault="00D96089" w:rsidP="00271E8D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</w:p>
              <w:p w14:paraId="1104BE8B" w14:textId="51997D3B" w:rsidR="00271E8D" w:rsidRDefault="00093AE6" w:rsidP="00271E8D">
                <w:pPr>
                  <w:pStyle w:val="ListParagraph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G</w:t>
                </w:r>
                <w:r w:rsidR="00444ED5">
                  <w:rPr>
                    <w:rFonts w:ascii="Times New Roman" w:hAnsi="Times New Roman" w:cs="Times New Roman"/>
                    <w:lang w:val="is-IS"/>
                  </w:rPr>
                  <w:t xml:space="preserve">ert ráð fyrir að </w:t>
                </w:r>
                <w:r w:rsidR="003217E5">
                  <w:rPr>
                    <w:rFonts w:ascii="Times New Roman" w:hAnsi="Times New Roman" w:cs="Times New Roman"/>
                    <w:lang w:val="is-IS"/>
                  </w:rPr>
                  <w:t>frumvarpið hafi</w:t>
                </w:r>
                <w:r w:rsidR="00FB6E2C">
                  <w:rPr>
                    <w:rFonts w:ascii="Times New Roman" w:hAnsi="Times New Roman" w:cs="Times New Roman"/>
                    <w:lang w:val="is-IS"/>
                  </w:rPr>
                  <w:t xml:space="preserve"> óveruleg </w:t>
                </w:r>
                <w:r w:rsidR="001C5EA6">
                  <w:rPr>
                    <w:rFonts w:ascii="Times New Roman" w:hAnsi="Times New Roman" w:cs="Times New Roman"/>
                    <w:lang w:val="is-IS"/>
                  </w:rPr>
                  <w:t>fjárhags</w:t>
                </w:r>
                <w:r w:rsidR="00440898">
                  <w:rPr>
                    <w:rFonts w:ascii="Times New Roman" w:hAnsi="Times New Roman" w:cs="Times New Roman"/>
                    <w:lang w:val="is-IS"/>
                  </w:rPr>
                  <w:t>áhrif</w:t>
                </w:r>
                <w:r w:rsidR="001C5EA6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FB6E2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C157F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Nýtt </w:t>
                </w:r>
                <w:r w:rsidR="002B77C2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gj</w:t>
                </w:r>
                <w:r w:rsidR="00277469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a</w:t>
                </w:r>
                <w:r w:rsidR="002B77C2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ldskrárákvæði</w:t>
                </w:r>
                <w:r w:rsidR="00D21374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 </w:t>
                </w:r>
                <w:r w:rsidR="00E32C40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hefur í för með sér að stofn</w:t>
                </w:r>
                <w:r w:rsidR="002B77C2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un</w:t>
                </w:r>
                <w:r w:rsidR="00E32C40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 get</w:t>
                </w:r>
                <w:r w:rsidR="002B77C2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i </w:t>
                </w:r>
                <w:r w:rsidR="00196155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staðið undir þeirri þjónustu sem </w:t>
                </w:r>
                <w:r w:rsidR="00C62404" w:rsidRPr="00277469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þær veita.</w:t>
                </w:r>
                <w:r w:rsidR="00BA675A" w:rsidRPr="0027746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C5EA6" w:rsidRPr="0027746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147A82C9" w14:textId="156FD12A" w:rsidR="0092564D" w:rsidRPr="00C47161" w:rsidRDefault="00D96089" w:rsidP="00C47161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271E8D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 w:rsidRPr="00271E8D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271E8D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27FD6" w:rsidRPr="00271E8D">
                  <w:rPr>
                    <w:rFonts w:ascii="Times New Roman" w:hAnsi="Times New Roman" w:cs="Times New Roman"/>
                    <w:lang w:val="is-IS"/>
                  </w:rPr>
                  <w:t>Kostnaður við</w:t>
                </w:r>
                <w:r w:rsidR="00540C25">
                  <w:rPr>
                    <w:rFonts w:ascii="Times New Roman" w:hAnsi="Times New Roman" w:cs="Times New Roman"/>
                    <w:lang w:val="is-IS"/>
                  </w:rPr>
                  <w:t xml:space="preserve"> aukið</w:t>
                </w:r>
                <w:r w:rsidR="00A27FD6" w:rsidRPr="00271E8D">
                  <w:rPr>
                    <w:rFonts w:ascii="Times New Roman" w:hAnsi="Times New Roman" w:cs="Times New Roman"/>
                    <w:lang w:val="is-IS"/>
                  </w:rPr>
                  <w:t xml:space="preserve"> eftirlit og leyfisveitingar verður borin uppi af umsækjendum í samræmi við nýtt gjaldskrárákvæði laganna</w:t>
                </w:r>
                <w:r w:rsidR="001033B9" w:rsidRPr="00271E8D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D22FD0">
                  <w:rPr>
                    <w:rFonts w:ascii="Times New Roman" w:hAnsi="Times New Roman" w:cs="Times New Roman"/>
                    <w:lang w:val="is-IS"/>
                  </w:rPr>
                  <w:t xml:space="preserve"> Gjaldið má ekki vera hærra</w:t>
                </w:r>
                <w:r w:rsidR="003673C0">
                  <w:rPr>
                    <w:rFonts w:ascii="Times New Roman" w:hAnsi="Times New Roman" w:cs="Times New Roman"/>
                    <w:lang w:val="is-IS"/>
                  </w:rPr>
                  <w:t xml:space="preserve"> en nemur kostnaði við undirbúning</w:t>
                </w:r>
                <w:r w:rsidR="008A76BE">
                  <w:rPr>
                    <w:rFonts w:ascii="Times New Roman" w:hAnsi="Times New Roman" w:cs="Times New Roman"/>
                    <w:lang w:val="is-IS"/>
                  </w:rPr>
                  <w:t xml:space="preserve">, svo sem vega nauðsynlegrar aðkeyptar þjónustu, afgreiðslu leyfis </w:t>
                </w:r>
                <w:r w:rsidR="006B2F8F">
                  <w:rPr>
                    <w:rFonts w:ascii="Times New Roman" w:hAnsi="Times New Roman" w:cs="Times New Roman"/>
                    <w:lang w:val="is-IS"/>
                  </w:rPr>
                  <w:t xml:space="preserve">og eftirlits með leyfishöfum. </w:t>
                </w:r>
                <w:r w:rsidR="00D56E00">
                  <w:rPr>
                    <w:rFonts w:ascii="Times New Roman" w:hAnsi="Times New Roman" w:cs="Times New Roman"/>
                    <w:lang w:val="is-IS"/>
                  </w:rPr>
                  <w:t xml:space="preserve">Gjaldið </w:t>
                </w:r>
                <w:r w:rsidR="00875640">
                  <w:rPr>
                    <w:rFonts w:ascii="Times New Roman" w:hAnsi="Times New Roman" w:cs="Times New Roman"/>
                    <w:lang w:val="is-IS"/>
                  </w:rPr>
                  <w:t>mun taka mið af</w:t>
                </w:r>
                <w:r w:rsidR="00D56E0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47161">
                  <w:rPr>
                    <w:rFonts w:ascii="Times New Roman" w:hAnsi="Times New Roman" w:cs="Times New Roman"/>
                    <w:lang w:val="is-IS"/>
                  </w:rPr>
                  <w:t xml:space="preserve">viðmiðum </w:t>
                </w:r>
                <w:r w:rsidR="0092564D" w:rsidRPr="00C47161">
                  <w:rPr>
                    <w:rFonts w:ascii="Times New Roman" w:hAnsi="Times New Roman" w:cs="Times New Roman"/>
                    <w:lang w:val="is-IS"/>
                  </w:rPr>
                  <w:t>U</w:t>
                </w:r>
                <w:r w:rsidR="00482406" w:rsidRPr="00C47161">
                  <w:rPr>
                    <w:rFonts w:ascii="Times New Roman" w:hAnsi="Times New Roman" w:cs="Times New Roman"/>
                    <w:lang w:val="is-IS"/>
                  </w:rPr>
                  <w:t>mhverfis- og orkustofnunar</w:t>
                </w:r>
                <w:r w:rsidR="00C47161">
                  <w:rPr>
                    <w:rFonts w:ascii="Times New Roman" w:hAnsi="Times New Roman" w:cs="Times New Roman"/>
                    <w:lang w:val="is-IS"/>
                  </w:rPr>
                  <w:t xml:space="preserve"> um</w:t>
                </w:r>
                <w:r w:rsidR="009A230F" w:rsidRPr="00C47161">
                  <w:rPr>
                    <w:rFonts w:ascii="Times New Roman" w:hAnsi="Times New Roman" w:cs="Times New Roman"/>
                    <w:lang w:val="is-IS"/>
                  </w:rPr>
                  <w:t xml:space="preserve"> fjölda tíma á þjónust</w:t>
                </w:r>
                <w:r w:rsidR="00875640">
                  <w:rPr>
                    <w:rFonts w:ascii="Times New Roman" w:hAnsi="Times New Roman" w:cs="Times New Roman"/>
                    <w:lang w:val="is-IS"/>
                  </w:rPr>
                  <w:t>u</w:t>
                </w:r>
                <w:r w:rsidR="009A230F" w:rsidRPr="00C47161">
                  <w:rPr>
                    <w:rFonts w:ascii="Times New Roman" w:hAnsi="Times New Roman" w:cs="Times New Roman"/>
                    <w:lang w:val="is-IS"/>
                  </w:rPr>
                  <w:t>verkefni</w:t>
                </w:r>
                <w:r w:rsidR="0098363F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C2E57">
                  <w:rPr>
                    <w:rFonts w:ascii="Times New Roman" w:hAnsi="Times New Roman" w:cs="Times New Roman"/>
                    <w:lang w:val="is-IS"/>
                  </w:rPr>
                  <w:t xml:space="preserve">og </w:t>
                </w:r>
                <w:r w:rsidR="00567B0B">
                  <w:rPr>
                    <w:rFonts w:ascii="Times New Roman" w:hAnsi="Times New Roman" w:cs="Times New Roman"/>
                    <w:lang w:val="is-IS"/>
                  </w:rPr>
                  <w:t>tímagjaldi</w:t>
                </w:r>
                <w:r w:rsidR="00875640">
                  <w:rPr>
                    <w:rFonts w:ascii="Times New Roman" w:hAnsi="Times New Roman" w:cs="Times New Roman"/>
                    <w:lang w:val="is-IS"/>
                  </w:rPr>
                  <w:t xml:space="preserve"> stofnunarinnar</w:t>
                </w:r>
                <w:r w:rsidR="00567B0B">
                  <w:rPr>
                    <w:rFonts w:ascii="Times New Roman" w:hAnsi="Times New Roman" w:cs="Times New Roman"/>
                    <w:lang w:val="is-IS"/>
                  </w:rPr>
                  <w:t xml:space="preserve"> samkvæmt gjaldskrá</w:t>
                </w:r>
                <w:r w:rsidR="00683524" w:rsidRPr="00C47161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4808874D" w14:textId="2EC0B42D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3BE7">
                  <w:rPr>
                    <w:rFonts w:ascii="Times New Roman" w:hAnsi="Times New Roman" w:cs="Times New Roman"/>
                    <w:lang w:val="is-IS"/>
                  </w:rPr>
                  <w:t>Varanleg</w:t>
                </w:r>
                <w:r w:rsidR="001033B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5DB58A8" w14:textId="541DEF3F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3BE7">
                  <w:rPr>
                    <w:rFonts w:ascii="Times New Roman" w:hAnsi="Times New Roman" w:cs="Times New Roman"/>
                    <w:lang w:val="is-IS"/>
                  </w:rPr>
                  <w:t>Gjaldskrá skal standa undir kostnaði</w:t>
                </w:r>
                <w:r w:rsidR="001033B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4C00391" w14:textId="21B17E58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271E8D">
                  <w:rPr>
                    <w:rFonts w:ascii="Times New Roman" w:hAnsi="Times New Roman" w:cs="Times New Roman"/>
                    <w:lang w:val="is-IS"/>
                  </w:rPr>
                  <w:t>Engin áhrif á afkomu</w:t>
                </w:r>
                <w:r w:rsidR="003A1159">
                  <w:rPr>
                    <w:rFonts w:ascii="Times New Roman" w:hAnsi="Times New Roman" w:cs="Times New Roman"/>
                    <w:lang w:val="is-IS"/>
                  </w:rPr>
                  <w:t xml:space="preserve"> og gjaldahlið</w:t>
                </w:r>
                <w:r w:rsidR="00271E8D">
                  <w:rPr>
                    <w:rFonts w:ascii="Times New Roman" w:hAnsi="Times New Roman" w:cs="Times New Roman"/>
                    <w:lang w:val="is-IS"/>
                  </w:rPr>
                  <w:t xml:space="preserve">. Hvað varðar </w:t>
                </w:r>
                <w:r w:rsidR="003A1159">
                  <w:rPr>
                    <w:rFonts w:ascii="Times New Roman" w:hAnsi="Times New Roman" w:cs="Times New Roman"/>
                    <w:lang w:val="is-IS"/>
                  </w:rPr>
                  <w:t xml:space="preserve">aukningu á </w:t>
                </w:r>
                <w:r w:rsidR="00953BE7">
                  <w:rPr>
                    <w:rFonts w:ascii="Times New Roman" w:hAnsi="Times New Roman" w:cs="Times New Roman"/>
                    <w:lang w:val="is-IS"/>
                  </w:rPr>
                  <w:t>tekju</w:t>
                </w:r>
                <w:r w:rsidR="00271E8D">
                  <w:rPr>
                    <w:rFonts w:ascii="Times New Roman" w:hAnsi="Times New Roman" w:cs="Times New Roman"/>
                    <w:lang w:val="is-IS"/>
                  </w:rPr>
                  <w:t>hlið sjá lið b) hér að framan.</w:t>
                </w:r>
              </w:p>
              <w:p w14:paraId="3EF314C9" w14:textId="5667D6C5" w:rsidR="00FD2097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1472FF3E" w:rsidR="00D96089" w:rsidRDefault="002F5A2D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BB7CC88" w14:textId="05C24B65" w:rsidR="00BD03E4" w:rsidRPr="00CD2A9A" w:rsidRDefault="00A00DDC" w:rsidP="00D854AE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Umhverfis- og orkustofnun </w:t>
                </w:r>
                <w:r w:rsidR="000E6C9F">
                  <w:rPr>
                    <w:rFonts w:ascii="Times New Roman" w:hAnsi="Times New Roman" w:cs="Times New Roman"/>
                    <w:lang w:val="is-IS"/>
                  </w:rPr>
                  <w:t xml:space="preserve">öðlast gjaldtökuheimild </w:t>
                </w:r>
                <w:r w:rsidR="00CF5612">
                  <w:rPr>
                    <w:rFonts w:ascii="Times New Roman" w:hAnsi="Times New Roman" w:cs="Times New Roman"/>
                    <w:lang w:val="is-IS"/>
                  </w:rPr>
                  <w:t>vegna</w:t>
                </w:r>
                <w:r w:rsidR="00540C25">
                  <w:rPr>
                    <w:rFonts w:ascii="Times New Roman" w:hAnsi="Times New Roman" w:cs="Times New Roman"/>
                    <w:lang w:val="is-IS"/>
                  </w:rPr>
                  <w:t xml:space="preserve"> aukins</w:t>
                </w:r>
                <w:r w:rsidR="00CF5612">
                  <w:rPr>
                    <w:rFonts w:ascii="Times New Roman" w:hAnsi="Times New Roman" w:cs="Times New Roman"/>
                    <w:lang w:val="is-IS"/>
                  </w:rPr>
                  <w:t xml:space="preserve"> eftirlits</w:t>
                </w:r>
                <w:r w:rsidR="00F56FC8">
                  <w:rPr>
                    <w:rFonts w:ascii="Times New Roman" w:hAnsi="Times New Roman" w:cs="Times New Roman"/>
                    <w:lang w:val="is-IS"/>
                  </w:rPr>
                  <w:t xml:space="preserve"> og leyfisveitinga</w:t>
                </w:r>
                <w:r w:rsidR="006F36AF">
                  <w:rPr>
                    <w:rFonts w:ascii="Times New Roman" w:hAnsi="Times New Roman" w:cs="Times New Roman"/>
                    <w:lang w:val="is-IS"/>
                  </w:rPr>
                  <w:t xml:space="preserve"> með gildistöku </w:t>
                </w:r>
                <w:r w:rsidR="0013532B">
                  <w:rPr>
                    <w:rFonts w:ascii="Times New Roman" w:hAnsi="Times New Roman" w:cs="Times New Roman"/>
                    <w:lang w:val="is-IS"/>
                  </w:rPr>
                  <w:t>laganna</w:t>
                </w:r>
                <w:r w:rsidR="00D854AE" w:rsidRPr="00CD2A9A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854AE" w:rsidRPr="00CD2A9A">
                  <w:rPr>
                    <w:rFonts w:ascii="Times New Roman" w:hAnsi="Times New Roman" w:cs="Times New Roman"/>
                    <w:lang w:val="is-IS"/>
                  </w:rPr>
                  <w:t xml:space="preserve">  </w:t>
                </w:r>
              </w:p>
              <w:p w14:paraId="011C60D4" w14:textId="68A73561" w:rsidR="000212D2" w:rsidRPr="00EE7DC8" w:rsidRDefault="00AD6D06" w:rsidP="00EE7DC8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427EF54A" w:rsidR="00BD03E4" w:rsidRPr="00A72ECC" w:rsidRDefault="00540C25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Aukin kostnaður við leyfisveitingar </w:t>
                </w:r>
                <w:r w:rsidR="003145BE">
                  <w:rPr>
                    <w:rFonts w:ascii="Times New Roman" w:hAnsi="Times New Roman" w:cs="Times New Roman"/>
                    <w:lang w:val="is-IS"/>
                  </w:rPr>
                  <w:t>og eftirlit verður borin af gjaldtökuheimild</w:t>
                </w:r>
                <w:r w:rsidR="00871A63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3AECE235" w14:textId="71B7C711" w:rsid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57968093" w:rsidR="00D96089" w:rsidRDefault="002F5A2D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Sjá sérstakan 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CF6A88" w14:textId="188473C4" w:rsidR="00BD03E4" w:rsidRPr="00A72ECC" w:rsidRDefault="00871A63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4286C444" w14:textId="325CC88B" w:rsidR="00813003" w:rsidRDefault="00AD6D06" w:rsidP="00813003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7E9DFAF4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F0FC6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5D6883BD" w14:textId="788D32FB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F0FC6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F32AA89" w14:textId="708C074C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F0FC6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D090F52" w14:textId="4FF33DE8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2C7A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7F03EC8D" w14:textId="25071625" w:rsidR="00813003" w:rsidRPr="00CE2C7A" w:rsidRDefault="00813003" w:rsidP="00CE2C7A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2C7A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4105743" w14:textId="5FEF0B5E" w:rsidR="00813003" w:rsidRPr="00CE2C7A" w:rsidRDefault="00813003" w:rsidP="00CE2C7A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2C7A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E248B52" w14:textId="3E68855A" w:rsidR="00813003" w:rsidRPr="00CE2C7A" w:rsidRDefault="00813003" w:rsidP="00CE2C7A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2C7A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5609FB39" w14:textId="44D96E1A" w:rsidR="00813003" w:rsidRPr="00CE2C7A" w:rsidRDefault="00813003" w:rsidP="00CE2C7A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2C7A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7A5DE4B8" w14:textId="48C89148" w:rsidR="00CA3381" w:rsidRPr="00CE2C7A" w:rsidRDefault="00813003" w:rsidP="00CE2C7A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2C7A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</w:sdtContent>
          </w:sdt>
          <w:permEnd w:id="2082035854" w:displacedByCustomXml="prev"/>
        </w:tc>
      </w:tr>
      <w:tr w:rsidR="00263F72" w:rsidRPr="00315B22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C85414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3CA6B374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80679">
                  <w:rPr>
                    <w:rFonts w:ascii="Times New Roman" w:hAnsi="Times New Roman" w:cs="Times New Roman"/>
                    <w:lang w:val="is-IS"/>
                  </w:rPr>
                  <w:t xml:space="preserve">Breytingar munu ekki hafa áhrif á gildandi fjárlög. </w:t>
                </w:r>
              </w:p>
              <w:p w14:paraId="091F1F9C" w14:textId="1A8676C8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5F5B92">
                  <w:rPr>
                    <w:rFonts w:ascii="Times New Roman" w:hAnsi="Times New Roman" w:cs="Times New Roman"/>
                    <w:lang w:val="is-IS"/>
                  </w:rPr>
                  <w:t>Hrein áhrif eru engin, tekjur og gjöld aukast í samræmi við gjaldtökuheimild</w:t>
                </w:r>
                <w:r w:rsidR="003145BE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14BF9B" w14:textId="493D207A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4413EA">
                  <w:rPr>
                    <w:rFonts w:ascii="Times New Roman" w:hAnsi="Times New Roman" w:cs="Times New Roman"/>
                    <w:lang w:val="is-IS"/>
                  </w:rPr>
                  <w:t xml:space="preserve">Sértekjuáætlun </w:t>
                </w:r>
                <w:r w:rsidR="00B108CC">
                  <w:rPr>
                    <w:rFonts w:ascii="Times New Roman" w:hAnsi="Times New Roman" w:cs="Times New Roman"/>
                    <w:lang w:val="is-IS"/>
                  </w:rPr>
                  <w:t>Umhverfis</w:t>
                </w:r>
                <w:r w:rsidR="00635ACA">
                  <w:rPr>
                    <w:rFonts w:ascii="Times New Roman" w:hAnsi="Times New Roman" w:cs="Times New Roman"/>
                    <w:lang w:val="is-IS"/>
                  </w:rPr>
                  <w:t>- og orku</w:t>
                </w:r>
                <w:r w:rsidR="004413EA">
                  <w:rPr>
                    <w:rFonts w:ascii="Times New Roman" w:hAnsi="Times New Roman" w:cs="Times New Roman"/>
                    <w:lang w:val="is-IS"/>
                  </w:rPr>
                  <w:t>stofnunar verður uppfærð</w:t>
                </w:r>
                <w:r w:rsidR="007B3622">
                  <w:rPr>
                    <w:rFonts w:ascii="Times New Roman" w:hAnsi="Times New Roman" w:cs="Times New Roman"/>
                    <w:lang w:val="is-IS"/>
                  </w:rPr>
                  <w:t xml:space="preserve"> í</w:t>
                </w:r>
                <w:r w:rsidR="008F613A">
                  <w:rPr>
                    <w:rFonts w:ascii="Times New Roman" w:hAnsi="Times New Roman" w:cs="Times New Roman"/>
                    <w:lang w:val="is-IS"/>
                  </w:rPr>
                  <w:t xml:space="preserve"> næstu</w:t>
                </w:r>
                <w:r w:rsidR="007B3622">
                  <w:rPr>
                    <w:rFonts w:ascii="Times New Roman" w:hAnsi="Times New Roman" w:cs="Times New Roman"/>
                    <w:lang w:val="is-IS"/>
                  </w:rPr>
                  <w:t xml:space="preserve"> fjármálaáætlun. </w:t>
                </w:r>
              </w:p>
              <w:p w14:paraId="71F700FB" w14:textId="51D50A38" w:rsidR="00FD2097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2180BA4C" w:rsidR="00BD03E4" w:rsidRPr="00BD03E4" w:rsidRDefault="00F217B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59743E5F" w14:textId="77777777" w:rsidR="00BD03E4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2B73A2E5" w:rsidR="00CA3381" w:rsidRPr="00BD03E4" w:rsidRDefault="00F217B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Umhverfis- og orkustofnun </w:t>
                </w:r>
                <w:r w:rsidR="00027B6E">
                  <w:rPr>
                    <w:rFonts w:ascii="Times New Roman" w:hAnsi="Times New Roman" w:cs="Times New Roman"/>
                    <w:lang w:val="is-IS"/>
                  </w:rPr>
                  <w:t xml:space="preserve">fær </w:t>
                </w:r>
                <w:r w:rsidR="0013532B">
                  <w:rPr>
                    <w:rFonts w:ascii="Times New Roman" w:hAnsi="Times New Roman" w:cs="Times New Roman"/>
                    <w:lang w:val="is-IS"/>
                  </w:rPr>
                  <w:t>með</w:t>
                </w:r>
                <w:r w:rsidR="00027B6E">
                  <w:rPr>
                    <w:rFonts w:ascii="Times New Roman" w:hAnsi="Times New Roman" w:cs="Times New Roman"/>
                    <w:lang w:val="is-IS"/>
                  </w:rPr>
                  <w:t xml:space="preserve"> gildistöku laganna gjaldtökuheimild</w:t>
                </w:r>
                <w:r w:rsidR="00C861D8">
                  <w:rPr>
                    <w:rFonts w:ascii="Times New Roman" w:hAnsi="Times New Roman" w:cs="Times New Roman"/>
                    <w:lang w:val="is-IS"/>
                  </w:rPr>
                  <w:t>, sem mun koma til með að standa undir</w:t>
                </w:r>
                <w:r w:rsidR="009609DF">
                  <w:rPr>
                    <w:rFonts w:ascii="Times New Roman" w:hAnsi="Times New Roman" w:cs="Times New Roman"/>
                    <w:lang w:val="is-IS"/>
                  </w:rPr>
                  <w:t xml:space="preserve"> kostnaði við</w:t>
                </w:r>
                <w:r w:rsidR="00C861D8">
                  <w:rPr>
                    <w:rFonts w:ascii="Times New Roman" w:hAnsi="Times New Roman" w:cs="Times New Roman"/>
                    <w:lang w:val="is-IS"/>
                  </w:rPr>
                  <w:t xml:space="preserve"> eftirlit</w:t>
                </w:r>
                <w:r w:rsidR="00C85414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861D8">
                  <w:rPr>
                    <w:rFonts w:ascii="Times New Roman" w:hAnsi="Times New Roman" w:cs="Times New Roman"/>
                    <w:lang w:val="is-IS"/>
                  </w:rPr>
                  <w:t>og leyfisveiting</w:t>
                </w:r>
                <w:r w:rsidR="00C85414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C861D8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315B22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79EE64CD" w:rsidR="00FD2097" w:rsidRPr="001033B9" w:rsidRDefault="001033B9" w:rsidP="001033B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</w:rPr>
                </w:pPr>
                <w:proofErr w:type="spellStart"/>
                <w:r w:rsidRPr="42651320">
                  <w:rPr>
                    <w:rFonts w:ascii="Times New Roman" w:hAnsi="Times New Roman" w:cs="Times New Roman"/>
                  </w:rPr>
                  <w:t>Frumvarpið</w:t>
                </w:r>
                <w:proofErr w:type="spellEnd"/>
                <w:r w:rsidRPr="4265132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2651320">
                  <w:rPr>
                    <w:rFonts w:ascii="Times New Roman" w:hAnsi="Times New Roman" w:cs="Times New Roman"/>
                  </w:rPr>
                  <w:t>hefur</w:t>
                </w:r>
                <w:proofErr w:type="spellEnd"/>
                <w:r w:rsidRPr="4265132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91576B" w:rsidRPr="42651320">
                  <w:rPr>
                    <w:rFonts w:ascii="Times New Roman" w:hAnsi="Times New Roman" w:cs="Times New Roman"/>
                  </w:rPr>
                  <w:t>engin</w:t>
                </w:r>
                <w:proofErr w:type="spellEnd"/>
                <w:r w:rsidR="0091576B" w:rsidRPr="4265132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2651320">
                  <w:rPr>
                    <w:rFonts w:ascii="Times New Roman" w:hAnsi="Times New Roman" w:cs="Times New Roman"/>
                  </w:rPr>
                  <w:t>áhrif</w:t>
                </w:r>
                <w:proofErr w:type="spellEnd"/>
                <w:r w:rsidR="00EB1F28" w:rsidRPr="42651320">
                  <w:rPr>
                    <w:rFonts w:ascii="Times New Roman" w:hAnsi="Times New Roman" w:cs="Times New Roman"/>
                  </w:rPr>
                  <w:t xml:space="preserve">. </w:t>
                </w:r>
                <w:r w:rsidRPr="42651320">
                  <w:rPr>
                    <w:rFonts w:ascii="Times New Roman" w:hAnsi="Times New Roman" w:cs="Times New Roman"/>
                    <w:b/>
                  </w:rPr>
                  <w:t xml:space="preserve"> </w:t>
                </w:r>
              </w:p>
              <w:p w14:paraId="40049170" w14:textId="715A97DA" w:rsidR="001B69DD" w:rsidRPr="004E0E1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6285B3CE" w:rsidR="00FD2097" w:rsidRPr="00BD03E4" w:rsidRDefault="001B69DD" w:rsidP="001B69D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DA12B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Með breytingu laganna verða áhrif á fyrirtæki </w:t>
                </w:r>
                <w:r w:rsidR="00971110">
                  <w:rPr>
                    <w:rFonts w:ascii="Times New Roman" w:hAnsi="Times New Roman" w:cs="Times New Roman"/>
                    <w:bCs/>
                    <w:lang w:val="is-IS"/>
                  </w:rPr>
                  <w:t>sem stunda rannsó</w:t>
                </w:r>
                <w:r w:rsidR="00D90C8C">
                  <w:rPr>
                    <w:rFonts w:ascii="Times New Roman" w:hAnsi="Times New Roman" w:cs="Times New Roman"/>
                    <w:bCs/>
                    <w:lang w:val="is-IS"/>
                  </w:rPr>
                  <w:t>knir í hafinu umhverfis Ísland á sviði loftslagsverkfr</w:t>
                </w:r>
                <w:r w:rsidR="00C710BA">
                  <w:rPr>
                    <w:rFonts w:ascii="Times New Roman" w:hAnsi="Times New Roman" w:cs="Times New Roman"/>
                    <w:bCs/>
                    <w:lang w:val="is-IS"/>
                  </w:rPr>
                  <w:t>æði, jákvæð. Verið er að tryggja skýran lagaramma um slíka starfsemi og skilvirkni í málsmeðferð</w:t>
                </w:r>
                <w:r w:rsidR="003A4294">
                  <w:rPr>
                    <w:rFonts w:ascii="Times New Roman" w:hAnsi="Times New Roman" w:cs="Times New Roman"/>
                    <w:bCs/>
                    <w:lang w:val="is-IS"/>
                  </w:rPr>
                  <w:t>, sem til þessa hefur skort</w:t>
                </w:r>
                <w:r w:rsidR="00C710BA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28431DFF" w14:textId="3EE44640" w:rsidR="00A410EA" w:rsidRPr="004433F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7DF4EDDE" w:rsidR="00A410EA" w:rsidRPr="004433F4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lastRenderedPageBreak/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033B9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5C73860" w14:textId="117B8220" w:rsidR="00301FF8" w:rsidRPr="00A72EC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033B9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11012B77" w14:textId="628DC966" w:rsid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033B9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3A35C1E" w14:textId="3B63CFF7" w:rsidR="00CA3381" w:rsidRP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033B9">
                  <w:rPr>
                    <w:lang w:val="is-IS"/>
                  </w:rPr>
                  <w:t>Nei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683C83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7D44614A" w:rsidR="00C16C66" w:rsidRPr="00CC30C8" w:rsidRDefault="00584123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commentRangeStart w:id="0"/>
                <w:commentRangeStart w:id="1"/>
                <w:r w:rsidRPr="00CC30C8">
                  <w:rPr>
                    <w:rFonts w:ascii="Times New Roman" w:hAnsi="Times New Roman" w:cs="Times New Roman"/>
                    <w:lang w:val="is-IS"/>
                  </w:rPr>
                  <w:t xml:space="preserve">Engin fyrirséð áhrif. </w:t>
                </w:r>
                <w:commentRangeEnd w:id="0"/>
                <w:r w:rsidRPr="00CC30C8">
                  <w:rPr>
                    <w:rStyle w:val="CommentReference"/>
                    <w:rFonts w:ascii="Times New Roman" w:hAnsi="Times New Roman" w:cs="Times New Roman"/>
                    <w:sz w:val="22"/>
                    <w:szCs w:val="22"/>
                    <w:lang w:val="is-IS"/>
                  </w:rPr>
                  <w:commentReference w:id="0"/>
                </w:r>
                <w:commentRangeEnd w:id="1"/>
                <w:r w:rsidRPr="00CC30C8">
                  <w:rPr>
                    <w:rStyle w:val="CommentReference"/>
                    <w:rFonts w:ascii="Times New Roman" w:hAnsi="Times New Roman" w:cs="Times New Roman"/>
                    <w:sz w:val="22"/>
                    <w:szCs w:val="22"/>
                    <w:lang w:val="is-IS"/>
                  </w:rPr>
                  <w:commentReference w:id="1"/>
                </w:r>
              </w:p>
              <w:p w14:paraId="1145B43A" w14:textId="62EF2A18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0C2EB34A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143071A" w14:textId="770E479B" w:rsidR="00D6539D" w:rsidRPr="004E0E11" w:rsidRDefault="00D6539D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</w:t>
                </w:r>
              </w:p>
              <w:p w14:paraId="6F933ABF" w14:textId="76A0C5D1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12D6A963" w:rsidR="00C16C66" w:rsidRPr="004E0E11" w:rsidRDefault="001033B9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</w:t>
                </w:r>
              </w:p>
              <w:p w14:paraId="2D0533F4" w14:textId="059FA65B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7C9F35C3" w:rsidR="00C16C66" w:rsidRPr="00C16C66" w:rsidRDefault="001033B9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</w:t>
                </w:r>
              </w:p>
              <w:p w14:paraId="3CFDCD51" w14:textId="13CC5C4F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612A3B08" w:rsidR="00C16C66" w:rsidRPr="001033B9" w:rsidRDefault="001033B9" w:rsidP="001033B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</w:t>
                </w:r>
              </w:p>
              <w:p w14:paraId="3E1BBD6F" w14:textId="54C76E82" w:rsidR="003C66CA" w:rsidRPr="004E0E11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45FDAFAF" w14:textId="75FC36BD" w:rsidR="001C19FB" w:rsidRPr="001C19FB" w:rsidRDefault="001C19FB" w:rsidP="00D6539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C19FB">
                  <w:rPr>
                    <w:rFonts w:ascii="Times New Roman" w:hAnsi="Times New Roman" w:cs="Times New Roman"/>
                    <w:lang w:val="is-IS"/>
                  </w:rPr>
                  <w:t>Talið er að áhrif frumvarpsins séu þau sömu á alla hópa, óháð kyni og hafi því engin áhrif á stöðu kynjanna.  </w:t>
                </w:r>
              </w:p>
              <w:p w14:paraId="788DA598" w14:textId="2D1CD3FF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0507E71A" w:rsidR="00193979" w:rsidRPr="00193979" w:rsidRDefault="001033B9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</w:t>
                </w:r>
              </w:p>
              <w:p w14:paraId="4732EDF5" w14:textId="00FF440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3620BEB5" w:rsidR="00193979" w:rsidRPr="00CE2C7A" w:rsidRDefault="00CE2C7A" w:rsidP="00CE2C7A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</w:t>
                </w:r>
              </w:p>
              <w:p w14:paraId="76338615" w14:textId="18004EB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647E5809" w:rsidR="00193979" w:rsidRPr="00193979" w:rsidRDefault="001033B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</w:t>
                </w:r>
              </w:p>
              <w:p w14:paraId="1EAB7D34" w14:textId="78E05B2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5CDB0191" w:rsidR="00193979" w:rsidRPr="00193979" w:rsidRDefault="00EC17F6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Umhverfis- og orkustofnun er í stakk búin að taka við verkefninu</w:t>
                </w:r>
                <w:r w:rsidR="009B55B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</w:p>
              <w:p w14:paraId="52F604BA" w14:textId="65A6A3D1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06E5694D" w:rsidR="00193979" w:rsidRPr="00CE2C7A" w:rsidRDefault="00CE2C7A" w:rsidP="00CE2C7A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</w:t>
                </w:r>
              </w:p>
              <w:p w14:paraId="10635864" w14:textId="77777777" w:rsidR="00193979" w:rsidRDefault="00346619" w:rsidP="008831B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4E50AD87" w:rsidR="000D6E33" w:rsidRPr="00193979" w:rsidRDefault="00F555D7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Jákvæði áhrif á umhverfi og sjálfbæra þróun</w:t>
                </w:r>
                <w:r w:rsidR="007653F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þar sem </w:t>
                </w:r>
                <w:r w:rsidR="00385627">
                  <w:rPr>
                    <w:rFonts w:ascii="Times New Roman" w:hAnsi="Times New Roman" w:cs="Times New Roman"/>
                    <w:bCs/>
                    <w:lang w:val="is-IS"/>
                  </w:rPr>
                  <w:t>dregið verður úr</w:t>
                </w:r>
                <w:r w:rsidR="00D8576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meðvituðum</w:t>
                </w:r>
                <w:r w:rsidR="007062E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</w:t>
                </w:r>
                <w:r w:rsidR="00203DDE">
                  <w:rPr>
                    <w:rFonts w:ascii="Times New Roman" w:hAnsi="Times New Roman" w:cs="Times New Roman"/>
                    <w:bCs/>
                    <w:lang w:val="is-IS"/>
                  </w:rPr>
                  <w:t>h</w:t>
                </w:r>
                <w:r w:rsidR="007062E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lutunum í hafi </w:t>
                </w:r>
                <w:r w:rsidR="005A592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sem hafa það að markmiði að </w:t>
                </w:r>
                <w:r w:rsidR="005614E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hafa áhrif á </w:t>
                </w:r>
                <w:r w:rsidR="003A20EA">
                  <w:rPr>
                    <w:rFonts w:ascii="Times New Roman" w:hAnsi="Times New Roman" w:cs="Times New Roman"/>
                    <w:bCs/>
                    <w:lang w:val="is-IS"/>
                  </w:rPr>
                  <w:t>náttúrulega ferla</w:t>
                </w:r>
                <w:r w:rsidR="00203DD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tengslum við loftslagsbreytingar. 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1C19FB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60663B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4ECFA8D1" w:rsidR="00193979" w:rsidRPr="00193979" w:rsidRDefault="00111BF6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Gildistaka þessara laga mun koma til með að hafa </w:t>
                </w:r>
                <w:r w:rsidR="00D341E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óveruleg áhrif á ríkissjóð. Lögin fela í sér gjaldtökuheimild </w:t>
                </w:r>
                <w:r w:rsidR="00C22B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 þess að hægt sé að standa undir kostnaði við eftirlit og leyfisveitingar. </w:t>
                </w:r>
                <w:r w:rsidR="00C057F6" w:rsidRPr="00C057F6">
                  <w:rPr>
                    <w:rFonts w:ascii="Times New Roman" w:hAnsi="Times New Roman" w:cs="Times New Roman"/>
                    <w:bCs/>
                    <w:lang w:val="is-IS"/>
                  </w:rPr>
                  <w:t>Í samræmi við gjaldskrá Umhverfis- og orkustofnunar og viðmið fyrir fjölda tíma á þjónustiverkefni verður kostnaður við eftirlit og ferli leyfisveitinga samræmdur.</w:t>
                </w:r>
                <w:r w:rsidR="00420FC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6C7C3DC8" w14:textId="040E1813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13E77245" w:rsidR="00193979" w:rsidRPr="00193979" w:rsidRDefault="009609DF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önnur áhrif fyrirséð.</w:t>
                </w:r>
              </w:p>
              <w:p w14:paraId="47980F45" w14:textId="77777777" w:rsidR="00193979" w:rsidRDefault="00346619" w:rsidP="00F33A33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1F89F8EB" w:rsidR="00CA3381" w:rsidRPr="00236CB9" w:rsidRDefault="00350D74" w:rsidP="00236CB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Samfélagslegur ávinningur </w:t>
                </w:r>
                <w:r w:rsidR="00917BC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laganna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kemur til af </w:t>
                </w:r>
                <w:r w:rsidR="0060663B" w:rsidRPr="00CA6AD1">
                  <w:rPr>
                    <w:rFonts w:ascii="Times New Roman" w:hAnsi="Times New Roman" w:cs="Times New Roman"/>
                    <w:bCs/>
                    <w:lang w:val="is-IS"/>
                  </w:rPr>
                  <w:t>jákvæð</w:t>
                </w:r>
                <w:r w:rsidR="00C7685C">
                  <w:rPr>
                    <w:rFonts w:ascii="Times New Roman" w:hAnsi="Times New Roman" w:cs="Times New Roman"/>
                    <w:bCs/>
                    <w:lang w:val="is-IS"/>
                  </w:rPr>
                  <w:t>um</w:t>
                </w:r>
                <w:r w:rsidR="0060663B" w:rsidRPr="00CA6AD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</w:t>
                </w:r>
                <w:r w:rsidR="00C7685C">
                  <w:rPr>
                    <w:rFonts w:ascii="Times New Roman" w:hAnsi="Times New Roman" w:cs="Times New Roman"/>
                    <w:bCs/>
                    <w:lang w:val="is-IS"/>
                  </w:rPr>
                  <w:t>um</w:t>
                </w:r>
                <w:r w:rsidR="0060663B" w:rsidRPr="00CA6AD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</w:t>
                </w:r>
                <w:r w:rsidR="0094516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annars vegar</w:t>
                </w:r>
                <w:r w:rsidR="0060663B" w:rsidRPr="00CA6AD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umhverfi og </w:t>
                </w:r>
                <w:r w:rsidR="00721195">
                  <w:rPr>
                    <w:rFonts w:ascii="Times New Roman" w:hAnsi="Times New Roman" w:cs="Times New Roman"/>
                    <w:bCs/>
                    <w:lang w:val="is-IS"/>
                  </w:rPr>
                  <w:t>sjálfbæra þróun</w:t>
                </w:r>
                <w:r w:rsidR="002E03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þar sem auknar heimildir </w:t>
                </w:r>
                <w:r w:rsidR="00A83E91">
                  <w:rPr>
                    <w:rFonts w:ascii="Times New Roman" w:hAnsi="Times New Roman" w:cs="Times New Roman"/>
                    <w:bCs/>
                    <w:lang w:val="is-IS"/>
                  </w:rPr>
                  <w:t>verða veittar</w:t>
                </w:r>
                <w:r w:rsidR="002E03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til þess að </w:t>
                </w:r>
                <w:r w:rsidR="00A83E9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synja umsóknum um verkefni sem hafa skaðleg umhverfisáhrif. </w:t>
                </w:r>
                <w:r w:rsidR="005E428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Hins vegar verða áhrifin </w:t>
                </w:r>
                <w:r w:rsidR="00A53FD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jákvæð á þau </w:t>
                </w:r>
                <w:r w:rsidR="007C7FD8">
                  <w:rPr>
                    <w:rFonts w:ascii="Times New Roman" w:hAnsi="Times New Roman" w:cs="Times New Roman"/>
                    <w:bCs/>
                    <w:lang w:val="is-IS"/>
                  </w:rPr>
                  <w:t>fyrirtæki sem stunda rannsóknir í hafinu umhverfis Ísland á sviði loftslagsverkfræði</w:t>
                </w:r>
                <w:r w:rsidR="006D497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, með aukinni skilvirkni og skýrum </w:t>
                </w:r>
                <w:r w:rsidR="00721E1D">
                  <w:rPr>
                    <w:rFonts w:ascii="Times New Roman" w:hAnsi="Times New Roman" w:cs="Times New Roman"/>
                    <w:bCs/>
                    <w:lang w:val="is-IS"/>
                  </w:rPr>
                  <w:t>lagaramma</w:t>
                </w:r>
                <w:r w:rsidR="006E212F">
                  <w:rPr>
                    <w:rFonts w:ascii="Times New Roman" w:hAnsi="Times New Roman" w:cs="Times New Roman"/>
                    <w:bCs/>
                    <w:lang w:val="is-IS"/>
                  </w:rPr>
                  <w:t>, sem til þessa hefur skort</w:t>
                </w:r>
                <w:r w:rsidR="00721E1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</w:p>
            </w:sdtContent>
          </w:sdt>
        </w:tc>
      </w:tr>
      <w:tr w:rsidR="00EB6651" w:rsidRPr="00C057F6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E3E3636" w14:textId="74C1AE2A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1CB24AE6" w:rsidR="00193979" w:rsidRPr="00193979" w:rsidRDefault="00C7264B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Já. </w:t>
                </w:r>
              </w:p>
              <w:p w14:paraId="2C706323" w14:textId="7AF4301D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187DB5C5" w:rsidR="00193979" w:rsidRPr="00193979" w:rsidRDefault="00C7264B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Já. </w:t>
                </w:r>
              </w:p>
              <w:p w14:paraId="3D9BD4F8" w14:textId="77777777" w:rsidR="00193979" w:rsidRDefault="00D64A3D" w:rsidP="000073F7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6875B28A" w14:textId="29362725" w:rsidR="00194CDE" w:rsidRPr="00194CDE" w:rsidRDefault="00194CDE" w:rsidP="00194CDE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194CD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da Marín Jóhannsdóttir" w:date="2026-03-11T09:03:00Z" w:initials="AJ">
    <w:p w14:paraId="4954661A" w14:textId="77777777" w:rsidR="00584123" w:rsidRDefault="00584123" w:rsidP="00584123">
      <w:pPr>
        <w:pStyle w:val="CommentText"/>
      </w:pPr>
      <w:r>
        <w:rPr>
          <w:rStyle w:val="CommentReference"/>
        </w:rPr>
        <w:annotationRef/>
      </w:r>
      <w:r>
        <w:t>Ath?</w:t>
      </w:r>
    </w:p>
  </w:comment>
  <w:comment w:id="1" w:author="Björg Finnbogadóttir" w:date="2026-03-11T12:41:00Z" w:initials="BF">
    <w:p w14:paraId="5BC6C974" w14:textId="33FF2CF6" w:rsidR="00E50537" w:rsidRDefault="00E50537">
      <w:pPr>
        <w:pStyle w:val="CommentText"/>
      </w:pPr>
      <w:r>
        <w:rPr>
          <w:rStyle w:val="CommentReference"/>
        </w:rPr>
        <w:annotationRef/>
      </w:r>
      <w:r w:rsidRPr="589D252B">
        <w:t>einmitt, er ekki viss með þetta þar sem þetta fer í gjaldtökuákvæði UOS.</w:t>
      </w:r>
    </w:p>
    <w:p w14:paraId="111EFCDE" w14:textId="239680CF" w:rsidR="00E50537" w:rsidRDefault="00E50537">
      <w:pPr>
        <w:pStyle w:val="CommentText"/>
      </w:pPr>
    </w:p>
    <w:p w14:paraId="0C850C89" w14:textId="560FA3B5" w:rsidR="00E50537" w:rsidRDefault="00E50537">
      <w:pPr>
        <w:pStyle w:val="CommentText"/>
      </w:pPr>
      <w:r w:rsidRPr="5C3D2BBD">
        <w:t>í sveitarstjórnarlögunum segir:</w:t>
      </w:r>
    </w:p>
    <w:p w14:paraId="2FBEA001" w14:textId="5E30822C" w:rsidR="00E50537" w:rsidRDefault="00E50537">
      <w:pPr>
        <w:pStyle w:val="CommentText"/>
      </w:pPr>
      <w:r w:rsidRPr="1EA24AF2">
        <w:t>Ef f</w:t>
      </w:r>
      <w:r w:rsidRPr="2CDE70D1">
        <w:rPr>
          <w:b/>
          <w:bCs/>
        </w:rPr>
        <w:t>yrirsjáanlegt</w:t>
      </w:r>
      <w:r w:rsidRPr="68B57E66">
        <w:t xml:space="preserve"> er að tillaga að lagafrumvarpi, tillaga að stjórnvaldsfyrirmælum eða aðrar stefnumarkandi ákvarðanir af hálfu stjórnvalda ríkisins </w:t>
      </w:r>
      <w:r w:rsidRPr="561FE671">
        <w:rPr>
          <w:b/>
          <w:bCs/>
        </w:rPr>
        <w:t xml:space="preserve">muni hafa fjárhagsleg áhrif á sveitarfélög </w:t>
      </w:r>
      <w:r w:rsidRPr="48A8B328">
        <w:t>skal fara fram sérstakt mat á áhrifum þeirra á fjárhag sveitarfélaga. Viðkomandi ráðherrar bera ábyrgð á því að slíkt mat fari fram.</w:t>
      </w:r>
    </w:p>
    <w:p w14:paraId="4FB29632" w14:textId="33D59882" w:rsidR="00E50537" w:rsidRDefault="00E50537">
      <w:pPr>
        <w:pStyle w:val="CommentText"/>
      </w:pPr>
    </w:p>
    <w:p w14:paraId="15082104" w14:textId="3AE57675" w:rsidR="00E50537" w:rsidRDefault="00E50537">
      <w:pPr>
        <w:pStyle w:val="CommentText"/>
      </w:pPr>
      <w:r w:rsidRPr="2F3596EC">
        <w:t>held að það eigi alls ekki við í þessu tilviki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54661A" w15:done="1"/>
  <w15:commentEx w15:paraId="15082104" w15:paraIdParent="495466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918798" w16cex:dateUtc="2026-03-11T09:03:00Z"/>
  <w16cex:commentExtensible w16cex:durableId="7983F5D6" w16cex:dateUtc="2026-03-11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54661A" w16cid:durableId="76918798"/>
  <w16cid:commentId w16cid:paraId="15082104" w16cid:durableId="7983F5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F1D2" w14:textId="77777777" w:rsidR="00CA73EE" w:rsidRDefault="00CA73EE" w:rsidP="007478E0">
      <w:pPr>
        <w:spacing w:after="0" w:line="240" w:lineRule="auto"/>
      </w:pPr>
      <w:r>
        <w:separator/>
      </w:r>
    </w:p>
  </w:endnote>
  <w:endnote w:type="continuationSeparator" w:id="0">
    <w:p w14:paraId="40292807" w14:textId="77777777" w:rsidR="00CA73EE" w:rsidRDefault="00CA73EE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0EDB" w14:textId="77777777" w:rsidR="00CA73EE" w:rsidRDefault="00CA73EE" w:rsidP="007478E0">
      <w:pPr>
        <w:spacing w:after="0" w:line="240" w:lineRule="auto"/>
      </w:pPr>
      <w:r>
        <w:separator/>
      </w:r>
    </w:p>
  </w:footnote>
  <w:footnote w:type="continuationSeparator" w:id="0">
    <w:p w14:paraId="4D0DE3CF" w14:textId="77777777" w:rsidR="00CA73EE" w:rsidRDefault="00CA73EE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A0AB6"/>
    <w:multiLevelType w:val="hybridMultilevel"/>
    <w:tmpl w:val="AC9A2E4E"/>
    <w:lvl w:ilvl="0" w:tplc="A5228256">
      <w:start w:val="1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0275438">
    <w:abstractNumId w:val="18"/>
  </w:num>
  <w:num w:numId="2" w16cid:durableId="1662003705">
    <w:abstractNumId w:val="20"/>
  </w:num>
  <w:num w:numId="3" w16cid:durableId="1736658346">
    <w:abstractNumId w:val="1"/>
  </w:num>
  <w:num w:numId="4" w16cid:durableId="123080927">
    <w:abstractNumId w:val="28"/>
  </w:num>
  <w:num w:numId="5" w16cid:durableId="174662295">
    <w:abstractNumId w:val="19"/>
  </w:num>
  <w:num w:numId="6" w16cid:durableId="531306534">
    <w:abstractNumId w:val="13"/>
  </w:num>
  <w:num w:numId="7" w16cid:durableId="2139909285">
    <w:abstractNumId w:val="8"/>
  </w:num>
  <w:num w:numId="8" w16cid:durableId="1555386316">
    <w:abstractNumId w:val="6"/>
  </w:num>
  <w:num w:numId="9" w16cid:durableId="1205560933">
    <w:abstractNumId w:val="15"/>
  </w:num>
  <w:num w:numId="10" w16cid:durableId="90977821">
    <w:abstractNumId w:val="16"/>
  </w:num>
  <w:num w:numId="11" w16cid:durableId="1950309981">
    <w:abstractNumId w:val="25"/>
  </w:num>
  <w:num w:numId="12" w16cid:durableId="868296664">
    <w:abstractNumId w:val="27"/>
  </w:num>
  <w:num w:numId="13" w16cid:durableId="1888833239">
    <w:abstractNumId w:val="2"/>
  </w:num>
  <w:num w:numId="14" w16cid:durableId="89549140">
    <w:abstractNumId w:val="3"/>
  </w:num>
  <w:num w:numId="15" w16cid:durableId="2145928840">
    <w:abstractNumId w:val="29"/>
  </w:num>
  <w:num w:numId="16" w16cid:durableId="933825585">
    <w:abstractNumId w:val="0"/>
  </w:num>
  <w:num w:numId="17" w16cid:durableId="41751112">
    <w:abstractNumId w:val="14"/>
  </w:num>
  <w:num w:numId="18" w16cid:durableId="1994597651">
    <w:abstractNumId w:val="23"/>
  </w:num>
  <w:num w:numId="19" w16cid:durableId="250891449">
    <w:abstractNumId w:val="24"/>
  </w:num>
  <w:num w:numId="20" w16cid:durableId="1758794729">
    <w:abstractNumId w:val="21"/>
  </w:num>
  <w:num w:numId="21" w16cid:durableId="900287246">
    <w:abstractNumId w:val="10"/>
  </w:num>
  <w:num w:numId="22" w16cid:durableId="1333996665">
    <w:abstractNumId w:val="22"/>
  </w:num>
  <w:num w:numId="23" w16cid:durableId="58019511">
    <w:abstractNumId w:val="17"/>
  </w:num>
  <w:num w:numId="24" w16cid:durableId="1680430249">
    <w:abstractNumId w:val="4"/>
  </w:num>
  <w:num w:numId="25" w16cid:durableId="316809598">
    <w:abstractNumId w:val="9"/>
  </w:num>
  <w:num w:numId="26" w16cid:durableId="1642735662">
    <w:abstractNumId w:val="7"/>
  </w:num>
  <w:num w:numId="27" w16cid:durableId="1755782636">
    <w:abstractNumId w:val="26"/>
  </w:num>
  <w:num w:numId="28" w16cid:durableId="753092434">
    <w:abstractNumId w:val="5"/>
  </w:num>
  <w:num w:numId="29" w16cid:durableId="628825159">
    <w:abstractNumId w:val="12"/>
  </w:num>
  <w:num w:numId="30" w16cid:durableId="155805575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da Marín Jóhannsdóttir">
    <w15:presenceInfo w15:providerId="AD" w15:userId="S::alda.marin.johannsdottir@urn.is::f693ed0f-4408-4fa8-845b-29e33807ddce"/>
  </w15:person>
  <w15:person w15:author="Björg Finnbogadóttir">
    <w15:presenceInfo w15:providerId="AD" w15:userId="S::bjorg.finnbogadottir@urn.is::25e71da3-b9f1-4bae-b33f-20627178cd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27B6E"/>
    <w:rsid w:val="00050DAE"/>
    <w:rsid w:val="00051DC6"/>
    <w:rsid w:val="000525A9"/>
    <w:rsid w:val="00060BAC"/>
    <w:rsid w:val="00063E97"/>
    <w:rsid w:val="00080679"/>
    <w:rsid w:val="000829E4"/>
    <w:rsid w:val="0008494B"/>
    <w:rsid w:val="00093AE6"/>
    <w:rsid w:val="00096B1D"/>
    <w:rsid w:val="000A47D1"/>
    <w:rsid w:val="000A6683"/>
    <w:rsid w:val="000A7176"/>
    <w:rsid w:val="000B043D"/>
    <w:rsid w:val="000B2D03"/>
    <w:rsid w:val="000B3C73"/>
    <w:rsid w:val="000C58BD"/>
    <w:rsid w:val="000D5AA9"/>
    <w:rsid w:val="000D6E33"/>
    <w:rsid w:val="000D6E87"/>
    <w:rsid w:val="000E1312"/>
    <w:rsid w:val="000E34DF"/>
    <w:rsid w:val="000E6A46"/>
    <w:rsid w:val="000E6C9F"/>
    <w:rsid w:val="000F09F7"/>
    <w:rsid w:val="000F304B"/>
    <w:rsid w:val="000F7A26"/>
    <w:rsid w:val="00100138"/>
    <w:rsid w:val="00100709"/>
    <w:rsid w:val="001033B9"/>
    <w:rsid w:val="00111BF6"/>
    <w:rsid w:val="0011293C"/>
    <w:rsid w:val="00121873"/>
    <w:rsid w:val="00122E0C"/>
    <w:rsid w:val="0012646E"/>
    <w:rsid w:val="00126525"/>
    <w:rsid w:val="00126C29"/>
    <w:rsid w:val="00131189"/>
    <w:rsid w:val="00131859"/>
    <w:rsid w:val="00133146"/>
    <w:rsid w:val="0013532B"/>
    <w:rsid w:val="00135B40"/>
    <w:rsid w:val="0013710B"/>
    <w:rsid w:val="00137EA6"/>
    <w:rsid w:val="00143B7A"/>
    <w:rsid w:val="00143ED7"/>
    <w:rsid w:val="00163DF6"/>
    <w:rsid w:val="001676DF"/>
    <w:rsid w:val="001768A8"/>
    <w:rsid w:val="00176943"/>
    <w:rsid w:val="00187E36"/>
    <w:rsid w:val="00193979"/>
    <w:rsid w:val="00194CDE"/>
    <w:rsid w:val="00196155"/>
    <w:rsid w:val="001972B9"/>
    <w:rsid w:val="001A0D92"/>
    <w:rsid w:val="001B4A45"/>
    <w:rsid w:val="001B69DD"/>
    <w:rsid w:val="001B72EE"/>
    <w:rsid w:val="001B7757"/>
    <w:rsid w:val="001C19FB"/>
    <w:rsid w:val="001C5BB7"/>
    <w:rsid w:val="001C5EA6"/>
    <w:rsid w:val="001D117E"/>
    <w:rsid w:val="001D278A"/>
    <w:rsid w:val="001D30D8"/>
    <w:rsid w:val="001D5BCE"/>
    <w:rsid w:val="001E2499"/>
    <w:rsid w:val="001E7950"/>
    <w:rsid w:val="001F7268"/>
    <w:rsid w:val="00203DDE"/>
    <w:rsid w:val="00204605"/>
    <w:rsid w:val="002115E6"/>
    <w:rsid w:val="0021293B"/>
    <w:rsid w:val="002244F0"/>
    <w:rsid w:val="00234DBC"/>
    <w:rsid w:val="00236CB9"/>
    <w:rsid w:val="00237053"/>
    <w:rsid w:val="00242342"/>
    <w:rsid w:val="00244F3D"/>
    <w:rsid w:val="002473D0"/>
    <w:rsid w:val="002605CB"/>
    <w:rsid w:val="00263313"/>
    <w:rsid w:val="00263F72"/>
    <w:rsid w:val="002666DE"/>
    <w:rsid w:val="00267F64"/>
    <w:rsid w:val="002704D7"/>
    <w:rsid w:val="00271A84"/>
    <w:rsid w:val="00271E8D"/>
    <w:rsid w:val="00277469"/>
    <w:rsid w:val="00281D86"/>
    <w:rsid w:val="002A4788"/>
    <w:rsid w:val="002B0CFC"/>
    <w:rsid w:val="002B36F7"/>
    <w:rsid w:val="002B70B7"/>
    <w:rsid w:val="002B77C2"/>
    <w:rsid w:val="002C2C53"/>
    <w:rsid w:val="002C327F"/>
    <w:rsid w:val="002C76B6"/>
    <w:rsid w:val="002D7EF1"/>
    <w:rsid w:val="002E0365"/>
    <w:rsid w:val="002F1F8D"/>
    <w:rsid w:val="002F5A2D"/>
    <w:rsid w:val="00301FF8"/>
    <w:rsid w:val="003025EB"/>
    <w:rsid w:val="003049E2"/>
    <w:rsid w:val="00311838"/>
    <w:rsid w:val="003145BE"/>
    <w:rsid w:val="00315B22"/>
    <w:rsid w:val="00321420"/>
    <w:rsid w:val="003217E5"/>
    <w:rsid w:val="00321E09"/>
    <w:rsid w:val="00332D49"/>
    <w:rsid w:val="00335A2A"/>
    <w:rsid w:val="00346619"/>
    <w:rsid w:val="00350CD3"/>
    <w:rsid w:val="00350D74"/>
    <w:rsid w:val="0035270D"/>
    <w:rsid w:val="00364D97"/>
    <w:rsid w:val="003673C0"/>
    <w:rsid w:val="003711B1"/>
    <w:rsid w:val="00376333"/>
    <w:rsid w:val="00377BFC"/>
    <w:rsid w:val="00385627"/>
    <w:rsid w:val="00391FCA"/>
    <w:rsid w:val="003A1159"/>
    <w:rsid w:val="003A1821"/>
    <w:rsid w:val="003A20EA"/>
    <w:rsid w:val="003A4294"/>
    <w:rsid w:val="003A5492"/>
    <w:rsid w:val="003B0100"/>
    <w:rsid w:val="003B784E"/>
    <w:rsid w:val="003C41DB"/>
    <w:rsid w:val="003C66CA"/>
    <w:rsid w:val="003D01BF"/>
    <w:rsid w:val="003D1515"/>
    <w:rsid w:val="003D19E3"/>
    <w:rsid w:val="003E611E"/>
    <w:rsid w:val="003F530A"/>
    <w:rsid w:val="00403139"/>
    <w:rsid w:val="00420FC7"/>
    <w:rsid w:val="004276CF"/>
    <w:rsid w:val="00430126"/>
    <w:rsid w:val="0043227F"/>
    <w:rsid w:val="0043420A"/>
    <w:rsid w:val="00440898"/>
    <w:rsid w:val="004413EA"/>
    <w:rsid w:val="004433F4"/>
    <w:rsid w:val="00444ED5"/>
    <w:rsid w:val="00446DF2"/>
    <w:rsid w:val="00450029"/>
    <w:rsid w:val="00451C89"/>
    <w:rsid w:val="00453D93"/>
    <w:rsid w:val="004604F4"/>
    <w:rsid w:val="00461FBE"/>
    <w:rsid w:val="0047580A"/>
    <w:rsid w:val="00482406"/>
    <w:rsid w:val="004831D3"/>
    <w:rsid w:val="004978E5"/>
    <w:rsid w:val="004A3002"/>
    <w:rsid w:val="004A3EA1"/>
    <w:rsid w:val="004A515F"/>
    <w:rsid w:val="004B353A"/>
    <w:rsid w:val="004C2E57"/>
    <w:rsid w:val="004E0322"/>
    <w:rsid w:val="004E0E11"/>
    <w:rsid w:val="004E4F53"/>
    <w:rsid w:val="004E5D02"/>
    <w:rsid w:val="004F0024"/>
    <w:rsid w:val="004F142F"/>
    <w:rsid w:val="004F1C38"/>
    <w:rsid w:val="004F32DE"/>
    <w:rsid w:val="004F5331"/>
    <w:rsid w:val="004F6C52"/>
    <w:rsid w:val="005176D0"/>
    <w:rsid w:val="00517758"/>
    <w:rsid w:val="00531F24"/>
    <w:rsid w:val="00532D45"/>
    <w:rsid w:val="00535EC4"/>
    <w:rsid w:val="00540C25"/>
    <w:rsid w:val="00546D64"/>
    <w:rsid w:val="005519B7"/>
    <w:rsid w:val="005600B2"/>
    <w:rsid w:val="005614EA"/>
    <w:rsid w:val="005641B1"/>
    <w:rsid w:val="00564856"/>
    <w:rsid w:val="00567B0B"/>
    <w:rsid w:val="00573643"/>
    <w:rsid w:val="00584123"/>
    <w:rsid w:val="00592E19"/>
    <w:rsid w:val="005A12BF"/>
    <w:rsid w:val="005A1881"/>
    <w:rsid w:val="005A2A30"/>
    <w:rsid w:val="005A592C"/>
    <w:rsid w:val="005B1C56"/>
    <w:rsid w:val="005B46C8"/>
    <w:rsid w:val="005C123A"/>
    <w:rsid w:val="005C1678"/>
    <w:rsid w:val="005C4710"/>
    <w:rsid w:val="005E1954"/>
    <w:rsid w:val="005E428D"/>
    <w:rsid w:val="005E44E3"/>
    <w:rsid w:val="005F1C2E"/>
    <w:rsid w:val="005F5B92"/>
    <w:rsid w:val="005F7A7C"/>
    <w:rsid w:val="0060663B"/>
    <w:rsid w:val="00613815"/>
    <w:rsid w:val="00613E2C"/>
    <w:rsid w:val="00614FAD"/>
    <w:rsid w:val="006158BB"/>
    <w:rsid w:val="00635ACA"/>
    <w:rsid w:val="00635B99"/>
    <w:rsid w:val="00654ADB"/>
    <w:rsid w:val="00661D58"/>
    <w:rsid w:val="00665D76"/>
    <w:rsid w:val="006755B6"/>
    <w:rsid w:val="00676A80"/>
    <w:rsid w:val="006826C0"/>
    <w:rsid w:val="00682F0C"/>
    <w:rsid w:val="00683524"/>
    <w:rsid w:val="00683C83"/>
    <w:rsid w:val="006920B3"/>
    <w:rsid w:val="00694183"/>
    <w:rsid w:val="006960C1"/>
    <w:rsid w:val="00697B19"/>
    <w:rsid w:val="006A3B73"/>
    <w:rsid w:val="006B2F8F"/>
    <w:rsid w:val="006B590E"/>
    <w:rsid w:val="006C5CA8"/>
    <w:rsid w:val="006C6097"/>
    <w:rsid w:val="006C6EA3"/>
    <w:rsid w:val="006D4970"/>
    <w:rsid w:val="006D5876"/>
    <w:rsid w:val="006D76C1"/>
    <w:rsid w:val="006E212F"/>
    <w:rsid w:val="006E4B64"/>
    <w:rsid w:val="006F0215"/>
    <w:rsid w:val="006F36AF"/>
    <w:rsid w:val="006F5913"/>
    <w:rsid w:val="006F69D7"/>
    <w:rsid w:val="00700AB1"/>
    <w:rsid w:val="007020A5"/>
    <w:rsid w:val="00704B91"/>
    <w:rsid w:val="007062E1"/>
    <w:rsid w:val="0071269A"/>
    <w:rsid w:val="00721195"/>
    <w:rsid w:val="007215BD"/>
    <w:rsid w:val="00721E1D"/>
    <w:rsid w:val="00730F7B"/>
    <w:rsid w:val="00731AD2"/>
    <w:rsid w:val="007365C0"/>
    <w:rsid w:val="007414CB"/>
    <w:rsid w:val="00745110"/>
    <w:rsid w:val="007478E0"/>
    <w:rsid w:val="00753B74"/>
    <w:rsid w:val="00761AFD"/>
    <w:rsid w:val="007653F2"/>
    <w:rsid w:val="00784383"/>
    <w:rsid w:val="007844CE"/>
    <w:rsid w:val="00795B16"/>
    <w:rsid w:val="00796FBB"/>
    <w:rsid w:val="007A02FD"/>
    <w:rsid w:val="007A1C10"/>
    <w:rsid w:val="007A6988"/>
    <w:rsid w:val="007B0CD4"/>
    <w:rsid w:val="007B3622"/>
    <w:rsid w:val="007B380D"/>
    <w:rsid w:val="007B4ADA"/>
    <w:rsid w:val="007B71B2"/>
    <w:rsid w:val="007C3674"/>
    <w:rsid w:val="007C7454"/>
    <w:rsid w:val="007C7FD8"/>
    <w:rsid w:val="007D4F5F"/>
    <w:rsid w:val="007D5085"/>
    <w:rsid w:val="007D7580"/>
    <w:rsid w:val="007E7106"/>
    <w:rsid w:val="007F2106"/>
    <w:rsid w:val="007F64AB"/>
    <w:rsid w:val="00800388"/>
    <w:rsid w:val="00804192"/>
    <w:rsid w:val="00811BB0"/>
    <w:rsid w:val="00811C11"/>
    <w:rsid w:val="00813003"/>
    <w:rsid w:val="00820DCE"/>
    <w:rsid w:val="008218F2"/>
    <w:rsid w:val="0082191B"/>
    <w:rsid w:val="00826B1C"/>
    <w:rsid w:val="00833C6C"/>
    <w:rsid w:val="00851A99"/>
    <w:rsid w:val="00851ED8"/>
    <w:rsid w:val="008533E6"/>
    <w:rsid w:val="0085707E"/>
    <w:rsid w:val="0085776D"/>
    <w:rsid w:val="00863BC9"/>
    <w:rsid w:val="00871A63"/>
    <w:rsid w:val="00872634"/>
    <w:rsid w:val="008734A0"/>
    <w:rsid w:val="00875640"/>
    <w:rsid w:val="00877BFE"/>
    <w:rsid w:val="008831B4"/>
    <w:rsid w:val="00883508"/>
    <w:rsid w:val="00883E80"/>
    <w:rsid w:val="00886857"/>
    <w:rsid w:val="0088731A"/>
    <w:rsid w:val="00890698"/>
    <w:rsid w:val="008A2543"/>
    <w:rsid w:val="008A2C75"/>
    <w:rsid w:val="008A3195"/>
    <w:rsid w:val="008A76BE"/>
    <w:rsid w:val="008B1611"/>
    <w:rsid w:val="008C5F62"/>
    <w:rsid w:val="008D09FC"/>
    <w:rsid w:val="008E14CF"/>
    <w:rsid w:val="008E2904"/>
    <w:rsid w:val="008E4EEE"/>
    <w:rsid w:val="008F613A"/>
    <w:rsid w:val="0090111A"/>
    <w:rsid w:val="0091576B"/>
    <w:rsid w:val="00917BC3"/>
    <w:rsid w:val="00921D24"/>
    <w:rsid w:val="00924C69"/>
    <w:rsid w:val="0092564D"/>
    <w:rsid w:val="00927155"/>
    <w:rsid w:val="009304E2"/>
    <w:rsid w:val="00932BC6"/>
    <w:rsid w:val="00933946"/>
    <w:rsid w:val="00941142"/>
    <w:rsid w:val="009439F8"/>
    <w:rsid w:val="00944199"/>
    <w:rsid w:val="009449CA"/>
    <w:rsid w:val="00945167"/>
    <w:rsid w:val="00951F81"/>
    <w:rsid w:val="00952752"/>
    <w:rsid w:val="00953BE7"/>
    <w:rsid w:val="00956B33"/>
    <w:rsid w:val="009602BA"/>
    <w:rsid w:val="009609DF"/>
    <w:rsid w:val="00960D10"/>
    <w:rsid w:val="00971110"/>
    <w:rsid w:val="0098363F"/>
    <w:rsid w:val="00986DC2"/>
    <w:rsid w:val="00993115"/>
    <w:rsid w:val="00994012"/>
    <w:rsid w:val="009941D2"/>
    <w:rsid w:val="009A230F"/>
    <w:rsid w:val="009A26CC"/>
    <w:rsid w:val="009B503D"/>
    <w:rsid w:val="009B55B2"/>
    <w:rsid w:val="009B7A52"/>
    <w:rsid w:val="009C2DA3"/>
    <w:rsid w:val="009C3565"/>
    <w:rsid w:val="009D3565"/>
    <w:rsid w:val="009D4D1F"/>
    <w:rsid w:val="009F0FC6"/>
    <w:rsid w:val="009F43E8"/>
    <w:rsid w:val="009F4BF0"/>
    <w:rsid w:val="009F64EA"/>
    <w:rsid w:val="009F78C0"/>
    <w:rsid w:val="00A00DDC"/>
    <w:rsid w:val="00A01DD4"/>
    <w:rsid w:val="00A052B5"/>
    <w:rsid w:val="00A13652"/>
    <w:rsid w:val="00A27FD6"/>
    <w:rsid w:val="00A30C51"/>
    <w:rsid w:val="00A31549"/>
    <w:rsid w:val="00A3629C"/>
    <w:rsid w:val="00A40657"/>
    <w:rsid w:val="00A410EA"/>
    <w:rsid w:val="00A43F39"/>
    <w:rsid w:val="00A51298"/>
    <w:rsid w:val="00A53FDC"/>
    <w:rsid w:val="00A57AE1"/>
    <w:rsid w:val="00A60970"/>
    <w:rsid w:val="00A64EEB"/>
    <w:rsid w:val="00A64F53"/>
    <w:rsid w:val="00A6722A"/>
    <w:rsid w:val="00A729D0"/>
    <w:rsid w:val="00A72ECC"/>
    <w:rsid w:val="00A77160"/>
    <w:rsid w:val="00A83E91"/>
    <w:rsid w:val="00A85EFD"/>
    <w:rsid w:val="00A87AB0"/>
    <w:rsid w:val="00A904FB"/>
    <w:rsid w:val="00AA2EFD"/>
    <w:rsid w:val="00AB29B6"/>
    <w:rsid w:val="00AB3CC3"/>
    <w:rsid w:val="00AB43FA"/>
    <w:rsid w:val="00AB5511"/>
    <w:rsid w:val="00AB6474"/>
    <w:rsid w:val="00AB7771"/>
    <w:rsid w:val="00AB7A0C"/>
    <w:rsid w:val="00AB7DCB"/>
    <w:rsid w:val="00AC19E3"/>
    <w:rsid w:val="00AC1AE9"/>
    <w:rsid w:val="00AC47A3"/>
    <w:rsid w:val="00AD6D06"/>
    <w:rsid w:val="00AE4F03"/>
    <w:rsid w:val="00AE50E5"/>
    <w:rsid w:val="00AF1B0C"/>
    <w:rsid w:val="00AF2240"/>
    <w:rsid w:val="00B108CC"/>
    <w:rsid w:val="00B14265"/>
    <w:rsid w:val="00B339AF"/>
    <w:rsid w:val="00B363C1"/>
    <w:rsid w:val="00B65214"/>
    <w:rsid w:val="00B677F5"/>
    <w:rsid w:val="00B710B3"/>
    <w:rsid w:val="00B765D8"/>
    <w:rsid w:val="00B76735"/>
    <w:rsid w:val="00B837F4"/>
    <w:rsid w:val="00B863E2"/>
    <w:rsid w:val="00B91970"/>
    <w:rsid w:val="00BA10F6"/>
    <w:rsid w:val="00BA4BB1"/>
    <w:rsid w:val="00BA5089"/>
    <w:rsid w:val="00BA5B20"/>
    <w:rsid w:val="00BA6703"/>
    <w:rsid w:val="00BA675A"/>
    <w:rsid w:val="00BB146A"/>
    <w:rsid w:val="00BB2B30"/>
    <w:rsid w:val="00BB616F"/>
    <w:rsid w:val="00BC6F90"/>
    <w:rsid w:val="00BD03E4"/>
    <w:rsid w:val="00BD69E0"/>
    <w:rsid w:val="00BE162E"/>
    <w:rsid w:val="00BE1D1C"/>
    <w:rsid w:val="00BF0A19"/>
    <w:rsid w:val="00BF3B4A"/>
    <w:rsid w:val="00BF3F59"/>
    <w:rsid w:val="00BF5ACD"/>
    <w:rsid w:val="00BF5FCC"/>
    <w:rsid w:val="00C057F6"/>
    <w:rsid w:val="00C10856"/>
    <w:rsid w:val="00C10C94"/>
    <w:rsid w:val="00C10D1B"/>
    <w:rsid w:val="00C16C66"/>
    <w:rsid w:val="00C171B2"/>
    <w:rsid w:val="00C209C4"/>
    <w:rsid w:val="00C22B7A"/>
    <w:rsid w:val="00C22E8B"/>
    <w:rsid w:val="00C24145"/>
    <w:rsid w:val="00C3045B"/>
    <w:rsid w:val="00C412C9"/>
    <w:rsid w:val="00C47161"/>
    <w:rsid w:val="00C5037E"/>
    <w:rsid w:val="00C55589"/>
    <w:rsid w:val="00C55ECD"/>
    <w:rsid w:val="00C62404"/>
    <w:rsid w:val="00C64306"/>
    <w:rsid w:val="00C66275"/>
    <w:rsid w:val="00C66F03"/>
    <w:rsid w:val="00C67F5E"/>
    <w:rsid w:val="00C70CD5"/>
    <w:rsid w:val="00C710BA"/>
    <w:rsid w:val="00C7264B"/>
    <w:rsid w:val="00C7397C"/>
    <w:rsid w:val="00C7685C"/>
    <w:rsid w:val="00C85414"/>
    <w:rsid w:val="00C861D8"/>
    <w:rsid w:val="00C86E89"/>
    <w:rsid w:val="00C94C4F"/>
    <w:rsid w:val="00CA3381"/>
    <w:rsid w:val="00CA6AD1"/>
    <w:rsid w:val="00CA73EE"/>
    <w:rsid w:val="00CC30C8"/>
    <w:rsid w:val="00CC343A"/>
    <w:rsid w:val="00CC4CA6"/>
    <w:rsid w:val="00CC774F"/>
    <w:rsid w:val="00CD083E"/>
    <w:rsid w:val="00CD2A9A"/>
    <w:rsid w:val="00CD2AF8"/>
    <w:rsid w:val="00CD60E4"/>
    <w:rsid w:val="00CE06FC"/>
    <w:rsid w:val="00CE190D"/>
    <w:rsid w:val="00CE2C7A"/>
    <w:rsid w:val="00CF477F"/>
    <w:rsid w:val="00CF5612"/>
    <w:rsid w:val="00D025AB"/>
    <w:rsid w:val="00D03E7A"/>
    <w:rsid w:val="00D0424B"/>
    <w:rsid w:val="00D11D95"/>
    <w:rsid w:val="00D121DE"/>
    <w:rsid w:val="00D13254"/>
    <w:rsid w:val="00D148DB"/>
    <w:rsid w:val="00D21374"/>
    <w:rsid w:val="00D22FD0"/>
    <w:rsid w:val="00D23EAD"/>
    <w:rsid w:val="00D341E8"/>
    <w:rsid w:val="00D36884"/>
    <w:rsid w:val="00D469BE"/>
    <w:rsid w:val="00D46E55"/>
    <w:rsid w:val="00D503AC"/>
    <w:rsid w:val="00D50D03"/>
    <w:rsid w:val="00D53AA7"/>
    <w:rsid w:val="00D56E00"/>
    <w:rsid w:val="00D62AAC"/>
    <w:rsid w:val="00D62C7F"/>
    <w:rsid w:val="00D62CC3"/>
    <w:rsid w:val="00D64A3D"/>
    <w:rsid w:val="00D6539D"/>
    <w:rsid w:val="00D66AE8"/>
    <w:rsid w:val="00D74D0E"/>
    <w:rsid w:val="00D76285"/>
    <w:rsid w:val="00D76657"/>
    <w:rsid w:val="00D81532"/>
    <w:rsid w:val="00D854AE"/>
    <w:rsid w:val="00D85768"/>
    <w:rsid w:val="00D87B33"/>
    <w:rsid w:val="00D90C8C"/>
    <w:rsid w:val="00D913A8"/>
    <w:rsid w:val="00D938CF"/>
    <w:rsid w:val="00D96089"/>
    <w:rsid w:val="00DA12B7"/>
    <w:rsid w:val="00DB2A82"/>
    <w:rsid w:val="00DB487D"/>
    <w:rsid w:val="00DB5CC2"/>
    <w:rsid w:val="00DC7BAA"/>
    <w:rsid w:val="00DD0B6F"/>
    <w:rsid w:val="00DD6DAC"/>
    <w:rsid w:val="00DD7EA1"/>
    <w:rsid w:val="00DE6EB3"/>
    <w:rsid w:val="00DF2AA7"/>
    <w:rsid w:val="00DF7384"/>
    <w:rsid w:val="00E02D04"/>
    <w:rsid w:val="00E14331"/>
    <w:rsid w:val="00E172A5"/>
    <w:rsid w:val="00E231B6"/>
    <w:rsid w:val="00E31C26"/>
    <w:rsid w:val="00E32C40"/>
    <w:rsid w:val="00E342C7"/>
    <w:rsid w:val="00E40F87"/>
    <w:rsid w:val="00E50537"/>
    <w:rsid w:val="00E50A7E"/>
    <w:rsid w:val="00E568F6"/>
    <w:rsid w:val="00E57920"/>
    <w:rsid w:val="00E648AA"/>
    <w:rsid w:val="00E664C8"/>
    <w:rsid w:val="00E666BA"/>
    <w:rsid w:val="00E67F09"/>
    <w:rsid w:val="00E71099"/>
    <w:rsid w:val="00E76A3F"/>
    <w:rsid w:val="00E832C9"/>
    <w:rsid w:val="00E8379D"/>
    <w:rsid w:val="00EB1F28"/>
    <w:rsid w:val="00EB6651"/>
    <w:rsid w:val="00EC157F"/>
    <w:rsid w:val="00EC17F6"/>
    <w:rsid w:val="00EC2B16"/>
    <w:rsid w:val="00EC5782"/>
    <w:rsid w:val="00ED10A7"/>
    <w:rsid w:val="00ED6C27"/>
    <w:rsid w:val="00EE7DC8"/>
    <w:rsid w:val="00EF25FE"/>
    <w:rsid w:val="00F1759F"/>
    <w:rsid w:val="00F217B4"/>
    <w:rsid w:val="00F33A33"/>
    <w:rsid w:val="00F402BB"/>
    <w:rsid w:val="00F51F2D"/>
    <w:rsid w:val="00F555D7"/>
    <w:rsid w:val="00F55F5D"/>
    <w:rsid w:val="00F56FC8"/>
    <w:rsid w:val="00F656C4"/>
    <w:rsid w:val="00F7438A"/>
    <w:rsid w:val="00F841D8"/>
    <w:rsid w:val="00F857F4"/>
    <w:rsid w:val="00F92D2C"/>
    <w:rsid w:val="00F93B5C"/>
    <w:rsid w:val="00F9608F"/>
    <w:rsid w:val="00FA0D62"/>
    <w:rsid w:val="00FA5DDF"/>
    <w:rsid w:val="00FA66FF"/>
    <w:rsid w:val="00FA7664"/>
    <w:rsid w:val="00FB0978"/>
    <w:rsid w:val="00FB6E2C"/>
    <w:rsid w:val="00FC3E93"/>
    <w:rsid w:val="00FC7B48"/>
    <w:rsid w:val="00FD2097"/>
    <w:rsid w:val="00FD2BEF"/>
    <w:rsid w:val="00FD5C8B"/>
    <w:rsid w:val="00FD64CC"/>
    <w:rsid w:val="00FD666A"/>
    <w:rsid w:val="00FE119E"/>
    <w:rsid w:val="00FE2816"/>
    <w:rsid w:val="00FF0639"/>
    <w:rsid w:val="00FF3739"/>
    <w:rsid w:val="00FF3CB9"/>
    <w:rsid w:val="00FF6C25"/>
    <w:rsid w:val="00FF7345"/>
    <w:rsid w:val="42651320"/>
    <w:rsid w:val="59F942D3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410E"/>
  <w15:docId w15:val="{5B839ADC-3347-4812-83EF-7EE1C258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3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3C43E8"/>
    <w:rsid w:val="00613E2C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13254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Björg Finnbogadóttir</cp:lastModifiedBy>
  <cp:revision>2</cp:revision>
  <cp:lastPrinted>2017-01-12T13:13:00Z</cp:lastPrinted>
  <dcterms:created xsi:type="dcterms:W3CDTF">2026-05-19T14:10:00Z</dcterms:created>
  <dcterms:modified xsi:type="dcterms:W3CDTF">2026-05-19T14:10:00Z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2026-03-09T10:49:24Z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18527930-c084-495d-8ce3-ae88397f94fc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</Properties>
</file>