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78168C96" w:rsidR="00E71F27" w:rsidRDefault="00E71F27" w:rsidP="00E71F27">
      <w:pPr>
        <w:pStyle w:val="Nmeringsskjalsmls"/>
      </w:pPr>
      <w:bookmarkStart w:id="0" w:name="_Toc303616026"/>
      <w:bookmarkStart w:id="1" w:name="_Toc303616027"/>
      <w:r>
        <w:t>1</w:t>
      </w:r>
      <w:r w:rsidR="00301215">
        <w:t>5</w:t>
      </w:r>
      <w:r w:rsidR="000910C5">
        <w:t>1</w:t>
      </w:r>
      <w:r>
        <w:t>. löggjafarþing 20</w:t>
      </w:r>
      <w:bookmarkEnd w:id="0"/>
      <w:r w:rsidR="000910C5">
        <w:t>20</w:t>
      </w:r>
      <w:r>
        <w:t>–20</w:t>
      </w:r>
      <w:r w:rsidR="00301215">
        <w:t>2</w:t>
      </w:r>
      <w:r w:rsidR="000910C5">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1D958442" w:rsidR="00E71F27" w:rsidRPr="002675EE" w:rsidRDefault="00E71F27" w:rsidP="002675EE">
      <w:pPr>
        <w:pStyle w:val="Fyrirsgn-undirfyrirsgn"/>
      </w:pPr>
      <w:r w:rsidRPr="002675EE">
        <w:t xml:space="preserve">um </w:t>
      </w:r>
      <w:r w:rsidR="00716874">
        <w:t>breytingu á lögum um skilameðferð</w:t>
      </w:r>
      <w:r w:rsidR="00502CA3">
        <w:t xml:space="preserve"> lánastofnana og verðbréfafyrirtækja</w:t>
      </w:r>
      <w:r w:rsidR="00716874">
        <w:t xml:space="preserve"> (</w:t>
      </w:r>
      <w:r w:rsidR="00C23B1F">
        <w:t>forgangsröð</w:t>
      </w:r>
      <w:r w:rsidR="00716874">
        <w:t xml:space="preserve"> krafna við </w:t>
      </w:r>
      <w:r w:rsidR="00C23B1F">
        <w:t xml:space="preserve">skila- og </w:t>
      </w:r>
      <w:r w:rsidR="00716874">
        <w:t>slitameðferð</w:t>
      </w:r>
      <w:r w:rsidR="00C23B1F">
        <w:t>)</w:t>
      </w:r>
    </w:p>
    <w:p w14:paraId="1A2DC9F1" w14:textId="77777777" w:rsidR="005D5AEE" w:rsidRPr="005D5AEE" w:rsidRDefault="005D5AEE" w:rsidP="005D5AEE"/>
    <w:p w14:paraId="69A8EA8E" w14:textId="56543893" w:rsidR="00E71F27" w:rsidRDefault="00E71F27" w:rsidP="00E71F27">
      <w:pPr>
        <w:pStyle w:val="Frrherra"/>
      </w:pPr>
      <w:r>
        <w:t xml:space="preserve">Frá </w:t>
      </w:r>
      <w:r w:rsidR="00C23B1F">
        <w:t>fjármála- og efnahags</w:t>
      </w:r>
      <w:r>
        <w:t xml:space="preserve">ráðherra. </w:t>
      </w:r>
    </w:p>
    <w:p w14:paraId="6B738BD0" w14:textId="4EBF2B5C" w:rsidR="006A09A5" w:rsidRPr="006A09A5" w:rsidRDefault="006A09A5" w:rsidP="006A09A5">
      <w:pPr>
        <w:pStyle w:val="Greinarnmer"/>
        <w:jc w:val="both"/>
      </w:pPr>
      <w:bookmarkStart w:id="2" w:name="_GoBack"/>
      <w:bookmarkEnd w:id="2"/>
    </w:p>
    <w:p w14:paraId="63E44D17" w14:textId="77777777" w:rsidR="006A09A5" w:rsidRPr="006A09A5" w:rsidRDefault="006A09A5" w:rsidP="006A09A5"/>
    <w:p w14:paraId="7F917172" w14:textId="4F9BDC21" w:rsidR="006F015B" w:rsidRDefault="006F015B" w:rsidP="006F015B">
      <w:pPr>
        <w:pStyle w:val="Greinarnmer"/>
      </w:pPr>
      <w:r>
        <w:t>1. gr.</w:t>
      </w:r>
    </w:p>
    <w:p w14:paraId="2958B967" w14:textId="1BBB7912" w:rsidR="006A09A5" w:rsidRPr="006A09A5" w:rsidRDefault="006A09A5" w:rsidP="006A09A5">
      <w:r>
        <w:t xml:space="preserve">Eftirfarandi skilgreining bætist við 1. </w:t>
      </w:r>
      <w:r w:rsidR="00381A95">
        <w:t>m</w:t>
      </w:r>
      <w:r>
        <w:t xml:space="preserve">gr. 3. </w:t>
      </w:r>
      <w:r w:rsidR="00381A95">
        <w:t>g</w:t>
      </w:r>
      <w:r>
        <w:t xml:space="preserve">r. laganna í viðeigandi stafrófsröð: </w:t>
      </w:r>
      <w:proofErr w:type="spellStart"/>
      <w:r w:rsidRPr="006A09A5">
        <w:rPr>
          <w:i/>
          <w:iCs/>
        </w:rPr>
        <w:t>Skuldagerning</w:t>
      </w:r>
      <w:r w:rsidR="000910C5">
        <w:rPr>
          <w:i/>
          <w:iCs/>
        </w:rPr>
        <w:t>a</w:t>
      </w:r>
      <w:r w:rsidRPr="006A09A5">
        <w:rPr>
          <w:i/>
          <w:iCs/>
        </w:rPr>
        <w:t>r</w:t>
      </w:r>
      <w:proofErr w:type="spellEnd"/>
      <w:r>
        <w:t xml:space="preserve">: </w:t>
      </w:r>
      <w:r w:rsidR="00D06E84">
        <w:t xml:space="preserve">Skuldabréf og aðrar </w:t>
      </w:r>
      <w:proofErr w:type="spellStart"/>
      <w:r w:rsidR="00D06E84">
        <w:t>framseljanlegar</w:t>
      </w:r>
      <w:proofErr w:type="spellEnd"/>
      <w:r w:rsidR="00D06E84">
        <w:t xml:space="preserve"> skuldir</w:t>
      </w:r>
      <w:r w:rsidR="00DA4646">
        <w:t>,</w:t>
      </w:r>
      <w:r w:rsidR="00D06E84">
        <w:t xml:space="preserve"> </w:t>
      </w:r>
      <w:proofErr w:type="spellStart"/>
      <w:r w:rsidR="00D06E84">
        <w:t>gerninga</w:t>
      </w:r>
      <w:r w:rsidR="00DA4646">
        <w:t>r</w:t>
      </w:r>
      <w:proofErr w:type="spellEnd"/>
      <w:r w:rsidR="00D06E84">
        <w:t xml:space="preserve"> sem stofna til skuldar eða viðurkenna skuld</w:t>
      </w:r>
      <w:r w:rsidR="00DA4646">
        <w:t xml:space="preserve"> og </w:t>
      </w:r>
      <w:proofErr w:type="spellStart"/>
      <w:r w:rsidR="00DA4646">
        <w:t>gerningar</w:t>
      </w:r>
      <w:proofErr w:type="spellEnd"/>
      <w:r w:rsidR="00DA4646">
        <w:t xml:space="preserve"> sem </w:t>
      </w:r>
      <w:r w:rsidR="00DA4646" w:rsidRPr="00D06606">
        <w:t xml:space="preserve">veita rétt til </w:t>
      </w:r>
      <w:r w:rsidR="00D230CA" w:rsidRPr="00D06606">
        <w:t>að eignast</w:t>
      </w:r>
      <w:r w:rsidR="00DA4646" w:rsidRPr="00D06606">
        <w:t xml:space="preserve"> </w:t>
      </w:r>
      <w:proofErr w:type="spellStart"/>
      <w:r w:rsidR="00DA4646">
        <w:t>skuldagerninga</w:t>
      </w:r>
      <w:proofErr w:type="spellEnd"/>
      <w:r w:rsidR="00435B33">
        <w:t>.</w:t>
      </w:r>
    </w:p>
    <w:p w14:paraId="73523B92" w14:textId="4C487F8C" w:rsidR="006A09A5" w:rsidRDefault="006A09A5" w:rsidP="006A09A5"/>
    <w:p w14:paraId="1451E9EA" w14:textId="59A64B32" w:rsidR="006A09A5" w:rsidRPr="006A09A5" w:rsidRDefault="006A68AD" w:rsidP="006A09A5">
      <w:pPr>
        <w:pStyle w:val="Greinarnmer"/>
      </w:pPr>
      <w:r>
        <w:t>2</w:t>
      </w:r>
      <w:r w:rsidR="006A09A5">
        <w:t>. gr.</w:t>
      </w:r>
    </w:p>
    <w:p w14:paraId="5A6458E4" w14:textId="71C9CA3F" w:rsidR="00DC0C9D" w:rsidRDefault="006F015B" w:rsidP="00C23B1F">
      <w:r>
        <w:t xml:space="preserve">Í stað tilvísunarinnar „3. </w:t>
      </w:r>
      <w:r w:rsidR="00AD65F9">
        <w:t>m</w:t>
      </w:r>
      <w:r>
        <w:t xml:space="preserve">gr. 102. </w:t>
      </w:r>
      <w:r w:rsidR="00AD65F9">
        <w:t>g</w:t>
      </w:r>
      <w:r>
        <w:t>r. laga um fjármálafyrirtæki</w:t>
      </w:r>
      <w:r w:rsidR="002D576A">
        <w:t>“</w:t>
      </w:r>
      <w:r>
        <w:t xml:space="preserve"> í 6. </w:t>
      </w:r>
      <w:proofErr w:type="spellStart"/>
      <w:r w:rsidR="00AD65F9">
        <w:t>t</w:t>
      </w:r>
      <w:r>
        <w:t>ölul</w:t>
      </w:r>
      <w:proofErr w:type="spellEnd"/>
      <w:r>
        <w:t xml:space="preserve">. 2. </w:t>
      </w:r>
      <w:r w:rsidR="00AD65F9">
        <w:t>m</w:t>
      </w:r>
      <w:r>
        <w:t xml:space="preserve">gr. 17. </w:t>
      </w:r>
      <w:r w:rsidR="00AD65F9">
        <w:t>g</w:t>
      </w:r>
      <w:r>
        <w:t xml:space="preserve">r. laganna kemur: </w:t>
      </w:r>
      <w:r w:rsidR="001F17E9">
        <w:t>a-</w:t>
      </w:r>
      <w:r w:rsidRPr="00115F79">
        <w:t xml:space="preserve"> </w:t>
      </w:r>
      <w:r w:rsidR="001F17E9">
        <w:t>eða</w:t>
      </w:r>
      <w:r w:rsidRPr="00115F79">
        <w:t xml:space="preserve"> </w:t>
      </w:r>
      <w:proofErr w:type="spellStart"/>
      <w:r w:rsidR="001F17E9">
        <w:t>b-lið</w:t>
      </w:r>
      <w:proofErr w:type="spellEnd"/>
      <w:r w:rsidR="001F17E9">
        <w:t xml:space="preserve"> 1.</w:t>
      </w:r>
      <w:r w:rsidRPr="00115F79">
        <w:t xml:space="preserve"> </w:t>
      </w:r>
      <w:proofErr w:type="spellStart"/>
      <w:r w:rsidR="00AD65F9" w:rsidRPr="00115F79">
        <w:t>t</w:t>
      </w:r>
      <w:r w:rsidRPr="00115F79">
        <w:t>ölul</w:t>
      </w:r>
      <w:proofErr w:type="spellEnd"/>
      <w:r w:rsidRPr="00115F79">
        <w:t xml:space="preserve">. 1. </w:t>
      </w:r>
      <w:r w:rsidR="00AD65F9" w:rsidRPr="00115F79">
        <w:t>m</w:t>
      </w:r>
      <w:r w:rsidRPr="00115F79">
        <w:t xml:space="preserve">gr. </w:t>
      </w:r>
      <w:r w:rsidR="0097538C" w:rsidRPr="00115F79">
        <w:t>85</w:t>
      </w:r>
      <w:r w:rsidRPr="00115F79">
        <w:t>. gr.</w:t>
      </w:r>
      <w:r w:rsidR="0097538C" w:rsidRPr="00115F79">
        <w:t xml:space="preserve"> a</w:t>
      </w:r>
      <w:r w:rsidR="00115F79" w:rsidRPr="00115F79">
        <w:t>.</w:t>
      </w:r>
    </w:p>
    <w:p w14:paraId="283F8207" w14:textId="128383CF" w:rsidR="00C23B1F" w:rsidRDefault="00364307" w:rsidP="00C23B1F">
      <w:r>
        <w:t xml:space="preserve">  </w:t>
      </w:r>
    </w:p>
    <w:p w14:paraId="57D776D4" w14:textId="15D26322" w:rsidR="00AD65F9" w:rsidRDefault="006A68AD" w:rsidP="00AD65F9">
      <w:pPr>
        <w:pStyle w:val="Greinarnmer"/>
      </w:pPr>
      <w:r>
        <w:t>3</w:t>
      </w:r>
      <w:r w:rsidR="00AD65F9">
        <w:t>. gr.</w:t>
      </w:r>
    </w:p>
    <w:p w14:paraId="33CA35D5" w14:textId="3CB5CE0B" w:rsidR="00AD65F9" w:rsidRDefault="00AD65F9" w:rsidP="00AD65F9">
      <w:r>
        <w:t xml:space="preserve">Í stað tilvísunarinnar „1. </w:t>
      </w:r>
      <w:proofErr w:type="spellStart"/>
      <w:r>
        <w:t>tölul</w:t>
      </w:r>
      <w:proofErr w:type="spellEnd"/>
      <w:r>
        <w:t xml:space="preserve">. 3. mgr. 102. gr. laga um fjármálafyrirtæki“ í 2. </w:t>
      </w:r>
      <w:proofErr w:type="spellStart"/>
      <w:r>
        <w:t>tölul</w:t>
      </w:r>
      <w:proofErr w:type="spellEnd"/>
      <w:r>
        <w:t xml:space="preserve">. 2. mgr. 23. gr. laganna kemur: </w:t>
      </w:r>
      <w:r w:rsidR="001F17E9">
        <w:t xml:space="preserve">a-lið </w:t>
      </w:r>
      <w:r w:rsidRPr="00115F79">
        <w:t xml:space="preserve">1. </w:t>
      </w:r>
      <w:proofErr w:type="spellStart"/>
      <w:r w:rsidRPr="00115F79">
        <w:t>tölul</w:t>
      </w:r>
      <w:proofErr w:type="spellEnd"/>
      <w:r w:rsidRPr="00115F79">
        <w:t xml:space="preserve">. 1. mgr. </w:t>
      </w:r>
      <w:r w:rsidR="0097538C" w:rsidRPr="00115F79">
        <w:t>85</w:t>
      </w:r>
      <w:r w:rsidRPr="00115F79">
        <w:t>. gr.</w:t>
      </w:r>
      <w:r w:rsidR="0097538C" w:rsidRPr="00115F79">
        <w:t xml:space="preserve"> a</w:t>
      </w:r>
      <w:r w:rsidR="00115F79" w:rsidRPr="00115F79">
        <w:t>.</w:t>
      </w:r>
    </w:p>
    <w:p w14:paraId="4BF99FE9" w14:textId="6829DD45" w:rsidR="00A62E51" w:rsidRDefault="00A62E51" w:rsidP="00AD65F9"/>
    <w:p w14:paraId="291A7EA1" w14:textId="65C17F8F" w:rsidR="00A62E51" w:rsidRPr="00AD65F9" w:rsidRDefault="006A68AD" w:rsidP="00A62E51">
      <w:pPr>
        <w:pStyle w:val="Greinarnmer"/>
      </w:pPr>
      <w:r>
        <w:t>4</w:t>
      </w:r>
      <w:r w:rsidR="00A62E51">
        <w:t>. gr.</w:t>
      </w:r>
    </w:p>
    <w:p w14:paraId="7632AFEB" w14:textId="6072F949" w:rsidR="00A62E51" w:rsidRDefault="00A62E51" w:rsidP="007B1365">
      <w:r>
        <w:t>Á eftir orðinu „forgangsröð“ í 5. mgr. 27. gr. kemur: skv. 85. gr. a</w:t>
      </w:r>
      <w:r w:rsidR="00843B49">
        <w:t>.</w:t>
      </w:r>
    </w:p>
    <w:p w14:paraId="5BAA9782" w14:textId="77777777" w:rsidR="00AD65F9" w:rsidRDefault="00AD65F9" w:rsidP="00C23B1F"/>
    <w:p w14:paraId="070E8AC5" w14:textId="0FCFA26D" w:rsidR="00C23B1F" w:rsidRDefault="006A68AD" w:rsidP="00C23B1F">
      <w:pPr>
        <w:pStyle w:val="Greinarnmer"/>
      </w:pPr>
      <w:r>
        <w:t>5</w:t>
      </w:r>
      <w:r w:rsidR="00C23B1F">
        <w:t>. gr.</w:t>
      </w:r>
    </w:p>
    <w:p w14:paraId="77E105D9" w14:textId="369A4E6B" w:rsidR="005D14D8" w:rsidRDefault="00C23B1F" w:rsidP="007B1365">
      <w:r>
        <w:t>Í stað orðanna „</w:t>
      </w:r>
      <w:r w:rsidR="005D14D8">
        <w:t xml:space="preserve">fara fram á eftirfarandi hátt, </w:t>
      </w:r>
      <w:r>
        <w:t xml:space="preserve">að teknu tilliti til </w:t>
      </w:r>
      <w:r w:rsidR="00D45DA7">
        <w:t>forgangsraðar</w:t>
      </w:r>
      <w:r w:rsidR="005D14D8">
        <w:t xml:space="preserve"> krafna við slit eða gjaldþrot“ í 1. </w:t>
      </w:r>
      <w:proofErr w:type="spellStart"/>
      <w:r w:rsidR="005D14D8">
        <w:t>málsl</w:t>
      </w:r>
      <w:proofErr w:type="spellEnd"/>
      <w:r w:rsidR="005D14D8">
        <w:t xml:space="preserve">. 1. mgr. 28. gr. laganna kemur: vera í samræmi við forgangsröð krafna við skila- og slitameðferð </w:t>
      </w:r>
      <w:r w:rsidR="005D14D8" w:rsidRPr="00B07351">
        <w:t xml:space="preserve">skv. </w:t>
      </w:r>
      <w:r w:rsidR="0097538C" w:rsidRPr="00B07351">
        <w:t>85</w:t>
      </w:r>
      <w:r w:rsidR="005D14D8" w:rsidRPr="00B07351">
        <w:t>. gr.</w:t>
      </w:r>
      <w:r w:rsidR="0097538C" w:rsidRPr="00B07351">
        <w:t xml:space="preserve"> a</w:t>
      </w:r>
      <w:r w:rsidR="005D14D8">
        <w:t xml:space="preserve"> og fara fram á eftirfarandi hátt:</w:t>
      </w:r>
    </w:p>
    <w:p w14:paraId="7C311573" w14:textId="0210CEE6" w:rsidR="00506E0A" w:rsidRDefault="00506E0A" w:rsidP="005D14D8"/>
    <w:p w14:paraId="59DDF33E" w14:textId="57A8F507" w:rsidR="00506E0A" w:rsidRDefault="006A68AD" w:rsidP="00A62E51">
      <w:pPr>
        <w:pStyle w:val="Greinarnmer"/>
      </w:pPr>
      <w:r>
        <w:t>6</w:t>
      </w:r>
      <w:r w:rsidR="00A62E51">
        <w:t>. gr.</w:t>
      </w:r>
    </w:p>
    <w:p w14:paraId="7F6048AB" w14:textId="20099F47" w:rsidR="00A62E51" w:rsidRDefault="00A62E51" w:rsidP="00A62E51">
      <w:r>
        <w:t>Eftirfarandi breytingar verða á 30. gr. laganna:</w:t>
      </w:r>
    </w:p>
    <w:p w14:paraId="51762B60" w14:textId="26E7F3C0" w:rsidR="00A62E51" w:rsidRDefault="00A62E51" w:rsidP="00A62E51">
      <w:pPr>
        <w:pStyle w:val="ListParagraph"/>
        <w:numPr>
          <w:ilvl w:val="0"/>
          <w:numId w:val="14"/>
        </w:numPr>
      </w:pPr>
      <w:r>
        <w:t>Í stað orðanna „slit eða gjaldþrot fyrirtækis eða einingar“ í 3. mgr. kemur: skila- og slitameðferð skv. 85. gr. a</w:t>
      </w:r>
      <w:r w:rsidR="008559AB">
        <w:t>.</w:t>
      </w:r>
    </w:p>
    <w:p w14:paraId="72D83EB3" w14:textId="380AE4D9" w:rsidR="00A62E51" w:rsidRDefault="00A62E51" w:rsidP="007B1365">
      <w:pPr>
        <w:pStyle w:val="ListParagraph"/>
        <w:numPr>
          <w:ilvl w:val="0"/>
          <w:numId w:val="14"/>
        </w:numPr>
      </w:pPr>
      <w:r>
        <w:t xml:space="preserve">Í stað orðanna „slit eða gjaldþrotaskipti“ í 3. </w:t>
      </w:r>
      <w:proofErr w:type="spellStart"/>
      <w:r w:rsidR="00B07351">
        <w:t>t</w:t>
      </w:r>
      <w:r>
        <w:t>ölul</w:t>
      </w:r>
      <w:proofErr w:type="spellEnd"/>
      <w:r>
        <w:t xml:space="preserve">. 6. </w:t>
      </w:r>
      <w:r w:rsidR="00B07351">
        <w:t>m</w:t>
      </w:r>
      <w:r>
        <w:t>gr. kemur: skila- og slitameðferð skv. 85. gr. a.</w:t>
      </w:r>
    </w:p>
    <w:p w14:paraId="14FA32AD" w14:textId="64C9BB0A" w:rsidR="005C726B" w:rsidRDefault="005C726B" w:rsidP="005C726B"/>
    <w:p w14:paraId="2A196984" w14:textId="5E19E6A3" w:rsidR="005C726B" w:rsidRDefault="006A68AD" w:rsidP="005C726B">
      <w:pPr>
        <w:pStyle w:val="Greinarnmer"/>
      </w:pPr>
      <w:r>
        <w:t>7</w:t>
      </w:r>
      <w:r w:rsidR="005C726B">
        <w:t>. gr.</w:t>
      </w:r>
    </w:p>
    <w:p w14:paraId="7E1DC446" w14:textId="545712AD" w:rsidR="00BA6792" w:rsidRDefault="00BA6792" w:rsidP="00BA6792">
      <w:r>
        <w:t xml:space="preserve">Í stað orðanna „eignarhalds- eða </w:t>
      </w:r>
      <w:proofErr w:type="spellStart"/>
      <w:r>
        <w:t>skuldagerningar</w:t>
      </w:r>
      <w:proofErr w:type="spellEnd"/>
      <w:r>
        <w:t xml:space="preserve">“ í 2. </w:t>
      </w:r>
      <w:proofErr w:type="spellStart"/>
      <w:r>
        <w:t>málsl</w:t>
      </w:r>
      <w:proofErr w:type="spellEnd"/>
      <w:r>
        <w:t xml:space="preserve">. 5. mgr. 35. gr. laganna kemur: eignarhlutir eða </w:t>
      </w:r>
      <w:proofErr w:type="spellStart"/>
      <w:r>
        <w:t>skuldagerningar</w:t>
      </w:r>
      <w:proofErr w:type="spellEnd"/>
      <w:r>
        <w:t>.</w:t>
      </w:r>
    </w:p>
    <w:p w14:paraId="2B746AE0" w14:textId="2C34E473" w:rsidR="00BA6792" w:rsidRDefault="00BA6792" w:rsidP="00BA6792"/>
    <w:p w14:paraId="042CD7CA" w14:textId="1F777B86" w:rsidR="00BA6792" w:rsidRPr="00BA6792" w:rsidRDefault="006A68AD" w:rsidP="00BA6792">
      <w:pPr>
        <w:pStyle w:val="Greinarnmer"/>
      </w:pPr>
      <w:r>
        <w:t>8</w:t>
      </w:r>
      <w:r w:rsidR="00BA6792">
        <w:t>. gr.</w:t>
      </w:r>
    </w:p>
    <w:p w14:paraId="65525D2F" w14:textId="78D8737E" w:rsidR="00BA6792" w:rsidRDefault="00BA6792" w:rsidP="00BA6792">
      <w:r>
        <w:lastRenderedPageBreak/>
        <w:t xml:space="preserve">Í stað orðanna „skuldaskjala sem framseld“ í 2. </w:t>
      </w:r>
      <w:proofErr w:type="spellStart"/>
      <w:r>
        <w:t>tölul</w:t>
      </w:r>
      <w:proofErr w:type="spellEnd"/>
      <w:r>
        <w:t xml:space="preserve">. 1. mgr. 54. gr. laganna kemur: </w:t>
      </w:r>
      <w:proofErr w:type="spellStart"/>
      <w:r>
        <w:t>skuldagerningar</w:t>
      </w:r>
      <w:proofErr w:type="spellEnd"/>
      <w:r>
        <w:t xml:space="preserve"> sem framseldir.</w:t>
      </w:r>
    </w:p>
    <w:p w14:paraId="259E2FC9" w14:textId="22D39100" w:rsidR="00BA6792" w:rsidRDefault="00BA6792" w:rsidP="00BA6792"/>
    <w:p w14:paraId="296E79F4" w14:textId="02D43082" w:rsidR="00BA6792" w:rsidRPr="00BA6792" w:rsidRDefault="006A68AD" w:rsidP="00BA6792">
      <w:pPr>
        <w:pStyle w:val="Greinarnmer"/>
      </w:pPr>
      <w:r>
        <w:t>9</w:t>
      </w:r>
      <w:r w:rsidR="00BA6792">
        <w:t>. gr.</w:t>
      </w:r>
    </w:p>
    <w:p w14:paraId="71E95AD7" w14:textId="6DC7E7EC" w:rsidR="005C726B" w:rsidRPr="005C726B" w:rsidRDefault="005C726B" w:rsidP="005C726B">
      <w:r>
        <w:t xml:space="preserve">Við 2. </w:t>
      </w:r>
      <w:proofErr w:type="spellStart"/>
      <w:r>
        <w:t>tölul</w:t>
      </w:r>
      <w:proofErr w:type="spellEnd"/>
      <w:r>
        <w:t xml:space="preserve">. 1. mgr. 56. gr. laganna bætist nýr málsliður, svohljóðandi: Ákvæðið kemur ekki í veg fyrir að eftirgjöf verði beitt á sérhvern hluta tryggðra skuldbindinga sem nemur hærri fjárhæð en </w:t>
      </w:r>
      <w:proofErr w:type="spellStart"/>
      <w:r>
        <w:t>uppreiknað</w:t>
      </w:r>
      <w:proofErr w:type="spellEnd"/>
      <w:r>
        <w:t xml:space="preserve"> virði eigna, tryggingar, veðs eða veðláns sem lagt er fram til tryggingar skuldbindingunum.</w:t>
      </w:r>
    </w:p>
    <w:p w14:paraId="390121DC" w14:textId="77777777" w:rsidR="00843B49" w:rsidRDefault="00843B49" w:rsidP="005D14D8"/>
    <w:p w14:paraId="3EB67F64" w14:textId="39CE473B" w:rsidR="005D14D8" w:rsidRDefault="006A68AD" w:rsidP="005D14D8">
      <w:pPr>
        <w:pStyle w:val="Greinarnmer"/>
      </w:pPr>
      <w:r>
        <w:t>10</w:t>
      </w:r>
      <w:r w:rsidR="005D14D8">
        <w:t>. gr.</w:t>
      </w:r>
    </w:p>
    <w:p w14:paraId="13EDD9FB" w14:textId="48D1AD53" w:rsidR="005D14D8" w:rsidRDefault="005D14D8" w:rsidP="005D14D8">
      <w:r>
        <w:t>Eftirfarandi breytingar verða á 1. mgr. 58. gr. laganna:</w:t>
      </w:r>
    </w:p>
    <w:p w14:paraId="3BC6896B" w14:textId="37C1F451" w:rsidR="005D14D8" w:rsidRPr="00B07351" w:rsidRDefault="005D14D8" w:rsidP="005D14D8">
      <w:pPr>
        <w:pStyle w:val="ListParagraph"/>
        <w:numPr>
          <w:ilvl w:val="0"/>
          <w:numId w:val="14"/>
        </w:numPr>
      </w:pPr>
      <w:r>
        <w:t xml:space="preserve">Í stað orðanna „slit eða gjaldþrot“ í 4. </w:t>
      </w:r>
      <w:proofErr w:type="spellStart"/>
      <w:r>
        <w:t>tölul</w:t>
      </w:r>
      <w:proofErr w:type="spellEnd"/>
      <w:r>
        <w:t xml:space="preserve">. kemur: </w:t>
      </w:r>
      <w:r w:rsidRPr="00B07351">
        <w:t xml:space="preserve">skila- og slitameðferð skv. </w:t>
      </w:r>
      <w:r w:rsidR="0097538C" w:rsidRPr="00B07351">
        <w:t>85</w:t>
      </w:r>
      <w:r w:rsidRPr="00B07351">
        <w:t>. gr.</w:t>
      </w:r>
      <w:r w:rsidR="0097538C" w:rsidRPr="00B07351">
        <w:t xml:space="preserve"> a</w:t>
      </w:r>
      <w:r w:rsidR="00B07351" w:rsidRPr="00B07351">
        <w:t>.</w:t>
      </w:r>
    </w:p>
    <w:p w14:paraId="0C8BD0E3" w14:textId="3996FD96" w:rsidR="00843B49" w:rsidRDefault="005D14D8" w:rsidP="007B1365">
      <w:pPr>
        <w:pStyle w:val="ListParagraph"/>
        <w:numPr>
          <w:ilvl w:val="0"/>
          <w:numId w:val="14"/>
        </w:numPr>
      </w:pPr>
      <w:r w:rsidRPr="00B07351">
        <w:t xml:space="preserve">Í stað orðanna „slit eða gjaldþrot, þ.m.t. forgangsröðun </w:t>
      </w:r>
      <w:proofErr w:type="spellStart"/>
      <w:r w:rsidRPr="00B07351">
        <w:t>innstæðna</w:t>
      </w:r>
      <w:proofErr w:type="spellEnd"/>
      <w:r w:rsidRPr="00B07351">
        <w:t xml:space="preserve"> skv. 3. mgr. 102. gr. laga um fjármálafyrirtæki“ í 5. </w:t>
      </w:r>
      <w:proofErr w:type="spellStart"/>
      <w:r w:rsidRPr="00B07351">
        <w:t>tölul</w:t>
      </w:r>
      <w:proofErr w:type="spellEnd"/>
      <w:r w:rsidRPr="00B07351">
        <w:t xml:space="preserve">. kemur: skila- og slitameðferð skv. </w:t>
      </w:r>
      <w:r w:rsidR="0097538C" w:rsidRPr="00B07351">
        <w:t>85</w:t>
      </w:r>
      <w:r w:rsidRPr="00B07351">
        <w:t>. gr.</w:t>
      </w:r>
      <w:r w:rsidR="0097538C" w:rsidRPr="00B07351">
        <w:t xml:space="preserve"> a</w:t>
      </w:r>
      <w:r w:rsidR="00B07351" w:rsidRPr="00B07351">
        <w:t>.</w:t>
      </w:r>
    </w:p>
    <w:p w14:paraId="5BE019D8" w14:textId="676899DF" w:rsidR="00F205EF" w:rsidRDefault="00F205EF" w:rsidP="00F205EF"/>
    <w:p w14:paraId="32E3DF8C" w14:textId="4D52411F" w:rsidR="00F205EF" w:rsidRDefault="00BA6792" w:rsidP="00F205EF">
      <w:pPr>
        <w:pStyle w:val="Greinarnmer"/>
      </w:pPr>
      <w:r>
        <w:t>1</w:t>
      </w:r>
      <w:r w:rsidR="006A68AD">
        <w:t>1</w:t>
      </w:r>
      <w:r w:rsidR="00F205EF">
        <w:t>. gr.</w:t>
      </w:r>
    </w:p>
    <w:p w14:paraId="6F41FE29" w14:textId="006FEE63" w:rsidR="00506E0A" w:rsidRDefault="004F69B4" w:rsidP="007B1365">
      <w:r>
        <w:t xml:space="preserve">Í stað orðanna „skuldaskjöl útgefin“ í 7. </w:t>
      </w:r>
      <w:proofErr w:type="spellStart"/>
      <w:r>
        <w:t>tölul</w:t>
      </w:r>
      <w:proofErr w:type="spellEnd"/>
      <w:r>
        <w:t xml:space="preserve">. 1. mgr. 61. gr. laganna kemur: </w:t>
      </w:r>
      <w:proofErr w:type="spellStart"/>
      <w:r>
        <w:t>skuldagerninga</w:t>
      </w:r>
      <w:proofErr w:type="spellEnd"/>
      <w:r>
        <w:t xml:space="preserve"> útgefna.</w:t>
      </w:r>
    </w:p>
    <w:p w14:paraId="6118EC42" w14:textId="77777777" w:rsidR="00BA6792" w:rsidRDefault="00BA6792" w:rsidP="007B1365"/>
    <w:p w14:paraId="77D78E10" w14:textId="7B1F3D5A" w:rsidR="00506E0A" w:rsidRDefault="00BA6792" w:rsidP="00506E0A">
      <w:pPr>
        <w:pStyle w:val="Greinarnmer"/>
      </w:pPr>
      <w:r>
        <w:t>1</w:t>
      </w:r>
      <w:r w:rsidR="006A68AD">
        <w:t>2</w:t>
      </w:r>
      <w:r w:rsidR="00506E0A">
        <w:t>. gr.</w:t>
      </w:r>
    </w:p>
    <w:p w14:paraId="3F45146C" w14:textId="23235633" w:rsidR="00506E0A" w:rsidRDefault="00506E0A" w:rsidP="007B1365">
      <w:r>
        <w:t xml:space="preserve">Í stað orðanna „slit eða gjaldþrot“ í 2. </w:t>
      </w:r>
      <w:proofErr w:type="spellStart"/>
      <w:r>
        <w:t>tölul</w:t>
      </w:r>
      <w:proofErr w:type="spellEnd"/>
      <w:r>
        <w:t>. 1. mgr. 64. gr. laganna kemur: skila- og slitameðferð skv. 85. gr. a.</w:t>
      </w:r>
    </w:p>
    <w:p w14:paraId="5B61F5F2" w14:textId="640B1DD2" w:rsidR="006F015B" w:rsidRDefault="006F015B" w:rsidP="006F015B"/>
    <w:p w14:paraId="6A234AB5" w14:textId="1E989365" w:rsidR="006F015B" w:rsidRDefault="00843B49" w:rsidP="006F015B">
      <w:pPr>
        <w:pStyle w:val="Greinarnmer"/>
      </w:pPr>
      <w:r>
        <w:t>1</w:t>
      </w:r>
      <w:r w:rsidR="006A68AD">
        <w:t>3</w:t>
      </w:r>
      <w:r w:rsidR="006F015B">
        <w:t>. gr.</w:t>
      </w:r>
    </w:p>
    <w:p w14:paraId="5E49EBA6" w14:textId="72FA9EA8" w:rsidR="00FD1295" w:rsidRDefault="00FD1295" w:rsidP="00FD1295">
      <w:pPr>
        <w:ind w:firstLine="0"/>
      </w:pPr>
      <w:r>
        <w:t>Á eftir X</w:t>
      </w:r>
      <w:r w:rsidR="00180DC7">
        <w:t>I</w:t>
      </w:r>
      <w:r>
        <w:t>V. kafla laganna kemur nýr kafli, XI</w:t>
      </w:r>
      <w:r w:rsidR="00180DC7">
        <w:t>V</w:t>
      </w:r>
      <w:r>
        <w:t xml:space="preserve"> kafli</w:t>
      </w:r>
      <w:r w:rsidR="0097538C">
        <w:t xml:space="preserve"> A</w:t>
      </w:r>
      <w:r>
        <w:t xml:space="preserve">, </w:t>
      </w:r>
      <w:r w:rsidRPr="00FD1295">
        <w:rPr>
          <w:b/>
          <w:bCs/>
        </w:rPr>
        <w:t>Forgangsröð krafna við skila- og slitameðferð</w:t>
      </w:r>
      <w:r>
        <w:t>, með einni grein, 8</w:t>
      </w:r>
      <w:r w:rsidR="0097538C">
        <w:t>5</w:t>
      </w:r>
      <w:r>
        <w:t>. gr.</w:t>
      </w:r>
      <w:r w:rsidR="0097538C">
        <w:t xml:space="preserve"> a</w:t>
      </w:r>
      <w:r>
        <w:t>, ásamt fyrirsögn, svohljóðandi</w:t>
      </w:r>
      <w:r w:rsidR="0097538C">
        <w:t>:</w:t>
      </w:r>
      <w:r>
        <w:t xml:space="preserve"> </w:t>
      </w:r>
    </w:p>
    <w:p w14:paraId="04CEC4E4" w14:textId="0B640FE9" w:rsidR="00FD1295" w:rsidRDefault="00FD1295" w:rsidP="00FD1295">
      <w:pPr>
        <w:ind w:firstLine="0"/>
      </w:pPr>
    </w:p>
    <w:p w14:paraId="18C31026" w14:textId="6202DCD3" w:rsidR="00FD1295" w:rsidRDefault="00FD1295" w:rsidP="00FD1295">
      <w:pPr>
        <w:pStyle w:val="Greinarfyrirsgn"/>
      </w:pPr>
      <w:r>
        <w:t>Forgangsröð krafna við skila- og slitameðferð.</w:t>
      </w:r>
    </w:p>
    <w:p w14:paraId="22DE701B" w14:textId="06E6CDA9" w:rsidR="00FD1295" w:rsidRDefault="005E0DC6" w:rsidP="00FD1295">
      <w:r>
        <w:t>Næstar</w:t>
      </w:r>
      <w:r w:rsidR="00B82320">
        <w:t xml:space="preserve"> kröfum skv. 109</w:t>
      </w:r>
      <w:r w:rsidR="00487988">
        <w:t>.</w:t>
      </w:r>
      <w:r w:rsidR="00B82320">
        <w:t>-112</w:t>
      </w:r>
      <w:r w:rsidR="00487988">
        <w:t>.</w:t>
      </w:r>
      <w:r w:rsidR="00B82320">
        <w:t xml:space="preserve"> </w:t>
      </w:r>
      <w:r w:rsidR="000149AE">
        <w:t xml:space="preserve">gr. </w:t>
      </w:r>
      <w:r w:rsidR="00B82320">
        <w:t>laga um gjaldþrotaskipti o.fl.</w:t>
      </w:r>
      <w:r w:rsidR="0011342E">
        <w:t xml:space="preserve">, sbr. þó </w:t>
      </w:r>
      <w:r w:rsidR="004871D5">
        <w:t xml:space="preserve">a-lið </w:t>
      </w:r>
      <w:r w:rsidR="0011342E">
        <w:t xml:space="preserve">1. </w:t>
      </w:r>
      <w:proofErr w:type="spellStart"/>
      <w:r w:rsidR="0011342E">
        <w:t>tölul</w:t>
      </w:r>
      <w:proofErr w:type="spellEnd"/>
      <w:r w:rsidR="0011342E">
        <w:t>.,</w:t>
      </w:r>
      <w:r>
        <w:t xml:space="preserve"> ganga eftirfarandi kröfur </w:t>
      </w:r>
      <w:r w:rsidR="000149AE">
        <w:t>á</w:t>
      </w:r>
      <w:r>
        <w:t xml:space="preserve"> </w:t>
      </w:r>
      <w:r w:rsidR="00A00374">
        <w:t xml:space="preserve">hendur </w:t>
      </w:r>
      <w:r>
        <w:t>fyrirtæk</w:t>
      </w:r>
      <w:r w:rsidR="000149AE">
        <w:t>i</w:t>
      </w:r>
      <w:r>
        <w:t xml:space="preserve"> </w:t>
      </w:r>
      <w:r w:rsidR="00810248">
        <w:t>eða</w:t>
      </w:r>
      <w:r>
        <w:t xml:space="preserve"> eining</w:t>
      </w:r>
      <w:r w:rsidR="00A00374">
        <w:t>u</w:t>
      </w:r>
      <w:r w:rsidR="000149AE">
        <w:t xml:space="preserve"> skv. b-d-lið 2. gr. í þeirri röð sem hér segir:</w:t>
      </w:r>
    </w:p>
    <w:p w14:paraId="71044212" w14:textId="69B55237" w:rsidR="004871D5" w:rsidRDefault="004871D5" w:rsidP="004871D5">
      <w:pPr>
        <w:pStyle w:val="ListParagraph"/>
        <w:numPr>
          <w:ilvl w:val="0"/>
          <w:numId w:val="16"/>
        </w:numPr>
        <w:ind w:left="284" w:firstLine="0"/>
      </w:pPr>
      <w:r>
        <w:t xml:space="preserve">Kröfur vegna </w:t>
      </w:r>
      <w:proofErr w:type="spellStart"/>
      <w:r>
        <w:t>innstæðna</w:t>
      </w:r>
      <w:proofErr w:type="spellEnd"/>
      <w:r>
        <w:t xml:space="preserve"> í </w:t>
      </w:r>
      <w:r w:rsidR="00E66197">
        <w:t>eftirfarandi röð</w:t>
      </w:r>
      <w:r>
        <w:t>:</w:t>
      </w:r>
    </w:p>
    <w:p w14:paraId="4A68F968" w14:textId="77777777" w:rsidR="008B17DA" w:rsidRDefault="004871D5" w:rsidP="004871D5">
      <w:pPr>
        <w:pStyle w:val="ListParagraph"/>
        <w:numPr>
          <w:ilvl w:val="1"/>
          <w:numId w:val="16"/>
        </w:numPr>
        <w:ind w:left="284" w:firstLine="0"/>
      </w:pPr>
      <w:r>
        <w:t xml:space="preserve">kröfur vegna tryggðra </w:t>
      </w:r>
      <w:proofErr w:type="spellStart"/>
      <w:r>
        <w:t>innstæðna</w:t>
      </w:r>
      <w:proofErr w:type="spellEnd"/>
      <w:r>
        <w:t xml:space="preserve"> og kröfur sem Tryggingarsjóður innstæðueigenda og </w:t>
      </w:r>
    </w:p>
    <w:p w14:paraId="3318AF0E" w14:textId="6BC6EB23" w:rsidR="004871D5" w:rsidRDefault="004871D5" w:rsidP="008B17DA">
      <w:pPr>
        <w:ind w:firstLine="0"/>
      </w:pPr>
      <w:r>
        <w:t xml:space="preserve">fjárfesta hefur tekið yfir vegna tryggðra </w:t>
      </w:r>
      <w:proofErr w:type="spellStart"/>
      <w:r>
        <w:t>innstæðna</w:t>
      </w:r>
      <w:proofErr w:type="spellEnd"/>
      <w:r>
        <w:t xml:space="preserve"> njóta rétthæðar samkvæmt 1. og 2. mgr. 112. gr. laga um gjaldþrotaskipti o.fl.,</w:t>
      </w:r>
    </w:p>
    <w:p w14:paraId="619264B0" w14:textId="77777777" w:rsidR="008B17DA" w:rsidRDefault="004871D5" w:rsidP="008B17DA">
      <w:pPr>
        <w:pStyle w:val="ListParagraph"/>
        <w:numPr>
          <w:ilvl w:val="1"/>
          <w:numId w:val="16"/>
        </w:numPr>
        <w:ind w:left="284" w:firstLine="0"/>
      </w:pPr>
      <w:r>
        <w:t xml:space="preserve">kröfur vegna tryggingarhæfra </w:t>
      </w:r>
      <w:proofErr w:type="spellStart"/>
      <w:r>
        <w:t>innstæðna</w:t>
      </w:r>
      <w:proofErr w:type="spellEnd"/>
      <w:r>
        <w:t xml:space="preserve"> einstaklinga, örfélaga, lítilla og meðalstórra </w:t>
      </w:r>
    </w:p>
    <w:p w14:paraId="62F642B6" w14:textId="14F6F7F0" w:rsidR="004871D5" w:rsidRDefault="004871D5" w:rsidP="008B17DA">
      <w:pPr>
        <w:ind w:firstLine="0"/>
      </w:pPr>
      <w:r>
        <w:t xml:space="preserve">félaga sem eru umfram fjárhæðarmörk tryggingarverndar skv. 2. mgr. 9. gr. laga um innstæðutryggingar og tryggingakerfi fyrir fjárfesta, </w:t>
      </w:r>
    </w:p>
    <w:p w14:paraId="133C26B9" w14:textId="77777777" w:rsidR="008B17DA" w:rsidRPr="003B47EB" w:rsidRDefault="004871D5" w:rsidP="008B17DA">
      <w:pPr>
        <w:pStyle w:val="ListParagraph"/>
        <w:numPr>
          <w:ilvl w:val="1"/>
          <w:numId w:val="16"/>
        </w:numPr>
        <w:ind w:left="284" w:firstLine="0"/>
      </w:pPr>
      <w:r w:rsidRPr="003B47EB">
        <w:t xml:space="preserve">kröfur vegna tryggingarhæfra </w:t>
      </w:r>
      <w:proofErr w:type="spellStart"/>
      <w:r w:rsidRPr="003B47EB">
        <w:t>innstæðna</w:t>
      </w:r>
      <w:proofErr w:type="spellEnd"/>
      <w:r w:rsidRPr="003B47EB">
        <w:t xml:space="preserve"> stórra félaga sem eru umfram fjárhæðarmörk </w:t>
      </w:r>
    </w:p>
    <w:p w14:paraId="73AB3525" w14:textId="6D37DD92" w:rsidR="004871D5" w:rsidRDefault="004871D5" w:rsidP="008B17DA">
      <w:pPr>
        <w:pStyle w:val="ListParagraph"/>
        <w:ind w:left="0" w:firstLine="0"/>
      </w:pPr>
      <w:r w:rsidRPr="003B47EB">
        <w:t>tryggingarverndar skv. 2. mgr. 9. gr. laga um innstæðutryggingar og tryggingakerfi fyrir fjárfesta,</w:t>
      </w:r>
    </w:p>
    <w:p w14:paraId="187D0064" w14:textId="6EC72805" w:rsidR="004871D5" w:rsidRDefault="004871D5" w:rsidP="004871D5">
      <w:pPr>
        <w:pStyle w:val="ListParagraph"/>
        <w:numPr>
          <w:ilvl w:val="1"/>
          <w:numId w:val="16"/>
        </w:numPr>
        <w:ind w:left="284" w:firstLine="0"/>
      </w:pPr>
      <w:r>
        <w:t xml:space="preserve">kröfur vegna annarra </w:t>
      </w:r>
      <w:proofErr w:type="spellStart"/>
      <w:r>
        <w:t>innstæðna</w:t>
      </w:r>
      <w:proofErr w:type="spellEnd"/>
      <w:r>
        <w:t xml:space="preserve"> en skv. a-c-lið.</w:t>
      </w:r>
    </w:p>
    <w:p w14:paraId="460708FD" w14:textId="1DFFAB91" w:rsidR="00137FB8" w:rsidRPr="008B17DA" w:rsidRDefault="008F1796" w:rsidP="00137FB8">
      <w:pPr>
        <w:pStyle w:val="ListParagraph"/>
        <w:numPr>
          <w:ilvl w:val="0"/>
          <w:numId w:val="16"/>
        </w:numPr>
      </w:pPr>
      <w:r w:rsidRPr="008B17DA">
        <w:t>almennar ótryggðar kröfur</w:t>
      </w:r>
      <w:r w:rsidR="008B17DA" w:rsidRPr="008B17DA">
        <w:t>,</w:t>
      </w:r>
    </w:p>
    <w:p w14:paraId="792B2161" w14:textId="2D6826AC" w:rsidR="00DD6C4F" w:rsidRDefault="00A80763" w:rsidP="00137FB8">
      <w:pPr>
        <w:pStyle w:val="ListParagraph"/>
        <w:numPr>
          <w:ilvl w:val="0"/>
          <w:numId w:val="16"/>
        </w:numPr>
      </w:pPr>
      <w:r>
        <w:t xml:space="preserve">kröfur vegna </w:t>
      </w:r>
      <w:proofErr w:type="spellStart"/>
      <w:r w:rsidR="00DD6C4F">
        <w:t>skuldagerninga</w:t>
      </w:r>
      <w:proofErr w:type="spellEnd"/>
      <w:r w:rsidR="00DD6C4F">
        <w:t xml:space="preserve"> sem uppfylla </w:t>
      </w:r>
      <w:r w:rsidR="00151D67">
        <w:t>eftirfarandi skilyrði:</w:t>
      </w:r>
    </w:p>
    <w:p w14:paraId="6B80B0B7" w14:textId="0FA05AFF" w:rsidR="00151D67" w:rsidRDefault="00151D67" w:rsidP="008B17DA">
      <w:pPr>
        <w:pStyle w:val="ListParagraph"/>
        <w:numPr>
          <w:ilvl w:val="1"/>
          <w:numId w:val="16"/>
        </w:numPr>
        <w:ind w:left="284" w:firstLine="0"/>
      </w:pPr>
      <w:r>
        <w:t>upphaflegur samningsbundinn lánstími er a.m.k. eitt ár</w:t>
      </w:r>
      <w:r w:rsidR="00487988">
        <w:t>,</w:t>
      </w:r>
    </w:p>
    <w:p w14:paraId="7C9BDC07" w14:textId="15CFA4B2" w:rsidR="00887A2D" w:rsidRDefault="00887A2D" w:rsidP="008B17DA">
      <w:pPr>
        <w:pStyle w:val="ListParagraph"/>
        <w:numPr>
          <w:ilvl w:val="1"/>
          <w:numId w:val="16"/>
        </w:numPr>
        <w:ind w:left="284" w:firstLine="0"/>
      </w:pPr>
      <w:proofErr w:type="spellStart"/>
      <w:r>
        <w:t>gerningarnir</w:t>
      </w:r>
      <w:proofErr w:type="spellEnd"/>
      <w:r>
        <w:t xml:space="preserve"> eru ekki afleiður eða hafa að geyma innbyggðar afleiður</w:t>
      </w:r>
      <w:r w:rsidR="009C5935">
        <w:t>,</w:t>
      </w:r>
      <w:r w:rsidR="00487988">
        <w:t xml:space="preserve"> og</w:t>
      </w:r>
    </w:p>
    <w:p w14:paraId="306C410B" w14:textId="77777777" w:rsidR="008B17DA" w:rsidRDefault="00487988" w:rsidP="008B17DA">
      <w:pPr>
        <w:pStyle w:val="ListParagraph"/>
        <w:numPr>
          <w:ilvl w:val="1"/>
          <w:numId w:val="16"/>
        </w:numPr>
        <w:ind w:left="284" w:firstLine="0"/>
      </w:pPr>
      <w:r>
        <w:t>s</w:t>
      </w:r>
      <w:r w:rsidR="00887A2D">
        <w:t>amningsskilmálar og</w:t>
      </w:r>
      <w:r>
        <w:t>,</w:t>
      </w:r>
      <w:r w:rsidR="00887A2D">
        <w:t xml:space="preserve"> </w:t>
      </w:r>
      <w:r w:rsidR="00F7051D">
        <w:t>ef við á</w:t>
      </w:r>
      <w:r>
        <w:t>,</w:t>
      </w:r>
      <w:r w:rsidR="00F7051D">
        <w:t xml:space="preserve"> </w:t>
      </w:r>
      <w:r w:rsidR="00887A2D">
        <w:t>útboðs</w:t>
      </w:r>
      <w:r w:rsidR="009F75F8">
        <w:t>- og skráningar</w:t>
      </w:r>
      <w:r w:rsidR="00887A2D">
        <w:t xml:space="preserve">lýsing </w:t>
      </w:r>
      <w:r w:rsidR="00F7051D">
        <w:t xml:space="preserve">sem unnin er í tengslum </w:t>
      </w:r>
    </w:p>
    <w:p w14:paraId="5CAC7349" w14:textId="04724FCE" w:rsidR="009A578F" w:rsidRDefault="00F7051D" w:rsidP="008B17DA">
      <w:pPr>
        <w:pStyle w:val="ListParagraph"/>
        <w:ind w:left="0" w:firstLine="0"/>
      </w:pPr>
      <w:r>
        <w:lastRenderedPageBreak/>
        <w:t xml:space="preserve">við útgáfuna </w:t>
      </w:r>
      <w:r w:rsidR="005D6658">
        <w:t xml:space="preserve">tilgreina forgangsröð samkvæmt þessum </w:t>
      </w:r>
      <w:proofErr w:type="spellStart"/>
      <w:r w:rsidR="005D6658">
        <w:t>tölul</w:t>
      </w:r>
      <w:proofErr w:type="spellEnd"/>
      <w:r w:rsidR="005D6658">
        <w:t>.</w:t>
      </w:r>
    </w:p>
    <w:p w14:paraId="725CC387" w14:textId="37B15130" w:rsidR="00C44D18" w:rsidRDefault="00A80763" w:rsidP="009A578F">
      <w:pPr>
        <w:pStyle w:val="ListParagraph"/>
        <w:numPr>
          <w:ilvl w:val="0"/>
          <w:numId w:val="16"/>
        </w:numPr>
      </w:pPr>
      <w:r>
        <w:t xml:space="preserve">kröfur vegna annarra </w:t>
      </w:r>
      <w:r w:rsidR="00C44D18">
        <w:t xml:space="preserve">víkjandi </w:t>
      </w:r>
      <w:r w:rsidR="00367350">
        <w:t>lán</w:t>
      </w:r>
      <w:r>
        <w:t>a</w:t>
      </w:r>
      <w:r w:rsidR="00C44D18">
        <w:t xml:space="preserve"> en viðeigandi </w:t>
      </w:r>
      <w:proofErr w:type="spellStart"/>
      <w:r w:rsidR="00C44D18">
        <w:t>fjármagnsgerninga</w:t>
      </w:r>
      <w:proofErr w:type="spellEnd"/>
      <w:r>
        <w:t>,</w:t>
      </w:r>
    </w:p>
    <w:p w14:paraId="7E94C05C" w14:textId="77777777" w:rsidR="008B17DA" w:rsidRDefault="00A80763" w:rsidP="009A578F">
      <w:pPr>
        <w:pStyle w:val="ListParagraph"/>
        <w:numPr>
          <w:ilvl w:val="0"/>
          <w:numId w:val="16"/>
        </w:numPr>
      </w:pPr>
      <w:r>
        <w:t xml:space="preserve">kröfur vegna </w:t>
      </w:r>
      <w:proofErr w:type="spellStart"/>
      <w:r w:rsidR="00CA3C61">
        <w:t>fjármagnsgerninga</w:t>
      </w:r>
      <w:proofErr w:type="spellEnd"/>
      <w:r w:rsidR="00CA3C61">
        <w:t xml:space="preserve"> og víkjandi lán</w:t>
      </w:r>
      <w:r>
        <w:t>a</w:t>
      </w:r>
      <w:r w:rsidR="00CA3C61">
        <w:t xml:space="preserve"> sem uppfylla skilyrði skv. 2. mgr. </w:t>
      </w:r>
    </w:p>
    <w:p w14:paraId="5DFE63A6" w14:textId="414B3DF5" w:rsidR="00CA3C61" w:rsidRDefault="00CA3C61" w:rsidP="008B17DA">
      <w:pPr>
        <w:ind w:firstLine="0"/>
      </w:pPr>
      <w:r>
        <w:t>84. gr. c laga um fjármálafyrirtæki,</w:t>
      </w:r>
    </w:p>
    <w:p w14:paraId="5E7D853B" w14:textId="77777777" w:rsidR="008B17DA" w:rsidRDefault="00A80763" w:rsidP="009A578F">
      <w:pPr>
        <w:pStyle w:val="ListParagraph"/>
        <w:numPr>
          <w:ilvl w:val="0"/>
          <w:numId w:val="16"/>
        </w:numPr>
      </w:pPr>
      <w:r>
        <w:t xml:space="preserve">kröfur vegna </w:t>
      </w:r>
      <w:proofErr w:type="spellStart"/>
      <w:r w:rsidR="00C53F85">
        <w:t>fjármagnsgerninga</w:t>
      </w:r>
      <w:proofErr w:type="spellEnd"/>
      <w:r w:rsidR="00C53F85">
        <w:t xml:space="preserve"> sem uppfylla skilyrði skv. 2. mgr. 84. gr. b laga um </w:t>
      </w:r>
    </w:p>
    <w:p w14:paraId="5EAC0BAB" w14:textId="6741B304" w:rsidR="00C53F85" w:rsidRDefault="00C53F85" w:rsidP="008B17DA">
      <w:pPr>
        <w:ind w:firstLine="0"/>
      </w:pPr>
      <w:r>
        <w:t>fjármálafyrirtæki,</w:t>
      </w:r>
    </w:p>
    <w:p w14:paraId="5E6F9C71" w14:textId="77777777" w:rsidR="00082DB1" w:rsidRDefault="00A80763" w:rsidP="007B1365">
      <w:pPr>
        <w:pStyle w:val="ListParagraph"/>
        <w:numPr>
          <w:ilvl w:val="0"/>
          <w:numId w:val="16"/>
        </w:numPr>
      </w:pPr>
      <w:r>
        <w:t xml:space="preserve">kröfur vegna </w:t>
      </w:r>
      <w:proofErr w:type="spellStart"/>
      <w:r w:rsidR="00F4688E">
        <w:t>fjármagnsgerninga</w:t>
      </w:r>
      <w:proofErr w:type="spellEnd"/>
      <w:r w:rsidR="00C53F85">
        <w:t xml:space="preserve"> skv. 84. gr. a laga um fjármálafyrirtæki.</w:t>
      </w:r>
    </w:p>
    <w:p w14:paraId="04AB86EC" w14:textId="3420A76C" w:rsidR="00FD1295" w:rsidRDefault="00082DB1" w:rsidP="00082DB1">
      <w:r>
        <w:t xml:space="preserve">Með </w:t>
      </w:r>
      <w:proofErr w:type="spellStart"/>
      <w:r>
        <w:t>skuldagerning</w:t>
      </w:r>
      <w:r w:rsidR="008F0A08">
        <w:t>um</w:t>
      </w:r>
      <w:proofErr w:type="spellEnd"/>
      <w:r>
        <w:t xml:space="preserve"> samkvæmt þessari grein er átt við</w:t>
      </w:r>
      <w:r w:rsidR="00472CF4">
        <w:t xml:space="preserve"> skuldabréf og aðrar </w:t>
      </w:r>
      <w:proofErr w:type="spellStart"/>
      <w:r w:rsidR="00472CF4">
        <w:t>framseljanlegar</w:t>
      </w:r>
      <w:proofErr w:type="spellEnd"/>
      <w:r w:rsidR="00472CF4">
        <w:t xml:space="preserve"> skuldir ásamt </w:t>
      </w:r>
      <w:proofErr w:type="spellStart"/>
      <w:r w:rsidR="00472CF4">
        <w:t>gerningum</w:t>
      </w:r>
      <w:proofErr w:type="spellEnd"/>
      <w:r w:rsidR="00472CF4">
        <w:t xml:space="preserve"> sem stofna til skuldar eða viðurkenna skuld</w:t>
      </w:r>
      <w:r>
        <w:t>.</w:t>
      </w:r>
    </w:p>
    <w:p w14:paraId="5E3D7258" w14:textId="7658929A" w:rsidR="00B82578" w:rsidRDefault="00B82578" w:rsidP="006F015B"/>
    <w:p w14:paraId="3EFD08B8" w14:textId="6D57AB84" w:rsidR="00B82578" w:rsidRDefault="00843B49" w:rsidP="00B82578">
      <w:pPr>
        <w:pStyle w:val="Greinarnmer"/>
      </w:pPr>
      <w:r>
        <w:t>1</w:t>
      </w:r>
      <w:r w:rsidR="006A68AD">
        <w:t>4</w:t>
      </w:r>
      <w:r w:rsidR="00B82578">
        <w:t>. gr.</w:t>
      </w:r>
    </w:p>
    <w:p w14:paraId="208D1310" w14:textId="013CDCA8" w:rsidR="00B82578" w:rsidRDefault="00B82578" w:rsidP="00B82578">
      <w:pPr>
        <w:pStyle w:val="Greinarfyrirsgn"/>
      </w:pPr>
      <w:r>
        <w:t>Breyting á öðrum lögum.</w:t>
      </w:r>
    </w:p>
    <w:p w14:paraId="16E9C1DF" w14:textId="0C08824D" w:rsidR="00B82578" w:rsidRDefault="00B82578" w:rsidP="00B82578">
      <w:pPr>
        <w:pStyle w:val="ListParagraph"/>
        <w:numPr>
          <w:ilvl w:val="0"/>
          <w:numId w:val="15"/>
        </w:numPr>
      </w:pPr>
      <w:r>
        <w:t>Lög um fjármálafyrirtæki, nr. 161/2002, með síðari breytingum:</w:t>
      </w:r>
    </w:p>
    <w:p w14:paraId="3D7B8144" w14:textId="1D2CEA93" w:rsidR="00B82578" w:rsidRDefault="00843B49" w:rsidP="00B82578">
      <w:pPr>
        <w:pStyle w:val="ListParagraph"/>
        <w:numPr>
          <w:ilvl w:val="1"/>
          <w:numId w:val="15"/>
        </w:numPr>
      </w:pPr>
      <w:r>
        <w:t xml:space="preserve">3. </w:t>
      </w:r>
      <w:r w:rsidR="00222E75">
        <w:t>m</w:t>
      </w:r>
      <w:r>
        <w:t xml:space="preserve">gr. 102. </w:t>
      </w:r>
      <w:r w:rsidR="00222E75">
        <w:t>g</w:t>
      </w:r>
      <w:r>
        <w:t xml:space="preserve">r. laganna orðast svo: </w:t>
      </w:r>
      <w:r w:rsidR="00222E75">
        <w:t xml:space="preserve">Ákvæði </w:t>
      </w:r>
      <w:r>
        <w:t xml:space="preserve">85. </w:t>
      </w:r>
      <w:r w:rsidR="00222E75">
        <w:t>g</w:t>
      </w:r>
      <w:r>
        <w:t xml:space="preserve">r. a laga um skilameðferð lánastofnana og verðbréfafyrirtækja </w:t>
      </w:r>
      <w:r w:rsidR="00222E75">
        <w:t xml:space="preserve">gildir </w:t>
      </w:r>
      <w:r>
        <w:t xml:space="preserve">um </w:t>
      </w:r>
      <w:r w:rsidR="00222E75">
        <w:t xml:space="preserve">rétthæð krafna </w:t>
      </w:r>
      <w:r w:rsidR="002C7AE1">
        <w:t xml:space="preserve">við slit á </w:t>
      </w:r>
      <w:r w:rsidR="00222E75">
        <w:t xml:space="preserve">fjármálafyrirtæki. </w:t>
      </w:r>
    </w:p>
    <w:p w14:paraId="1AAAB00A" w14:textId="3833FB17" w:rsidR="00B82578" w:rsidRDefault="00B82578" w:rsidP="00B82578">
      <w:pPr>
        <w:pStyle w:val="ListParagraph"/>
        <w:numPr>
          <w:ilvl w:val="0"/>
          <w:numId w:val="15"/>
        </w:numPr>
      </w:pPr>
      <w:r>
        <w:t>Lög um innstæðutryggingar og tryggingakerfi fyrir fjárfesta, með síðari breytingum:</w:t>
      </w:r>
    </w:p>
    <w:p w14:paraId="3D3482EA" w14:textId="5A13920A" w:rsidR="00B82578" w:rsidRDefault="00711D1E" w:rsidP="00B82578">
      <w:pPr>
        <w:pStyle w:val="ListParagraph"/>
        <w:numPr>
          <w:ilvl w:val="1"/>
          <w:numId w:val="15"/>
        </w:numPr>
      </w:pPr>
      <w:r>
        <w:t xml:space="preserve">Í stað orðanna „í samræmi við 1. mgr. 112. gr. laga um gjaldþrotaskipti o.fl. við gjaldþrotaskipti“ </w:t>
      </w:r>
      <w:r w:rsidR="003E3C1C">
        <w:t xml:space="preserve">í 2. </w:t>
      </w:r>
      <w:proofErr w:type="spellStart"/>
      <w:r w:rsidR="003E3C1C">
        <w:t>málsl</w:t>
      </w:r>
      <w:proofErr w:type="spellEnd"/>
      <w:r w:rsidR="003E3C1C">
        <w:t xml:space="preserve">. 3. mgr. 10. gr. laganna </w:t>
      </w:r>
      <w:r>
        <w:t xml:space="preserve">kemur: skv. </w:t>
      </w:r>
      <w:r w:rsidR="001F17E9">
        <w:t xml:space="preserve">a-lið </w:t>
      </w:r>
      <w:r>
        <w:t xml:space="preserve">1. </w:t>
      </w:r>
      <w:proofErr w:type="spellStart"/>
      <w:r>
        <w:t>tölul</w:t>
      </w:r>
      <w:proofErr w:type="spellEnd"/>
      <w:r>
        <w:t>. 1. mgr. 85. gr. a laga um skilameðferð lánastofnana og verðbréfafyrirtækja</w:t>
      </w:r>
    </w:p>
    <w:p w14:paraId="2EE9B25D" w14:textId="72D99CAE" w:rsidR="00C23B1F" w:rsidRPr="00C23B1F" w:rsidRDefault="00B82578" w:rsidP="007B1365">
      <w:pPr>
        <w:pStyle w:val="ListParagraph"/>
        <w:numPr>
          <w:ilvl w:val="1"/>
          <w:numId w:val="15"/>
        </w:numPr>
      </w:pPr>
      <w:r>
        <w:t xml:space="preserve">16. </w:t>
      </w:r>
      <w:r w:rsidR="00711D1E">
        <w:t>m</w:t>
      </w:r>
      <w:r>
        <w:t xml:space="preserve">gr. bráðabirgðaákvæðis II </w:t>
      </w:r>
      <w:r w:rsidR="00711D1E">
        <w:t>fellur brott.</w:t>
      </w:r>
    </w:p>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7508D08A" w14:textId="313C9F39" w:rsidR="00D0740D" w:rsidRDefault="00D0740D" w:rsidP="008D16E4">
      <w:pPr>
        <w:pStyle w:val="Millifyrirsgn1"/>
        <w:numPr>
          <w:ilvl w:val="0"/>
          <w:numId w:val="27"/>
        </w:numPr>
      </w:pPr>
      <w:r>
        <w:t xml:space="preserve">Inngangur. </w:t>
      </w:r>
    </w:p>
    <w:p w14:paraId="6E352395" w14:textId="50226EDA" w:rsidR="00D0740D" w:rsidRDefault="002C7CE6" w:rsidP="00D0740D">
      <w:r>
        <w:t xml:space="preserve">Frumvarp þetta var samið í fjármála- og efnahagsráðuneytinu í þeim tilgangi að innleiða í íslenskan rétt ákvæði </w:t>
      </w:r>
      <w:r w:rsidR="00D959AE">
        <w:t xml:space="preserve">tilskipunar Evrópuþingsins og ráðsins (ESB) </w:t>
      </w:r>
      <w:hyperlink r:id="rId8" w:history="1">
        <w:r w:rsidR="00D959AE" w:rsidRPr="006150BE">
          <w:rPr>
            <w:rStyle w:val="Hyperlink"/>
          </w:rPr>
          <w:t>2017/2399</w:t>
        </w:r>
      </w:hyperlink>
      <w:r w:rsidR="00D959AE">
        <w:t xml:space="preserve"> um breytingu á tilskipun 2014/59/ESB að því er varðar rétthæð ótryggðra </w:t>
      </w:r>
      <w:proofErr w:type="spellStart"/>
      <w:r w:rsidR="00D959AE">
        <w:t>skuldagerninga</w:t>
      </w:r>
      <w:proofErr w:type="spellEnd"/>
      <w:r w:rsidR="00D959AE">
        <w:t xml:space="preserve"> í réttindaröð við ógjaldfærni</w:t>
      </w:r>
      <w:r w:rsidR="009D7F07">
        <w:t>meðferð</w:t>
      </w:r>
      <w:r w:rsidR="00D959AE">
        <w:t xml:space="preserve">. Tilskipunin tók gildi í ríkjum ESB </w:t>
      </w:r>
      <w:r w:rsidR="004462DB">
        <w:t xml:space="preserve">þann </w:t>
      </w:r>
      <w:r w:rsidR="00D959AE">
        <w:t xml:space="preserve">28. desember 2017 og var tekin upp í EES-samninginn með ákvörðun sameiginlegu EES-nefndarinnar </w:t>
      </w:r>
      <w:r w:rsidR="00D959AE" w:rsidRPr="006150BE">
        <w:t xml:space="preserve">nr. </w:t>
      </w:r>
      <w:hyperlink r:id="rId9" w:history="1">
        <w:r w:rsidR="006150BE" w:rsidRPr="006150BE">
          <w:rPr>
            <w:rStyle w:val="Hyperlink"/>
          </w:rPr>
          <w:t>305/2019</w:t>
        </w:r>
      </w:hyperlink>
      <w:r w:rsidR="006150BE">
        <w:t xml:space="preserve"> frá 13. desember 2019.</w:t>
      </w:r>
      <w:r w:rsidR="00D959AE">
        <w:t xml:space="preserve"> </w:t>
      </w:r>
    </w:p>
    <w:p w14:paraId="07A3093D" w14:textId="77777777" w:rsidR="00D0740D" w:rsidRDefault="00D0740D" w:rsidP="00D0740D"/>
    <w:p w14:paraId="14A61140" w14:textId="3A224C3D" w:rsidR="00D0740D" w:rsidRDefault="00D0740D" w:rsidP="008D16E4">
      <w:pPr>
        <w:pStyle w:val="Millifyrirsgn1"/>
        <w:numPr>
          <w:ilvl w:val="0"/>
          <w:numId w:val="27"/>
        </w:numPr>
      </w:pPr>
      <w:r>
        <w:t xml:space="preserve">Tilefni og nauðsyn lagasetningar. </w:t>
      </w:r>
    </w:p>
    <w:p w14:paraId="2BB30A8C" w14:textId="6C39AC5C" w:rsidR="008D4EBD" w:rsidRDefault="008D4EBD" w:rsidP="00E82E2B">
      <w:r>
        <w:t>Í frumvarpinu er l</w:t>
      </w:r>
      <w:r w:rsidR="006150BE">
        <w:t xml:space="preserve">agt </w:t>
      </w:r>
      <w:r>
        <w:t>t</w:t>
      </w:r>
      <w:r w:rsidR="006150BE">
        <w:t>il að tilskipun (ESB) 2017/2399</w:t>
      </w:r>
      <w:r>
        <w:t xml:space="preserve"> </w:t>
      </w:r>
      <w:r w:rsidR="009D7F07">
        <w:t>að því er varðar</w:t>
      </w:r>
      <w:r>
        <w:t xml:space="preserve"> rétthæð ótryggðra </w:t>
      </w:r>
      <w:proofErr w:type="spellStart"/>
      <w:r>
        <w:t>skuldagerninga</w:t>
      </w:r>
      <w:proofErr w:type="spellEnd"/>
      <w:r>
        <w:t xml:space="preserve"> </w:t>
      </w:r>
      <w:r w:rsidR="009D7F07">
        <w:t xml:space="preserve">í réttindaröð </w:t>
      </w:r>
      <w:r w:rsidR="00E82E2B">
        <w:t xml:space="preserve">við ógjaldfærnimeðferð </w:t>
      </w:r>
      <w:r>
        <w:t>verði innleidd í íslenskan rétt</w:t>
      </w:r>
      <w:r w:rsidR="00E82E2B">
        <w:t xml:space="preserve">. </w:t>
      </w:r>
      <w:r>
        <w:t>Tilskipun</w:t>
      </w:r>
      <w:r w:rsidR="00E82E2B">
        <w:t>in</w:t>
      </w:r>
      <w:r>
        <w:t xml:space="preserve"> breytir tilskipun 2014/59/ESB um endurreisn og skilameðferð lánastofnana og verðbréfafyrirtækja </w:t>
      </w:r>
      <w:r w:rsidR="00367350">
        <w:t xml:space="preserve">(BRRD tilskipunin) </w:t>
      </w:r>
      <w:r>
        <w:t>en sú tilskipun hefur að meginstefnu til verið innleidd hér á landi með lögum nr. 54/2018 um breytingu á lögum um fjármálafyrirtæki, nr. 161/2002</w:t>
      </w:r>
      <w:r w:rsidR="00487988">
        <w:t>,</w:t>
      </w:r>
      <w:r>
        <w:t xml:space="preserve"> og lögum um skilameðferð lánastofnana og </w:t>
      </w:r>
      <w:r w:rsidRPr="00367350">
        <w:t xml:space="preserve">verðbréfafyrirtækja, nr. </w:t>
      </w:r>
      <w:r w:rsidR="00367350" w:rsidRPr="00367350">
        <w:t>70</w:t>
      </w:r>
      <w:r w:rsidRPr="00367350">
        <w:t>/</w:t>
      </w:r>
      <w:r w:rsidR="00367350" w:rsidRPr="00367350">
        <w:t>2020</w:t>
      </w:r>
      <w:r w:rsidRPr="00367350">
        <w:t>.</w:t>
      </w:r>
    </w:p>
    <w:p w14:paraId="039888F1" w14:textId="18FCF77A" w:rsidR="00885E97" w:rsidRDefault="006C140A" w:rsidP="00F4688E">
      <w:r>
        <w:t xml:space="preserve">Efni tilskipunar (ESB) 2017/2399 tengist kröfum </w:t>
      </w:r>
      <w:r w:rsidR="00720CF2">
        <w:t xml:space="preserve">IV. kafla </w:t>
      </w:r>
      <w:r>
        <w:t>laga</w:t>
      </w:r>
      <w:r w:rsidR="00720CF2">
        <w:t xml:space="preserve"> um skilameðferð lánastofnana og verðbréfafyrirtækja um lágmarkskröfu eiginfjárgrunn</w:t>
      </w:r>
      <w:r w:rsidR="009D7F07">
        <w:t>s</w:t>
      </w:r>
      <w:r w:rsidR="00720CF2">
        <w:t xml:space="preserve"> og hæf</w:t>
      </w:r>
      <w:r w:rsidR="009D7F07">
        <w:t>r</w:t>
      </w:r>
      <w:r w:rsidR="00720CF2">
        <w:t>a skuldbindinga (MREL</w:t>
      </w:r>
      <w:r w:rsidR="009D7F07">
        <w:t>-krafa</w:t>
      </w:r>
      <w:r w:rsidR="00720CF2">
        <w:t>). Til að koma í veg fyrir réttaróvissu á mörkuðum og fyrir fyrirtæki og einingar sem heyra undir gildissvið laga</w:t>
      </w:r>
      <w:r w:rsidR="00853BAF">
        <w:t xml:space="preserve"> um skilameðferð lánastofnana og verðbréfafyrirtækja</w:t>
      </w:r>
      <w:r w:rsidR="00720CF2">
        <w:t xml:space="preserve"> þykir mikilvægt að tryggja skýrleika varðandi hæfar skuldbindingar, þannig að þær geti uppfyllt </w:t>
      </w:r>
      <w:r w:rsidR="00F45F77">
        <w:t xml:space="preserve">MREL-kröfu sem </w:t>
      </w:r>
      <w:proofErr w:type="spellStart"/>
      <w:r w:rsidR="00F45F77">
        <w:t>skilavald</w:t>
      </w:r>
      <w:proofErr w:type="spellEnd"/>
      <w:r w:rsidR="00F45F77">
        <w:t xml:space="preserve"> Seðlabanka Íslands skal ákveða.</w:t>
      </w:r>
      <w:r w:rsidR="00DB2AA2">
        <w:t xml:space="preserve"> Fyrirtæki </w:t>
      </w:r>
      <w:r w:rsidR="009A5886">
        <w:t xml:space="preserve">munu </w:t>
      </w:r>
      <w:r w:rsidR="00DB2AA2">
        <w:t>uppfylla MREL</w:t>
      </w:r>
      <w:r w:rsidR="00F45F77">
        <w:t>-</w:t>
      </w:r>
      <w:r w:rsidR="00DB2AA2">
        <w:t xml:space="preserve">kröfurnar með </w:t>
      </w:r>
      <w:r w:rsidR="008745EA">
        <w:t xml:space="preserve">skuldabréfum sem eru undirskipuð </w:t>
      </w:r>
      <w:r w:rsidR="008745EA" w:rsidRPr="008745EA">
        <w:rPr>
          <w:i/>
          <w:iCs/>
        </w:rPr>
        <w:t xml:space="preserve">(e. </w:t>
      </w:r>
      <w:proofErr w:type="spellStart"/>
      <w:r w:rsidR="008745EA" w:rsidRPr="008745EA">
        <w:rPr>
          <w:i/>
          <w:iCs/>
        </w:rPr>
        <w:lastRenderedPageBreak/>
        <w:t>subordination</w:t>
      </w:r>
      <w:proofErr w:type="spellEnd"/>
      <w:r w:rsidR="008745EA" w:rsidRPr="008745EA">
        <w:rPr>
          <w:i/>
          <w:iCs/>
        </w:rPr>
        <w:t>)</w:t>
      </w:r>
      <w:r w:rsidR="00DB2AA2">
        <w:t xml:space="preserve"> til að lágmarka hættu á lagalegum ágreiningi við lánardrottna ef tap þeirra af skilameðferð verður meira en þeir hefðu þurft að þola ef fyrirtæki hefði verið tekið til slitameðferðar (</w:t>
      </w:r>
      <w:r w:rsidR="00DB2AA2" w:rsidRPr="00853BAF">
        <w:rPr>
          <w:i/>
          <w:iCs/>
        </w:rPr>
        <w:t xml:space="preserve">e. </w:t>
      </w:r>
      <w:proofErr w:type="spellStart"/>
      <w:r w:rsidR="00DB2AA2" w:rsidRPr="00853BAF">
        <w:rPr>
          <w:i/>
          <w:iCs/>
        </w:rPr>
        <w:t>no</w:t>
      </w:r>
      <w:proofErr w:type="spellEnd"/>
      <w:r w:rsidR="00DB2AA2" w:rsidRPr="00853BAF">
        <w:rPr>
          <w:i/>
          <w:iCs/>
        </w:rPr>
        <w:t xml:space="preserve"> </w:t>
      </w:r>
      <w:proofErr w:type="spellStart"/>
      <w:r w:rsidR="00DB2AA2" w:rsidRPr="00853BAF">
        <w:rPr>
          <w:i/>
          <w:iCs/>
        </w:rPr>
        <w:t>creditor</w:t>
      </w:r>
      <w:proofErr w:type="spellEnd"/>
      <w:r w:rsidR="00DB2AA2" w:rsidRPr="00853BAF">
        <w:rPr>
          <w:i/>
          <w:iCs/>
        </w:rPr>
        <w:t xml:space="preserve"> </w:t>
      </w:r>
      <w:proofErr w:type="spellStart"/>
      <w:r w:rsidR="00DB2AA2" w:rsidRPr="00853BAF">
        <w:rPr>
          <w:i/>
          <w:iCs/>
        </w:rPr>
        <w:t>worse</w:t>
      </w:r>
      <w:proofErr w:type="spellEnd"/>
      <w:r w:rsidR="00DB2AA2" w:rsidRPr="00853BAF">
        <w:rPr>
          <w:i/>
          <w:iCs/>
        </w:rPr>
        <w:t xml:space="preserve"> </w:t>
      </w:r>
      <w:proofErr w:type="spellStart"/>
      <w:r w:rsidR="00DB2AA2" w:rsidRPr="00853BAF">
        <w:rPr>
          <w:i/>
          <w:iCs/>
        </w:rPr>
        <w:t>off</w:t>
      </w:r>
      <w:proofErr w:type="spellEnd"/>
      <w:r w:rsidR="00DB2AA2" w:rsidRPr="00853BAF">
        <w:rPr>
          <w:i/>
          <w:iCs/>
        </w:rPr>
        <w:t xml:space="preserve"> </w:t>
      </w:r>
      <w:proofErr w:type="spellStart"/>
      <w:r w:rsidR="00DB2AA2" w:rsidRPr="00853BAF">
        <w:rPr>
          <w:i/>
          <w:iCs/>
        </w:rPr>
        <w:t>principle</w:t>
      </w:r>
      <w:proofErr w:type="spellEnd"/>
      <w:r w:rsidR="00DB2AA2">
        <w:t xml:space="preserve">). </w:t>
      </w:r>
      <w:r w:rsidR="001C437F">
        <w:t xml:space="preserve">Til að auka einsleitni á innri markaðnum </w:t>
      </w:r>
      <w:r w:rsidR="006A1BE2">
        <w:t>kveður tilskipun (ESB) 2017/2399 á um</w:t>
      </w:r>
      <w:r w:rsidR="001C437F">
        <w:t xml:space="preserve"> sameiginlega nálgun </w:t>
      </w:r>
      <w:r w:rsidR="00885E97">
        <w:t xml:space="preserve">á </w:t>
      </w:r>
      <w:r w:rsidR="001C437F">
        <w:t xml:space="preserve">forgangsröð </w:t>
      </w:r>
      <w:r w:rsidR="00885E97">
        <w:t xml:space="preserve">tiltekinna </w:t>
      </w:r>
      <w:r w:rsidR="001C437F">
        <w:t xml:space="preserve">krafna til að koma í veg fyrir réttaróvissu ef til skilameðferðar kemur. </w:t>
      </w:r>
      <w:r w:rsidR="00DB2AA2">
        <w:t xml:space="preserve"> </w:t>
      </w:r>
    </w:p>
    <w:p w14:paraId="35A33171" w14:textId="2C17FF34" w:rsidR="002E137E" w:rsidRPr="00BB6B1D" w:rsidRDefault="00C43939" w:rsidP="00F4688E">
      <w:pPr>
        <w:rPr>
          <w:bCs/>
        </w:rPr>
      </w:pPr>
      <w:r>
        <w:t xml:space="preserve">Lagt er til að efni tilskipunar (ESB) 2017/2399 verði innleitt með </w:t>
      </w:r>
      <w:r w:rsidR="009C5935">
        <w:t>breytingu á</w:t>
      </w:r>
      <w:r>
        <w:t xml:space="preserve"> lög</w:t>
      </w:r>
      <w:r w:rsidR="009C5935">
        <w:t>um</w:t>
      </w:r>
      <w:r>
        <w:t xml:space="preserve"> um skilameðferð lánastofnana og verðbréfafyrirtækja</w:t>
      </w:r>
      <w:r w:rsidR="00367350">
        <w:t>. Tilskipunin breytir meðal annars 108. gr. BRRD tilskipunarinnar</w:t>
      </w:r>
      <w:r w:rsidR="002E137E">
        <w:t xml:space="preserve"> með því að leggja til viðbætur við þ</w:t>
      </w:r>
      <w:r w:rsidR="00885E97">
        <w:t>á</w:t>
      </w:r>
      <w:r w:rsidR="002E137E">
        <w:t xml:space="preserve"> </w:t>
      </w:r>
      <w:r w:rsidR="00885E97">
        <w:t>grein</w:t>
      </w:r>
      <w:r w:rsidR="002E137E">
        <w:t xml:space="preserve">. Með lögum um skilameðferð lánastofnana og verðbréfafyrirtækja var 108. gr. BRRD tilskipunarinnar innleidd með </w:t>
      </w:r>
      <w:r w:rsidR="00825DF7">
        <w:t xml:space="preserve">breytingu á </w:t>
      </w:r>
      <w:r w:rsidR="00BE1EB0">
        <w:t>3. mgr. 102. gr. laga</w:t>
      </w:r>
      <w:r w:rsidR="00825DF7">
        <w:t xml:space="preserve"> um fjármálafyrirtæki </w:t>
      </w:r>
      <w:r w:rsidR="002E137E">
        <w:t>eins og sú grein hljóðaði fyrir þá breytingu sem leiðir af tilskipun (ESB) 2017/2399.</w:t>
      </w:r>
      <w:r w:rsidR="00825DF7">
        <w:t xml:space="preserve"> </w:t>
      </w:r>
      <w:r>
        <w:t>Efni tilskipunarinnar varðar rétthæð krafna bæði við skilameðferð og slitameðferð samkvæmt XII. kafla laga um fjármálafyrirtæki</w:t>
      </w:r>
      <w:r w:rsidR="00825DF7">
        <w:t xml:space="preserve"> en</w:t>
      </w:r>
      <w:r>
        <w:t xml:space="preserve"> hefur þó meiri tengsl við skilameðferð enda markmið reglna</w:t>
      </w:r>
      <w:r w:rsidR="00885E97">
        <w:t xml:space="preserve"> hennar</w:t>
      </w:r>
      <w:r>
        <w:t xml:space="preserve"> að styðja við skilvirka skilameðferð</w:t>
      </w:r>
      <w:r w:rsidR="00825DF7">
        <w:t xml:space="preserve">. </w:t>
      </w:r>
      <w:r w:rsidR="002E137E">
        <w:rPr>
          <w:bCs/>
        </w:rPr>
        <w:t>Slitameðferð getur ýmist komið til í framhaldi af skilameðferð eða sem sjálfstætt úrræði, ef skilameðferð á fyrirtæki þykir ekki nauðsynleg veg</w:t>
      </w:r>
      <w:r w:rsidR="00AB230C">
        <w:rPr>
          <w:bCs/>
        </w:rPr>
        <w:t>n</w:t>
      </w:r>
      <w:r w:rsidR="002E137E">
        <w:rPr>
          <w:bCs/>
        </w:rPr>
        <w:t>a almannahagsmuna.</w:t>
      </w:r>
    </w:p>
    <w:p w14:paraId="6AB46FC3" w14:textId="0E50C750" w:rsidR="00720CF2" w:rsidRDefault="002E137E" w:rsidP="00D0740D">
      <w:r>
        <w:t xml:space="preserve">Í frumvarpinu er lagt til að </w:t>
      </w:r>
      <w:r w:rsidRPr="002A3041">
        <w:t>sá hluti tilskipunar</w:t>
      </w:r>
      <w:r>
        <w:t xml:space="preserve"> (ESB) 2017/2399</w:t>
      </w:r>
      <w:r w:rsidRPr="002A3041">
        <w:t xml:space="preserve"> sem þegar hefur verið lögfestur </w:t>
      </w:r>
      <w:r>
        <w:t>í</w:t>
      </w:r>
      <w:r w:rsidRPr="002A3041">
        <w:t xml:space="preserve"> 3. mgr. 102. gr. laga um fjármálafyrirtæki verði </w:t>
      </w:r>
      <w:r w:rsidR="004462DB">
        <w:t>sameinaður</w:t>
      </w:r>
      <w:r w:rsidRPr="002A3041">
        <w:t xml:space="preserve"> </w:t>
      </w:r>
      <w:r>
        <w:t>lög</w:t>
      </w:r>
      <w:r w:rsidR="004462DB">
        <w:t>um</w:t>
      </w:r>
      <w:r>
        <w:t xml:space="preserve"> um skilameðferð lánastofnana og verðbréfafyrirtækja og verði þannig hluti af heildstæðri </w:t>
      </w:r>
      <w:r w:rsidR="00885E97">
        <w:t>forgangsröð krafna</w:t>
      </w:r>
      <w:r>
        <w:t xml:space="preserve">. </w:t>
      </w:r>
      <w:r>
        <w:rPr>
          <w:bCs/>
        </w:rPr>
        <w:t xml:space="preserve">Þannig megi ljóst vera hvaða forgang tilteknir flokkar krafna hafa, bæði ef fyrirtæki fer í skilameðferð og slitameðferð. </w:t>
      </w:r>
      <w:r w:rsidR="00825DF7">
        <w:t xml:space="preserve">Sú leið að staðsetja lagaákvæði um forgangsröð krafna við skila- og slitameðferð í heildarlögum um skilameðferð </w:t>
      </w:r>
      <w:r w:rsidR="00697C70">
        <w:t xml:space="preserve">lánastofnana og verðbréfafyrirtækja </w:t>
      </w:r>
      <w:r w:rsidR="00825DF7">
        <w:t xml:space="preserve">er í samræmi við </w:t>
      </w:r>
      <w:r w:rsidR="00697C70">
        <w:t xml:space="preserve">þá leið sem farin hefur verið á </w:t>
      </w:r>
      <w:r w:rsidR="004462DB">
        <w:t>flestum</w:t>
      </w:r>
      <w:r w:rsidR="00697C70">
        <w:t xml:space="preserve"> Norðurlöndu</w:t>
      </w:r>
      <w:r w:rsidR="004462DB">
        <w:t>nu</w:t>
      </w:r>
      <w:r w:rsidR="00697C70">
        <w:t xml:space="preserve">m.  </w:t>
      </w:r>
    </w:p>
    <w:p w14:paraId="0FD764B0" w14:textId="77777777" w:rsidR="00D0740D" w:rsidRDefault="00D0740D" w:rsidP="00D0740D"/>
    <w:p w14:paraId="553E7221" w14:textId="282A3E5B" w:rsidR="00D0740D" w:rsidRDefault="00D0740D" w:rsidP="008D16E4">
      <w:pPr>
        <w:pStyle w:val="Millifyrirsgn1"/>
        <w:numPr>
          <w:ilvl w:val="0"/>
          <w:numId w:val="27"/>
        </w:numPr>
      </w:pPr>
      <w:r>
        <w:t xml:space="preserve">Meginefni frumvarpsins. </w:t>
      </w:r>
    </w:p>
    <w:p w14:paraId="4A9C81BE" w14:textId="1BB3C3EA" w:rsidR="003C4374" w:rsidRDefault="009A5886" w:rsidP="00D0740D">
      <w:r>
        <w:t>Í frumvarpinu er</w:t>
      </w:r>
      <w:r w:rsidR="00885E97">
        <w:t>u</w:t>
      </w:r>
      <w:r>
        <w:t xml:space="preserve"> lagðar til breytingar á ákvæðum laga um skilameðferð lánastofnana og </w:t>
      </w:r>
      <w:r w:rsidRPr="00367350">
        <w:t xml:space="preserve">verðbréfafyrirtækja, nr. </w:t>
      </w:r>
      <w:r w:rsidR="00367350" w:rsidRPr="00367350">
        <w:t>70</w:t>
      </w:r>
      <w:r w:rsidRPr="00367350">
        <w:t>/</w:t>
      </w:r>
      <w:r w:rsidR="00367350" w:rsidRPr="00367350">
        <w:t>2020</w:t>
      </w:r>
      <w:r w:rsidRPr="00367350">
        <w:t xml:space="preserve">, </w:t>
      </w:r>
      <w:r w:rsidR="00E6017B" w:rsidRPr="00367350">
        <w:t>og afleiddar</w:t>
      </w:r>
      <w:r w:rsidR="00E6017B">
        <w:t xml:space="preserve"> breytingar á lögum um fjármálafyrirtæki, nr. 161/2002</w:t>
      </w:r>
      <w:r w:rsidR="00AB230C">
        <w:t>,</w:t>
      </w:r>
      <w:r w:rsidR="00E6017B">
        <w:t xml:space="preserve"> og lögum um innstæðutryggingar og tryggingakerfi fyrir fjárfesta, nr. 98/1999</w:t>
      </w:r>
      <w:r w:rsidR="00885E97">
        <w:t>.</w:t>
      </w:r>
      <w:r>
        <w:t xml:space="preserve"> Frumvarpið kveður á um reglur um forgangsröð krafna við skila- og slitameðferð.</w:t>
      </w:r>
      <w:r w:rsidR="009C3A27">
        <w:t xml:space="preserve"> </w:t>
      </w:r>
    </w:p>
    <w:p w14:paraId="598F2040" w14:textId="77777777" w:rsidR="00285A6B" w:rsidRDefault="00285A6B" w:rsidP="00285A6B">
      <w:pPr>
        <w:ind w:firstLine="0"/>
      </w:pPr>
    </w:p>
    <w:p w14:paraId="2A20F63C" w14:textId="2A6BC905" w:rsidR="003C4374" w:rsidRPr="008D16E4" w:rsidRDefault="003C4374" w:rsidP="008D16E4">
      <w:pPr>
        <w:pStyle w:val="ListParagraph"/>
        <w:numPr>
          <w:ilvl w:val="1"/>
          <w:numId w:val="27"/>
        </w:numPr>
        <w:rPr>
          <w:i/>
          <w:iCs/>
        </w:rPr>
      </w:pPr>
      <w:r w:rsidRPr="008D16E4">
        <w:rPr>
          <w:i/>
          <w:iCs/>
        </w:rPr>
        <w:t xml:space="preserve">Forgangsröð krafna vegna </w:t>
      </w:r>
      <w:proofErr w:type="spellStart"/>
      <w:r w:rsidRPr="008D16E4">
        <w:rPr>
          <w:i/>
          <w:iCs/>
        </w:rPr>
        <w:t>innstæðna</w:t>
      </w:r>
      <w:proofErr w:type="spellEnd"/>
      <w:r w:rsidR="00285A6B" w:rsidRPr="008D16E4">
        <w:rPr>
          <w:i/>
          <w:iCs/>
        </w:rPr>
        <w:t>.</w:t>
      </w:r>
    </w:p>
    <w:p w14:paraId="1B93B176" w14:textId="386284E3" w:rsidR="00960946" w:rsidRDefault="00285A6B" w:rsidP="00D0740D">
      <w:r>
        <w:t xml:space="preserve">Ákvæði </w:t>
      </w:r>
      <w:r w:rsidR="00556732">
        <w:t xml:space="preserve">2. mgr. </w:t>
      </w:r>
      <w:r>
        <w:t xml:space="preserve">1. gr. tilskipunar (ESB) 2017/2399 breytir 108. gr. </w:t>
      </w:r>
      <w:r w:rsidR="00556732">
        <w:t>BRRD tilskipunarinnar</w:t>
      </w:r>
      <w:r>
        <w:t xml:space="preserve"> með þeim hætti að kveðið er á um viðbætur við greinina. Ákvæði 1. mgr. 108. gr. </w:t>
      </w:r>
      <w:r w:rsidR="00556732">
        <w:t xml:space="preserve">BRRD </w:t>
      </w:r>
      <w:r>
        <w:t xml:space="preserve">tilskipunarinnar fjallar um rétthæð </w:t>
      </w:r>
      <w:r w:rsidR="009D7D62">
        <w:t xml:space="preserve">tiltekinna </w:t>
      </w:r>
      <w:proofErr w:type="spellStart"/>
      <w:r>
        <w:t>innstæðna</w:t>
      </w:r>
      <w:proofErr w:type="spellEnd"/>
      <w:r>
        <w:t xml:space="preserve"> og var </w:t>
      </w:r>
      <w:r w:rsidR="009D7D62">
        <w:t xml:space="preserve">ákvæðið </w:t>
      </w:r>
      <w:r>
        <w:t>innlei</w:t>
      </w:r>
      <w:r w:rsidR="009D7D62">
        <w:t>tt</w:t>
      </w:r>
      <w:r>
        <w:t xml:space="preserve"> með breytingu á 3. mgr. 102. gr. laga um fjármálafyrirtæki </w:t>
      </w:r>
      <w:r w:rsidR="00556732">
        <w:t xml:space="preserve">við </w:t>
      </w:r>
      <w:r>
        <w:t xml:space="preserve">gildistöku laga um skilameðferð lánastofnana og verðbréfafyrirtækja. </w:t>
      </w:r>
      <w:r w:rsidR="009D7D62">
        <w:t xml:space="preserve">Tilskipun (ESB) 2017/2399 kveður ekki á um breytingar á reglum um rétthæð </w:t>
      </w:r>
      <w:proofErr w:type="spellStart"/>
      <w:r w:rsidR="009D7D62">
        <w:t>innstæðna</w:t>
      </w:r>
      <w:proofErr w:type="spellEnd"/>
      <w:r w:rsidR="009D7D62">
        <w:t xml:space="preserve">. </w:t>
      </w:r>
      <w:r w:rsidR="00B122E0">
        <w:t>Í f</w:t>
      </w:r>
      <w:r w:rsidR="009D7D62">
        <w:t>rumvarp</w:t>
      </w:r>
      <w:r w:rsidR="00B122E0">
        <w:t>inu er</w:t>
      </w:r>
      <w:r w:rsidR="009D7D62">
        <w:t xml:space="preserve"> því ekki </w:t>
      </w:r>
      <w:r w:rsidR="00B122E0">
        <w:t xml:space="preserve">kveðið </w:t>
      </w:r>
      <w:r w:rsidR="009D7D62">
        <w:t xml:space="preserve">á um efnisbreytingar varðandi </w:t>
      </w:r>
      <w:r w:rsidR="00B122E0">
        <w:t xml:space="preserve">þá </w:t>
      </w:r>
      <w:r w:rsidR="009D7D62">
        <w:t xml:space="preserve">forgangsröð krafna </w:t>
      </w:r>
      <w:r w:rsidR="00913770">
        <w:t xml:space="preserve">vegna </w:t>
      </w:r>
      <w:proofErr w:type="spellStart"/>
      <w:r w:rsidR="00B122E0">
        <w:t>innstæð</w:t>
      </w:r>
      <w:r w:rsidR="00913770">
        <w:t>na</w:t>
      </w:r>
      <w:proofErr w:type="spellEnd"/>
      <w:r w:rsidR="00B122E0">
        <w:t xml:space="preserve"> sem þegar er í gildi lögum samkvæmt. Núgildandi forgangur krafna vegna </w:t>
      </w:r>
      <w:proofErr w:type="spellStart"/>
      <w:r w:rsidR="00B122E0">
        <w:t>innstæðna</w:t>
      </w:r>
      <w:proofErr w:type="spellEnd"/>
      <w:r w:rsidR="00B122E0">
        <w:t xml:space="preserve"> gildir </w:t>
      </w:r>
      <w:r w:rsidR="009D7D62">
        <w:t>um tryggðar innstæður, kr</w:t>
      </w:r>
      <w:r w:rsidR="00B122E0">
        <w:t>öfur</w:t>
      </w:r>
      <w:r w:rsidR="009D7D62">
        <w:t xml:space="preserve"> Tryggingasjóðs innstæðueiganda og fjárfesta (TIF) sem sjóðurinn hefur tekið yfir vegna tryggðra </w:t>
      </w:r>
      <w:proofErr w:type="spellStart"/>
      <w:r w:rsidR="009D7D62">
        <w:t>innstæðna</w:t>
      </w:r>
      <w:proofErr w:type="spellEnd"/>
      <w:r w:rsidR="009D7D62">
        <w:t xml:space="preserve"> og kr</w:t>
      </w:r>
      <w:r w:rsidR="00B122E0">
        <w:t>ö</w:t>
      </w:r>
      <w:r w:rsidR="009D7D62">
        <w:t>f</w:t>
      </w:r>
      <w:r w:rsidR="00B122E0">
        <w:t>ur</w:t>
      </w:r>
      <w:r w:rsidR="009D7D62">
        <w:t xml:space="preserve"> vegna tryggingarhæfra </w:t>
      </w:r>
      <w:proofErr w:type="spellStart"/>
      <w:r w:rsidR="009D7D62">
        <w:t>innstæðna</w:t>
      </w:r>
      <w:proofErr w:type="spellEnd"/>
      <w:r w:rsidR="009D7D62">
        <w:t xml:space="preserve"> einstaklinga, örfélaga, lítilla og meðalstórra félaga. Kröfur vegna tryggðra </w:t>
      </w:r>
      <w:proofErr w:type="spellStart"/>
      <w:r w:rsidR="009D7D62">
        <w:t>innstæðna</w:t>
      </w:r>
      <w:proofErr w:type="spellEnd"/>
      <w:r w:rsidR="009D7D62">
        <w:t xml:space="preserve"> og kröfur TIF njóta sem fyrr rétthæðar skv. 112. </w:t>
      </w:r>
      <w:r w:rsidR="00A6442E">
        <w:t>g</w:t>
      </w:r>
      <w:r w:rsidR="009D7D62">
        <w:t xml:space="preserve">r. laga um gjaldþrotaskipti o.fl. og kröfur vegna tryggingarhæfra </w:t>
      </w:r>
      <w:proofErr w:type="spellStart"/>
      <w:r w:rsidR="009D7D62">
        <w:t>innstæðna</w:t>
      </w:r>
      <w:proofErr w:type="spellEnd"/>
      <w:r w:rsidR="009D7D62">
        <w:t xml:space="preserve"> </w:t>
      </w:r>
      <w:r w:rsidR="00A6442E">
        <w:t>einstaklinga, örfélaga, lítilla og meðalstórra félaga ganga næstar</w:t>
      </w:r>
      <w:r w:rsidR="00E6017B">
        <w:t xml:space="preserve"> þar á eftir</w:t>
      </w:r>
      <w:r w:rsidR="00B122E0">
        <w:t>, sbr. núgildandi 3. mgr. 1</w:t>
      </w:r>
      <w:r w:rsidR="00853BAF">
        <w:t>0</w:t>
      </w:r>
      <w:r w:rsidR="00B122E0">
        <w:t>2. gr. laga um fjármálafyrirtæki</w:t>
      </w:r>
      <w:r w:rsidR="00A6442E">
        <w:t xml:space="preserve">. Orðalagi ákvæðanna er </w:t>
      </w:r>
      <w:r w:rsidR="00B122E0">
        <w:t xml:space="preserve">þó </w:t>
      </w:r>
      <w:r w:rsidR="00A6442E">
        <w:t xml:space="preserve">lítillega breytt til að auka skýrleika líkt og fram kemur í </w:t>
      </w:r>
      <w:r w:rsidR="00A6442E" w:rsidRPr="00196FE5">
        <w:t>skýringum við 1</w:t>
      </w:r>
      <w:r w:rsidR="000C7AE9" w:rsidRPr="00196FE5">
        <w:t>3</w:t>
      </w:r>
      <w:r w:rsidR="00A6442E" w:rsidRPr="00196FE5">
        <w:t>. gr. frumvarpsins</w:t>
      </w:r>
      <w:r w:rsidR="00A6442E">
        <w:t xml:space="preserve">. </w:t>
      </w:r>
    </w:p>
    <w:p w14:paraId="43BE7782" w14:textId="77751B54" w:rsidR="00A6442E" w:rsidRDefault="00B122E0" w:rsidP="00D0740D">
      <w:r>
        <w:t>Í frumvarpinu er l</w:t>
      </w:r>
      <w:r w:rsidR="00A6442E">
        <w:t xml:space="preserve">agt til að 3. mgr. 102. gr. laga um fjármálafyrirtæki verði </w:t>
      </w:r>
      <w:r w:rsidR="00960946">
        <w:t>samein</w:t>
      </w:r>
      <w:r w:rsidR="00853BAF">
        <w:t>uð</w:t>
      </w:r>
      <w:r w:rsidR="00960946">
        <w:t xml:space="preserve"> l</w:t>
      </w:r>
      <w:r w:rsidR="00853BAF">
        <w:t>ögum</w:t>
      </w:r>
      <w:r w:rsidR="00960946">
        <w:t xml:space="preserve"> um skilameðferð lánastofna og verðbréfafyrirtækja og komi þar fyrir sem hluti </w:t>
      </w:r>
      <w:r>
        <w:t xml:space="preserve">nýrrar </w:t>
      </w:r>
      <w:r w:rsidR="00960946">
        <w:t xml:space="preserve">greinar </w:t>
      </w:r>
      <w:r>
        <w:lastRenderedPageBreak/>
        <w:t xml:space="preserve">(tillaga að 85. gr. a laganna) </w:t>
      </w:r>
      <w:r w:rsidR="00960946">
        <w:t xml:space="preserve">sem staðsett verður í nýjum kafla </w:t>
      </w:r>
      <w:r>
        <w:t xml:space="preserve">þeirra </w:t>
      </w:r>
      <w:r w:rsidR="00960946">
        <w:t xml:space="preserve">laga </w:t>
      </w:r>
      <w:r w:rsidR="004462DB">
        <w:t xml:space="preserve">(tillaga að XIV. kafla A laganna) </w:t>
      </w:r>
      <w:r w:rsidR="00960946">
        <w:t xml:space="preserve">og fjallar um forgangsröð krafna, sbr. </w:t>
      </w:r>
      <w:r>
        <w:t xml:space="preserve">a- og </w:t>
      </w:r>
      <w:proofErr w:type="spellStart"/>
      <w:r>
        <w:t>b-liður</w:t>
      </w:r>
      <w:proofErr w:type="spellEnd"/>
      <w:r>
        <w:t xml:space="preserve"> </w:t>
      </w:r>
      <w:r w:rsidR="00960946">
        <w:t xml:space="preserve">1. </w:t>
      </w:r>
      <w:proofErr w:type="spellStart"/>
      <w:r w:rsidR="00960946">
        <w:t>tölul</w:t>
      </w:r>
      <w:proofErr w:type="spellEnd"/>
      <w:r w:rsidR="00960946">
        <w:t>. 1</w:t>
      </w:r>
      <w:r w:rsidR="000C7AE9">
        <w:t>3</w:t>
      </w:r>
      <w:r w:rsidR="00960946">
        <w:t>. gr. frumvarpsins</w:t>
      </w:r>
      <w:r w:rsidR="00D230CA">
        <w:t>.</w:t>
      </w:r>
      <w:r w:rsidR="00960946">
        <w:t xml:space="preserve"> </w:t>
      </w:r>
    </w:p>
    <w:p w14:paraId="34BB250F" w14:textId="1B1F7AA4" w:rsidR="00173BD7" w:rsidRDefault="00DE1B69" w:rsidP="00335EEA">
      <w:r>
        <w:t xml:space="preserve">Tilskipun (ESB) 2017/2399 kveður á um </w:t>
      </w:r>
      <w:proofErr w:type="spellStart"/>
      <w:r>
        <w:t>lágmarkssamræmingu</w:t>
      </w:r>
      <w:proofErr w:type="spellEnd"/>
      <w:r w:rsidR="00AE3D34">
        <w:t>,</w:t>
      </w:r>
      <w:r>
        <w:t xml:space="preserve"> </w:t>
      </w:r>
      <w:r w:rsidR="00AE3D34">
        <w:t xml:space="preserve">á rétthæð ótryggðra krafna sem stafa af </w:t>
      </w:r>
      <w:proofErr w:type="spellStart"/>
      <w:r w:rsidR="00AE3D34">
        <w:t>skuldagerningum</w:t>
      </w:r>
      <w:proofErr w:type="spellEnd"/>
      <w:r w:rsidR="00AE3D34">
        <w:t>, við ógjaldfærnimeðferð</w:t>
      </w:r>
      <w:r w:rsidR="00913770">
        <w:t>. Tilskipunin</w:t>
      </w:r>
      <w:r>
        <w:t xml:space="preserve"> </w:t>
      </w:r>
      <w:r w:rsidR="00AE3D34">
        <w:t xml:space="preserve">fjallar ekki um rétthæð </w:t>
      </w:r>
      <w:proofErr w:type="spellStart"/>
      <w:r w:rsidR="00AE3D34">
        <w:t>innstæðna</w:t>
      </w:r>
      <w:proofErr w:type="spellEnd"/>
      <w:r w:rsidR="00AE3D34">
        <w:t xml:space="preserve"> umfram </w:t>
      </w:r>
      <w:r w:rsidR="00913770">
        <w:t xml:space="preserve">það sem leiðir af </w:t>
      </w:r>
      <w:r w:rsidR="00AE3D34">
        <w:t>ákvæð</w:t>
      </w:r>
      <w:r w:rsidR="00913770">
        <w:t>um 108. gr.</w:t>
      </w:r>
      <w:r w:rsidR="00AE3D34">
        <w:t xml:space="preserve"> tilskipunar 2014/59/ESB, sem innleidd hafa verið og fram koma í 3. </w:t>
      </w:r>
      <w:r w:rsidR="003B47EB">
        <w:t>m</w:t>
      </w:r>
      <w:r w:rsidR="00AE3D34">
        <w:t xml:space="preserve">gr. 102. </w:t>
      </w:r>
      <w:r w:rsidR="003B47EB">
        <w:t>g</w:t>
      </w:r>
      <w:r w:rsidR="00AE3D34">
        <w:t>r. laga um fjármálafyrirtæki. A</w:t>
      </w:r>
      <w:r>
        <w:t xml:space="preserve">ðildarríkjum </w:t>
      </w:r>
      <w:r w:rsidR="00AE3D34">
        <w:t xml:space="preserve">er því </w:t>
      </w:r>
      <w:r>
        <w:t xml:space="preserve">heimilt að </w:t>
      </w:r>
      <w:r w:rsidR="00A04176">
        <w:t xml:space="preserve">hafa í gildi eða lögfesta viðbótarreglur um forgang krafna vegna </w:t>
      </w:r>
      <w:proofErr w:type="spellStart"/>
      <w:r w:rsidR="00A04176">
        <w:t>innstæðna</w:t>
      </w:r>
      <w:proofErr w:type="spellEnd"/>
      <w:r w:rsidR="00A04176">
        <w:t xml:space="preserve">. Ýmis aðildarríki á borð við </w:t>
      </w:r>
      <w:r w:rsidR="00B33203">
        <w:t>Ítalíu, Portúgal, Grikkland, Kýpur, Slóveníu og Slóvakíu</w:t>
      </w:r>
      <w:r w:rsidR="00A04176">
        <w:t xml:space="preserve"> hafa ákveðið að fara þá leið og </w:t>
      </w:r>
      <w:r w:rsidR="00212B83">
        <w:t>veita</w:t>
      </w:r>
      <w:r w:rsidR="00A04176">
        <w:t xml:space="preserve"> í landsrétti sínum öllum </w:t>
      </w:r>
      <w:r w:rsidR="00212B83">
        <w:t xml:space="preserve">kröfum </w:t>
      </w:r>
      <w:r w:rsidR="00913770">
        <w:t xml:space="preserve">vegna </w:t>
      </w:r>
      <w:proofErr w:type="spellStart"/>
      <w:r w:rsidR="00A04176">
        <w:t>innstæð</w:t>
      </w:r>
      <w:r w:rsidR="00913770">
        <w:t>na</w:t>
      </w:r>
      <w:proofErr w:type="spellEnd"/>
      <w:r w:rsidR="00A04176">
        <w:t xml:space="preserve"> aukinn forgang umfram almennar ótryggðar kröfur.</w:t>
      </w:r>
      <w:r>
        <w:t xml:space="preserve"> </w:t>
      </w:r>
      <w:r w:rsidR="00B33203">
        <w:t xml:space="preserve">Þessi aðildarríki eiga það sameiginleg að innlán eru veigamesti hluti skuldafjármögnunar bankakerfis í viðkomandi ríkjum. </w:t>
      </w:r>
      <w:r w:rsidR="000B6719">
        <w:t xml:space="preserve">Að beiðni ráðuneytisins gerði </w:t>
      </w:r>
      <w:r w:rsidR="00173BD7">
        <w:t>Seðlabank</w:t>
      </w:r>
      <w:r w:rsidR="000B68E1">
        <w:t>i</w:t>
      </w:r>
      <w:r w:rsidR="00173BD7">
        <w:t xml:space="preserve"> Íslands greiningu á álitaefninu </w:t>
      </w:r>
      <w:r w:rsidR="00990762">
        <w:t xml:space="preserve">um rétthæð krafna vegna </w:t>
      </w:r>
      <w:proofErr w:type="spellStart"/>
      <w:r w:rsidR="00990762">
        <w:t>innstæðna</w:t>
      </w:r>
      <w:proofErr w:type="spellEnd"/>
      <w:r w:rsidR="00990762">
        <w:t xml:space="preserve"> </w:t>
      </w:r>
      <w:r w:rsidR="00173BD7">
        <w:t xml:space="preserve">og </w:t>
      </w:r>
      <w:r w:rsidR="00913770">
        <w:t xml:space="preserve">færði </w:t>
      </w:r>
      <w:r w:rsidR="00D53C4B">
        <w:t xml:space="preserve">í kjölfarið </w:t>
      </w:r>
      <w:r w:rsidR="00173BD7">
        <w:t>r</w:t>
      </w:r>
      <w:r w:rsidR="00B33203">
        <w:t xml:space="preserve">öksemdir fyrir þeirri leið </w:t>
      </w:r>
      <w:r w:rsidR="00173BD7">
        <w:t>að veita öllum innstæðum forgang umfram almennar kröfur</w:t>
      </w:r>
      <w:r w:rsidR="00D86EEE">
        <w:t>.</w:t>
      </w:r>
      <w:r w:rsidR="00173BD7">
        <w:t xml:space="preserve"> Röksemdirnar eru eftirfarandi:</w:t>
      </w:r>
    </w:p>
    <w:p w14:paraId="163FA537" w14:textId="68915543" w:rsidR="00173BD7" w:rsidRDefault="00173BD7" w:rsidP="00990762">
      <w:pPr>
        <w:pStyle w:val="ListParagraph"/>
        <w:numPr>
          <w:ilvl w:val="0"/>
          <w:numId w:val="30"/>
        </w:numPr>
        <w:ind w:left="568" w:hanging="284"/>
      </w:pPr>
      <w:r>
        <w:t>Innstæður eru veigamesta fjármögnun bankakerfisins, yfir 60% af skuldafjármögnun bankanna, en einnig kvikasta fjármögnun kerfisins þar sem 90% af innstæðum eru óbundnar eða með binditíma innan við þrjá mánuði. Að forgangsraða innstæðum ofar en almennum ótryggðum kröfum minnkar líkur á fjármagnsflótta á álagstímum.</w:t>
      </w:r>
    </w:p>
    <w:p w14:paraId="2A80CDA6" w14:textId="0081B042" w:rsidR="00173BD7" w:rsidRDefault="00173BD7" w:rsidP="00990762">
      <w:pPr>
        <w:pStyle w:val="ListParagraph"/>
        <w:numPr>
          <w:ilvl w:val="0"/>
          <w:numId w:val="30"/>
        </w:numPr>
        <w:ind w:left="568" w:hanging="284"/>
      </w:pPr>
      <w:r>
        <w:t>Eigendur svokallaðra SP-skuldabréfa (</w:t>
      </w:r>
      <w:r w:rsidRPr="00173BD7">
        <w:rPr>
          <w:i/>
          <w:iCs/>
        </w:rPr>
        <w:t xml:space="preserve">e. </w:t>
      </w:r>
      <w:proofErr w:type="spellStart"/>
      <w:r w:rsidRPr="00173BD7">
        <w:rPr>
          <w:i/>
          <w:iCs/>
        </w:rPr>
        <w:t>Senior</w:t>
      </w:r>
      <w:proofErr w:type="spellEnd"/>
      <w:r w:rsidRPr="00173BD7">
        <w:rPr>
          <w:i/>
          <w:iCs/>
        </w:rPr>
        <w:t xml:space="preserve"> </w:t>
      </w:r>
      <w:proofErr w:type="spellStart"/>
      <w:r w:rsidRPr="00173BD7">
        <w:rPr>
          <w:i/>
          <w:iCs/>
        </w:rPr>
        <w:t>Preferred</w:t>
      </w:r>
      <w:proofErr w:type="spellEnd"/>
      <w:r>
        <w:t>) eru að jafnaði vel upplýstir fagfjárfestar</w:t>
      </w:r>
      <w:r w:rsidR="002537F6">
        <w:t xml:space="preserve"> og betur til þess fallnir en eigendur </w:t>
      </w:r>
      <w:proofErr w:type="spellStart"/>
      <w:r w:rsidR="002537F6">
        <w:t>innstæðna</w:t>
      </w:r>
      <w:proofErr w:type="spellEnd"/>
      <w:r w:rsidR="002537F6">
        <w:t xml:space="preserve"> að meta efnahag og rekstur banka. Að sama skapi gera þeir sér betur grein fyrir áhrifum laga um skilameðferð lánastofnana og verðbréfafyrirtækja á starfsemi þeirra, þ.m.t. umbreytingu skulda í </w:t>
      </w:r>
      <w:r w:rsidR="000B68E1">
        <w:t>almennt eigið fé</w:t>
      </w:r>
      <w:r w:rsidR="002537F6">
        <w:t xml:space="preserve"> við beitingu á skilaúrræðinu eftirgjöf.</w:t>
      </w:r>
    </w:p>
    <w:p w14:paraId="2A8200B4" w14:textId="3B417D41" w:rsidR="002537F6" w:rsidRDefault="002537F6" w:rsidP="00990762">
      <w:pPr>
        <w:pStyle w:val="ListParagraph"/>
        <w:numPr>
          <w:ilvl w:val="0"/>
          <w:numId w:val="30"/>
        </w:numPr>
        <w:ind w:left="568" w:hanging="284"/>
      </w:pPr>
      <w:r>
        <w:t xml:space="preserve">Ef allar innstæður eru ofar í forgangsröð en almennar ótryggðar kröfur geta SP-skuldabréf nýst til að uppfylla MREL-kröfur fjármálafyrirtækja, bæði til skamms tíma og til framtíðar litið. Slík kröfuröð mun stuðla að því að fjármálafyrirtæki geta þegar uppfyllt </w:t>
      </w:r>
      <w:r w:rsidR="005656AC">
        <w:t>skilyrði MREL-kröfu</w:t>
      </w:r>
      <w:r>
        <w:t xml:space="preserve"> um undirskipan (</w:t>
      </w:r>
      <w:r w:rsidRPr="000B68E1">
        <w:rPr>
          <w:i/>
          <w:iCs/>
        </w:rPr>
        <w:t xml:space="preserve">e. </w:t>
      </w:r>
      <w:proofErr w:type="spellStart"/>
      <w:r w:rsidRPr="000B68E1">
        <w:rPr>
          <w:i/>
          <w:iCs/>
        </w:rPr>
        <w:t>subordination</w:t>
      </w:r>
      <w:proofErr w:type="spellEnd"/>
      <w:r>
        <w:t>)</w:t>
      </w:r>
      <w:r w:rsidR="005656AC">
        <w:t xml:space="preserve">. Þannig geta </w:t>
      </w:r>
      <w:proofErr w:type="spellStart"/>
      <w:r>
        <w:t>fjármagnsgerningar</w:t>
      </w:r>
      <w:proofErr w:type="spellEnd"/>
      <w:r>
        <w:t xml:space="preserve"> </w:t>
      </w:r>
      <w:r w:rsidR="005656AC">
        <w:t xml:space="preserve">(SP-skuldabréf) </w:t>
      </w:r>
      <w:r>
        <w:t xml:space="preserve">sem </w:t>
      </w:r>
      <w:r w:rsidR="00D06606">
        <w:t>falla í flokk</w:t>
      </w:r>
      <w:r>
        <w:t xml:space="preserve"> almenn</w:t>
      </w:r>
      <w:r w:rsidR="00D06606">
        <w:t>ra</w:t>
      </w:r>
      <w:r>
        <w:t xml:space="preserve"> ótryggð</w:t>
      </w:r>
      <w:r w:rsidR="00D06606">
        <w:t>ra</w:t>
      </w:r>
      <w:r>
        <w:t xml:space="preserve"> kr</w:t>
      </w:r>
      <w:r w:rsidR="00D06606">
        <w:t>a</w:t>
      </w:r>
      <w:r>
        <w:t>f</w:t>
      </w:r>
      <w:r w:rsidR="00D06606">
        <w:t>na</w:t>
      </w:r>
      <w:r>
        <w:t xml:space="preserve"> </w:t>
      </w:r>
      <w:r w:rsidR="005656AC">
        <w:t>verið</w:t>
      </w:r>
      <w:r>
        <w:t xml:space="preserve"> hluti af MREL-kröfu og ný</w:t>
      </w:r>
      <w:r w:rsidR="005656AC">
        <w:t>st</w:t>
      </w:r>
      <w:r>
        <w:t xml:space="preserve"> til endurfjármögnunar fjármálafyrirtækis, án þess að brotið sé á öðrum lánardrottnum, ef fyrirtækið er á falland</w:t>
      </w:r>
      <w:r w:rsidR="000B68E1">
        <w:t>a</w:t>
      </w:r>
      <w:r>
        <w:t xml:space="preserve"> fæti og nauðsynlegt að taka það til skilameðferðar.</w:t>
      </w:r>
    </w:p>
    <w:p w14:paraId="433C7091" w14:textId="24DB3775" w:rsidR="00010FA6" w:rsidRDefault="000B68E1" w:rsidP="00010FA6">
      <w:r>
        <w:t xml:space="preserve">Auk framangreindra röksemda </w:t>
      </w:r>
      <w:r w:rsidR="000B6719">
        <w:t>telur ráðuneytið að horfa beri</w:t>
      </w:r>
      <w:r w:rsidR="00990762">
        <w:t xml:space="preserve"> </w:t>
      </w:r>
      <w:r w:rsidR="002537F6">
        <w:t xml:space="preserve">til þess að allar innstæður </w:t>
      </w:r>
      <w:r w:rsidR="00D86EEE">
        <w:t>hafa verið</w:t>
      </w:r>
      <w:r w:rsidR="002537F6">
        <w:t xml:space="preserve"> </w:t>
      </w:r>
      <w:r w:rsidR="005656AC">
        <w:t>rétthærri en</w:t>
      </w:r>
      <w:r w:rsidR="00D86EEE">
        <w:t xml:space="preserve"> almenn</w:t>
      </w:r>
      <w:r w:rsidR="005656AC">
        <w:t>ar</w:t>
      </w:r>
      <w:r w:rsidR="00D86EEE">
        <w:t xml:space="preserve"> ótryggð</w:t>
      </w:r>
      <w:r w:rsidR="005656AC">
        <w:t>ar</w:t>
      </w:r>
      <w:r w:rsidR="00D86EEE">
        <w:t xml:space="preserve"> kröf</w:t>
      </w:r>
      <w:r w:rsidR="005656AC">
        <w:t>ur</w:t>
      </w:r>
      <w:r w:rsidR="00D86EEE">
        <w:t xml:space="preserve"> í forgangsröð undanfarinn áratug.</w:t>
      </w:r>
      <w:r w:rsidR="002537F6">
        <w:t xml:space="preserve"> </w:t>
      </w:r>
      <w:r w:rsidR="00D86EEE">
        <w:t xml:space="preserve">Áframhaldandi forgangur </w:t>
      </w:r>
      <w:proofErr w:type="spellStart"/>
      <w:r w:rsidR="00D86EEE">
        <w:t>innstæðna</w:t>
      </w:r>
      <w:proofErr w:type="spellEnd"/>
      <w:r w:rsidR="00D86EEE">
        <w:t xml:space="preserve"> myndar samfellu við það réttarástand sem hefur verið við lýði hér á landi og </w:t>
      </w:r>
      <w:r w:rsidR="00010FA6">
        <w:t>ætti að vera</w:t>
      </w:r>
      <w:r w:rsidR="00D86EEE">
        <w:t xml:space="preserve"> til þess fallinn að skapa </w:t>
      </w:r>
      <w:r w:rsidR="000B6719">
        <w:t>traust</w:t>
      </w:r>
      <w:r w:rsidR="00D86EEE">
        <w:t xml:space="preserve"> um fjármálakerfið, </w:t>
      </w:r>
      <w:r w:rsidR="000B6719">
        <w:t xml:space="preserve">ekki síst </w:t>
      </w:r>
      <w:r w:rsidR="00D86EEE">
        <w:t>ef áf</w:t>
      </w:r>
      <w:r w:rsidR="005656AC">
        <w:t>öll raungerast.</w:t>
      </w:r>
      <w:r w:rsidR="00010FA6">
        <w:t xml:space="preserve"> Það kunni svo að hafa jákvæð áhrif á fjármálastöðugleika.</w:t>
      </w:r>
    </w:p>
    <w:p w14:paraId="6D031A2F" w14:textId="7F2CA8B9" w:rsidR="00BE4349" w:rsidRDefault="00990762" w:rsidP="00010FA6">
      <w:r w:rsidRPr="00DE1B69">
        <w:t xml:space="preserve">Í frumvarpinu er </w:t>
      </w:r>
      <w:r w:rsidR="00010FA6">
        <w:t xml:space="preserve">því </w:t>
      </w:r>
      <w:r w:rsidRPr="00DE1B69">
        <w:t xml:space="preserve">lagt til að </w:t>
      </w:r>
      <w:r>
        <w:t xml:space="preserve">svigrúm í Evrópureglunum verði nýtt með því að kveða á um aukinn forgang annarra krafna </w:t>
      </w:r>
      <w:r w:rsidR="00913770">
        <w:t xml:space="preserve">vegna </w:t>
      </w:r>
      <w:proofErr w:type="spellStart"/>
      <w:r>
        <w:t>innstæð</w:t>
      </w:r>
      <w:r w:rsidR="00913770">
        <w:t>na</w:t>
      </w:r>
      <w:proofErr w:type="spellEnd"/>
      <w:r>
        <w:t xml:space="preserve"> en </w:t>
      </w:r>
      <w:r w:rsidR="00913770">
        <w:t xml:space="preserve">þeirra </w:t>
      </w:r>
      <w:r>
        <w:t xml:space="preserve">sem þegar njóta forgangs. </w:t>
      </w:r>
      <w:r w:rsidR="00D86EEE">
        <w:t xml:space="preserve">Í </w:t>
      </w:r>
      <w:r w:rsidR="00010FA6">
        <w:t>frumvarpinu</w:t>
      </w:r>
      <w:r w:rsidR="00FB2716">
        <w:t xml:space="preserve"> er </w:t>
      </w:r>
      <w:r w:rsidR="00010FA6">
        <w:t xml:space="preserve">því </w:t>
      </w:r>
      <w:r>
        <w:t xml:space="preserve">kveðið á um </w:t>
      </w:r>
      <w:r w:rsidR="00FB2716">
        <w:t xml:space="preserve">að kröfur vegna tryggingarhæfra </w:t>
      </w:r>
      <w:proofErr w:type="spellStart"/>
      <w:r w:rsidR="00FB2716">
        <w:t>innstæðna</w:t>
      </w:r>
      <w:proofErr w:type="spellEnd"/>
      <w:r w:rsidR="00FB2716">
        <w:t xml:space="preserve"> stórra félaga gangi næstar kröfum vegna tryggingarhæfra </w:t>
      </w:r>
      <w:proofErr w:type="spellStart"/>
      <w:r w:rsidR="00FB2716">
        <w:t>innstæðna</w:t>
      </w:r>
      <w:proofErr w:type="spellEnd"/>
      <w:r w:rsidR="00FB2716">
        <w:t xml:space="preserve"> einstaklinga, </w:t>
      </w:r>
      <w:r w:rsidR="00B122E0">
        <w:t xml:space="preserve">örfélaga, </w:t>
      </w:r>
      <w:r w:rsidR="00FB2716">
        <w:t xml:space="preserve">lítilla og meðalstórra félaga og þar næst gangi kröfur vegna annarra </w:t>
      </w:r>
      <w:proofErr w:type="spellStart"/>
      <w:r w:rsidR="00FB2716">
        <w:t>innstæðna</w:t>
      </w:r>
      <w:proofErr w:type="spellEnd"/>
      <w:r w:rsidR="00FB2716">
        <w:t xml:space="preserve">, þ.e. þeirra sem ekki teljast til tryggingarhæfra </w:t>
      </w:r>
      <w:proofErr w:type="spellStart"/>
      <w:r w:rsidR="00FB2716">
        <w:t>innstæðna</w:t>
      </w:r>
      <w:proofErr w:type="spellEnd"/>
      <w:r w:rsidR="00FB2716" w:rsidRPr="00BE4349">
        <w:t xml:space="preserve">. </w:t>
      </w:r>
      <w:r w:rsidR="00BE4349" w:rsidRPr="00BE4349">
        <w:t xml:space="preserve">Af þessu leiðir að kröfur vegna allra </w:t>
      </w:r>
      <w:proofErr w:type="spellStart"/>
      <w:r w:rsidR="00BE4349" w:rsidRPr="00BE4349">
        <w:t>innstæðna</w:t>
      </w:r>
      <w:proofErr w:type="spellEnd"/>
      <w:r w:rsidR="00BE4349" w:rsidRPr="00BE4349">
        <w:t xml:space="preserve"> verða rétthærri en almennar ótryggðar kröfur. Fjallað</w:t>
      </w:r>
      <w:r w:rsidR="00BE4349">
        <w:t xml:space="preserve"> er um hugtökin „tryggð innstæða“, „tryggingarhæf innstæða“ og „stórt félag“ í skýringum við 1. </w:t>
      </w:r>
      <w:proofErr w:type="spellStart"/>
      <w:r w:rsidR="00BE4349">
        <w:t>tölul</w:t>
      </w:r>
      <w:proofErr w:type="spellEnd"/>
      <w:r w:rsidR="00BE4349">
        <w:t xml:space="preserve">. 1. mgr. 13. gr. frumvarpsins. </w:t>
      </w:r>
    </w:p>
    <w:p w14:paraId="59E60851" w14:textId="608A62A1" w:rsidR="009D7D62" w:rsidRDefault="009D7D62" w:rsidP="00D0740D"/>
    <w:p w14:paraId="4A964A5D" w14:textId="6F51B126" w:rsidR="003C4374" w:rsidRPr="008D16E4" w:rsidRDefault="00C456EA" w:rsidP="008D16E4">
      <w:pPr>
        <w:pStyle w:val="ListParagraph"/>
        <w:numPr>
          <w:ilvl w:val="1"/>
          <w:numId w:val="27"/>
        </w:numPr>
        <w:rPr>
          <w:i/>
          <w:iCs/>
        </w:rPr>
      </w:pPr>
      <w:r w:rsidRPr="008D16E4">
        <w:rPr>
          <w:i/>
          <w:iCs/>
        </w:rPr>
        <w:t xml:space="preserve">Nýr forgangsflokkur </w:t>
      </w:r>
      <w:r w:rsidR="00B30859">
        <w:rPr>
          <w:i/>
          <w:iCs/>
        </w:rPr>
        <w:t>undirskipaðra</w:t>
      </w:r>
      <w:r w:rsidR="00B30859" w:rsidRPr="008D16E4">
        <w:rPr>
          <w:i/>
          <w:iCs/>
        </w:rPr>
        <w:t xml:space="preserve"> </w:t>
      </w:r>
      <w:proofErr w:type="spellStart"/>
      <w:r w:rsidRPr="008D16E4">
        <w:rPr>
          <w:i/>
          <w:iCs/>
        </w:rPr>
        <w:t>skuldagerninga</w:t>
      </w:r>
      <w:proofErr w:type="spellEnd"/>
      <w:r w:rsidRPr="008D16E4">
        <w:rPr>
          <w:i/>
          <w:iCs/>
        </w:rPr>
        <w:t>.</w:t>
      </w:r>
    </w:p>
    <w:p w14:paraId="670E5BBD" w14:textId="46582732" w:rsidR="006448CB" w:rsidRDefault="009649D5" w:rsidP="00D0740D">
      <w:r>
        <w:lastRenderedPageBreak/>
        <w:t xml:space="preserve">Í frumvarpinu er </w:t>
      </w:r>
      <w:r w:rsidR="009C3A27">
        <w:t xml:space="preserve">kveðið á um nýjan flokk </w:t>
      </w:r>
      <w:r w:rsidR="00B30859">
        <w:t xml:space="preserve">undirskipaðra </w:t>
      </w:r>
      <w:r w:rsidR="00B30859" w:rsidRPr="00B30859">
        <w:rPr>
          <w:i/>
          <w:iCs/>
        </w:rPr>
        <w:t xml:space="preserve">(e. </w:t>
      </w:r>
      <w:proofErr w:type="spellStart"/>
      <w:r w:rsidR="00B30859" w:rsidRPr="00B30859">
        <w:rPr>
          <w:i/>
          <w:iCs/>
        </w:rPr>
        <w:t>subordination</w:t>
      </w:r>
      <w:proofErr w:type="spellEnd"/>
      <w:r w:rsidR="00B30859" w:rsidRPr="00B30859">
        <w:rPr>
          <w:i/>
          <w:iCs/>
        </w:rPr>
        <w:t>)</w:t>
      </w:r>
      <w:r w:rsidR="00B30859">
        <w:t xml:space="preserve"> </w:t>
      </w:r>
      <w:r w:rsidR="009C3A27">
        <w:t>forgangs</w:t>
      </w:r>
      <w:r w:rsidR="00B34910">
        <w:t>lausra skuldbindinga</w:t>
      </w:r>
      <w:r w:rsidR="00990762">
        <w:t>, svok</w:t>
      </w:r>
      <w:r w:rsidR="00B30859">
        <w:t>ölluð</w:t>
      </w:r>
      <w:r w:rsidR="00990762">
        <w:t xml:space="preserve"> SNP </w:t>
      </w:r>
      <w:r w:rsidR="00B30859">
        <w:t xml:space="preserve">skuldabréf </w:t>
      </w:r>
      <w:r w:rsidR="00B402B4">
        <w:t>(</w:t>
      </w:r>
      <w:r w:rsidR="00B402B4" w:rsidRPr="00990762">
        <w:rPr>
          <w:i/>
          <w:iCs/>
        </w:rPr>
        <w:t xml:space="preserve">e. </w:t>
      </w:r>
      <w:proofErr w:type="spellStart"/>
      <w:r w:rsidR="00990762" w:rsidRPr="00990762">
        <w:rPr>
          <w:i/>
          <w:iCs/>
        </w:rPr>
        <w:t>Senior</w:t>
      </w:r>
      <w:proofErr w:type="spellEnd"/>
      <w:r w:rsidR="00990762" w:rsidRPr="00990762">
        <w:rPr>
          <w:i/>
          <w:iCs/>
        </w:rPr>
        <w:t xml:space="preserve"> </w:t>
      </w:r>
      <w:proofErr w:type="spellStart"/>
      <w:r w:rsidR="00990762" w:rsidRPr="00990762">
        <w:rPr>
          <w:i/>
          <w:iCs/>
        </w:rPr>
        <w:t>Non-preferred</w:t>
      </w:r>
      <w:proofErr w:type="spellEnd"/>
      <w:r w:rsidR="00B402B4">
        <w:t>)</w:t>
      </w:r>
      <w:r w:rsidR="00203773">
        <w:t>,</w:t>
      </w:r>
      <w:r w:rsidR="009C3A27">
        <w:t xml:space="preserve"> </w:t>
      </w:r>
      <w:r>
        <w:t xml:space="preserve">innan forgangsraðar krafna við skila- og slitameðferð </w:t>
      </w:r>
      <w:r w:rsidR="009C3A27">
        <w:t xml:space="preserve">og er þeim </w:t>
      </w:r>
      <w:r>
        <w:t xml:space="preserve">skuldbindingum </w:t>
      </w:r>
      <w:r w:rsidR="009C3A27">
        <w:t xml:space="preserve">ætlað að tryggja </w:t>
      </w:r>
      <w:proofErr w:type="spellStart"/>
      <w:r w:rsidR="009C3A27">
        <w:t>skilabærni</w:t>
      </w:r>
      <w:proofErr w:type="spellEnd"/>
      <w:r w:rsidR="009C3A27">
        <w:t xml:space="preserve"> fyrirtækja í samræmi við III. kafla laga um skilameðferð lánastofnana og verðbréfafyrirtækja. </w:t>
      </w:r>
      <w:r w:rsidR="00B34910">
        <w:t xml:space="preserve">Forgangsflokkurinn samanstendur af </w:t>
      </w:r>
      <w:proofErr w:type="spellStart"/>
      <w:r w:rsidR="00B34910">
        <w:t>skuldagerningum</w:t>
      </w:r>
      <w:proofErr w:type="spellEnd"/>
      <w:r w:rsidR="00B34910">
        <w:t xml:space="preserve"> sem uppfylla ákveðin skilyrði og er þ</w:t>
      </w:r>
      <w:r w:rsidR="009C3A27">
        <w:t xml:space="preserve">eim flokki skipað í forgangsröð fyrir ofan </w:t>
      </w:r>
      <w:proofErr w:type="spellStart"/>
      <w:r w:rsidR="009C3A27">
        <w:t>eiginfjárgrunnsgerninga</w:t>
      </w:r>
      <w:proofErr w:type="spellEnd"/>
      <w:r w:rsidR="009C3A27">
        <w:t xml:space="preserve"> </w:t>
      </w:r>
      <w:r w:rsidR="00B402B4">
        <w:t xml:space="preserve">og víkjandi </w:t>
      </w:r>
      <w:r w:rsidR="009C5935">
        <w:t xml:space="preserve">lána </w:t>
      </w:r>
      <w:r w:rsidR="00B402B4">
        <w:t xml:space="preserve">sem ekki teljast til </w:t>
      </w:r>
      <w:proofErr w:type="spellStart"/>
      <w:r w:rsidR="00B402B4">
        <w:t>eiginfjárgrunnsgerninga</w:t>
      </w:r>
      <w:proofErr w:type="spellEnd"/>
      <w:r w:rsidR="00B402B4">
        <w:t xml:space="preserve"> en fyrir neðan aðrar forgan</w:t>
      </w:r>
      <w:r w:rsidR="00AB230C">
        <w:t>g</w:t>
      </w:r>
      <w:r w:rsidR="00B402B4">
        <w:t>slausar skuld</w:t>
      </w:r>
      <w:r>
        <w:t>bindingar</w:t>
      </w:r>
      <w:r w:rsidR="00B402B4">
        <w:t xml:space="preserve"> (</w:t>
      </w:r>
      <w:r w:rsidR="00B402B4" w:rsidRPr="00010FA6">
        <w:rPr>
          <w:i/>
          <w:iCs/>
        </w:rPr>
        <w:t xml:space="preserve">e. </w:t>
      </w:r>
      <w:proofErr w:type="spellStart"/>
      <w:r w:rsidR="00B402B4" w:rsidRPr="00010FA6">
        <w:rPr>
          <w:i/>
          <w:iCs/>
        </w:rPr>
        <w:t>senior</w:t>
      </w:r>
      <w:proofErr w:type="spellEnd"/>
      <w:r w:rsidR="00B402B4" w:rsidRPr="00010FA6">
        <w:rPr>
          <w:i/>
          <w:iCs/>
        </w:rPr>
        <w:t xml:space="preserve"> </w:t>
      </w:r>
      <w:proofErr w:type="spellStart"/>
      <w:r w:rsidR="00B402B4" w:rsidRPr="00010FA6">
        <w:rPr>
          <w:i/>
          <w:iCs/>
        </w:rPr>
        <w:t>liabilities</w:t>
      </w:r>
      <w:proofErr w:type="spellEnd"/>
      <w:r w:rsidR="00B402B4">
        <w:t xml:space="preserve">). Ótryggðir </w:t>
      </w:r>
      <w:proofErr w:type="spellStart"/>
      <w:r w:rsidR="004D7422">
        <w:t>skuldagerningar</w:t>
      </w:r>
      <w:proofErr w:type="spellEnd"/>
      <w:r w:rsidR="004D7422">
        <w:t xml:space="preserve"> </w:t>
      </w:r>
      <w:r w:rsidR="0017591F">
        <w:t xml:space="preserve">sem ekki uppfylla skilyrði hins nýja forgangsflokks </w:t>
      </w:r>
      <w:proofErr w:type="spellStart"/>
      <w:r w:rsidR="0017591F">
        <w:t>skuldagerninga</w:t>
      </w:r>
      <w:proofErr w:type="spellEnd"/>
      <w:r w:rsidR="0017591F">
        <w:t xml:space="preserve"> </w:t>
      </w:r>
      <w:r w:rsidR="004D7422">
        <w:t xml:space="preserve">og aðrar ótryggðar skuldbindingar sem ekki eru </w:t>
      </w:r>
      <w:proofErr w:type="spellStart"/>
      <w:r w:rsidR="004D7422">
        <w:t>skuldagerningar</w:t>
      </w:r>
      <w:proofErr w:type="spellEnd"/>
      <w:r w:rsidR="004D7422">
        <w:t xml:space="preserve"> skipast </w:t>
      </w:r>
      <w:r w:rsidR="00C456EA">
        <w:t xml:space="preserve">því </w:t>
      </w:r>
      <w:r w:rsidR="004D7422">
        <w:t>ofar í forgangsröð en</w:t>
      </w:r>
      <w:r w:rsidR="00AB230C">
        <w:t xml:space="preserve"> </w:t>
      </w:r>
      <w:r w:rsidR="004D7422">
        <w:t xml:space="preserve">nýi </w:t>
      </w:r>
      <w:r w:rsidR="00B30859">
        <w:t xml:space="preserve">undirskipaði </w:t>
      </w:r>
      <w:r w:rsidR="004D7422">
        <w:t>forgangsflokkur</w:t>
      </w:r>
      <w:r w:rsidR="0017591F">
        <w:t>inn.</w:t>
      </w:r>
      <w:r w:rsidR="006448CB">
        <w:t xml:space="preserve"> </w:t>
      </w:r>
      <w:r w:rsidR="006448CB" w:rsidRPr="00ED4390">
        <w:t xml:space="preserve"> </w:t>
      </w:r>
    </w:p>
    <w:p w14:paraId="0B38556F" w14:textId="7AD23FF6" w:rsidR="00C456EA" w:rsidRDefault="006448CB" w:rsidP="00D0740D">
      <w:r>
        <w:t>Tilskipun (ESB) 2017/2399 gerir skilavaldinu kleift að beita eftirgjöf (</w:t>
      </w:r>
      <w:r w:rsidR="00AB230C" w:rsidRPr="00010FA6">
        <w:rPr>
          <w:i/>
          <w:iCs/>
        </w:rPr>
        <w:t xml:space="preserve">e. </w:t>
      </w:r>
      <w:proofErr w:type="spellStart"/>
      <w:r w:rsidRPr="00010FA6">
        <w:rPr>
          <w:i/>
          <w:iCs/>
        </w:rPr>
        <w:t>bail-in</w:t>
      </w:r>
      <w:proofErr w:type="spellEnd"/>
      <w:r>
        <w:t xml:space="preserve">) á ótryggða </w:t>
      </w:r>
      <w:proofErr w:type="spellStart"/>
      <w:r>
        <w:t>skuldagerninga</w:t>
      </w:r>
      <w:proofErr w:type="spellEnd"/>
      <w:r>
        <w:t xml:space="preserve"> á undan öðrum ótryggðum skuldbindingum í stað þess að þurfa að niðurfæra samtímis og </w:t>
      </w:r>
      <w:proofErr w:type="spellStart"/>
      <w:r>
        <w:t>jafnstæðis</w:t>
      </w:r>
      <w:proofErr w:type="spellEnd"/>
      <w:r>
        <w:t xml:space="preserve"> (</w:t>
      </w:r>
      <w:r w:rsidRPr="00010FA6">
        <w:rPr>
          <w:i/>
          <w:iCs/>
        </w:rPr>
        <w:t xml:space="preserve">e. Pari </w:t>
      </w:r>
      <w:proofErr w:type="spellStart"/>
      <w:r w:rsidRPr="00010FA6">
        <w:rPr>
          <w:i/>
          <w:iCs/>
        </w:rPr>
        <w:t>Passu</w:t>
      </w:r>
      <w:proofErr w:type="spellEnd"/>
      <w:r>
        <w:t xml:space="preserve">) allar ótryggðar skuldbindingar, þ.m.t. rekstrarskuldir, afleiður og tilteknar innstæður sem ekki njóta verndar samkvæmt gildandi 3. mgr. 102. gr. laga um fjármálafyrirtæki. Erfitt getur verið að niðurfæra þessar skuldbindingar og því hafa skilastjórnvöld </w:t>
      </w:r>
      <w:r w:rsidR="0017591F">
        <w:t xml:space="preserve">aðildarríkja </w:t>
      </w:r>
      <w:r w:rsidR="00010FA6">
        <w:t>gjarnan</w:t>
      </w:r>
      <w:r>
        <w:t xml:space="preserve"> ákveðið að nýta heimild í </w:t>
      </w:r>
      <w:r w:rsidR="00010FA6">
        <w:t>BRRD tilskipuninni</w:t>
      </w:r>
      <w:r>
        <w:t xml:space="preserve"> til að undanskilja þær</w:t>
      </w:r>
      <w:r w:rsidR="00BE4349">
        <w:t>, að hluta eða í heild,</w:t>
      </w:r>
      <w:r>
        <w:t xml:space="preserve"> </w:t>
      </w:r>
      <w:r w:rsidR="00BE4349">
        <w:t xml:space="preserve">við </w:t>
      </w:r>
      <w:r>
        <w:t>beitingu á skilaúrræðinu eftirgjöf.</w:t>
      </w:r>
    </w:p>
    <w:p w14:paraId="1A749E1F" w14:textId="77777777" w:rsidR="00C456EA" w:rsidRDefault="00C456EA" w:rsidP="00C456EA">
      <w:pPr>
        <w:ind w:firstLine="0"/>
      </w:pPr>
    </w:p>
    <w:p w14:paraId="0F67E08E" w14:textId="7DED4C90" w:rsidR="004D7422" w:rsidRPr="008D16E4" w:rsidRDefault="00C456EA" w:rsidP="008D16E4">
      <w:pPr>
        <w:pStyle w:val="ListParagraph"/>
        <w:numPr>
          <w:ilvl w:val="1"/>
          <w:numId w:val="27"/>
        </w:numPr>
        <w:rPr>
          <w:i/>
          <w:iCs/>
        </w:rPr>
      </w:pPr>
      <w:proofErr w:type="spellStart"/>
      <w:r w:rsidRPr="008D16E4">
        <w:rPr>
          <w:i/>
          <w:iCs/>
        </w:rPr>
        <w:t>Eiginfjárgrunnsgerningar</w:t>
      </w:r>
      <w:proofErr w:type="spellEnd"/>
      <w:r w:rsidRPr="008D16E4">
        <w:rPr>
          <w:i/>
          <w:iCs/>
        </w:rPr>
        <w:t xml:space="preserve"> og víkjandi </w:t>
      </w:r>
      <w:r w:rsidR="00F4688E" w:rsidRPr="008D16E4">
        <w:rPr>
          <w:i/>
          <w:iCs/>
        </w:rPr>
        <w:t>lán</w:t>
      </w:r>
      <w:r w:rsidRPr="008D16E4">
        <w:rPr>
          <w:i/>
          <w:iCs/>
        </w:rPr>
        <w:t>.</w:t>
      </w:r>
      <w:r w:rsidR="004D7422" w:rsidRPr="008D16E4">
        <w:rPr>
          <w:i/>
          <w:iCs/>
        </w:rPr>
        <w:t xml:space="preserve"> </w:t>
      </w:r>
    </w:p>
    <w:p w14:paraId="6C13B569" w14:textId="5D4F15A2" w:rsidR="004D7422" w:rsidRDefault="00252C08" w:rsidP="00D0740D">
      <w:r>
        <w:t>Á grundvelli laga um skilameðferð lánastofnana og verðbréfafyrirtækja er s</w:t>
      </w:r>
      <w:r w:rsidR="00DB3CD4">
        <w:t>kilavaldi</w:t>
      </w:r>
      <w:r>
        <w:t xml:space="preserve"> Seðlabanka Íslands</w:t>
      </w:r>
      <w:r w:rsidR="00DB3CD4">
        <w:t xml:space="preserve"> heimilt að niðurfæra og umbreyta </w:t>
      </w:r>
      <w:proofErr w:type="spellStart"/>
      <w:r w:rsidR="00DB3CD4">
        <w:t>fjármagnsgerningum</w:t>
      </w:r>
      <w:proofErr w:type="spellEnd"/>
      <w:r w:rsidR="00DB3CD4">
        <w:t xml:space="preserve"> og skuldbindingum í almennt eigið fé. Fjallað er um röð og framkvæmd niðurfærslu og umbreytingu </w:t>
      </w:r>
      <w:proofErr w:type="spellStart"/>
      <w:r w:rsidR="00DB3CD4">
        <w:t>fjármagnsgerninga</w:t>
      </w:r>
      <w:proofErr w:type="spellEnd"/>
      <w:r w:rsidR="00DB3CD4">
        <w:t xml:space="preserve"> og víkjandi lána sem ekki teljast til </w:t>
      </w:r>
      <w:proofErr w:type="spellStart"/>
      <w:r w:rsidR="00DB3CD4">
        <w:t>fjármagnsgerninga</w:t>
      </w:r>
      <w:proofErr w:type="spellEnd"/>
      <w:r w:rsidR="00DB3CD4">
        <w:t xml:space="preserve"> í 28. og 58. gr. laganna. </w:t>
      </w:r>
      <w:r w:rsidR="007272D2">
        <w:t>Ákvæði 1</w:t>
      </w:r>
      <w:r w:rsidR="000C7AE9">
        <w:t>3</w:t>
      </w:r>
      <w:r w:rsidR="007272D2">
        <w:t>. gr. frumvarpsins sem tilgreina forgangsröð krafna er</w:t>
      </w:r>
      <w:r w:rsidR="00632023">
        <w:t>u</w:t>
      </w:r>
      <w:r w:rsidR="00DB3CD4">
        <w:t xml:space="preserve"> almenn og </w:t>
      </w:r>
      <w:r w:rsidR="007272D2">
        <w:t>gild</w:t>
      </w:r>
      <w:r w:rsidR="00632023">
        <w:t>a</w:t>
      </w:r>
      <w:r w:rsidR="00DB3CD4">
        <w:t xml:space="preserve"> bæði </w:t>
      </w:r>
      <w:r w:rsidR="007272D2">
        <w:t>við</w:t>
      </w:r>
      <w:r w:rsidR="00DB3CD4">
        <w:t xml:space="preserve"> skilameðferð og slitameðferð</w:t>
      </w:r>
      <w:r w:rsidR="007272D2">
        <w:t xml:space="preserve"> samkvæmt XII. kafla laga um fjármálafyrirtæki. Sú útfærsla að leggja til að reglur sem þegar koma fyrir í 28. og 58. gr. laganna verði einnig lögfestar í 85. gr. a laganna, sbr. 1</w:t>
      </w:r>
      <w:r w:rsidR="000C7AE9">
        <w:t>3</w:t>
      </w:r>
      <w:r w:rsidR="007272D2">
        <w:t>. gr. frumvarps</w:t>
      </w:r>
      <w:r w:rsidR="0017591F">
        <w:t>ins</w:t>
      </w:r>
      <w:r w:rsidR="007272D2">
        <w:t xml:space="preserve">, </w:t>
      </w:r>
      <w:r w:rsidR="0017591F">
        <w:t xml:space="preserve">sem hluti af heildstæðri forgangsröð krafna, </w:t>
      </w:r>
      <w:r w:rsidR="007272D2">
        <w:t>tekur meða</w:t>
      </w:r>
      <w:r w:rsidR="000B6719">
        <w:t>l</w:t>
      </w:r>
      <w:r w:rsidR="007272D2">
        <w:t xml:space="preserve"> annars mið af útfærslu löggjafar í </w:t>
      </w:r>
      <w:r w:rsidR="0017591F">
        <w:t>fjölmörgu</w:t>
      </w:r>
      <w:r w:rsidR="00632023">
        <w:t>m</w:t>
      </w:r>
      <w:r w:rsidR="0017591F">
        <w:t xml:space="preserve"> aðildarríkjum og tillögum að útfærslu </w:t>
      </w:r>
      <w:r w:rsidR="00203773">
        <w:t xml:space="preserve">á lögum </w:t>
      </w:r>
      <w:r w:rsidR="0017591F">
        <w:t xml:space="preserve">í </w:t>
      </w:r>
      <w:r w:rsidR="007272D2">
        <w:t>Noregi</w:t>
      </w:r>
      <w:r w:rsidR="0017591F">
        <w:t>.</w:t>
      </w:r>
      <w:r w:rsidR="007272D2">
        <w:t xml:space="preserve"> </w:t>
      </w:r>
      <w:r w:rsidR="0017591F">
        <w:t xml:space="preserve">Með þeim hætti má </w:t>
      </w:r>
      <w:r w:rsidR="007272D2">
        <w:t xml:space="preserve">ráða </w:t>
      </w:r>
      <w:r w:rsidR="0017591F">
        <w:t>á</w:t>
      </w:r>
      <w:r w:rsidR="007272D2">
        <w:t xml:space="preserve"> skýr</w:t>
      </w:r>
      <w:r w:rsidR="0017591F">
        <w:t>an</w:t>
      </w:r>
      <w:r w:rsidR="007272D2">
        <w:t xml:space="preserve"> og </w:t>
      </w:r>
      <w:r w:rsidR="0017591F">
        <w:t>aðgengilegan</w:t>
      </w:r>
      <w:r w:rsidR="007272D2">
        <w:t xml:space="preserve"> h</w:t>
      </w:r>
      <w:r w:rsidR="0017591F">
        <w:t>á</w:t>
      </w:r>
      <w:r w:rsidR="007272D2">
        <w:t xml:space="preserve">tt hvernig </w:t>
      </w:r>
      <w:r w:rsidR="00DB3CD4">
        <w:t>forgangsröð krafna við skila- og slitameðferð lítur út.</w:t>
      </w:r>
    </w:p>
    <w:p w14:paraId="19FAB002" w14:textId="77777777" w:rsidR="00D0740D" w:rsidRDefault="00D0740D" w:rsidP="007272D2">
      <w:pPr>
        <w:ind w:firstLine="0"/>
      </w:pPr>
    </w:p>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57A16318" w:rsidR="00D0740D" w:rsidRDefault="00017D94" w:rsidP="00D0740D">
      <w:r>
        <w:t>Frumvarpið felur í sér innleiðingu á tilskipun (ESB) 2017/2399 í íslenskan rétt</w:t>
      </w:r>
      <w:r w:rsidR="0040306E">
        <w:t xml:space="preserve"> og</w:t>
      </w:r>
      <w:r>
        <w:t xml:space="preserve"> g</w:t>
      </w:r>
      <w:r w:rsidR="0040306E">
        <w:t>efur</w:t>
      </w:r>
      <w:r>
        <w:t xml:space="preserve"> ekki tilefni til að </w:t>
      </w:r>
      <w:r w:rsidR="0040306E">
        <w:t xml:space="preserve">ætla að það stangist á við </w:t>
      </w:r>
      <w:r>
        <w:t xml:space="preserve">stjórnarskrá </w:t>
      </w:r>
      <w:r w:rsidR="0040306E">
        <w:t>eða alþjóðlegar skuldbindingar.</w:t>
      </w:r>
    </w:p>
    <w:p w14:paraId="36B9F71B" w14:textId="77777777" w:rsidR="00D0740D" w:rsidRDefault="00D0740D" w:rsidP="00D0740D"/>
    <w:p w14:paraId="17499B2E" w14:textId="77777777" w:rsidR="00D0740D" w:rsidRDefault="00E71F27" w:rsidP="00D0740D">
      <w:pPr>
        <w:pStyle w:val="Millifyrirsgn1"/>
      </w:pPr>
      <w:r w:rsidRPr="00655561">
        <w:t>5</w:t>
      </w:r>
      <w:r w:rsidR="00D0740D" w:rsidRPr="00655561">
        <w:t>. Samráð.</w:t>
      </w:r>
      <w:r w:rsidR="00D0740D">
        <w:t xml:space="preserve"> </w:t>
      </w:r>
    </w:p>
    <w:p w14:paraId="4A643C3F" w14:textId="642E1180" w:rsidR="008C1371" w:rsidRDefault="00EF3C4D" w:rsidP="00EF3C4D">
      <w:r>
        <w:t xml:space="preserve">Frumvarpið var samið í fjármála- og efnahagsráðuneytinu í samráði við Seðlabanka Íslands. Efni frumvarpsins snertir fyrst og fremst fjármálafyrirtæki, fjárfesta og </w:t>
      </w:r>
      <w:proofErr w:type="spellStart"/>
      <w:r w:rsidR="008825DC">
        <w:t>skilavald</w:t>
      </w:r>
      <w:proofErr w:type="spellEnd"/>
      <w:r w:rsidR="008825DC">
        <w:t xml:space="preserve"> </w:t>
      </w:r>
      <w:r>
        <w:t xml:space="preserve">Seðlabanka Íslands. Áform um lagasetningu voru send öðrum ráðuneytum til umsagnar </w:t>
      </w:r>
      <w:r w:rsidR="00295B08">
        <w:t>í júlí</w:t>
      </w:r>
      <w:r>
        <w:t xml:space="preserve"> 2020 en engar athugasemdir bárust. Áformin voru </w:t>
      </w:r>
      <w:r w:rsidR="006836A2">
        <w:t>til umsagnar</w:t>
      </w:r>
      <w:r>
        <w:t xml:space="preserve"> í samráðsgátt stjórnvalda </w:t>
      </w:r>
      <w:r w:rsidR="006836A2">
        <w:t xml:space="preserve">á tímabilinu </w:t>
      </w:r>
      <w:r w:rsidR="008343C8">
        <w:t>2</w:t>
      </w:r>
      <w:r w:rsidR="00655561">
        <w:t xml:space="preserve">4. </w:t>
      </w:r>
      <w:r w:rsidR="006836A2">
        <w:t>s</w:t>
      </w:r>
      <w:r w:rsidR="00655561">
        <w:t>eptember</w:t>
      </w:r>
      <w:r w:rsidR="006836A2">
        <w:t xml:space="preserve"> – 8. október</w:t>
      </w:r>
      <w:r w:rsidR="00655561">
        <w:t xml:space="preserve"> 2020</w:t>
      </w:r>
      <w:r w:rsidR="006836A2">
        <w:t>. Ein umsögn barst</w:t>
      </w:r>
      <w:r w:rsidR="008343C8">
        <w:t xml:space="preserve"> um áformin frá Hagsmunasamtökum heimilanna</w:t>
      </w:r>
      <w:r w:rsidR="006836A2">
        <w:t xml:space="preserve"> þar sem</w:t>
      </w:r>
      <w:r w:rsidR="00252C08">
        <w:t xml:space="preserve"> </w:t>
      </w:r>
      <w:r w:rsidR="006836A2">
        <w:t xml:space="preserve">lagt </w:t>
      </w:r>
      <w:r w:rsidR="00252C08">
        <w:t xml:space="preserve">er </w:t>
      </w:r>
      <w:r w:rsidR="006836A2">
        <w:t xml:space="preserve">til að kröfur sem Tryggingarsjóður innstæðueigenda og fjárfesta kann að eignast, komi til greiðslu úr sjóðnum, ásamt öllum kröfum neytenda á hendur föllnu fjármálafyrirtæki njóti </w:t>
      </w:r>
      <w:proofErr w:type="spellStart"/>
      <w:r w:rsidR="006836A2">
        <w:t>lögveðsréttar</w:t>
      </w:r>
      <w:proofErr w:type="spellEnd"/>
      <w:r w:rsidR="008343C8">
        <w:t>.</w:t>
      </w:r>
      <w:r w:rsidR="006836A2">
        <w:t xml:space="preserve"> </w:t>
      </w:r>
      <w:r w:rsidR="00A82B46">
        <w:t>Fjármála- og efnahagsráðherra svaraði fyrirspurn um sambærilegt efni og fram kemur í umsögn</w:t>
      </w:r>
      <w:r w:rsidR="008C1371">
        <w:t>inni</w:t>
      </w:r>
      <w:r w:rsidR="00A82B46">
        <w:t xml:space="preserve"> á 149. löggjafarþingi (þingskjal 1986 – 742. mál). Til viðbótar við þá ítarlegu umfjöllun sem finna má í því svari þykir ástæða til að nefna</w:t>
      </w:r>
      <w:r w:rsidR="00CC2358">
        <w:t xml:space="preserve"> að tilgangur MREL-kröfu er meðal annars að </w:t>
      </w:r>
      <w:r w:rsidR="00CC2358">
        <w:lastRenderedPageBreak/>
        <w:t xml:space="preserve">innlánsstofnun búi yfir nægu eigin fé og skuldbindingum sem hægt er að nota til að mæta tapi </w:t>
      </w:r>
      <w:r w:rsidR="00E9646A">
        <w:t xml:space="preserve">fyrirtækis </w:t>
      </w:r>
      <w:r w:rsidR="00CC2358">
        <w:t xml:space="preserve">og endurreisa eigin fé </w:t>
      </w:r>
      <w:r w:rsidR="00E9646A">
        <w:t>þess</w:t>
      </w:r>
      <w:r w:rsidR="00CC2358">
        <w:t xml:space="preserve">. MREL-krafan ásamt þeim miklu breytingum á laga- og regluumhverfi fjármálafyrirtækja, m.a. um aukið magn og gæði eigin fjár, veitir því </w:t>
      </w:r>
      <w:r w:rsidR="00E9646A">
        <w:t xml:space="preserve">tryggðum </w:t>
      </w:r>
      <w:r w:rsidR="00CC2358">
        <w:t xml:space="preserve">innstæðum meiri vernd en </w:t>
      </w:r>
      <w:r w:rsidR="008C1371">
        <w:t xml:space="preserve">áður hefur verið </w:t>
      </w:r>
      <w:r w:rsidR="00E9646A">
        <w:t>staðar hér á landi</w:t>
      </w:r>
      <w:r w:rsidR="008C1371">
        <w:t xml:space="preserve">. </w:t>
      </w:r>
      <w:r w:rsidR="00252C08">
        <w:t xml:space="preserve">Slíkt má meðal annars ráða af þeim fjölmörgu </w:t>
      </w:r>
      <w:proofErr w:type="spellStart"/>
      <w:r w:rsidR="00252C08">
        <w:t>gerningum</w:t>
      </w:r>
      <w:proofErr w:type="spellEnd"/>
      <w:r w:rsidR="00252C08">
        <w:t xml:space="preserve"> sem eru réttlægri en innstæður innan forgangsraðar krafna, sbr. 13. gr. frumvarpsins. </w:t>
      </w:r>
      <w:r w:rsidR="00CC2358">
        <w:t xml:space="preserve">Einnig ber að nefna að í frumvarpinu er lögð til breyting þannig að skýrt </w:t>
      </w:r>
      <w:r w:rsidR="008C1371">
        <w:t>megi vera</w:t>
      </w:r>
      <w:r w:rsidR="00CC2358">
        <w:t xml:space="preserve"> að skilavaldinu </w:t>
      </w:r>
      <w:r w:rsidR="008C1371">
        <w:t>sé</w:t>
      </w:r>
      <w:r w:rsidR="00CC2358">
        <w:t xml:space="preserve"> heimilt að beita eftirgjöf á </w:t>
      </w:r>
      <w:r w:rsidR="008C1371">
        <w:t xml:space="preserve">þann hluta </w:t>
      </w:r>
      <w:proofErr w:type="spellStart"/>
      <w:r w:rsidR="00CC2358">
        <w:t>sértryggð</w:t>
      </w:r>
      <w:r w:rsidR="008C1371">
        <w:t>ra</w:t>
      </w:r>
      <w:proofErr w:type="spellEnd"/>
      <w:r w:rsidR="00CC2358">
        <w:t xml:space="preserve"> skuldabréf</w:t>
      </w:r>
      <w:r w:rsidR="008C1371">
        <w:t xml:space="preserve">a sem nemur hærri fjárhæð en </w:t>
      </w:r>
      <w:proofErr w:type="spellStart"/>
      <w:r w:rsidR="008C1371">
        <w:t>uppreiknað</w:t>
      </w:r>
      <w:proofErr w:type="spellEnd"/>
      <w:r w:rsidR="008C1371">
        <w:t xml:space="preserve"> virði eigna, tryggingar, veðs eða veðláns sem lagt er fram til tryggingar skuldbindingunum, sbr. </w:t>
      </w:r>
      <w:r w:rsidR="000C7AE9">
        <w:t>9</w:t>
      </w:r>
      <w:r w:rsidR="008C1371">
        <w:t>. gr. frumvarpsins.</w:t>
      </w:r>
      <w:r>
        <w:t xml:space="preserve"> </w:t>
      </w:r>
    </w:p>
    <w:p w14:paraId="56F5D649" w14:textId="229CFFC0" w:rsidR="00D0740D" w:rsidRDefault="00EF3C4D" w:rsidP="00EF3C4D">
      <w:r w:rsidRPr="00632023">
        <w:t xml:space="preserve">Drögin voru birt í samráðsgátt stjórnvalda </w:t>
      </w:r>
      <w:r w:rsidR="00632023" w:rsidRPr="00632023">
        <w:t>8. janúar 2021</w:t>
      </w:r>
      <w:r w:rsidRPr="00632023">
        <w:t xml:space="preserve"> </w:t>
      </w:r>
      <w:r w:rsidRPr="0068656B">
        <w:rPr>
          <w:highlight w:val="yellow"/>
        </w:rPr>
        <w:t xml:space="preserve">[umfjöllun um umsagnir </w:t>
      </w:r>
      <w:r w:rsidR="00DA0EB0">
        <w:rPr>
          <w:highlight w:val="yellow"/>
        </w:rPr>
        <w:t>ef við á</w:t>
      </w:r>
      <w:r w:rsidRPr="0068656B">
        <w:rPr>
          <w:highlight w:val="yellow"/>
        </w:rPr>
        <w:t>.]</w:t>
      </w:r>
      <w:r w:rsidR="00D0740D">
        <w:t xml:space="preserve"> </w:t>
      </w:r>
    </w:p>
    <w:p w14:paraId="302A8284" w14:textId="77777777" w:rsidR="00D0740D" w:rsidRDefault="00D0740D" w:rsidP="00D0740D"/>
    <w:p w14:paraId="69DDCD2E" w14:textId="77777777" w:rsidR="00D0740D" w:rsidRDefault="00E71F27" w:rsidP="00D0740D">
      <w:pPr>
        <w:pStyle w:val="Millifyrirsgn1"/>
      </w:pPr>
      <w:r w:rsidRPr="00655561">
        <w:t>6</w:t>
      </w:r>
      <w:r w:rsidR="00D0740D" w:rsidRPr="00655561">
        <w:t>. Mat á áhrifum.</w:t>
      </w:r>
      <w:r w:rsidR="00D0740D">
        <w:t xml:space="preserve"> </w:t>
      </w:r>
    </w:p>
    <w:p w14:paraId="2AF3E816" w14:textId="1A28DC8C" w:rsidR="00EF3C4D" w:rsidRDefault="00EF3C4D" w:rsidP="00655561">
      <w:r>
        <w:t>Frumvarp til innleiðingar á tilskipun (ESB) 2017/2399 kveður á um heildstæðar reglur um forgang krafna við skila- og slitameðferð. Verði frumvarpið samþykkt sem lög frá Alþingi mun það stuðla að samræmd</w:t>
      </w:r>
      <w:r w:rsidR="00993BFD">
        <w:t>ari</w:t>
      </w:r>
      <w:r>
        <w:t xml:space="preserve"> meðferð krafna lánardrottna við skila- og slitameðferð innan Evrópska efnahagssvæðisins. Reglurnar eru mikilvægar fyrir réttarstöðu lánardrottna og munu leiða af sér </w:t>
      </w:r>
      <w:proofErr w:type="spellStart"/>
      <w:r>
        <w:t>fyrirsjáanleika</w:t>
      </w:r>
      <w:proofErr w:type="spellEnd"/>
      <w:r>
        <w:t xml:space="preserve"> varðandi meðferð krafna þeirra ef fjármálafyrirtæki verður tekið til skila- eða slitameðferðar.</w:t>
      </w:r>
    </w:p>
    <w:p w14:paraId="47839CC3" w14:textId="4C7E5426" w:rsidR="00EF3C4D" w:rsidRPr="00F4688E" w:rsidRDefault="00EF3C4D" w:rsidP="00655561">
      <w:pPr>
        <w:rPr>
          <w:b/>
        </w:rPr>
      </w:pPr>
      <w:r w:rsidRPr="00EF3C4D">
        <w:rPr>
          <w:bCs/>
        </w:rPr>
        <w:t xml:space="preserve">Í lögum um skilameðferð lánastofnana og verðbréfafyrirtækja, nr. 70/2020, er fjallað um möguleg áhrif af </w:t>
      </w:r>
      <w:r w:rsidR="00E9646A">
        <w:rPr>
          <w:bCs/>
        </w:rPr>
        <w:t>MREL-kröfu</w:t>
      </w:r>
      <w:r w:rsidRPr="00EF3C4D">
        <w:rPr>
          <w:bCs/>
        </w:rPr>
        <w:t xml:space="preserve"> sem ákveða skal fyrir einstök fjármálafyrirtæki. Þar kemur meðal annars fram að áhrifin muni hafa í för með sér breytta fjármagnsskipan íslensku bankanna og aukið vaxtaálag á skuldabréf sem flokkast sem hæfar skuldbindingar.</w:t>
      </w:r>
    </w:p>
    <w:p w14:paraId="32A7FB0D" w14:textId="2CFA67F3" w:rsidR="00EF3C4D" w:rsidRPr="00096B5F" w:rsidRDefault="00EF3C4D" w:rsidP="00655561">
      <w:pPr>
        <w:rPr>
          <w:bCs/>
        </w:rPr>
      </w:pPr>
      <w:r w:rsidRPr="00F4688E">
        <w:rPr>
          <w:bCs/>
        </w:rPr>
        <w:t xml:space="preserve">Frumvarp þetta útfærir frekar ákvæði um MREL-kröfu skilavalds. Af frumvarpinu </w:t>
      </w:r>
      <w:r w:rsidR="00E75169">
        <w:rPr>
          <w:bCs/>
        </w:rPr>
        <w:t>sést</w:t>
      </w:r>
      <w:r w:rsidR="00000453">
        <w:rPr>
          <w:bCs/>
        </w:rPr>
        <w:t xml:space="preserve"> </w:t>
      </w:r>
      <w:r w:rsidRPr="00F4688E">
        <w:rPr>
          <w:bCs/>
        </w:rPr>
        <w:t>þannig</w:t>
      </w:r>
      <w:r w:rsidR="00000453">
        <w:rPr>
          <w:bCs/>
        </w:rPr>
        <w:t xml:space="preserve"> </w:t>
      </w:r>
      <w:r w:rsidRPr="00F4688E">
        <w:rPr>
          <w:bCs/>
        </w:rPr>
        <w:t>með skýrari</w:t>
      </w:r>
      <w:r w:rsidRPr="00096B5F">
        <w:rPr>
          <w:bCs/>
        </w:rPr>
        <w:t xml:space="preserve"> hætti en </w:t>
      </w:r>
      <w:r w:rsidR="00E75169">
        <w:rPr>
          <w:bCs/>
        </w:rPr>
        <w:t>áður</w:t>
      </w:r>
      <w:r w:rsidRPr="00096B5F">
        <w:rPr>
          <w:bCs/>
        </w:rPr>
        <w:t xml:space="preserve"> hvaða skuldbindingar </w:t>
      </w:r>
      <w:r w:rsidR="00E9646A">
        <w:rPr>
          <w:bCs/>
        </w:rPr>
        <w:t>geta verið</w:t>
      </w:r>
      <w:r w:rsidRPr="00096B5F">
        <w:rPr>
          <w:bCs/>
        </w:rPr>
        <w:t xml:space="preserve"> notaðar til að uppfylla MREL-kröfuna. </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77F9E6BA" w14:textId="3CF98474" w:rsidR="006A68AD" w:rsidRDefault="006A68AD" w:rsidP="006A68AD">
      <w:pPr>
        <w:pStyle w:val="Greinarnmer"/>
      </w:pPr>
      <w:r w:rsidRPr="006A68AD">
        <w:t>Um 1. gr.</w:t>
      </w:r>
    </w:p>
    <w:p w14:paraId="4B5B3393" w14:textId="42DABF87" w:rsidR="006A68AD" w:rsidRPr="006A68AD" w:rsidRDefault="006A68AD" w:rsidP="006A68AD">
      <w:r>
        <w:t>Í greininni er lagt til að skilgreiningu á hugtakinu „</w:t>
      </w:r>
      <w:proofErr w:type="spellStart"/>
      <w:r>
        <w:t>skuldagerning</w:t>
      </w:r>
      <w:r w:rsidR="00DA0EB0">
        <w:t>a</w:t>
      </w:r>
      <w:r>
        <w:t>r</w:t>
      </w:r>
      <w:proofErr w:type="spellEnd"/>
      <w:r>
        <w:t xml:space="preserve">“ </w:t>
      </w:r>
      <w:r w:rsidR="00487AFC">
        <w:t>sem ætlað er að ná yfir enska hugtakið „</w:t>
      </w:r>
      <w:proofErr w:type="spellStart"/>
      <w:r w:rsidR="00487AFC">
        <w:t>debt</w:t>
      </w:r>
      <w:proofErr w:type="spellEnd"/>
      <w:r w:rsidR="00487AFC">
        <w:t xml:space="preserve"> </w:t>
      </w:r>
      <w:proofErr w:type="spellStart"/>
      <w:r w:rsidR="00487AFC">
        <w:t>instrument</w:t>
      </w:r>
      <w:r w:rsidR="00DA0EB0">
        <w:t>s</w:t>
      </w:r>
      <w:proofErr w:type="spellEnd"/>
      <w:r w:rsidR="00487AFC">
        <w:t xml:space="preserve">“ </w:t>
      </w:r>
      <w:r>
        <w:t>verði bætt við lögin. Hugtaki</w:t>
      </w:r>
      <w:r w:rsidR="00487AFC">
        <w:t>ð</w:t>
      </w:r>
      <w:r w:rsidR="00B67DA5">
        <w:t xml:space="preserve"> </w:t>
      </w:r>
      <w:r>
        <w:t xml:space="preserve">kemur víða fyrir í lögunum og </w:t>
      </w:r>
      <w:r w:rsidR="00487AFC">
        <w:t xml:space="preserve">þykir </w:t>
      </w:r>
      <w:r>
        <w:t xml:space="preserve">nauðsynlegt að </w:t>
      </w:r>
      <w:r w:rsidR="00DA0EB0">
        <w:t xml:space="preserve">hægt sé að </w:t>
      </w:r>
      <w:r>
        <w:t xml:space="preserve">ráða með skýrum hætti </w:t>
      </w:r>
      <w:r w:rsidR="00B67DA5">
        <w:t>hvaða</w:t>
      </w:r>
      <w:r>
        <w:t xml:space="preserve"> merkingu </w:t>
      </w:r>
      <w:r w:rsidR="00DA0EB0">
        <w:t xml:space="preserve">beri að </w:t>
      </w:r>
      <w:r>
        <w:t xml:space="preserve">leggja í </w:t>
      </w:r>
      <w:r w:rsidR="00487AFC">
        <w:t>það.</w:t>
      </w:r>
      <w:r>
        <w:t xml:space="preserve"> </w:t>
      </w:r>
      <w:r w:rsidR="00DA0EB0">
        <w:t xml:space="preserve">Efni </w:t>
      </w:r>
      <w:r w:rsidR="00487AFC">
        <w:t>greinarinnar</w:t>
      </w:r>
      <w:r>
        <w:t xml:space="preserve"> tekur mið af 48. </w:t>
      </w:r>
      <w:proofErr w:type="spellStart"/>
      <w:r>
        <w:t>tölul</w:t>
      </w:r>
      <w:proofErr w:type="spellEnd"/>
      <w:r>
        <w:t>. 1. mgr. 2. gr. tilskipunar 2014/59/ESB fyrir þá breytingu sem gerð er á töluliðnum með 1. mgr. 1. gr. tilskipunar (ESB) 2017/2399. Skilgreining á hugtakinu „</w:t>
      </w:r>
      <w:proofErr w:type="spellStart"/>
      <w:r>
        <w:t>skuldagerningur</w:t>
      </w:r>
      <w:proofErr w:type="spellEnd"/>
      <w:r>
        <w:t xml:space="preserve">“ í þrengri merkingu, sbr. ii-liður 1. mgr. 1. gr. tilskipunar (ESB) 2017/2399 er tekin upp í 2. mgr. 13. gr. frumvarpsins. Af nýjum skilgreiningum </w:t>
      </w:r>
      <w:r w:rsidR="00203773">
        <w:t xml:space="preserve">sem kveðið er á um </w:t>
      </w:r>
      <w:r>
        <w:t xml:space="preserve">í </w:t>
      </w:r>
      <w:r w:rsidR="00203773">
        <w:t>frumvarpinu</w:t>
      </w:r>
      <w:r>
        <w:t xml:space="preserve"> á þannig að vera ljóst að hugtakið eins og það er skilgreint í þessari grein gildir á öllum stöðum í lögunum að </w:t>
      </w:r>
      <w:proofErr w:type="spellStart"/>
      <w:r>
        <w:t>undanskyldri</w:t>
      </w:r>
      <w:proofErr w:type="spellEnd"/>
      <w:r>
        <w:t xml:space="preserve"> </w:t>
      </w:r>
      <w:r w:rsidR="00B67DA5">
        <w:t>85. gr. a laganna, sbr. 13. gr. frumvarpsins, þar sem það er skilgreint sérstaklega með þrengri hætti.</w:t>
      </w:r>
    </w:p>
    <w:p w14:paraId="57A5254B" w14:textId="77777777" w:rsidR="006A68AD" w:rsidRDefault="006A68AD" w:rsidP="007B1365">
      <w:pPr>
        <w:pStyle w:val="Greinarnmer"/>
      </w:pPr>
    </w:p>
    <w:p w14:paraId="3FA51307" w14:textId="656C7733" w:rsidR="007B1365" w:rsidRDefault="007B1365" w:rsidP="007B1365">
      <w:pPr>
        <w:pStyle w:val="Greinarnmer"/>
      </w:pPr>
      <w:r>
        <w:t xml:space="preserve">Um </w:t>
      </w:r>
      <w:r w:rsidR="000C7AE9">
        <w:t>2</w:t>
      </w:r>
      <w:r>
        <w:t>. gr.</w:t>
      </w:r>
    </w:p>
    <w:p w14:paraId="6B9972AE" w14:textId="6E28AD6C" w:rsidR="007B1365" w:rsidRDefault="007B1365" w:rsidP="007B1365">
      <w:r>
        <w:t>Greinin breytir tilvísun sem leiðir af nýrri 85. gr. a laganna í 1</w:t>
      </w:r>
      <w:r w:rsidR="000C7AE9">
        <w:t>3</w:t>
      </w:r>
      <w:r>
        <w:t xml:space="preserve">. gr. frumvarpsins, sbr. einnig breyting á 3. mgr. 102. gr. laga um </w:t>
      </w:r>
      <w:r w:rsidRPr="00000453">
        <w:t xml:space="preserve">fjármálafyrirtæki í 1. </w:t>
      </w:r>
      <w:proofErr w:type="spellStart"/>
      <w:r w:rsidRPr="00000453">
        <w:t>tölul</w:t>
      </w:r>
      <w:proofErr w:type="spellEnd"/>
      <w:r w:rsidRPr="00000453">
        <w:t>. 1</w:t>
      </w:r>
      <w:r w:rsidR="000C7AE9">
        <w:t>4</w:t>
      </w:r>
      <w:r w:rsidRPr="00000453">
        <w:t>. gr.</w:t>
      </w:r>
      <w:r>
        <w:t xml:space="preserve"> frumvarpsins.</w:t>
      </w:r>
    </w:p>
    <w:p w14:paraId="428D016D" w14:textId="7CD57CC0" w:rsidR="007B1365" w:rsidRDefault="007B1365" w:rsidP="001832CC">
      <w:r>
        <w:t xml:space="preserve"> </w:t>
      </w:r>
    </w:p>
    <w:p w14:paraId="367C94E8" w14:textId="009A7F65" w:rsidR="007B1365" w:rsidRDefault="007B1365" w:rsidP="007B1365">
      <w:pPr>
        <w:pStyle w:val="Greinarnmer"/>
      </w:pPr>
      <w:r>
        <w:t xml:space="preserve">Um </w:t>
      </w:r>
      <w:r w:rsidR="000C7AE9">
        <w:t>3</w:t>
      </w:r>
      <w:r>
        <w:t>. gr.</w:t>
      </w:r>
    </w:p>
    <w:p w14:paraId="646947BE" w14:textId="09B717A0" w:rsidR="007B1365" w:rsidRDefault="007B1365" w:rsidP="007B1365">
      <w:r>
        <w:t>Greinin breytir tilvísun sem leiðir af nýrri 85. gr. a laganna í 1</w:t>
      </w:r>
      <w:r w:rsidR="000C7AE9">
        <w:t>3</w:t>
      </w:r>
      <w:r>
        <w:t>. gr. frumvarpsins, sbr. einnig breyting á 3. mgr. 102. gr. laga um fjár</w:t>
      </w:r>
      <w:r w:rsidRPr="00000453">
        <w:t xml:space="preserve">málafyrirtæki í 1. </w:t>
      </w:r>
      <w:proofErr w:type="spellStart"/>
      <w:r w:rsidRPr="00000453">
        <w:t>tölul</w:t>
      </w:r>
      <w:proofErr w:type="spellEnd"/>
      <w:r w:rsidRPr="00000453">
        <w:t>. 1</w:t>
      </w:r>
      <w:r w:rsidR="000C7AE9">
        <w:t>4</w:t>
      </w:r>
      <w:r w:rsidRPr="00000453">
        <w:t>. gr.</w:t>
      </w:r>
      <w:r>
        <w:t xml:space="preserve"> frumvarpsins. </w:t>
      </w:r>
    </w:p>
    <w:p w14:paraId="5B074FCB" w14:textId="1F0FC11F" w:rsidR="007B1365" w:rsidRDefault="007B1365" w:rsidP="00943B67"/>
    <w:p w14:paraId="0B6C76C7" w14:textId="5FCE1AC0" w:rsidR="007B1365" w:rsidRDefault="007B1365" w:rsidP="007B1365">
      <w:pPr>
        <w:pStyle w:val="Greinarnmer"/>
      </w:pPr>
      <w:r>
        <w:t xml:space="preserve">Um </w:t>
      </w:r>
      <w:r w:rsidR="000C7AE9">
        <w:t>4</w:t>
      </w:r>
      <w:r>
        <w:t>. gr.</w:t>
      </w:r>
    </w:p>
    <w:p w14:paraId="5B156FE8" w14:textId="0AB2B206" w:rsidR="007B1365" w:rsidRPr="00843B49" w:rsidRDefault="007B1365" w:rsidP="007B1365">
      <w:r>
        <w:t>Greinin kveður á um viðbót sem leiðir af efni 1</w:t>
      </w:r>
      <w:r w:rsidR="000C7AE9">
        <w:t>3</w:t>
      </w:r>
      <w:r>
        <w:t>. gr. frumvarpsins</w:t>
      </w:r>
      <w:r w:rsidR="00BA6792">
        <w:t xml:space="preserve"> og þarfnast ekki skýringar. </w:t>
      </w:r>
      <w:r>
        <w:t xml:space="preserve"> </w:t>
      </w:r>
    </w:p>
    <w:p w14:paraId="3A7090B6" w14:textId="1CD74F4F" w:rsidR="007B1365" w:rsidRDefault="007B1365" w:rsidP="00943B67"/>
    <w:p w14:paraId="26746F82" w14:textId="70C389CC" w:rsidR="007B1365" w:rsidRDefault="007B1365" w:rsidP="007B1365">
      <w:pPr>
        <w:pStyle w:val="Greinarnmer"/>
      </w:pPr>
      <w:r>
        <w:t xml:space="preserve">Um </w:t>
      </w:r>
      <w:r w:rsidR="000C7AE9">
        <w:t>5</w:t>
      </w:r>
      <w:r>
        <w:t>. gr.</w:t>
      </w:r>
    </w:p>
    <w:p w14:paraId="0D999950" w14:textId="13A72B2D" w:rsidR="00067AC3" w:rsidRPr="00843B49" w:rsidRDefault="00067AC3" w:rsidP="00067AC3">
      <w:r>
        <w:t>Greinin kveður á um viðbót sem leiðir af efni 1</w:t>
      </w:r>
      <w:r w:rsidR="000C7AE9">
        <w:t>3</w:t>
      </w:r>
      <w:r>
        <w:t xml:space="preserve">. gr. frumvarpsins og þarfnast ekki skýringar.  </w:t>
      </w:r>
    </w:p>
    <w:p w14:paraId="0B0A553B" w14:textId="649388A1" w:rsidR="007B1365" w:rsidRDefault="007B1365" w:rsidP="00067AC3">
      <w:pPr>
        <w:ind w:firstLine="0"/>
      </w:pPr>
    </w:p>
    <w:p w14:paraId="54CFE96A" w14:textId="0DEE393B" w:rsidR="007B1365" w:rsidRDefault="007B1365" w:rsidP="007B1365">
      <w:pPr>
        <w:pStyle w:val="Greinarnmer"/>
      </w:pPr>
      <w:r>
        <w:t xml:space="preserve">Um </w:t>
      </w:r>
      <w:r w:rsidR="000C7AE9">
        <w:t>6</w:t>
      </w:r>
      <w:r>
        <w:t>. gr.</w:t>
      </w:r>
    </w:p>
    <w:p w14:paraId="35ACC2A2" w14:textId="40F9CC39" w:rsidR="00067AC3" w:rsidRDefault="00067AC3" w:rsidP="00067AC3">
      <w:r>
        <w:t xml:space="preserve">Greinin kveður á um </w:t>
      </w:r>
      <w:r w:rsidR="00171108">
        <w:t>breytingu</w:t>
      </w:r>
      <w:r>
        <w:t xml:space="preserve"> sem leiðir af efni 1</w:t>
      </w:r>
      <w:r w:rsidR="000C7AE9">
        <w:t>3</w:t>
      </w:r>
      <w:r>
        <w:t>. gr. frumvarpsins og þarfnast ekki skýringar.</w:t>
      </w:r>
    </w:p>
    <w:p w14:paraId="67707369" w14:textId="77777777" w:rsidR="00067AC3" w:rsidRDefault="00067AC3" w:rsidP="00067AC3"/>
    <w:p w14:paraId="32579091" w14:textId="7DB82721" w:rsidR="00067AC3" w:rsidRPr="00843B49" w:rsidRDefault="00067AC3" w:rsidP="00067AC3">
      <w:pPr>
        <w:pStyle w:val="Greinarnmer"/>
      </w:pPr>
      <w:r>
        <w:t xml:space="preserve">Um </w:t>
      </w:r>
      <w:r w:rsidR="000C7AE9">
        <w:t>7</w:t>
      </w:r>
      <w:r>
        <w:t xml:space="preserve">. gr.  </w:t>
      </w:r>
    </w:p>
    <w:p w14:paraId="0AED8339" w14:textId="2786C0AC" w:rsidR="007B1365" w:rsidRDefault="00067AC3" w:rsidP="00943B67">
      <w:r>
        <w:t xml:space="preserve">Í greininni er lagt til að </w:t>
      </w:r>
      <w:proofErr w:type="spellStart"/>
      <w:r>
        <w:t>misritun</w:t>
      </w:r>
      <w:proofErr w:type="spellEnd"/>
      <w:r>
        <w:t xml:space="preserve"> í lagatextanum verði leiðrétt. Lagt er til að í stað hugtaksins „</w:t>
      </w:r>
      <w:proofErr w:type="spellStart"/>
      <w:r>
        <w:t>eignarhaldsgerningur</w:t>
      </w:r>
      <w:proofErr w:type="spellEnd"/>
      <w:r>
        <w:t xml:space="preserve">“ sem ekki er notað í lögunum komi hugtakið „eignarhluti“ en það hugtak er skilgreint í 11. </w:t>
      </w:r>
      <w:proofErr w:type="spellStart"/>
      <w:r>
        <w:t>tölul</w:t>
      </w:r>
      <w:proofErr w:type="spellEnd"/>
      <w:r>
        <w:t>. 1. mgr. 3. gr. laganna.</w:t>
      </w:r>
    </w:p>
    <w:p w14:paraId="05647D45" w14:textId="7B266B12" w:rsidR="00067AC3" w:rsidRDefault="00067AC3" w:rsidP="00943B67"/>
    <w:p w14:paraId="0BE69BC9" w14:textId="5D541911" w:rsidR="00067AC3" w:rsidRDefault="00067AC3" w:rsidP="00067AC3">
      <w:pPr>
        <w:pStyle w:val="Greinarnmer"/>
      </w:pPr>
      <w:r>
        <w:t xml:space="preserve">Um </w:t>
      </w:r>
      <w:r w:rsidR="000C7AE9">
        <w:t>8</w:t>
      </w:r>
      <w:r>
        <w:t>. gr.</w:t>
      </w:r>
    </w:p>
    <w:p w14:paraId="14B59488" w14:textId="2ADA144E" w:rsidR="00067AC3" w:rsidRDefault="00067AC3" w:rsidP="00067AC3">
      <w:r>
        <w:t>Með greininni er lagt til að hugtakanotkun verði lagfærð til samræmis við hugtakanotkun í þessu frumvarpi. Rétt þykir að nota orðið „</w:t>
      </w:r>
      <w:proofErr w:type="spellStart"/>
      <w:r>
        <w:t>skuldagerningur</w:t>
      </w:r>
      <w:proofErr w:type="spellEnd"/>
      <w:r>
        <w:t>“ yfir enska hugtakið „</w:t>
      </w:r>
      <w:proofErr w:type="spellStart"/>
      <w:r>
        <w:t>debt</w:t>
      </w:r>
      <w:proofErr w:type="spellEnd"/>
      <w:r>
        <w:t xml:space="preserve"> </w:t>
      </w:r>
      <w:proofErr w:type="spellStart"/>
      <w:r>
        <w:t>instrument</w:t>
      </w:r>
      <w:proofErr w:type="spellEnd"/>
      <w:r>
        <w:t xml:space="preserve">“ þar sem við á í lögunum. </w:t>
      </w:r>
    </w:p>
    <w:p w14:paraId="63D2D3FF" w14:textId="77777777" w:rsidR="00067AC3" w:rsidRDefault="00067AC3" w:rsidP="00943B67"/>
    <w:p w14:paraId="274AEBDF" w14:textId="3FF51B37" w:rsidR="001832CC" w:rsidRPr="00F5395E" w:rsidRDefault="001832CC" w:rsidP="00F5395E">
      <w:pPr>
        <w:pStyle w:val="Greinarnmer"/>
      </w:pPr>
      <w:r w:rsidRPr="00F5395E">
        <w:t xml:space="preserve">Um </w:t>
      </w:r>
      <w:r w:rsidR="000C7AE9">
        <w:t>9</w:t>
      </w:r>
      <w:r w:rsidRPr="00F5395E">
        <w:t>. gr.</w:t>
      </w:r>
    </w:p>
    <w:p w14:paraId="6FACD5F0" w14:textId="6A9B2BD6" w:rsidR="00F5395E" w:rsidRDefault="001832CC" w:rsidP="00F5395E">
      <w:pPr>
        <w:autoSpaceDE w:val="0"/>
        <w:autoSpaceDN w:val="0"/>
        <w:adjustRightInd w:val="0"/>
        <w:rPr>
          <w:sz w:val="24"/>
          <w:szCs w:val="24"/>
        </w:rPr>
      </w:pPr>
      <w:r>
        <w:t xml:space="preserve">Efni greinarinnar leiðir ekki af tilskipun (ESB) 2017/2399. Ráðuneytinu barst ábending um að skýringartexti við 2. </w:t>
      </w:r>
      <w:proofErr w:type="spellStart"/>
      <w:r>
        <w:t>tölul</w:t>
      </w:r>
      <w:proofErr w:type="spellEnd"/>
      <w:r>
        <w:t xml:space="preserve">. 1. mgr. 56. gr. laganna væri efnislega rangur </w:t>
      </w:r>
      <w:r w:rsidR="00F5395E">
        <w:t>þar sem fjallað er um eignir í tryggingasafni í stað skulda. Skýringin gæfi svo tilefni til</w:t>
      </w:r>
      <w:r>
        <w:t xml:space="preserve"> rangtúlkun</w:t>
      </w:r>
      <w:r w:rsidR="00F5395E">
        <w:t>ar</w:t>
      </w:r>
      <w:r>
        <w:t xml:space="preserve"> á </w:t>
      </w:r>
      <w:r w:rsidR="00A04176">
        <w:t xml:space="preserve">ákvæði </w:t>
      </w:r>
      <w:r>
        <w:t>tölulið</w:t>
      </w:r>
      <w:r w:rsidR="00A04176">
        <w:t>arins</w:t>
      </w:r>
      <w:r>
        <w:t xml:space="preserve">. Um þýðingarmikið ákvæði getur verið að ræða og </w:t>
      </w:r>
      <w:r w:rsidR="00F5395E">
        <w:t xml:space="preserve">því er lagt til að sú viðbót sem kveðið er á um í greininni verði lögfest sem nýr málsliður við 2. </w:t>
      </w:r>
      <w:proofErr w:type="spellStart"/>
      <w:r w:rsidR="00F5395E">
        <w:t>tölul</w:t>
      </w:r>
      <w:proofErr w:type="spellEnd"/>
      <w:r w:rsidR="00F5395E">
        <w:t xml:space="preserve">. 1. mgr. 56. gr. laganna. </w:t>
      </w:r>
      <w:r w:rsidR="00A04176">
        <w:t>Viðb</w:t>
      </w:r>
      <w:r w:rsidR="000754BE">
        <w:t>ætur</w:t>
      </w:r>
      <w:r w:rsidR="00A04176">
        <w:t xml:space="preserve"> greinarinnar er</w:t>
      </w:r>
      <w:r w:rsidR="000754BE">
        <w:t>u</w:t>
      </w:r>
      <w:r w:rsidR="00A04176">
        <w:t xml:space="preserve"> í samræmi við </w:t>
      </w:r>
      <w:r w:rsidR="000754BE">
        <w:t>þriðju</w:t>
      </w:r>
      <w:r w:rsidR="00A04176">
        <w:t xml:space="preserve"> </w:t>
      </w:r>
      <w:proofErr w:type="spellStart"/>
      <w:r w:rsidR="00A04176">
        <w:t>undirm</w:t>
      </w:r>
      <w:r w:rsidR="000754BE">
        <w:t>gr</w:t>
      </w:r>
      <w:proofErr w:type="spellEnd"/>
      <w:r w:rsidR="000754BE">
        <w:t>.</w:t>
      </w:r>
      <w:r w:rsidR="00A04176">
        <w:t xml:space="preserve"> 2. </w:t>
      </w:r>
      <w:r w:rsidR="000754BE">
        <w:t>m</w:t>
      </w:r>
      <w:r w:rsidR="00A04176">
        <w:t xml:space="preserve">gr. 44. </w:t>
      </w:r>
      <w:r w:rsidR="000754BE">
        <w:t>g</w:t>
      </w:r>
      <w:r w:rsidR="00A04176">
        <w:t xml:space="preserve">r. tilskipunar 2014/59/ESB. </w:t>
      </w:r>
    </w:p>
    <w:p w14:paraId="5743356B" w14:textId="77777777" w:rsidR="001832CC" w:rsidRDefault="001832CC" w:rsidP="007B1365">
      <w:pPr>
        <w:pStyle w:val="Greinarnmer"/>
      </w:pPr>
    </w:p>
    <w:p w14:paraId="10A48DC4" w14:textId="5218D40B" w:rsidR="007B1365" w:rsidRDefault="007B1365" w:rsidP="007B1365">
      <w:pPr>
        <w:pStyle w:val="Greinarnmer"/>
      </w:pPr>
      <w:r>
        <w:t xml:space="preserve">Um </w:t>
      </w:r>
      <w:r w:rsidR="000C7AE9">
        <w:t>10</w:t>
      </w:r>
      <w:r>
        <w:t>. gr.</w:t>
      </w:r>
    </w:p>
    <w:p w14:paraId="04B0F3A0" w14:textId="41BE9511" w:rsidR="00067AC3" w:rsidRDefault="00067AC3" w:rsidP="00067AC3">
      <w:r>
        <w:t xml:space="preserve">Greinin kveður á um </w:t>
      </w:r>
      <w:r w:rsidR="00171108">
        <w:t>breytingu</w:t>
      </w:r>
      <w:r>
        <w:t xml:space="preserve"> sem leiðir af efni 1</w:t>
      </w:r>
      <w:r w:rsidR="000C7AE9">
        <w:t>3</w:t>
      </w:r>
      <w:r>
        <w:t>. gr. frumvarpsins og þarfnast ekki skýringar.</w:t>
      </w:r>
    </w:p>
    <w:p w14:paraId="176173CF" w14:textId="483D4F4F" w:rsidR="007B1365" w:rsidRDefault="007B1365" w:rsidP="00067AC3">
      <w:pPr>
        <w:ind w:firstLine="0"/>
      </w:pPr>
    </w:p>
    <w:p w14:paraId="07C10D0D" w14:textId="0DE887EC" w:rsidR="007B1365" w:rsidRDefault="007B1365" w:rsidP="007B1365">
      <w:pPr>
        <w:pStyle w:val="Greinarnmer"/>
      </w:pPr>
      <w:r>
        <w:t xml:space="preserve">Um </w:t>
      </w:r>
      <w:r w:rsidR="00171108">
        <w:t>1</w:t>
      </w:r>
      <w:r w:rsidR="000C7AE9">
        <w:t>1</w:t>
      </w:r>
      <w:r>
        <w:t>. gr.</w:t>
      </w:r>
    </w:p>
    <w:p w14:paraId="141E712F" w14:textId="572863EE" w:rsidR="007B1365" w:rsidRDefault="007B1365" w:rsidP="007B1365">
      <w:r>
        <w:t xml:space="preserve">Með greininni er lagt til að hugtakanotkun verði lagfærð til samræmis við hugtakanotkun í þessu frumvarpi. </w:t>
      </w:r>
      <w:r w:rsidR="004E4D53">
        <w:t>Líkt og fram kemur í skýringu við 8. gr. frumvarpsins þykir r</w:t>
      </w:r>
      <w:r>
        <w:t xml:space="preserve">étt að nota </w:t>
      </w:r>
      <w:r w:rsidR="00171108">
        <w:t>orðið</w:t>
      </w:r>
      <w:r>
        <w:t xml:space="preserve"> „</w:t>
      </w:r>
      <w:proofErr w:type="spellStart"/>
      <w:r>
        <w:t>skuldagerningur</w:t>
      </w:r>
      <w:proofErr w:type="spellEnd"/>
      <w:r>
        <w:t xml:space="preserve">“ </w:t>
      </w:r>
      <w:r w:rsidR="00171108">
        <w:t>yfir enska hugtakið „</w:t>
      </w:r>
      <w:proofErr w:type="spellStart"/>
      <w:r w:rsidR="00171108">
        <w:t>debt</w:t>
      </w:r>
      <w:proofErr w:type="spellEnd"/>
      <w:r w:rsidR="00171108">
        <w:t xml:space="preserve"> </w:t>
      </w:r>
      <w:proofErr w:type="spellStart"/>
      <w:r w:rsidR="00171108">
        <w:t>instrument</w:t>
      </w:r>
      <w:proofErr w:type="spellEnd"/>
      <w:r w:rsidR="00171108">
        <w:t xml:space="preserve">“ </w:t>
      </w:r>
      <w:r>
        <w:t>þar sem við</w:t>
      </w:r>
      <w:r w:rsidR="004E4D53">
        <w:t>.</w:t>
      </w:r>
    </w:p>
    <w:p w14:paraId="731856A6" w14:textId="5C6575A2" w:rsidR="007B1365" w:rsidRDefault="007B1365" w:rsidP="00943B67"/>
    <w:p w14:paraId="38FD8E82" w14:textId="71E8CBC6" w:rsidR="007B1365" w:rsidRDefault="007B1365" w:rsidP="007B1365">
      <w:pPr>
        <w:pStyle w:val="Greinarnmer"/>
      </w:pPr>
      <w:r>
        <w:t xml:space="preserve">Um </w:t>
      </w:r>
      <w:r w:rsidR="00171108">
        <w:t>1</w:t>
      </w:r>
      <w:r w:rsidR="000C7AE9">
        <w:t>2</w:t>
      </w:r>
      <w:r>
        <w:t>. gr.</w:t>
      </w:r>
    </w:p>
    <w:p w14:paraId="7250DC60" w14:textId="36E070F4" w:rsidR="007B1365" w:rsidRPr="004F69B4" w:rsidRDefault="007B1365" w:rsidP="007B1365">
      <w:r>
        <w:t xml:space="preserve">Greinin kveður á um </w:t>
      </w:r>
      <w:r w:rsidR="00171108">
        <w:t>breytingu</w:t>
      </w:r>
      <w:r>
        <w:t xml:space="preserve"> sem leiðir af efni 1</w:t>
      </w:r>
      <w:r w:rsidR="000C7AE9">
        <w:t>3</w:t>
      </w:r>
      <w:r>
        <w:t>. gr. frumvarpsins</w:t>
      </w:r>
      <w:r w:rsidR="00171108">
        <w:t xml:space="preserve"> og þarfnast ekki skýringar</w:t>
      </w:r>
      <w:r>
        <w:t xml:space="preserve">.  </w:t>
      </w:r>
    </w:p>
    <w:p w14:paraId="3B5EA570" w14:textId="19F51706" w:rsidR="007B1365" w:rsidRDefault="007B1365" w:rsidP="00943B67"/>
    <w:p w14:paraId="70A0FDEA" w14:textId="0EE989E5" w:rsidR="007B1365" w:rsidRDefault="007B1365" w:rsidP="007B1365">
      <w:pPr>
        <w:pStyle w:val="Greinarnmer"/>
      </w:pPr>
      <w:r>
        <w:t xml:space="preserve">  Um 1</w:t>
      </w:r>
      <w:r w:rsidR="000C7AE9">
        <w:t>3</w:t>
      </w:r>
      <w:r>
        <w:t>. gr.</w:t>
      </w:r>
    </w:p>
    <w:p w14:paraId="6B39FABB" w14:textId="1EA6F152" w:rsidR="007B1365" w:rsidRDefault="007B1365" w:rsidP="000B0152">
      <w:r>
        <w:lastRenderedPageBreak/>
        <w:t xml:space="preserve">Greinin er innleiðing á tilskipun (ESB) 2017/2399 og kveður á um forgangsröð krafna við skila- og slitameðferð. Rétthæð krafna samkvæmt greininni ræður </w:t>
      </w:r>
      <w:r w:rsidR="00171108">
        <w:t xml:space="preserve">því </w:t>
      </w:r>
      <w:r>
        <w:t>í hvaða forgangsröð einstakar kröfur verð</w:t>
      </w:r>
      <w:r w:rsidR="00487AFC">
        <w:t>a</w:t>
      </w:r>
      <w:r>
        <w:t xml:space="preserve"> niðurfærðar eða umbreytt við skilameðferð eða þær </w:t>
      </w:r>
      <w:r w:rsidR="009C5935">
        <w:t>gerðar upp</w:t>
      </w:r>
      <w:r>
        <w:t xml:space="preserve"> við slitameðferð. Í 1. </w:t>
      </w:r>
      <w:proofErr w:type="spellStart"/>
      <w:r>
        <w:t>tölul</w:t>
      </w:r>
      <w:proofErr w:type="spellEnd"/>
      <w:r>
        <w:t>. greinarinnar eru rétthæstu kröfurnar taldar upp</w:t>
      </w:r>
      <w:r w:rsidR="00487AFC">
        <w:t>, sbr. þó kröfur samkvæmt inngangslið 1. mgr. greinarinnar,</w:t>
      </w:r>
      <w:r>
        <w:t xml:space="preserve"> og þær réttlægstu koma fram í </w:t>
      </w:r>
      <w:r w:rsidR="004A1A6A">
        <w:t>7</w:t>
      </w:r>
      <w:r>
        <w:t xml:space="preserve">. </w:t>
      </w:r>
      <w:proofErr w:type="spellStart"/>
      <w:r>
        <w:t>tölul</w:t>
      </w:r>
      <w:proofErr w:type="spellEnd"/>
      <w:r>
        <w:t xml:space="preserve">. </w:t>
      </w:r>
      <w:r w:rsidR="0059059A">
        <w:t xml:space="preserve">Að undanskildum kröfum skv. 1. </w:t>
      </w:r>
      <w:proofErr w:type="spellStart"/>
      <w:r w:rsidR="0059059A">
        <w:t>tölul</w:t>
      </w:r>
      <w:proofErr w:type="spellEnd"/>
      <w:r w:rsidR="0059059A">
        <w:t>. 1. mgr. greinarinnar njóta k</w:t>
      </w:r>
      <w:r>
        <w:t>röfur innan s</w:t>
      </w:r>
      <w:r w:rsidR="0059059A">
        <w:t>a</w:t>
      </w:r>
      <w:r>
        <w:t>m</w:t>
      </w:r>
      <w:r w:rsidR="0059059A">
        <w:t>a</w:t>
      </w:r>
      <w:r>
        <w:t xml:space="preserve"> </w:t>
      </w:r>
      <w:r w:rsidR="0059059A">
        <w:t>töluliðar í forgangsröðinni</w:t>
      </w:r>
      <w:r>
        <w:t xml:space="preserve"> jafns forgangs, þ.e. þær skulu niðurfærðar, þeim umbreytt eða greiddar út hlutfallslega jafnt, nema kveðið sé á um annað í lögum. </w:t>
      </w:r>
    </w:p>
    <w:p w14:paraId="2A54DA89" w14:textId="5EC7F3AB" w:rsidR="007B1365" w:rsidRDefault="007B1365" w:rsidP="007B1365">
      <w:r>
        <w:t xml:space="preserve">Sú forgangsröð sem kveðið er á um í greininni tekur við af þeirri forgangsröð </w:t>
      </w:r>
      <w:r w:rsidR="00341900">
        <w:t xml:space="preserve">krafna </w:t>
      </w:r>
      <w:r>
        <w:t>(</w:t>
      </w:r>
      <w:r w:rsidR="00341900">
        <w:t xml:space="preserve"> </w:t>
      </w:r>
      <w:r>
        <w:t xml:space="preserve">skuldaröð, réttindaröð) sem kveðið er á um í 109.-112. gr. laga um gjaldþrotaskipti o.fl., nr. 21/1991. Hið sama gildir því um skila- og slitameðferð og almenn gjaldþrotaskipti, þ.e. að sértökukröfur skv. 109. gr. </w:t>
      </w:r>
      <w:r w:rsidR="00173082">
        <w:t>laga um gjaldþrotaskipti o.fl.</w:t>
      </w:r>
      <w:r>
        <w:t xml:space="preserve"> eru rétthæstar, þar næst koma búskröfur skv. 110. gr., svo veðkröfur skv. 111. gr. og þar á eftir forgangskröfur skv. 112. gr. þeirra laga, sbr. þó </w:t>
      </w:r>
      <w:r w:rsidR="00993BFD">
        <w:t xml:space="preserve">a-lið </w:t>
      </w:r>
      <w:r>
        <w:t xml:space="preserve">1. </w:t>
      </w:r>
      <w:proofErr w:type="spellStart"/>
      <w:r>
        <w:t>tölul</w:t>
      </w:r>
      <w:proofErr w:type="spellEnd"/>
      <w:r>
        <w:t xml:space="preserve">. </w:t>
      </w:r>
      <w:r w:rsidR="00173082">
        <w:t xml:space="preserve">þessarar </w:t>
      </w:r>
      <w:r>
        <w:t xml:space="preserve">greinar. Gildissvið greinarinnar einskorðast við kröfur á hendur fyrirtæki skv. a-lið 1. mgr. 2. gr. </w:t>
      </w:r>
      <w:r w:rsidR="00E66197">
        <w:t xml:space="preserve">og, </w:t>
      </w:r>
      <w:r>
        <w:t>ef við</w:t>
      </w:r>
      <w:r w:rsidR="00E66197">
        <w:t>,</w:t>
      </w:r>
      <w:r>
        <w:t xml:space="preserve"> á einingu skv. b-d-lið 1. mgr. 2. gr.</w:t>
      </w:r>
      <w:r w:rsidR="00E66197">
        <w:t xml:space="preserve"> laganna</w:t>
      </w:r>
      <w:r>
        <w:t>, sbr. skilgreining</w:t>
      </w:r>
      <w:r w:rsidR="00487AFC">
        <w:t>ar</w:t>
      </w:r>
      <w:r>
        <w:t xml:space="preserve"> í 13. </w:t>
      </w:r>
      <w:r w:rsidR="00487AFC">
        <w:t xml:space="preserve">og 17. </w:t>
      </w:r>
      <w:proofErr w:type="spellStart"/>
      <w:r>
        <w:t>tölul</w:t>
      </w:r>
      <w:proofErr w:type="spellEnd"/>
      <w:r>
        <w:t xml:space="preserve">. </w:t>
      </w:r>
      <w:r w:rsidR="00EB0CEC">
        <w:t xml:space="preserve">1. mgr. </w:t>
      </w:r>
      <w:r>
        <w:t xml:space="preserve">3. gr. laganna. </w:t>
      </w:r>
    </w:p>
    <w:p w14:paraId="14508454" w14:textId="1E740BC4" w:rsidR="007B1365" w:rsidRDefault="0059059A" w:rsidP="007B1365">
      <w:r>
        <w:t xml:space="preserve">Sú forgangsröð á </w:t>
      </w:r>
      <w:r w:rsidR="007B1365">
        <w:t>kröfu</w:t>
      </w:r>
      <w:r>
        <w:t>m sem fram kemur</w:t>
      </w:r>
      <w:r w:rsidR="007B1365">
        <w:t xml:space="preserve"> í </w:t>
      </w:r>
      <w:r w:rsidR="004A1A6A">
        <w:t>4</w:t>
      </w:r>
      <w:r w:rsidR="007B1365">
        <w:t>.-</w:t>
      </w:r>
      <w:r w:rsidR="004A1A6A">
        <w:t>7</w:t>
      </w:r>
      <w:r w:rsidR="007B1365">
        <w:t xml:space="preserve">. </w:t>
      </w:r>
      <w:proofErr w:type="spellStart"/>
      <w:r w:rsidR="007B1365">
        <w:t>tölul</w:t>
      </w:r>
      <w:proofErr w:type="spellEnd"/>
      <w:r w:rsidR="007B1365">
        <w:t>. greinarinnar</w:t>
      </w:r>
      <w:r w:rsidR="00E66197">
        <w:t xml:space="preserve"> </w:t>
      </w:r>
      <w:r w:rsidR="007B1365">
        <w:t xml:space="preserve">er einnig getið í 1. mgr. 27. gr. og 1. mgr. 58. gr. laganna, en </w:t>
      </w:r>
      <w:r w:rsidR="00173082">
        <w:t xml:space="preserve">þær </w:t>
      </w:r>
      <w:r w:rsidR="007B1365">
        <w:t xml:space="preserve">greinar fjalla um framkvæmd niðurfærslu og umbreytingu, bæði samkvæmt sjálfstæðu úrræði </w:t>
      </w:r>
      <w:r w:rsidR="00993BFD">
        <w:t xml:space="preserve">skv. </w:t>
      </w:r>
      <w:r w:rsidR="007B1365">
        <w:t xml:space="preserve">VI. kafla og við eftirgjöf skv. </w:t>
      </w:r>
      <w:proofErr w:type="spellStart"/>
      <w:r w:rsidR="007B1365">
        <w:t>E-hluta</w:t>
      </w:r>
      <w:proofErr w:type="spellEnd"/>
      <w:r w:rsidR="007B1365">
        <w:t xml:space="preserve"> X. kafla laganna. Þessi grein </w:t>
      </w:r>
      <w:r w:rsidR="00173082">
        <w:t xml:space="preserve">frumvarpsins </w:t>
      </w:r>
      <w:r w:rsidR="007B1365">
        <w:t xml:space="preserve">er almenn og tekur bæði til skilameðferðar og slitameðferðar og því þykir ástæða til að efnið </w:t>
      </w:r>
      <w:r w:rsidR="00173082">
        <w:t>verði</w:t>
      </w:r>
      <w:r w:rsidR="007B1365">
        <w:t xml:space="preserve"> einnig lögfest </w:t>
      </w:r>
      <w:r>
        <w:t xml:space="preserve">í </w:t>
      </w:r>
      <w:r w:rsidR="00E66197">
        <w:t>greininni</w:t>
      </w:r>
      <w:r w:rsidR="00BF46C4">
        <w:t>.</w:t>
      </w:r>
      <w:r w:rsidR="007B1365">
        <w:t xml:space="preserve"> </w:t>
      </w:r>
    </w:p>
    <w:p w14:paraId="08E9D748" w14:textId="0F06A7F4" w:rsidR="00EE2C6E" w:rsidRPr="00B42BB9" w:rsidRDefault="007B1365" w:rsidP="00BF46C4">
      <w:r w:rsidRPr="00335EEA">
        <w:rPr>
          <w:i/>
          <w:iCs/>
        </w:rPr>
        <w:t xml:space="preserve">Um 1. </w:t>
      </w:r>
      <w:proofErr w:type="spellStart"/>
      <w:r w:rsidR="004A1A6A">
        <w:rPr>
          <w:i/>
          <w:iCs/>
        </w:rPr>
        <w:t>t</w:t>
      </w:r>
      <w:r w:rsidRPr="00335EEA">
        <w:rPr>
          <w:i/>
          <w:iCs/>
        </w:rPr>
        <w:t>ölul</w:t>
      </w:r>
      <w:proofErr w:type="spellEnd"/>
      <w:r w:rsidR="004A1A6A">
        <w:rPr>
          <w:i/>
          <w:iCs/>
        </w:rPr>
        <w:t xml:space="preserve"> 1. mgr</w:t>
      </w:r>
      <w:r w:rsidRPr="00335EEA">
        <w:rPr>
          <w:i/>
          <w:iCs/>
        </w:rPr>
        <w:t>.</w:t>
      </w:r>
      <w:r w:rsidRPr="00125B43">
        <w:rPr>
          <w:i/>
          <w:iCs/>
        </w:rPr>
        <w:t xml:space="preserve"> </w:t>
      </w:r>
      <w:r w:rsidR="00B42BB9">
        <w:t xml:space="preserve">Töluliðurinn fjallar um rétthæð krafna vegna </w:t>
      </w:r>
      <w:proofErr w:type="spellStart"/>
      <w:r w:rsidR="00B42BB9">
        <w:t>innstæðna</w:t>
      </w:r>
      <w:proofErr w:type="spellEnd"/>
      <w:r w:rsidR="00B42BB9">
        <w:t xml:space="preserve">. Andstætt við aðra töluliði greinarinnar ganga kröfur samkvæmt þessum tölulið að réttri </w:t>
      </w:r>
      <w:proofErr w:type="spellStart"/>
      <w:r w:rsidR="00B42BB9">
        <w:t>tiltölu</w:t>
      </w:r>
      <w:proofErr w:type="spellEnd"/>
      <w:r w:rsidR="00B42BB9">
        <w:t xml:space="preserve"> við fjárhæð hverrar kröfu og eru kröfur samkvæmt a-lið þannig rétthæstar og kröfur samkvæmt </w:t>
      </w:r>
      <w:proofErr w:type="spellStart"/>
      <w:r w:rsidR="00B42BB9">
        <w:t>d-lið</w:t>
      </w:r>
      <w:proofErr w:type="spellEnd"/>
      <w:r w:rsidR="00B42BB9">
        <w:t xml:space="preserve"> réttlægstar</w:t>
      </w:r>
      <w:r w:rsidR="0018059A">
        <w:t xml:space="preserve"> innan töluliðsins.</w:t>
      </w:r>
    </w:p>
    <w:p w14:paraId="6FF133B9" w14:textId="459F2D96" w:rsidR="007B1365" w:rsidRDefault="00EE2C6E" w:rsidP="00BF46C4">
      <w:r w:rsidRPr="00EE2C6E">
        <w:t xml:space="preserve">Um a-lið 1. </w:t>
      </w:r>
      <w:proofErr w:type="spellStart"/>
      <w:r>
        <w:t>t</w:t>
      </w:r>
      <w:r w:rsidRPr="00EE2C6E">
        <w:t>ölul</w:t>
      </w:r>
      <w:proofErr w:type="spellEnd"/>
      <w:r w:rsidRPr="00EE2C6E">
        <w:t>.</w:t>
      </w:r>
      <w:r>
        <w:rPr>
          <w:i/>
          <w:iCs/>
        </w:rPr>
        <w:t xml:space="preserve"> </w:t>
      </w:r>
      <w:r>
        <w:t>Í</w:t>
      </w:r>
      <w:r w:rsidR="007B1365">
        <w:t xml:space="preserve"> </w:t>
      </w:r>
      <w:r w:rsidR="0018059A">
        <w:t>ákvæðinu</w:t>
      </w:r>
      <w:r w:rsidR="007B1365">
        <w:t xml:space="preserve"> er fjallað um rétthæstu kröfurnar við skila- og slitameðferð að undanskildum kröfum skv. 109.-111. gr. laga um gjaldþrotaskipti o.fl. Ákvæðið er efnislega samhljóða gildandi 1. </w:t>
      </w:r>
      <w:proofErr w:type="spellStart"/>
      <w:r w:rsidR="007B1365">
        <w:t>tölul</w:t>
      </w:r>
      <w:proofErr w:type="spellEnd"/>
      <w:r w:rsidR="007B1365">
        <w:t xml:space="preserve">. </w:t>
      </w:r>
      <w:r>
        <w:t>3</w:t>
      </w:r>
      <w:r w:rsidR="007B1365">
        <w:t xml:space="preserve">. mgr. 102. gr. laga um fjármálafyrirtæki þar sem tryggðum innstæðum er skipað í réttindaröð á meðal forgangskrafna. Tryggðar innstæður njóta ríkrar verndar enda </w:t>
      </w:r>
      <w:r w:rsidR="00A21C87">
        <w:t xml:space="preserve">á meðal </w:t>
      </w:r>
      <w:r w:rsidR="007B1365">
        <w:t>markmið</w:t>
      </w:r>
      <w:r w:rsidR="00A21C87">
        <w:t>a</w:t>
      </w:r>
      <w:r w:rsidR="007B1365">
        <w:t xml:space="preserve"> </w:t>
      </w:r>
      <w:r>
        <w:t>laganna</w:t>
      </w:r>
      <w:r w:rsidR="007B1365">
        <w:t xml:space="preserve"> </w:t>
      </w:r>
      <w:r w:rsidR="00E66197">
        <w:t xml:space="preserve">skv. 1. gr. </w:t>
      </w:r>
      <w:r w:rsidR="007B1365">
        <w:t>að vernda þær</w:t>
      </w:r>
      <w:r w:rsidR="00E66197">
        <w:t>.</w:t>
      </w:r>
      <w:r w:rsidR="007B1365">
        <w:t xml:space="preserve"> Óheimilt er að beita eftirgjöf á tryggðar innstæður, sbr. 1. </w:t>
      </w:r>
      <w:proofErr w:type="spellStart"/>
      <w:r w:rsidR="007B1365">
        <w:t>tölul</w:t>
      </w:r>
      <w:proofErr w:type="spellEnd"/>
      <w:r w:rsidR="007B1365">
        <w:t xml:space="preserve">. </w:t>
      </w:r>
      <w:r w:rsidR="00B80F89">
        <w:t xml:space="preserve">1. mgr. </w:t>
      </w:r>
      <w:r w:rsidR="007B1365">
        <w:t>56. gr. laganna</w:t>
      </w:r>
      <w:r w:rsidR="00E66197">
        <w:t>,</w:t>
      </w:r>
      <w:r w:rsidR="007B1365">
        <w:t xml:space="preserve"> og þá njóta þær </w:t>
      </w:r>
      <w:r w:rsidR="00BF46C4">
        <w:t xml:space="preserve">einnig </w:t>
      </w:r>
      <w:r w:rsidR="007B1365">
        <w:t xml:space="preserve">verndar laga um innstæðutryggingar og tryggingakerfi fyrir fjárfesta, nr. 98/1999. Ef tap lánastofnunar í skilameðferð er það umfangsmikið að innstæðueigendur </w:t>
      </w:r>
      <w:r>
        <w:t xml:space="preserve">tryggðra </w:t>
      </w:r>
      <w:proofErr w:type="spellStart"/>
      <w:r>
        <w:t>innstæðna</w:t>
      </w:r>
      <w:proofErr w:type="spellEnd"/>
      <w:r>
        <w:t xml:space="preserve"> </w:t>
      </w:r>
      <w:r w:rsidR="007B1365">
        <w:t>hefðu getað borið tap við skilameðferð, greiðir Tryggingarsjóður innstæðueigenda og fjárfesta</w:t>
      </w:r>
      <w:r w:rsidR="00BF46C4">
        <w:t>,</w:t>
      </w:r>
      <w:r w:rsidR="007B1365">
        <w:t xml:space="preserve"> þá fjárhæð </w:t>
      </w:r>
      <w:r w:rsidR="0064721D">
        <w:t xml:space="preserve">til skilameðferðarinnar </w:t>
      </w:r>
      <w:r w:rsidR="007B1365">
        <w:t>sem samsvarar niðurfærslu á tryggðum innstæðum</w:t>
      </w:r>
      <w:r w:rsidR="00BF46C4">
        <w:t>,</w:t>
      </w:r>
      <w:r w:rsidR="007B1365">
        <w:t xml:space="preserve"> eða fjárhæð sem innstæðueigendur </w:t>
      </w:r>
      <w:r>
        <w:t xml:space="preserve">tryggðra </w:t>
      </w:r>
      <w:proofErr w:type="spellStart"/>
      <w:r>
        <w:t>innstæðna</w:t>
      </w:r>
      <w:proofErr w:type="spellEnd"/>
      <w:r>
        <w:t xml:space="preserve"> </w:t>
      </w:r>
      <w:r w:rsidR="007B1365">
        <w:t>hefðu tapað við slit á lánastofnun, sbr. 2. og 3. mgr. 82. gr. laga</w:t>
      </w:r>
      <w:r w:rsidR="00BF46C4">
        <w:t>nna.</w:t>
      </w:r>
    </w:p>
    <w:p w14:paraId="135A3CAA" w14:textId="2DBB5683" w:rsidR="007B1365" w:rsidRDefault="00EE2C6E" w:rsidP="00BF46C4">
      <w:r w:rsidRPr="00EE2C6E">
        <w:t xml:space="preserve">Um </w:t>
      </w:r>
      <w:proofErr w:type="spellStart"/>
      <w:r w:rsidRPr="00EE2C6E">
        <w:t>b-lið</w:t>
      </w:r>
      <w:proofErr w:type="spellEnd"/>
      <w:r w:rsidRPr="00EE2C6E">
        <w:t xml:space="preserve"> 1. </w:t>
      </w:r>
      <w:proofErr w:type="spellStart"/>
      <w:r w:rsidRPr="00EE2C6E">
        <w:t>tölul</w:t>
      </w:r>
      <w:proofErr w:type="spellEnd"/>
      <w:r w:rsidRPr="00EE2C6E">
        <w:t>.</w:t>
      </w:r>
      <w:r w:rsidR="007B1365" w:rsidRPr="00A55359">
        <w:rPr>
          <w:i/>
          <w:iCs/>
        </w:rPr>
        <w:t xml:space="preserve"> </w:t>
      </w:r>
      <w:r w:rsidR="0018059A">
        <w:t>Ákvæðið</w:t>
      </w:r>
      <w:r w:rsidR="007B1365">
        <w:t xml:space="preserve"> er efnislega samhljóða </w:t>
      </w:r>
      <w:r w:rsidR="00BF46C4">
        <w:t xml:space="preserve">gildandi </w:t>
      </w:r>
      <w:r w:rsidR="007B1365">
        <w:t xml:space="preserve">2. </w:t>
      </w:r>
      <w:proofErr w:type="spellStart"/>
      <w:r w:rsidR="007B1365">
        <w:t>tölul</w:t>
      </w:r>
      <w:proofErr w:type="spellEnd"/>
      <w:r w:rsidR="007B1365">
        <w:t xml:space="preserve">. </w:t>
      </w:r>
      <w:r>
        <w:t>3</w:t>
      </w:r>
      <w:r w:rsidR="007B1365">
        <w:t xml:space="preserve">. mgr. 102. gr. laga um fjármálafyrirtæki og fjallar um rétthæð tryggingarhæfra </w:t>
      </w:r>
      <w:proofErr w:type="spellStart"/>
      <w:r w:rsidR="007B1365">
        <w:t>innstæðna</w:t>
      </w:r>
      <w:proofErr w:type="spellEnd"/>
      <w:r w:rsidR="007B1365">
        <w:t xml:space="preserve"> einstaklinga, örfélaga, lítilla og meðalstórra félaga sem eru umfram </w:t>
      </w:r>
      <w:r>
        <w:t xml:space="preserve">tryggingarvernd </w:t>
      </w:r>
      <w:r w:rsidR="007B1365">
        <w:t>tryggð</w:t>
      </w:r>
      <w:r>
        <w:t>ra</w:t>
      </w:r>
      <w:r w:rsidR="007B1365">
        <w:t xml:space="preserve"> </w:t>
      </w:r>
      <w:proofErr w:type="spellStart"/>
      <w:r w:rsidR="007B1365">
        <w:t>innstæð</w:t>
      </w:r>
      <w:r>
        <w:t>na</w:t>
      </w:r>
      <w:proofErr w:type="spellEnd"/>
      <w:r w:rsidR="007B1365">
        <w:t xml:space="preserve"> skv. </w:t>
      </w:r>
      <w:r>
        <w:t xml:space="preserve">a-lið </w:t>
      </w:r>
      <w:r w:rsidR="007B1365">
        <w:t xml:space="preserve">1. </w:t>
      </w:r>
      <w:proofErr w:type="spellStart"/>
      <w:r w:rsidR="007B1365">
        <w:t>tölul</w:t>
      </w:r>
      <w:proofErr w:type="spellEnd"/>
      <w:r w:rsidR="007B1365">
        <w:t xml:space="preserve">. </w:t>
      </w:r>
      <w:r w:rsidR="007B1365" w:rsidRPr="00621D65">
        <w:t xml:space="preserve">greinarinnar. Ákvæðið gildir bæði um innstæður hjá lánastofnunum og útibúum þeirra, þ.m.t. </w:t>
      </w:r>
      <w:r w:rsidR="00621D65" w:rsidRPr="00621D65">
        <w:t xml:space="preserve"> innstæður sem</w:t>
      </w:r>
      <w:r w:rsidR="00621D65">
        <w:t xml:space="preserve"> hefðu talist til tryggingarhæfra </w:t>
      </w:r>
      <w:proofErr w:type="spellStart"/>
      <w:r w:rsidR="00621D65">
        <w:t>innstæðna</w:t>
      </w:r>
      <w:proofErr w:type="spellEnd"/>
      <w:r w:rsidR="00621D65">
        <w:t xml:space="preserve"> ef þær hefðu ekki verið lagðar inn hjá útibúi sem staðsett er utan Evrópska efnahagssvæðisins. </w:t>
      </w:r>
      <w:r w:rsidR="007B1365">
        <w:t xml:space="preserve">Í ákvæðinu er lögð til orðalagsbreyting frá gildandi rétti sem ætlað er að auka skýrleika. Ekki er um efnisbreytingu að ræða. Tryggðar innstæður skv. </w:t>
      </w:r>
      <w:r w:rsidR="00621D65">
        <w:t xml:space="preserve">a-lið </w:t>
      </w:r>
      <w:r w:rsidR="007B1365">
        <w:t xml:space="preserve">1. </w:t>
      </w:r>
      <w:proofErr w:type="spellStart"/>
      <w:r w:rsidR="007B1365">
        <w:t>tölul</w:t>
      </w:r>
      <w:proofErr w:type="spellEnd"/>
      <w:r w:rsidR="007B1365">
        <w:t xml:space="preserve">. greinarinnar eru sá hluti tryggingarhæfra </w:t>
      </w:r>
      <w:proofErr w:type="spellStart"/>
      <w:r w:rsidR="007B1365">
        <w:t>innstæðna</w:t>
      </w:r>
      <w:proofErr w:type="spellEnd"/>
      <w:r w:rsidR="007B1365">
        <w:t xml:space="preserve"> sem rúmast innan fjárhæðarmarka </w:t>
      </w:r>
      <w:r w:rsidR="00BF46C4">
        <w:t xml:space="preserve">tryggingarverndar </w:t>
      </w:r>
      <w:r w:rsidR="007B1365">
        <w:t xml:space="preserve">skv. 2. mgr. 9. gr. laga um innstæðutryggingar og tryggingakerfi fyrir fjárfesta, þ.e. að jafnvirði 100.000 evra (EUR) í </w:t>
      </w:r>
      <w:r w:rsidR="007B1365">
        <w:lastRenderedPageBreak/>
        <w:t>íslenskum krónum</w:t>
      </w:r>
      <w:r w:rsidR="00F61F0E">
        <w:t>, sbr. skilgreining í 6. mgr. 9. gr. sömu laga</w:t>
      </w:r>
      <w:r w:rsidR="007B1365">
        <w:t xml:space="preserve">. Það þykir því fara betur að tilgreina að hér sé átt við tryggingarhæfar innstæður einstaklinga, örfélaga, lítilla og meðalstórra félaga sem eru umfram fjárhæðarmark </w:t>
      </w:r>
      <w:r w:rsidR="00BF46C4">
        <w:t xml:space="preserve">tryggingarverndar vegna </w:t>
      </w:r>
      <w:r w:rsidR="007B1365">
        <w:t xml:space="preserve">tryggðra </w:t>
      </w:r>
      <w:proofErr w:type="spellStart"/>
      <w:r w:rsidR="007B1365">
        <w:t>innstæðna</w:t>
      </w:r>
      <w:proofErr w:type="spellEnd"/>
      <w:r w:rsidR="007B1365">
        <w:t xml:space="preserve">, enda njóta tryggingarhæfar innstæður innan fjárhæðarmarksins rétthæðar skv. </w:t>
      </w:r>
      <w:r w:rsidR="00621D65">
        <w:t xml:space="preserve">a-lið </w:t>
      </w:r>
      <w:r w:rsidR="007B1365">
        <w:t xml:space="preserve">1. </w:t>
      </w:r>
      <w:proofErr w:type="spellStart"/>
      <w:r w:rsidR="007B1365">
        <w:t>tölul</w:t>
      </w:r>
      <w:proofErr w:type="spellEnd"/>
      <w:r w:rsidR="007B1365">
        <w:t xml:space="preserve">. </w:t>
      </w:r>
      <w:r w:rsidR="005F7740">
        <w:t xml:space="preserve">1. mgr. </w:t>
      </w:r>
      <w:r w:rsidR="007B1365">
        <w:t xml:space="preserve">greinarinnar, sbr. </w:t>
      </w:r>
      <w:r w:rsidR="005F7740">
        <w:t>nú</w:t>
      </w:r>
      <w:r w:rsidR="007B1365">
        <w:t xml:space="preserve">gildandi 1. </w:t>
      </w:r>
      <w:proofErr w:type="spellStart"/>
      <w:r w:rsidR="007B1365">
        <w:t>tölul</w:t>
      </w:r>
      <w:proofErr w:type="spellEnd"/>
      <w:r w:rsidR="007B1365">
        <w:t xml:space="preserve">. </w:t>
      </w:r>
      <w:r>
        <w:t>3</w:t>
      </w:r>
      <w:r w:rsidR="007B1365">
        <w:t>. mgr. 102. gr. laga um fjármálafy</w:t>
      </w:r>
      <w:r w:rsidR="007B1365" w:rsidRPr="00644237">
        <w:t xml:space="preserve">rirtæki. </w:t>
      </w:r>
      <w:r w:rsidR="007B1365">
        <w:t xml:space="preserve">Hugtakið „tryggingarhæf innstæða“ er </w:t>
      </w:r>
      <w:r w:rsidR="007B1365" w:rsidRPr="00F61F0E">
        <w:t>skilgreint í 5. mgr. 9. gr. laga um</w:t>
      </w:r>
      <w:r w:rsidR="007B1365">
        <w:t xml:space="preserve"> innstæðutryggingar og tryggingakerfi fyrir fjárfesta og h</w:t>
      </w:r>
      <w:r w:rsidR="007B1365" w:rsidRPr="00644237">
        <w:t xml:space="preserve">ugtakið </w:t>
      </w:r>
      <w:r w:rsidR="007B1365">
        <w:t>„</w:t>
      </w:r>
      <w:r w:rsidR="007B1365" w:rsidRPr="00644237">
        <w:t>örfélög, lítil og meðalstór félög</w:t>
      </w:r>
      <w:r w:rsidR="007B1365">
        <w:t>“</w:t>
      </w:r>
      <w:r w:rsidR="007B1365" w:rsidRPr="00644237">
        <w:t xml:space="preserve"> er skilgreint í 38. </w:t>
      </w:r>
      <w:proofErr w:type="spellStart"/>
      <w:r w:rsidR="007B1365" w:rsidRPr="00644237">
        <w:t>tölul</w:t>
      </w:r>
      <w:proofErr w:type="spellEnd"/>
      <w:r w:rsidR="007B1365" w:rsidRPr="00644237">
        <w:t xml:space="preserve">. </w:t>
      </w:r>
      <w:r w:rsidR="00BA4CA0">
        <w:t xml:space="preserve">1. mgr. </w:t>
      </w:r>
      <w:r w:rsidR="007B1365" w:rsidRPr="00644237">
        <w:t>3. gr. laga</w:t>
      </w:r>
      <w:r w:rsidR="007B1365">
        <w:t xml:space="preserve"> um skilameðferð lánastofnana og verðbréfafyrirtækja</w:t>
      </w:r>
      <w:r w:rsidR="007B1365" w:rsidRPr="00644237">
        <w:t>. Rétt</w:t>
      </w:r>
      <w:r w:rsidR="007B1365">
        <w:t xml:space="preserve"> er að benda á að skilgreiningin á örfélögum, litlum og meðalstórum félögum tekur mið af tilmælum framkvæmdastjórnarinnar 2003/361/EB um skilgreininguna á örfyrirtækjum, litlum fyrirtækjum og meðalstórum fyrirtækjum. Í tilmælunum er viðmið ársveltu (</w:t>
      </w:r>
      <w:r w:rsidR="007B1365" w:rsidRPr="00E66197">
        <w:rPr>
          <w:i/>
          <w:iCs/>
        </w:rPr>
        <w:t xml:space="preserve">e. </w:t>
      </w:r>
      <w:proofErr w:type="spellStart"/>
      <w:r w:rsidR="007B1365" w:rsidRPr="00E66197">
        <w:rPr>
          <w:i/>
          <w:iCs/>
        </w:rPr>
        <w:t>annual</w:t>
      </w:r>
      <w:proofErr w:type="spellEnd"/>
      <w:r w:rsidR="007B1365" w:rsidRPr="00E66197">
        <w:rPr>
          <w:i/>
          <w:iCs/>
        </w:rPr>
        <w:t xml:space="preserve"> </w:t>
      </w:r>
      <w:proofErr w:type="spellStart"/>
      <w:r w:rsidR="007B1365" w:rsidRPr="00E66197">
        <w:rPr>
          <w:i/>
          <w:iCs/>
        </w:rPr>
        <w:t>turnover</w:t>
      </w:r>
      <w:proofErr w:type="spellEnd"/>
      <w:r w:rsidR="007B1365">
        <w:t>), þ.e. að jafnvirði 50 milljónir evra (EUR) í íslenskum krónum, frábrugðin viðmiði um hreina veltu (</w:t>
      </w:r>
      <w:r w:rsidR="007B1365" w:rsidRPr="00E66197">
        <w:rPr>
          <w:i/>
          <w:iCs/>
        </w:rPr>
        <w:t xml:space="preserve">e. net </w:t>
      </w:r>
      <w:proofErr w:type="spellStart"/>
      <w:r w:rsidR="007B1365" w:rsidRPr="00E66197">
        <w:rPr>
          <w:i/>
          <w:iCs/>
        </w:rPr>
        <w:t>turnover</w:t>
      </w:r>
      <w:proofErr w:type="spellEnd"/>
      <w:r w:rsidR="007B1365">
        <w:t xml:space="preserve">) í ársreikningatilskipuninni 2013/34/ESB sem innleidd var með lögum nr. 73/2016 um breytingu á lögum um ársreikninga, nr. 3/2006. Umrædd félög eru </w:t>
      </w:r>
      <w:r w:rsidR="00F61F0E">
        <w:t xml:space="preserve">hvert og eitt </w:t>
      </w:r>
      <w:r w:rsidR="007B1365">
        <w:t xml:space="preserve">skilgreind í 11. </w:t>
      </w:r>
      <w:proofErr w:type="spellStart"/>
      <w:r w:rsidR="007B1365">
        <w:t>tölul</w:t>
      </w:r>
      <w:proofErr w:type="spellEnd"/>
      <w:r w:rsidR="007B1365">
        <w:t>. 1. mgr. 2. gr.</w:t>
      </w:r>
      <w:r w:rsidR="00B80F89">
        <w:t xml:space="preserve"> laga um ársreikninga,</w:t>
      </w:r>
      <w:r w:rsidR="007B1365">
        <w:t xml:space="preserve"> og í </w:t>
      </w:r>
      <w:proofErr w:type="spellStart"/>
      <w:r w:rsidR="007B1365">
        <w:t>c-lið</w:t>
      </w:r>
      <w:proofErr w:type="spellEnd"/>
      <w:r w:rsidR="007B1365">
        <w:t xml:space="preserve"> </w:t>
      </w:r>
      <w:r w:rsidR="00B80F89">
        <w:t>þess töluliðar</w:t>
      </w:r>
      <w:r w:rsidR="007B1365">
        <w:t xml:space="preserve"> kemur fram að hrein velta hjá meðalstóru félagi sk</w:t>
      </w:r>
      <w:r w:rsidR="00BA4CA0">
        <w:t>u</w:t>
      </w:r>
      <w:r w:rsidR="007B1365">
        <w:t>l</w:t>
      </w:r>
      <w:r w:rsidR="00BA4CA0">
        <w:t>i</w:t>
      </w:r>
      <w:r w:rsidR="007B1365">
        <w:t xml:space="preserve"> ekki vera umfram 6.000.000 kr. miðað við gengi evru 19. júlí 2013, þ.e. að jafnvirði 40. milljónir evra í íslenskum krónum.</w:t>
      </w:r>
    </w:p>
    <w:p w14:paraId="1C57C5B6" w14:textId="6380C1A0" w:rsidR="00F61F0E" w:rsidRDefault="00F61F0E" w:rsidP="00BF46C4">
      <w:r w:rsidRPr="00EE2C6E">
        <w:t xml:space="preserve">Um </w:t>
      </w:r>
      <w:proofErr w:type="spellStart"/>
      <w:r>
        <w:t>c</w:t>
      </w:r>
      <w:r w:rsidRPr="00EE2C6E">
        <w:t>-lið</w:t>
      </w:r>
      <w:proofErr w:type="spellEnd"/>
      <w:r w:rsidRPr="00EE2C6E">
        <w:t xml:space="preserve"> 1. </w:t>
      </w:r>
      <w:proofErr w:type="spellStart"/>
      <w:r w:rsidRPr="00EE2C6E">
        <w:t>tölul</w:t>
      </w:r>
      <w:proofErr w:type="spellEnd"/>
      <w:r w:rsidRPr="00EE2C6E">
        <w:t>.</w:t>
      </w:r>
      <w:r>
        <w:t xml:space="preserve"> Í </w:t>
      </w:r>
      <w:r w:rsidR="0018059A">
        <w:t>ákvæðinu</w:t>
      </w:r>
      <w:r>
        <w:t xml:space="preserve"> er</w:t>
      </w:r>
      <w:r w:rsidR="00335EEA">
        <w:t>u lögð til nýmæli um rétthæð</w:t>
      </w:r>
      <w:r>
        <w:t xml:space="preserve"> kr</w:t>
      </w:r>
      <w:r w:rsidR="00335EEA">
        <w:t>a</w:t>
      </w:r>
      <w:r>
        <w:t>f</w:t>
      </w:r>
      <w:r w:rsidR="00335EEA">
        <w:t>na</w:t>
      </w:r>
      <w:r>
        <w:t xml:space="preserve"> vegna tryggingarhæfra </w:t>
      </w:r>
      <w:proofErr w:type="spellStart"/>
      <w:r>
        <w:t>innstæðna</w:t>
      </w:r>
      <w:proofErr w:type="spellEnd"/>
      <w:r>
        <w:t xml:space="preserve"> stórra félaga</w:t>
      </w:r>
      <w:r w:rsidR="00335EEA">
        <w:t>. Samkvæmt ákvæðinu skulu þær</w:t>
      </w:r>
      <w:r>
        <w:t xml:space="preserve"> gang</w:t>
      </w:r>
      <w:r w:rsidR="00335EEA">
        <w:t>a</w:t>
      </w:r>
      <w:r>
        <w:t xml:space="preserve"> næstar kröfum vegna tryggingarhæfra </w:t>
      </w:r>
      <w:proofErr w:type="spellStart"/>
      <w:r>
        <w:t>innstæðna</w:t>
      </w:r>
      <w:proofErr w:type="spellEnd"/>
      <w:r>
        <w:t xml:space="preserve"> einstaklinga, örfélaga, lítilla og meðalstórra félaga. </w:t>
      </w:r>
      <w:r w:rsidRPr="00F61F0E">
        <w:t>Með hugtakinu „stórt félag“ er átt við félag þar sem árleg velta fer umfram jafnvirði 50 milljónir evra (EUR) í íslenskum krónum.</w:t>
      </w:r>
    </w:p>
    <w:p w14:paraId="2CC80BBC" w14:textId="1C7D89B7" w:rsidR="00F61F0E" w:rsidRDefault="00F61F0E" w:rsidP="00335EEA">
      <w:r>
        <w:t xml:space="preserve">Um </w:t>
      </w:r>
      <w:proofErr w:type="spellStart"/>
      <w:r>
        <w:t>d-lið</w:t>
      </w:r>
      <w:proofErr w:type="spellEnd"/>
      <w:r>
        <w:t xml:space="preserve"> 1. </w:t>
      </w:r>
      <w:proofErr w:type="spellStart"/>
      <w:r>
        <w:t>tölul</w:t>
      </w:r>
      <w:proofErr w:type="spellEnd"/>
      <w:r>
        <w:t xml:space="preserve">. </w:t>
      </w:r>
      <w:r w:rsidR="0018059A">
        <w:t>Ákvæðið</w:t>
      </w:r>
      <w:r>
        <w:t xml:space="preserve"> </w:t>
      </w:r>
      <w:r w:rsidR="00335EEA">
        <w:t xml:space="preserve">kveður á um nýmæli </w:t>
      </w:r>
      <w:r w:rsidR="0018059A">
        <w:t>um</w:t>
      </w:r>
      <w:r>
        <w:t xml:space="preserve"> rétthæð </w:t>
      </w:r>
      <w:proofErr w:type="spellStart"/>
      <w:r w:rsidRPr="00335EEA">
        <w:t>innstæðna</w:t>
      </w:r>
      <w:proofErr w:type="spellEnd"/>
      <w:r w:rsidRPr="00335EEA">
        <w:t xml:space="preserve"> sem ekki teljast til tryggingarhæfra </w:t>
      </w:r>
      <w:proofErr w:type="spellStart"/>
      <w:r w:rsidRPr="00335EEA">
        <w:t>innstæðna</w:t>
      </w:r>
      <w:proofErr w:type="spellEnd"/>
      <w:r w:rsidRPr="00335EEA">
        <w:t xml:space="preserve">. </w:t>
      </w:r>
      <w:r w:rsidR="00335EEA" w:rsidRPr="00335EEA">
        <w:t>Í</w:t>
      </w:r>
      <w:r w:rsidRPr="00335EEA">
        <w:t xml:space="preserve"> 9. mgr. 9. gr. laga um innstæðutryggingar og tryggingakerfi fyrir fjárfesta, nr. 98/1999, e</w:t>
      </w:r>
      <w:r w:rsidR="00335EEA" w:rsidRPr="00335EEA">
        <w:t>r kveðið á um það með tæmandi hætti hvaða innstæður teljast ekki tryggingarhæfar en</w:t>
      </w:r>
      <w:r w:rsidRPr="00335EEA">
        <w:t xml:space="preserve"> þar undir falla meðal annars innstæður lífeyrissjóða, fjármálafyrirtækja, </w:t>
      </w:r>
      <w:proofErr w:type="spellStart"/>
      <w:r w:rsidRPr="00335EEA">
        <w:t>vátryggingafélaga</w:t>
      </w:r>
      <w:proofErr w:type="spellEnd"/>
      <w:r w:rsidRPr="00335EEA">
        <w:t>, sjóða um sameiginlega fjárfestingu, ríkis, sveitarfélaga og stofnana þeirra.</w:t>
      </w:r>
    </w:p>
    <w:p w14:paraId="07D6145D" w14:textId="06F70AA2" w:rsidR="007B1365" w:rsidRDefault="007B1365" w:rsidP="00BF46C4">
      <w:r w:rsidRPr="00644237">
        <w:rPr>
          <w:i/>
          <w:iCs/>
        </w:rPr>
        <w:t xml:space="preserve">Um </w:t>
      </w:r>
      <w:r w:rsidR="00335EEA">
        <w:rPr>
          <w:i/>
          <w:iCs/>
        </w:rPr>
        <w:t>2</w:t>
      </w:r>
      <w:r w:rsidRPr="00644237">
        <w:rPr>
          <w:i/>
          <w:iCs/>
        </w:rPr>
        <w:t xml:space="preserve">. </w:t>
      </w:r>
      <w:proofErr w:type="spellStart"/>
      <w:r w:rsidRPr="00644237">
        <w:rPr>
          <w:i/>
          <w:iCs/>
        </w:rPr>
        <w:t>tölul</w:t>
      </w:r>
      <w:proofErr w:type="spellEnd"/>
      <w:r w:rsidRPr="00644237">
        <w:rPr>
          <w:i/>
          <w:iCs/>
        </w:rPr>
        <w:t>.</w:t>
      </w:r>
      <w:r w:rsidR="005F7740">
        <w:rPr>
          <w:i/>
          <w:iCs/>
        </w:rPr>
        <w:t xml:space="preserve"> 1.mgr.</w:t>
      </w:r>
      <w:r w:rsidRPr="00644237">
        <w:rPr>
          <w:i/>
          <w:iCs/>
        </w:rPr>
        <w:t xml:space="preserve"> </w:t>
      </w:r>
      <w:r w:rsidR="00402F79">
        <w:t>Töluliðurinn</w:t>
      </w:r>
      <w:r>
        <w:t xml:space="preserve"> innleiðir hluta af 2. mgr. 1. gr. tilskipunar (ESB) 2017/2399 sem áskilur að almennar ótryggðar kröfur (</w:t>
      </w:r>
      <w:r w:rsidRPr="00E66197">
        <w:rPr>
          <w:i/>
          <w:iCs/>
        </w:rPr>
        <w:t xml:space="preserve">e. </w:t>
      </w:r>
      <w:proofErr w:type="spellStart"/>
      <w:r w:rsidRPr="00E66197">
        <w:rPr>
          <w:i/>
          <w:iCs/>
        </w:rPr>
        <w:t>ordinary</w:t>
      </w:r>
      <w:proofErr w:type="spellEnd"/>
      <w:r w:rsidRPr="00E66197">
        <w:rPr>
          <w:i/>
          <w:iCs/>
        </w:rPr>
        <w:t xml:space="preserve"> </w:t>
      </w:r>
      <w:proofErr w:type="spellStart"/>
      <w:r w:rsidRPr="00E66197">
        <w:rPr>
          <w:i/>
          <w:iCs/>
        </w:rPr>
        <w:t>unsecured</w:t>
      </w:r>
      <w:proofErr w:type="spellEnd"/>
      <w:r w:rsidRPr="00E66197">
        <w:rPr>
          <w:i/>
          <w:iCs/>
        </w:rPr>
        <w:t xml:space="preserve"> </w:t>
      </w:r>
      <w:proofErr w:type="spellStart"/>
      <w:r w:rsidRPr="00E66197">
        <w:rPr>
          <w:i/>
          <w:iCs/>
        </w:rPr>
        <w:t>claims</w:t>
      </w:r>
      <w:proofErr w:type="spellEnd"/>
      <w:r>
        <w:t xml:space="preserve">), sem njóta ekki lögum samkvæmt annarrar stöðu í forgangsröð, skuli vera rétthærri en ótryggðir </w:t>
      </w:r>
      <w:proofErr w:type="spellStart"/>
      <w:r>
        <w:t>skuldagerningar</w:t>
      </w:r>
      <w:proofErr w:type="spellEnd"/>
      <w:r>
        <w:t xml:space="preserve">, sbr. </w:t>
      </w:r>
      <w:r w:rsidR="00B42BB9">
        <w:t>3</w:t>
      </w:r>
      <w:r>
        <w:t xml:space="preserve">. </w:t>
      </w:r>
      <w:proofErr w:type="spellStart"/>
      <w:r>
        <w:t>tölul</w:t>
      </w:r>
      <w:proofErr w:type="spellEnd"/>
      <w:r>
        <w:t xml:space="preserve">. </w:t>
      </w:r>
      <w:r w:rsidR="00B30859">
        <w:t xml:space="preserve">1. mgr. </w:t>
      </w:r>
      <w:r>
        <w:t xml:space="preserve">greinarinnar. </w:t>
      </w:r>
    </w:p>
    <w:p w14:paraId="3AD7D5A7" w14:textId="28E8C0D3" w:rsidR="007B1365" w:rsidRDefault="007B1365" w:rsidP="00BF46C4">
      <w:r w:rsidRPr="002D5A63">
        <w:rPr>
          <w:i/>
          <w:iCs/>
        </w:rPr>
        <w:t xml:space="preserve">Um </w:t>
      </w:r>
      <w:r w:rsidR="00B42BB9">
        <w:rPr>
          <w:i/>
          <w:iCs/>
        </w:rPr>
        <w:t>3</w:t>
      </w:r>
      <w:r w:rsidRPr="002D5A63">
        <w:rPr>
          <w:i/>
          <w:iCs/>
        </w:rPr>
        <w:t xml:space="preserve">. </w:t>
      </w:r>
      <w:proofErr w:type="spellStart"/>
      <w:r w:rsidRPr="002D5A63">
        <w:rPr>
          <w:i/>
          <w:iCs/>
        </w:rPr>
        <w:t>tölul</w:t>
      </w:r>
      <w:proofErr w:type="spellEnd"/>
      <w:r w:rsidRPr="002D5A63">
        <w:rPr>
          <w:i/>
          <w:iCs/>
        </w:rPr>
        <w:t>.</w:t>
      </w:r>
      <w:r w:rsidR="005F7740">
        <w:rPr>
          <w:i/>
          <w:iCs/>
        </w:rPr>
        <w:t xml:space="preserve"> 1. mgr.</w:t>
      </w:r>
      <w:r>
        <w:rPr>
          <w:i/>
          <w:iCs/>
        </w:rPr>
        <w:t xml:space="preserve"> </w:t>
      </w:r>
      <w:r w:rsidR="00402F79">
        <w:t>Töluliðurinn</w:t>
      </w:r>
      <w:r>
        <w:t xml:space="preserve"> innleiðir hluta af 2. mgr. og 6. mgr. 1. gr. tilskipunar (ESB) 2017/2399 og kveður á um nýjan f</w:t>
      </w:r>
      <w:r w:rsidR="009C5935">
        <w:t>organgsf</w:t>
      </w:r>
      <w:r>
        <w:t xml:space="preserve">lokk krafna um </w:t>
      </w:r>
      <w:r w:rsidR="00B30859">
        <w:t xml:space="preserve">undirskipaða </w:t>
      </w:r>
      <w:proofErr w:type="spellStart"/>
      <w:r>
        <w:t>skuldagerninga</w:t>
      </w:r>
      <w:proofErr w:type="spellEnd"/>
      <w:r>
        <w:t xml:space="preserve">. </w:t>
      </w:r>
      <w:r w:rsidR="0018059A" w:rsidRPr="0018059A">
        <w:t>H</w:t>
      </w:r>
      <w:r w:rsidRPr="0018059A">
        <w:t>ugtaki</w:t>
      </w:r>
      <w:r w:rsidR="0018059A" w:rsidRPr="0018059A">
        <w:t>ð</w:t>
      </w:r>
      <w:r w:rsidRPr="0018059A">
        <w:t xml:space="preserve"> „</w:t>
      </w:r>
      <w:proofErr w:type="spellStart"/>
      <w:r w:rsidRPr="0018059A">
        <w:t>skuldagerningur</w:t>
      </w:r>
      <w:proofErr w:type="spellEnd"/>
      <w:r w:rsidRPr="0018059A">
        <w:t xml:space="preserve">“ í skilningi ákvæðisins </w:t>
      </w:r>
      <w:r w:rsidR="0018059A" w:rsidRPr="0018059A">
        <w:t xml:space="preserve">tekur mið af skilgreiningu 2. mgr. greinarinnar. </w:t>
      </w:r>
      <w:r w:rsidR="0018059A">
        <w:t xml:space="preserve">Gerður er sá áskilnaður til </w:t>
      </w:r>
      <w:proofErr w:type="spellStart"/>
      <w:r w:rsidR="0018059A">
        <w:t>skuldagerninga</w:t>
      </w:r>
      <w:proofErr w:type="spellEnd"/>
      <w:r w:rsidR="0018059A">
        <w:t xml:space="preserve"> í skilningi ákvæðisins að þeir uppfylli ákveðin skilyrði en með því er ætlunin að tryggja að þeir</w:t>
      </w:r>
      <w:r>
        <w:t xml:space="preserve"> uppfylli skilyrðin um </w:t>
      </w:r>
      <w:r w:rsidR="0018059A">
        <w:t xml:space="preserve">að teljast </w:t>
      </w:r>
      <w:r>
        <w:t>hæfar skuldbindingar</w:t>
      </w:r>
      <w:r>
        <w:rPr>
          <w:i/>
          <w:iCs/>
        </w:rPr>
        <w:t xml:space="preserve"> </w:t>
      </w:r>
      <w:r>
        <w:t>skv. IV. kafla laganna</w:t>
      </w:r>
      <w:r w:rsidR="0018059A">
        <w:t>.</w:t>
      </w:r>
      <w:r>
        <w:t xml:space="preserve"> Í </w:t>
      </w:r>
      <w:proofErr w:type="spellStart"/>
      <w:r>
        <w:t>b-lið</w:t>
      </w:r>
      <w:proofErr w:type="spellEnd"/>
      <w:r>
        <w:t xml:space="preserve"> </w:t>
      </w:r>
      <w:r w:rsidR="00865B81">
        <w:t xml:space="preserve">ákvæðisins </w:t>
      </w:r>
      <w:r>
        <w:t xml:space="preserve">er fjallað um að </w:t>
      </w:r>
      <w:proofErr w:type="spellStart"/>
      <w:r>
        <w:t>skuldagerningur</w:t>
      </w:r>
      <w:proofErr w:type="spellEnd"/>
      <w:r>
        <w:t xml:space="preserve"> megi ekki vera afleiða eða að geyma innbyggða afleiðu. Leggja ber þann skilning til grundvallar að </w:t>
      </w:r>
      <w:proofErr w:type="spellStart"/>
      <w:r>
        <w:t>skuldagerningar</w:t>
      </w:r>
      <w:proofErr w:type="spellEnd"/>
      <w:r>
        <w:t xml:space="preserve"> með breytilega vexti sem stafa af viðmiðunarvöxtum í almennri notkun, og </w:t>
      </w:r>
      <w:proofErr w:type="spellStart"/>
      <w:r>
        <w:t>skuldagerningar</w:t>
      </w:r>
      <w:proofErr w:type="spellEnd"/>
      <w:r>
        <w:t xml:space="preserve"> sem eru ekki gefnir upp í heimagjaldmiðli útgefanda, að því tilskildu að höfuðstóllinn, endurgreiðsl</w:t>
      </w:r>
      <w:r w:rsidR="00A5580A">
        <w:t>a</w:t>
      </w:r>
      <w:r>
        <w:t xml:space="preserve"> og vextir séu gefi</w:t>
      </w:r>
      <w:r w:rsidR="00A5580A">
        <w:t>n</w:t>
      </w:r>
      <w:r>
        <w:t xml:space="preserve"> upp í sama gjaldmiðlinum, ættu ekki að teljast </w:t>
      </w:r>
      <w:proofErr w:type="spellStart"/>
      <w:r>
        <w:t>skuldagerningar</w:t>
      </w:r>
      <w:proofErr w:type="spellEnd"/>
      <w:r>
        <w:t xml:space="preserve"> sem hafa að geyma innbyggða afleiðu einungis vegna þessara þátta. Af </w:t>
      </w:r>
      <w:proofErr w:type="spellStart"/>
      <w:r>
        <w:t>c-lið</w:t>
      </w:r>
      <w:proofErr w:type="spellEnd"/>
      <w:r>
        <w:t xml:space="preserve"> </w:t>
      </w:r>
      <w:r w:rsidR="00B30859">
        <w:t xml:space="preserve">ákvæðisins </w:t>
      </w:r>
      <w:r>
        <w:t xml:space="preserve">leiðir að </w:t>
      </w:r>
      <w:proofErr w:type="spellStart"/>
      <w:r>
        <w:t>skuldagerningur</w:t>
      </w:r>
      <w:proofErr w:type="spellEnd"/>
      <w:r>
        <w:t xml:space="preserve"> skal hafa lægri rétthæð við ógjaldfærnimeðferð og skal það tilgreint sérstaklega í viðeigandi samningsskjölum og ef við á útboðs- og skráningarlýsingu. Af </w:t>
      </w:r>
      <w:proofErr w:type="spellStart"/>
      <w:r>
        <w:t>tilgreiningu</w:t>
      </w:r>
      <w:proofErr w:type="spellEnd"/>
      <w:r>
        <w:t xml:space="preserve"> um að </w:t>
      </w:r>
      <w:proofErr w:type="spellStart"/>
      <w:r>
        <w:t>skuldagerningarnir</w:t>
      </w:r>
      <w:proofErr w:type="spellEnd"/>
      <w:r>
        <w:t xml:space="preserve"> hafi rétthæð skv. </w:t>
      </w:r>
      <w:r w:rsidR="0018059A">
        <w:t>3</w:t>
      </w:r>
      <w:r>
        <w:t xml:space="preserve">. </w:t>
      </w:r>
      <w:proofErr w:type="spellStart"/>
      <w:r>
        <w:t>tölul</w:t>
      </w:r>
      <w:proofErr w:type="spellEnd"/>
      <w:r>
        <w:t xml:space="preserve">. </w:t>
      </w:r>
      <w:r w:rsidR="00621D3E">
        <w:t xml:space="preserve">1. mgr. </w:t>
      </w:r>
      <w:r>
        <w:t xml:space="preserve">greinarinnar leiðir </w:t>
      </w:r>
      <w:r w:rsidR="00B76EFA">
        <w:t xml:space="preserve">því </w:t>
      </w:r>
      <w:r>
        <w:t xml:space="preserve">að þeir </w:t>
      </w:r>
      <w:r w:rsidR="00B76EFA">
        <w:t>séu</w:t>
      </w:r>
      <w:r>
        <w:t xml:space="preserve"> </w:t>
      </w:r>
      <w:r>
        <w:lastRenderedPageBreak/>
        <w:t xml:space="preserve">réttlægri en aðrir </w:t>
      </w:r>
      <w:proofErr w:type="spellStart"/>
      <w:r>
        <w:t>skuldagerningar</w:t>
      </w:r>
      <w:proofErr w:type="spellEnd"/>
      <w:r>
        <w:t xml:space="preserve"> sem falla í flokk </w:t>
      </w:r>
      <w:r w:rsidR="0018059A">
        <w:t xml:space="preserve">almennra </w:t>
      </w:r>
      <w:r>
        <w:t xml:space="preserve">ótryggðra </w:t>
      </w:r>
      <w:r w:rsidR="0018059A">
        <w:t>krafna</w:t>
      </w:r>
      <w:r>
        <w:t xml:space="preserve"> skv. </w:t>
      </w:r>
      <w:r w:rsidR="0018059A">
        <w:t>2</w:t>
      </w:r>
      <w:r>
        <w:t xml:space="preserve">. </w:t>
      </w:r>
      <w:proofErr w:type="spellStart"/>
      <w:r>
        <w:t>tölul</w:t>
      </w:r>
      <w:proofErr w:type="spellEnd"/>
      <w:r>
        <w:t xml:space="preserve">. </w:t>
      </w:r>
      <w:r w:rsidR="00B30859">
        <w:t xml:space="preserve">1. mgr. </w:t>
      </w:r>
      <w:r>
        <w:t>greinarinnar.</w:t>
      </w:r>
    </w:p>
    <w:p w14:paraId="052C4568" w14:textId="124C0225" w:rsidR="007B1365" w:rsidRDefault="007B1365" w:rsidP="004E7A60">
      <w:r w:rsidRPr="00B7500F">
        <w:rPr>
          <w:i/>
          <w:iCs/>
        </w:rPr>
        <w:t xml:space="preserve">Um </w:t>
      </w:r>
      <w:r w:rsidR="0018059A">
        <w:rPr>
          <w:i/>
          <w:iCs/>
        </w:rPr>
        <w:t>4</w:t>
      </w:r>
      <w:r w:rsidRPr="00B7500F">
        <w:rPr>
          <w:i/>
          <w:iCs/>
        </w:rPr>
        <w:t xml:space="preserve">. </w:t>
      </w:r>
      <w:proofErr w:type="spellStart"/>
      <w:r w:rsidRPr="00B7500F">
        <w:rPr>
          <w:i/>
          <w:iCs/>
        </w:rPr>
        <w:t>tölul</w:t>
      </w:r>
      <w:proofErr w:type="spellEnd"/>
      <w:r w:rsidRPr="00B7500F">
        <w:rPr>
          <w:i/>
          <w:iCs/>
        </w:rPr>
        <w:t>.</w:t>
      </w:r>
      <w:r w:rsidR="00A21C87">
        <w:rPr>
          <w:i/>
          <w:iCs/>
        </w:rPr>
        <w:t xml:space="preserve"> 1. mgr.</w:t>
      </w:r>
      <w:r>
        <w:t xml:space="preserve"> </w:t>
      </w:r>
      <w:r w:rsidR="00B76EFA">
        <w:t>Töluliðurinn</w:t>
      </w:r>
      <w:r>
        <w:t xml:space="preserve"> innleiði</w:t>
      </w:r>
      <w:r w:rsidR="00B76EFA">
        <w:t>r</w:t>
      </w:r>
      <w:r>
        <w:t xml:space="preserve"> 3. mgr. 1. gr. tilskipunar</w:t>
      </w:r>
      <w:r w:rsidR="00A5580A">
        <w:t xml:space="preserve"> (ESB)</w:t>
      </w:r>
      <w:r>
        <w:t xml:space="preserve"> 2017/2399, sbr.</w:t>
      </w:r>
      <w:r w:rsidR="001277F2">
        <w:t xml:space="preserve"> einnig</w:t>
      </w:r>
      <w:r>
        <w:t xml:space="preserve"> </w:t>
      </w:r>
      <w:proofErr w:type="spellStart"/>
      <w:r>
        <w:t>d-lið</w:t>
      </w:r>
      <w:proofErr w:type="spellEnd"/>
      <w:r>
        <w:t xml:space="preserve"> 1. mgr. 48. gr. tilskipunar 2014/59/ESB. Víkjandi </w:t>
      </w:r>
      <w:r w:rsidR="00F4688E">
        <w:t xml:space="preserve">lán </w:t>
      </w:r>
      <w:r>
        <w:t xml:space="preserve">sem ekki teljast til </w:t>
      </w:r>
      <w:proofErr w:type="spellStart"/>
      <w:r>
        <w:t>eiginfjárgrunnsgerninga</w:t>
      </w:r>
      <w:proofErr w:type="spellEnd"/>
      <w:r>
        <w:t xml:space="preserve"> </w:t>
      </w:r>
      <w:r w:rsidR="009C5935">
        <w:t xml:space="preserve">viðbótar eigin fjár </w:t>
      </w:r>
      <w:r>
        <w:t>þáttar 1 skv. 84. gr. b og þáttar 2 skv. 84. gr. c</w:t>
      </w:r>
      <w:r w:rsidR="00A5580A">
        <w:t xml:space="preserve"> laga um fjármálafyrirtæki, nr. 161/2002,</w:t>
      </w:r>
      <w:r>
        <w:t xml:space="preserve"> skal skipað ofar í forgangsröð en </w:t>
      </w:r>
      <w:proofErr w:type="spellStart"/>
      <w:r>
        <w:t>fjármagnsgerningar</w:t>
      </w:r>
      <w:proofErr w:type="spellEnd"/>
      <w:r>
        <w:t xml:space="preserve"> og víkjandi lán sem teljast til </w:t>
      </w:r>
      <w:proofErr w:type="spellStart"/>
      <w:r>
        <w:t>eiginfjárgrunnsgerninga</w:t>
      </w:r>
      <w:proofErr w:type="spellEnd"/>
      <w:r w:rsidR="00E3674B">
        <w:t xml:space="preserve"> skv. 84. gr. b og 84. gr. c laga um fjármálafyrirtæki</w:t>
      </w:r>
      <w:r>
        <w:t xml:space="preserve">. Í ákvæðinu er vísað til </w:t>
      </w:r>
      <w:r w:rsidR="004A1A6A">
        <w:t>lána</w:t>
      </w:r>
      <w:r>
        <w:t xml:space="preserve"> sem ekki teljast til „viðeigandi </w:t>
      </w:r>
      <w:proofErr w:type="spellStart"/>
      <w:r>
        <w:t>fjármagnsgerninga</w:t>
      </w:r>
      <w:proofErr w:type="spellEnd"/>
      <w:r>
        <w:t xml:space="preserve">“ en það hugtak er skilgreint í 35. </w:t>
      </w:r>
      <w:proofErr w:type="spellStart"/>
      <w:r>
        <w:t>tölul</w:t>
      </w:r>
      <w:proofErr w:type="spellEnd"/>
      <w:r>
        <w:t>. 1. mgr. 3. gr. laga</w:t>
      </w:r>
      <w:r w:rsidR="001277F2">
        <w:t xml:space="preserve"> um skilameðferð lánastofnana og verðbréfafyrirtækja</w:t>
      </w:r>
      <w:r>
        <w:t>.</w:t>
      </w:r>
    </w:p>
    <w:p w14:paraId="0E6F632D" w14:textId="5AE3B4EB" w:rsidR="007B1365" w:rsidRDefault="007B1365" w:rsidP="00B76EFA">
      <w:r w:rsidRPr="00594040">
        <w:rPr>
          <w:i/>
          <w:iCs/>
        </w:rPr>
        <w:t xml:space="preserve">Um </w:t>
      </w:r>
      <w:r w:rsidR="004A1A6A">
        <w:rPr>
          <w:i/>
          <w:iCs/>
        </w:rPr>
        <w:t>5</w:t>
      </w:r>
      <w:r w:rsidRPr="00A21C87">
        <w:rPr>
          <w:i/>
          <w:iCs/>
        </w:rPr>
        <w:t xml:space="preserve">. </w:t>
      </w:r>
      <w:proofErr w:type="spellStart"/>
      <w:r w:rsidRPr="00A21C87">
        <w:rPr>
          <w:i/>
          <w:iCs/>
        </w:rPr>
        <w:t>tölul</w:t>
      </w:r>
      <w:proofErr w:type="spellEnd"/>
      <w:r w:rsidRPr="00A21C87">
        <w:rPr>
          <w:i/>
          <w:iCs/>
        </w:rPr>
        <w:t>.</w:t>
      </w:r>
      <w:r w:rsidR="00A21C87" w:rsidRPr="00A21C87">
        <w:rPr>
          <w:i/>
          <w:iCs/>
        </w:rPr>
        <w:t xml:space="preserve"> 1. mgr.</w:t>
      </w:r>
      <w:r>
        <w:t xml:space="preserve"> </w:t>
      </w:r>
      <w:r w:rsidR="00B76EFA">
        <w:t>Töluliðurinn</w:t>
      </w:r>
      <w:r>
        <w:t xml:space="preserve"> innleiðir 3. mgr. 1. gr. tilskipunar</w:t>
      </w:r>
      <w:r w:rsidR="00A5580A">
        <w:t xml:space="preserve"> (ESB)</w:t>
      </w:r>
      <w:r>
        <w:t xml:space="preserve"> 2017/2399, sbr. </w:t>
      </w:r>
      <w:r w:rsidR="001277F2">
        <w:t xml:space="preserve">einnig </w:t>
      </w:r>
      <w:proofErr w:type="spellStart"/>
      <w:r>
        <w:t>c-lið</w:t>
      </w:r>
      <w:proofErr w:type="spellEnd"/>
      <w:r>
        <w:t xml:space="preserve"> 1. mgr. 48. gr. og </w:t>
      </w:r>
      <w:proofErr w:type="spellStart"/>
      <w:r>
        <w:t>c-lið</w:t>
      </w:r>
      <w:proofErr w:type="spellEnd"/>
      <w:r>
        <w:t xml:space="preserve"> 1. mgr. 60. gr. tilskipunar 2014/59/ESB. </w:t>
      </w:r>
      <w:proofErr w:type="spellStart"/>
      <w:r>
        <w:t>Fjármagnsgerningum</w:t>
      </w:r>
      <w:proofErr w:type="spellEnd"/>
      <w:r>
        <w:t xml:space="preserve"> og víkjandi lánum í eigin fjár þætti 2 skv. 84. gr. c laga um fjármálafyrirtæki er skipað ofar í forgangsröð en </w:t>
      </w:r>
      <w:proofErr w:type="spellStart"/>
      <w:r>
        <w:t>fjármagnsgerningar</w:t>
      </w:r>
      <w:proofErr w:type="spellEnd"/>
      <w:r>
        <w:t xml:space="preserve"> sem teljast viðbótar eigin fé þáttar 1 skv. 84. gr. b og almennt eigið fé skv. 84. gr. a laganna.</w:t>
      </w:r>
    </w:p>
    <w:p w14:paraId="623C7842" w14:textId="4A3805CD" w:rsidR="007B1365" w:rsidRDefault="007B1365" w:rsidP="004E7A60">
      <w:r w:rsidRPr="00A21C87">
        <w:rPr>
          <w:i/>
          <w:iCs/>
        </w:rPr>
        <w:t xml:space="preserve">Um </w:t>
      </w:r>
      <w:r w:rsidR="004A1A6A" w:rsidRPr="00A21C87">
        <w:rPr>
          <w:i/>
          <w:iCs/>
        </w:rPr>
        <w:t>6</w:t>
      </w:r>
      <w:r w:rsidRPr="00A21C87">
        <w:rPr>
          <w:i/>
          <w:iCs/>
        </w:rPr>
        <w:t xml:space="preserve">. </w:t>
      </w:r>
      <w:proofErr w:type="spellStart"/>
      <w:r w:rsidRPr="00A21C87">
        <w:rPr>
          <w:i/>
          <w:iCs/>
        </w:rPr>
        <w:t>tölul</w:t>
      </w:r>
      <w:proofErr w:type="spellEnd"/>
      <w:r w:rsidRPr="00A21C87">
        <w:rPr>
          <w:i/>
          <w:iCs/>
        </w:rPr>
        <w:t>.</w:t>
      </w:r>
      <w:r w:rsidR="00A21C87" w:rsidRPr="00A21C87">
        <w:rPr>
          <w:i/>
          <w:iCs/>
        </w:rPr>
        <w:t xml:space="preserve"> 1. mgr.</w:t>
      </w:r>
      <w:r>
        <w:t xml:space="preserve"> Ákvæðið er innleiðing á 3. mgr. 1. gr. tilskipunar</w:t>
      </w:r>
      <w:r w:rsidR="00A5580A">
        <w:t xml:space="preserve"> (ESB)</w:t>
      </w:r>
      <w:r>
        <w:t xml:space="preserve"> 2017/2399, sbr. </w:t>
      </w:r>
      <w:r w:rsidR="001277F2">
        <w:t xml:space="preserve">einnig </w:t>
      </w:r>
      <w:proofErr w:type="spellStart"/>
      <w:r>
        <w:t>b-lið</w:t>
      </w:r>
      <w:proofErr w:type="spellEnd"/>
      <w:r>
        <w:t xml:space="preserve"> 1. mgr. 48. gr. og </w:t>
      </w:r>
      <w:proofErr w:type="spellStart"/>
      <w:r>
        <w:t>b-lið</w:t>
      </w:r>
      <w:proofErr w:type="spellEnd"/>
      <w:r>
        <w:t xml:space="preserve"> 1. mgr. 60. gr. tilskipunar 2014/59/ESB. </w:t>
      </w:r>
      <w:proofErr w:type="spellStart"/>
      <w:r>
        <w:t>Fjármagnsgerningar</w:t>
      </w:r>
      <w:proofErr w:type="spellEnd"/>
      <w:r>
        <w:t xml:space="preserve"> sem teljast viðbótar eigið fé þáttar 1</w:t>
      </w:r>
      <w:r w:rsidR="00A5580A">
        <w:t xml:space="preserve"> skv. 84. gr. b laga um fjármálafyrirtæki</w:t>
      </w:r>
      <w:r>
        <w:t xml:space="preserve"> er skipað ofar í forgangsröð en </w:t>
      </w:r>
      <w:proofErr w:type="spellStart"/>
      <w:r w:rsidR="00B76EFA">
        <w:t>fjármagnsgerningar</w:t>
      </w:r>
      <w:proofErr w:type="spellEnd"/>
      <w:r w:rsidR="00B76EFA">
        <w:t xml:space="preserve"> sem teljast til </w:t>
      </w:r>
      <w:r>
        <w:t>almenn</w:t>
      </w:r>
      <w:r w:rsidR="00B76EFA">
        <w:t>s</w:t>
      </w:r>
      <w:r>
        <w:t xml:space="preserve"> eigi</w:t>
      </w:r>
      <w:r w:rsidR="00B76EFA">
        <w:t>n</w:t>
      </w:r>
      <w:r>
        <w:t xml:space="preserve"> f</w:t>
      </w:r>
      <w:r w:rsidR="00B76EFA">
        <w:t>jár</w:t>
      </w:r>
      <w:r>
        <w:t xml:space="preserve"> þáttar 1</w:t>
      </w:r>
      <w:r w:rsidR="00A5580A">
        <w:t xml:space="preserve"> skv. 84. gr. a laga um fjármálafyrirtæki.</w:t>
      </w:r>
    </w:p>
    <w:p w14:paraId="44DE5DAF" w14:textId="17E034E2" w:rsidR="007B1365" w:rsidRDefault="007B1365" w:rsidP="004E7A60">
      <w:r w:rsidRPr="00A21C87">
        <w:rPr>
          <w:i/>
          <w:iCs/>
        </w:rPr>
        <w:t xml:space="preserve">Um </w:t>
      </w:r>
      <w:r w:rsidR="004A1A6A" w:rsidRPr="00A21C87">
        <w:rPr>
          <w:i/>
          <w:iCs/>
        </w:rPr>
        <w:t>7</w:t>
      </w:r>
      <w:r w:rsidRPr="00A21C87">
        <w:rPr>
          <w:i/>
          <w:iCs/>
        </w:rPr>
        <w:t xml:space="preserve">. </w:t>
      </w:r>
      <w:proofErr w:type="spellStart"/>
      <w:r w:rsidRPr="00A21C87">
        <w:rPr>
          <w:i/>
          <w:iCs/>
        </w:rPr>
        <w:t>tölul</w:t>
      </w:r>
      <w:proofErr w:type="spellEnd"/>
      <w:r w:rsidRPr="00A21C87">
        <w:rPr>
          <w:i/>
          <w:iCs/>
        </w:rPr>
        <w:t>.</w:t>
      </w:r>
      <w:r w:rsidR="00A21C87" w:rsidRPr="00A21C87">
        <w:rPr>
          <w:i/>
          <w:iCs/>
        </w:rPr>
        <w:t xml:space="preserve"> 1. mgr.</w:t>
      </w:r>
      <w:r>
        <w:t xml:space="preserve"> </w:t>
      </w:r>
      <w:r w:rsidR="00B76EFA">
        <w:t>Töluliðurinn</w:t>
      </w:r>
      <w:r>
        <w:t xml:space="preserve"> er innleiðing á 3. mgr. 1. gr. tilskipunar</w:t>
      </w:r>
      <w:r w:rsidR="00A5580A">
        <w:t xml:space="preserve"> (ESB)</w:t>
      </w:r>
      <w:r>
        <w:t xml:space="preserve"> 2017/2399, sbr.</w:t>
      </w:r>
      <w:r w:rsidR="001277F2">
        <w:t xml:space="preserve"> einnig</w:t>
      </w:r>
      <w:r>
        <w:t xml:space="preserve"> a-lið 1. mgr. 48. gr. og a-lið 1. mgr. 60. gr. tilskipunar 2014/59/ESB. Ákvæðið tilgreinir réttlægstu kröfurnar </w:t>
      </w:r>
      <w:r w:rsidR="00E3674B">
        <w:t xml:space="preserve">innan </w:t>
      </w:r>
      <w:r w:rsidR="0091779B">
        <w:t xml:space="preserve">þeirrar </w:t>
      </w:r>
      <w:r w:rsidR="00E3674B">
        <w:t xml:space="preserve">forgangsraðar </w:t>
      </w:r>
      <w:r w:rsidR="0091779B">
        <w:t xml:space="preserve">sem kveðið er á um í </w:t>
      </w:r>
      <w:r w:rsidR="00E3674B">
        <w:t>grein</w:t>
      </w:r>
      <w:r w:rsidR="0091779B">
        <w:t>inni</w:t>
      </w:r>
      <w:r w:rsidR="00E3674B">
        <w:t xml:space="preserve">. </w:t>
      </w:r>
      <w:r>
        <w:t>Almennt eigið fé þáttar 1</w:t>
      </w:r>
      <w:r w:rsidR="00A5580A">
        <w:t xml:space="preserve"> skv. 84. gr. a laga um fjármálafyrirtæki</w:t>
      </w:r>
      <w:r>
        <w:t xml:space="preserve"> skal fyrst </w:t>
      </w:r>
      <w:proofErr w:type="spellStart"/>
      <w:r>
        <w:t>niðurfært</w:t>
      </w:r>
      <w:proofErr w:type="spellEnd"/>
      <w:r>
        <w:t xml:space="preserve"> við skilameðferð, sbr. 1. </w:t>
      </w:r>
      <w:proofErr w:type="spellStart"/>
      <w:r>
        <w:t>tölul</w:t>
      </w:r>
      <w:proofErr w:type="spellEnd"/>
      <w:r>
        <w:t>. 1. mgr. 28. gr.</w:t>
      </w:r>
      <w:r w:rsidR="00A5580A">
        <w:t xml:space="preserve"> og</w:t>
      </w:r>
      <w:r>
        <w:t xml:space="preserve">. 1. </w:t>
      </w:r>
      <w:proofErr w:type="spellStart"/>
      <w:r>
        <w:t>tölul</w:t>
      </w:r>
      <w:proofErr w:type="spellEnd"/>
      <w:r>
        <w:t>. 1. mgr. 58. gr. laga</w:t>
      </w:r>
      <w:r w:rsidR="00A5580A">
        <w:t xml:space="preserve"> um skilameðferð lánastofnana og verðbréfafyrirtækja</w:t>
      </w:r>
      <w:r>
        <w:t>. Ef fyrirtæki uppfyllir ekki skilyrði þess að vera tekið til skilameðferðar skv. 35. gr. laganna og fer í slitameðferð skv. XII. kafla laga um fjármálafyrirtæki er um að ræða kröfur sem eru síðast greiddar út til kröfuhafa, sbr. þó</w:t>
      </w:r>
      <w:r w:rsidR="0091779B">
        <w:t xml:space="preserve"> ef við á,</w:t>
      </w:r>
      <w:r>
        <w:t xml:space="preserve"> </w:t>
      </w:r>
      <w:r w:rsidR="0091779B">
        <w:t xml:space="preserve">kröfur skv. </w:t>
      </w:r>
      <w:r w:rsidR="00E3674B">
        <w:t>113.</w:t>
      </w:r>
      <w:r w:rsidR="0091779B">
        <w:t xml:space="preserve"> </w:t>
      </w:r>
      <w:r w:rsidR="00E3674B">
        <w:t xml:space="preserve">og </w:t>
      </w:r>
      <w:r>
        <w:t>114. gr. laga um gjaldþrotaskipti o.fl.</w:t>
      </w:r>
    </w:p>
    <w:p w14:paraId="47E190FA" w14:textId="043A24B7" w:rsidR="004A1A6A" w:rsidRDefault="004A1A6A" w:rsidP="004E7A60">
      <w:r w:rsidRPr="00335EEA">
        <w:rPr>
          <w:i/>
          <w:iCs/>
        </w:rPr>
        <w:t xml:space="preserve">Um </w:t>
      </w:r>
      <w:r>
        <w:rPr>
          <w:i/>
          <w:iCs/>
        </w:rPr>
        <w:t>2</w:t>
      </w:r>
      <w:r w:rsidRPr="00335EEA">
        <w:rPr>
          <w:i/>
          <w:iCs/>
        </w:rPr>
        <w:t xml:space="preserve">. </w:t>
      </w:r>
      <w:r>
        <w:rPr>
          <w:i/>
          <w:iCs/>
        </w:rPr>
        <w:t xml:space="preserve">mgr. </w:t>
      </w:r>
      <w:r>
        <w:t>Í ákvæðinu er að finna skilgreiningu á hugtakinu „</w:t>
      </w:r>
      <w:proofErr w:type="spellStart"/>
      <w:r>
        <w:t>skuldagerning</w:t>
      </w:r>
      <w:r w:rsidR="00F566C8">
        <w:t>a</w:t>
      </w:r>
      <w:r>
        <w:t>r</w:t>
      </w:r>
      <w:proofErr w:type="spellEnd"/>
      <w:r>
        <w:t>“</w:t>
      </w:r>
      <w:r w:rsidR="00432EA8">
        <w:t xml:space="preserve"> sem gildir þegar reglum greinarinnar er beitt</w:t>
      </w:r>
      <w:r>
        <w:t xml:space="preserve">. </w:t>
      </w:r>
      <w:r w:rsidR="00432EA8">
        <w:t xml:space="preserve">Líkt og fram kemur í skýringum við 1. gr. frumvarpsins er um að ræða skilgreiningu með þrengri merkingu á hugtakinu en lagt er til að bætist við 3. gr. laganna. Andstætt við skilgreiningu hugtaksins </w:t>
      </w:r>
      <w:r w:rsidR="008F2CDE">
        <w:t>skv.</w:t>
      </w:r>
      <w:r w:rsidR="00432EA8">
        <w:t xml:space="preserve"> 1. </w:t>
      </w:r>
      <w:r w:rsidR="008F2CDE">
        <w:t>g</w:t>
      </w:r>
      <w:r w:rsidR="00432EA8">
        <w:t xml:space="preserve">r. frumvarpsins </w:t>
      </w:r>
      <w:r w:rsidR="008F2CDE">
        <w:t xml:space="preserve">rúmast </w:t>
      </w:r>
      <w:r w:rsidR="001277F2">
        <w:t>„</w:t>
      </w:r>
      <w:proofErr w:type="spellStart"/>
      <w:r w:rsidR="008F2CDE">
        <w:t>gerningar</w:t>
      </w:r>
      <w:proofErr w:type="spellEnd"/>
      <w:r w:rsidR="008F2CDE">
        <w:t xml:space="preserve"> sem veita rétt til </w:t>
      </w:r>
      <w:proofErr w:type="spellStart"/>
      <w:r w:rsidR="008F2CDE">
        <w:t>skuldagerninga</w:t>
      </w:r>
      <w:proofErr w:type="spellEnd"/>
      <w:r w:rsidR="001277F2">
        <w:t>“</w:t>
      </w:r>
      <w:r w:rsidR="008F2CDE">
        <w:t xml:space="preserve"> ekki innan hugtaksins samkvæmt þessu ákvæði. </w:t>
      </w:r>
    </w:p>
    <w:p w14:paraId="6A80F76D" w14:textId="253E8DC3" w:rsidR="007B1365" w:rsidRDefault="007B1365" w:rsidP="00943B67"/>
    <w:p w14:paraId="56B02B20" w14:textId="4F5F73BF" w:rsidR="007B1365" w:rsidRPr="006F015B" w:rsidRDefault="007B1365" w:rsidP="007B1365">
      <w:pPr>
        <w:pStyle w:val="Greinarnmer"/>
      </w:pPr>
      <w:r>
        <w:t>Um 1</w:t>
      </w:r>
      <w:r w:rsidR="000C7AE9">
        <w:t>4</w:t>
      </w:r>
      <w:r>
        <w:t>. gr.</w:t>
      </w:r>
    </w:p>
    <w:p w14:paraId="3F7344C4" w14:textId="7BE7C9AB" w:rsidR="007B1365" w:rsidRPr="006F015B" w:rsidRDefault="007B1365" w:rsidP="007B1365">
      <w:r>
        <w:t xml:space="preserve">Í 1. </w:t>
      </w:r>
      <w:proofErr w:type="spellStart"/>
      <w:r>
        <w:t>tölul</w:t>
      </w:r>
      <w:proofErr w:type="spellEnd"/>
      <w:r>
        <w:t>. er lögð til breyting á ákvæði 3. mgr. 102. gr. laga um fjármálafyrirtæki, nr. 161/2002. Breytingin leiðir af 1</w:t>
      </w:r>
      <w:r w:rsidR="000C7AE9">
        <w:t>3</w:t>
      </w:r>
      <w:r>
        <w:t xml:space="preserve">. gr. frumvarpsins þar sem lagt er til að efni gildandi 3. mgr. 102. gr. laganna verði lögfest </w:t>
      </w:r>
      <w:r w:rsidR="00391313">
        <w:t>í</w:t>
      </w:r>
      <w:r>
        <w:t xml:space="preserve"> </w:t>
      </w:r>
      <w:r w:rsidR="00196FE5">
        <w:t xml:space="preserve">a- og </w:t>
      </w:r>
      <w:proofErr w:type="spellStart"/>
      <w:r w:rsidR="00196FE5">
        <w:t>b-lið</w:t>
      </w:r>
      <w:proofErr w:type="spellEnd"/>
      <w:r w:rsidR="00196FE5">
        <w:t xml:space="preserve"> </w:t>
      </w:r>
      <w:r>
        <w:t xml:space="preserve">1. </w:t>
      </w:r>
      <w:proofErr w:type="spellStart"/>
      <w:r>
        <w:t>tölu</w:t>
      </w:r>
      <w:r w:rsidR="00196FE5">
        <w:t>l</w:t>
      </w:r>
      <w:proofErr w:type="spellEnd"/>
      <w:r>
        <w:t>.</w:t>
      </w:r>
      <w:r w:rsidR="00196FE5">
        <w:t xml:space="preserve"> 1. mgr. 85. gr. a laganna.</w:t>
      </w:r>
    </w:p>
    <w:p w14:paraId="4421DA63" w14:textId="77777777" w:rsidR="007B1365" w:rsidRDefault="007B1365" w:rsidP="007B1365">
      <w:r>
        <w:t xml:space="preserve">Í 2. </w:t>
      </w:r>
      <w:proofErr w:type="spellStart"/>
      <w:r>
        <w:t>tölul</w:t>
      </w:r>
      <w:proofErr w:type="spellEnd"/>
      <w:r>
        <w:t xml:space="preserve">. eru lagðar til tvær breytingar á ákvæðum laga um innstæðutryggingar og tryggingakerfi fyrir fjárfesta, nr. 98/1999. </w:t>
      </w:r>
    </w:p>
    <w:p w14:paraId="61C3D0DE" w14:textId="11E757F8" w:rsidR="007B1365" w:rsidRDefault="007B1365" w:rsidP="007B1365">
      <w:r w:rsidRPr="00D73D1D">
        <w:rPr>
          <w:i/>
          <w:iCs/>
        </w:rPr>
        <w:t>Um a-lið.</w:t>
      </w:r>
      <w:r>
        <w:t xml:space="preserve"> Í ákvæðinu er kveðið á um orðalagsbreytingu í 3. mgr. 10. gr. laganna sem tekur mið af efni frumvarpsins. Ekki er um að ræða efnisbreytingu þar sem kröfur sem Tryggingarsjóður innstæðueigenda og fjárfesta tekur yfir njóta sem fyrr rétthæðar skv. 112. gr. laga um gjaldþrotaskipti o.fl., nr. 21/1991. Rétt þykir þó að vísa til nýs ákvæðis 85. gr. a laga um skilameðferð lánastofnana og verðbréfafyrirtækja, sbr. 1</w:t>
      </w:r>
      <w:r w:rsidR="000C7AE9">
        <w:t>3</w:t>
      </w:r>
      <w:r>
        <w:t xml:space="preserve">. gr. frumvarpsins, enda þar kveðið á forgangsröð krafna </w:t>
      </w:r>
      <w:r w:rsidR="00B76EFA">
        <w:t xml:space="preserve">við skila- og slitameðferð </w:t>
      </w:r>
      <w:r>
        <w:t xml:space="preserve">með heildstæðum hætti. Þá kemur fram </w:t>
      </w:r>
      <w:r>
        <w:lastRenderedPageBreak/>
        <w:t xml:space="preserve">í ákvæðinu að krafa sjóðsins njóti rétthæðar við gjaldþrotaskipti. Innlánsstofnanir verða ekki teknar til hefðbundinna gjaldþrotaskipta, heldur til skila- og/eða slitameðferðar, og því þykir ónákvæmt að vísa til gjaldþrotaskipta í ákvæðinu. </w:t>
      </w:r>
    </w:p>
    <w:p w14:paraId="3030CABD" w14:textId="3408C461" w:rsidR="007B1365" w:rsidRDefault="007B1365" w:rsidP="007B1365">
      <w:r w:rsidRPr="00D73D1D">
        <w:rPr>
          <w:i/>
          <w:iCs/>
        </w:rPr>
        <w:t xml:space="preserve">Um </w:t>
      </w:r>
      <w:proofErr w:type="spellStart"/>
      <w:r w:rsidRPr="00D73D1D">
        <w:rPr>
          <w:i/>
          <w:iCs/>
        </w:rPr>
        <w:t>b-lið</w:t>
      </w:r>
      <w:proofErr w:type="spellEnd"/>
      <w:r>
        <w:t>. Í ákvæðinu er lagt til að 16. mgr. bráðabirgðaákvæðis II falli brott enda efnislega rangt ákvæði eftir gildistöku laga um skilameðferð lánastofnana og verðbréfafyrirtækja</w:t>
      </w:r>
      <w:r w:rsidR="00B76EFA">
        <w:t>, nr. 70/2020</w:t>
      </w:r>
      <w:r>
        <w:t>. Einungis tryggðar innstæður njóta rétthæðar í samræmi við 1. mgr. 112. gr. laga um gjaldþrotaskipti o.fl.</w:t>
      </w:r>
      <w:r w:rsidR="00196FE5">
        <w:t xml:space="preserve"> Aðrar innstæður ganga þar næstar líkt og fjallað er um í 1. </w:t>
      </w:r>
      <w:proofErr w:type="spellStart"/>
      <w:r w:rsidR="00196FE5">
        <w:t>tölul</w:t>
      </w:r>
      <w:proofErr w:type="spellEnd"/>
      <w:r w:rsidR="00196FE5">
        <w:t>. 1. mgr. 13. gr. frumvarpsins.</w:t>
      </w:r>
    </w:p>
    <w:p w14:paraId="6BD1477B" w14:textId="77777777" w:rsidR="007B1365" w:rsidRPr="00012035" w:rsidRDefault="007B1365" w:rsidP="00943B67"/>
    <w:sectPr w:rsidR="007B1365" w:rsidRPr="00012035"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48B4" w14:textId="77777777" w:rsidR="006836A2" w:rsidRDefault="006836A2" w:rsidP="006258D7">
      <w:r>
        <w:separator/>
      </w:r>
    </w:p>
    <w:p w14:paraId="12001289" w14:textId="77777777" w:rsidR="006836A2" w:rsidRDefault="006836A2"/>
  </w:endnote>
  <w:endnote w:type="continuationSeparator" w:id="0">
    <w:p w14:paraId="03E0C0F1" w14:textId="77777777" w:rsidR="006836A2" w:rsidRDefault="006836A2" w:rsidP="006258D7">
      <w:r>
        <w:continuationSeparator/>
      </w:r>
    </w:p>
    <w:p w14:paraId="60567E98" w14:textId="77777777" w:rsidR="006836A2" w:rsidRDefault="0068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0D5F" w14:textId="77777777" w:rsidR="006836A2" w:rsidRDefault="006836A2" w:rsidP="005B4CD6">
      <w:pPr>
        <w:ind w:firstLine="0"/>
      </w:pPr>
      <w:r>
        <w:separator/>
      </w:r>
    </w:p>
    <w:p w14:paraId="2DC8E2AF" w14:textId="77777777" w:rsidR="006836A2" w:rsidRDefault="006836A2"/>
  </w:footnote>
  <w:footnote w:type="continuationSeparator" w:id="0">
    <w:p w14:paraId="22B46434" w14:textId="77777777" w:rsidR="006836A2" w:rsidRDefault="006836A2" w:rsidP="006258D7">
      <w:r>
        <w:continuationSeparator/>
      </w:r>
    </w:p>
    <w:p w14:paraId="7D74D68F" w14:textId="77777777" w:rsidR="006836A2" w:rsidRDefault="00683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789A1087" w:rsidR="006836A2" w:rsidRDefault="006836A2"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21C87">
      <w:rPr>
        <w:b/>
        <w:i/>
        <w:noProof/>
        <w:color w:val="7F7F7F"/>
        <w:sz w:val="24"/>
        <w:szCs w:val="24"/>
      </w:rPr>
      <w:t xml:space="preserve">11. </w:t>
    </w:r>
    <w:r w:rsidR="00A21C87">
      <w:rPr>
        <w:b/>
        <w:i/>
        <w:noProof/>
        <w:color w:val="7F7F7F"/>
        <w:sz w:val="24"/>
        <w:szCs w:val="24"/>
      </w:rPr>
      <w:t>janúar 2021</w:t>
    </w:r>
    <w:r>
      <w:rPr>
        <w:b/>
        <w:i/>
        <w:color w:val="7F7F7F"/>
        <w:sz w:val="24"/>
        <w:szCs w:val="24"/>
      </w:rPr>
      <w:fldChar w:fldCharType="end"/>
    </w:r>
  </w:p>
  <w:p w14:paraId="0641AD86" w14:textId="77777777" w:rsidR="006836A2" w:rsidRDefault="006836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49790626" w:rsidR="006836A2" w:rsidRDefault="006836A2"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21C87">
      <w:rPr>
        <w:b/>
        <w:i/>
        <w:noProof/>
        <w:color w:val="7F7F7F"/>
        <w:sz w:val="24"/>
        <w:szCs w:val="24"/>
      </w:rPr>
      <w:t xml:space="preserve">11. </w:t>
    </w:r>
    <w:r w:rsidR="00A21C87">
      <w:rPr>
        <w:b/>
        <w:i/>
        <w:noProof/>
        <w:color w:val="7F7F7F"/>
        <w:sz w:val="24"/>
        <w:szCs w:val="24"/>
      </w:rPr>
      <w:t>janúar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7DA"/>
    <w:multiLevelType w:val="multilevel"/>
    <w:tmpl w:val="99189318"/>
    <w:lvl w:ilvl="0">
      <w:start w:val="1"/>
      <w:numFmt w:val="none"/>
      <w:lvlText w:val="3."/>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957F5"/>
    <w:multiLevelType w:val="hybridMultilevel"/>
    <w:tmpl w:val="12B041B8"/>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7524FCE"/>
    <w:multiLevelType w:val="hybridMultilevel"/>
    <w:tmpl w:val="83B64F00"/>
    <w:lvl w:ilvl="0" w:tplc="5DB0863E">
      <w:start w:val="4"/>
      <w:numFmt w:val="bullet"/>
      <w:lvlText w:val="-"/>
      <w:lvlJc w:val="left"/>
      <w:pPr>
        <w:ind w:left="689" w:hanging="360"/>
      </w:pPr>
      <w:rPr>
        <w:rFonts w:ascii="Times New Roman" w:eastAsia="Calibri" w:hAnsi="Times New Roman" w:cs="Times New Roman" w:hint="default"/>
      </w:rPr>
    </w:lvl>
    <w:lvl w:ilvl="1" w:tplc="10000003" w:tentative="1">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4" w15:restartNumberingAfterBreak="0">
    <w:nsid w:val="188F5EED"/>
    <w:multiLevelType w:val="hybridMultilevel"/>
    <w:tmpl w:val="D302B03A"/>
    <w:lvl w:ilvl="0" w:tplc="1000000F">
      <w:start w:val="1"/>
      <w:numFmt w:val="decimal"/>
      <w:lvlText w:val="%1."/>
      <w:lvlJc w:val="left"/>
      <w:pPr>
        <w:ind w:left="644" w:hanging="360"/>
      </w:pPr>
    </w:lvl>
    <w:lvl w:ilvl="1" w:tplc="10000019">
      <w:start w:val="1"/>
      <w:numFmt w:val="lowerLetter"/>
      <w:lvlText w:val="%2."/>
      <w:lvlJc w:val="left"/>
      <w:pPr>
        <w:ind w:left="1070" w:hanging="360"/>
      </w:pPr>
    </w:lvl>
    <w:lvl w:ilvl="2" w:tplc="1000001B">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CB5127B"/>
    <w:multiLevelType w:val="hybridMultilevel"/>
    <w:tmpl w:val="E50814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0BE6350"/>
    <w:multiLevelType w:val="hybridMultilevel"/>
    <w:tmpl w:val="8A1AB378"/>
    <w:lvl w:ilvl="0" w:tplc="1000000F">
      <w:start w:val="1"/>
      <w:numFmt w:val="decimal"/>
      <w:lvlText w:val="%1."/>
      <w:lvlJc w:val="left"/>
      <w:pPr>
        <w:ind w:left="1004" w:hanging="360"/>
      </w:pPr>
    </w:lvl>
    <w:lvl w:ilvl="1" w:tplc="10000019">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22930FA9"/>
    <w:multiLevelType w:val="hybridMultilevel"/>
    <w:tmpl w:val="8A58FB54"/>
    <w:lvl w:ilvl="0" w:tplc="55A87C0E">
      <w:start w:val="4"/>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9" w15:restartNumberingAfterBreak="0">
    <w:nsid w:val="27A055B9"/>
    <w:multiLevelType w:val="hybridMultilevel"/>
    <w:tmpl w:val="35C2BE4E"/>
    <w:lvl w:ilvl="0" w:tplc="C9321C1E">
      <w:start w:val="6"/>
      <w:numFmt w:val="bullet"/>
      <w:lvlText w:val="-"/>
      <w:lvlJc w:val="left"/>
      <w:pPr>
        <w:ind w:left="689" w:hanging="360"/>
      </w:pPr>
      <w:rPr>
        <w:rFonts w:ascii="Times New Roman" w:eastAsia="Calibri" w:hAnsi="Times New Roman" w:cs="Times New Roman" w:hint="default"/>
      </w:rPr>
    </w:lvl>
    <w:lvl w:ilvl="1" w:tplc="10000003" w:tentative="1">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1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2EF24394"/>
    <w:multiLevelType w:val="hybridMultilevel"/>
    <w:tmpl w:val="6D90CF00"/>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38DD3C72"/>
    <w:multiLevelType w:val="hybridMultilevel"/>
    <w:tmpl w:val="18247794"/>
    <w:lvl w:ilvl="0" w:tplc="D3D2D7D2">
      <w:start w:val="1"/>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15" w15:restartNumberingAfterBreak="0">
    <w:nsid w:val="3B480B4E"/>
    <w:multiLevelType w:val="multilevel"/>
    <w:tmpl w:val="6DEC8882"/>
    <w:numStyleLink w:val="Althingi---"/>
  </w:abstractNum>
  <w:abstractNum w:abstractNumId="16" w15:restartNumberingAfterBreak="0">
    <w:nsid w:val="412D25CD"/>
    <w:multiLevelType w:val="hybridMultilevel"/>
    <w:tmpl w:val="6A526AFA"/>
    <w:lvl w:ilvl="0" w:tplc="A770F5E8">
      <w:numFmt w:val="bullet"/>
      <w:lvlText w:val="-"/>
      <w:lvlJc w:val="left"/>
      <w:pPr>
        <w:ind w:left="689" w:hanging="360"/>
      </w:pPr>
      <w:rPr>
        <w:rFonts w:ascii="Times New Roman" w:eastAsia="Calibri" w:hAnsi="Times New Roman" w:cs="Times New Roman" w:hint="default"/>
      </w:rPr>
    </w:lvl>
    <w:lvl w:ilvl="1" w:tplc="10000003" w:tentative="1">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1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15:restartNumberingAfterBreak="0">
    <w:nsid w:val="44400DB2"/>
    <w:multiLevelType w:val="hybridMultilevel"/>
    <w:tmpl w:val="E36670E6"/>
    <w:lvl w:ilvl="0" w:tplc="ACD865C6">
      <w:start w:val="4"/>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19" w15:restartNumberingAfterBreak="0">
    <w:nsid w:val="4BD20042"/>
    <w:multiLevelType w:val="multilevel"/>
    <w:tmpl w:val="EF88EFC4"/>
    <w:lvl w:ilvl="0">
      <w:start w:val="1"/>
      <w:numFmt w:val="none"/>
      <w:lvlText w:val="2."/>
      <w:lvlJc w:val="left"/>
      <w:pPr>
        <w:ind w:left="360" w:hanging="360"/>
      </w:pPr>
      <w:rPr>
        <w:rFonts w:hint="default"/>
      </w:rPr>
    </w:lvl>
    <w:lvl w:ilvl="1">
      <w:start w:val="1"/>
      <w:numFmt w:val="decimal"/>
      <w:lvlText w:val="3%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4C2FAE"/>
    <w:multiLevelType w:val="hybridMultilevel"/>
    <w:tmpl w:val="2D50CED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D5906A2"/>
    <w:multiLevelType w:val="hybridMultilevel"/>
    <w:tmpl w:val="0D6EB882"/>
    <w:lvl w:ilvl="0" w:tplc="8CECAC78">
      <w:start w:val="2"/>
      <w:numFmt w:val="bullet"/>
      <w:lvlText w:val="-"/>
      <w:lvlJc w:val="left"/>
      <w:pPr>
        <w:ind w:left="694" w:hanging="360"/>
      </w:pPr>
      <w:rPr>
        <w:rFonts w:ascii="Times New Roman" w:eastAsia="Calibri" w:hAnsi="Times New Roman" w:cs="Times New Roman" w:hint="default"/>
      </w:rPr>
    </w:lvl>
    <w:lvl w:ilvl="1" w:tplc="10000003" w:tentative="1">
      <w:start w:val="1"/>
      <w:numFmt w:val="bullet"/>
      <w:lvlText w:val="o"/>
      <w:lvlJc w:val="left"/>
      <w:pPr>
        <w:ind w:left="1414" w:hanging="360"/>
      </w:pPr>
      <w:rPr>
        <w:rFonts w:ascii="Courier New" w:hAnsi="Courier New" w:cs="Courier New" w:hint="default"/>
      </w:rPr>
    </w:lvl>
    <w:lvl w:ilvl="2" w:tplc="10000005" w:tentative="1">
      <w:start w:val="1"/>
      <w:numFmt w:val="bullet"/>
      <w:lvlText w:val=""/>
      <w:lvlJc w:val="left"/>
      <w:pPr>
        <w:ind w:left="2134" w:hanging="360"/>
      </w:pPr>
      <w:rPr>
        <w:rFonts w:ascii="Wingdings" w:hAnsi="Wingdings" w:hint="default"/>
      </w:rPr>
    </w:lvl>
    <w:lvl w:ilvl="3" w:tplc="10000001" w:tentative="1">
      <w:start w:val="1"/>
      <w:numFmt w:val="bullet"/>
      <w:lvlText w:val=""/>
      <w:lvlJc w:val="left"/>
      <w:pPr>
        <w:ind w:left="2854" w:hanging="360"/>
      </w:pPr>
      <w:rPr>
        <w:rFonts w:ascii="Symbol" w:hAnsi="Symbol" w:hint="default"/>
      </w:rPr>
    </w:lvl>
    <w:lvl w:ilvl="4" w:tplc="10000003" w:tentative="1">
      <w:start w:val="1"/>
      <w:numFmt w:val="bullet"/>
      <w:lvlText w:val="o"/>
      <w:lvlJc w:val="left"/>
      <w:pPr>
        <w:ind w:left="3574" w:hanging="360"/>
      </w:pPr>
      <w:rPr>
        <w:rFonts w:ascii="Courier New" w:hAnsi="Courier New" w:cs="Courier New" w:hint="default"/>
      </w:rPr>
    </w:lvl>
    <w:lvl w:ilvl="5" w:tplc="10000005" w:tentative="1">
      <w:start w:val="1"/>
      <w:numFmt w:val="bullet"/>
      <w:lvlText w:val=""/>
      <w:lvlJc w:val="left"/>
      <w:pPr>
        <w:ind w:left="4294" w:hanging="360"/>
      </w:pPr>
      <w:rPr>
        <w:rFonts w:ascii="Wingdings" w:hAnsi="Wingdings" w:hint="default"/>
      </w:rPr>
    </w:lvl>
    <w:lvl w:ilvl="6" w:tplc="10000001" w:tentative="1">
      <w:start w:val="1"/>
      <w:numFmt w:val="bullet"/>
      <w:lvlText w:val=""/>
      <w:lvlJc w:val="left"/>
      <w:pPr>
        <w:ind w:left="5014" w:hanging="360"/>
      </w:pPr>
      <w:rPr>
        <w:rFonts w:ascii="Symbol" w:hAnsi="Symbol" w:hint="default"/>
      </w:rPr>
    </w:lvl>
    <w:lvl w:ilvl="7" w:tplc="10000003" w:tentative="1">
      <w:start w:val="1"/>
      <w:numFmt w:val="bullet"/>
      <w:lvlText w:val="o"/>
      <w:lvlJc w:val="left"/>
      <w:pPr>
        <w:ind w:left="5734" w:hanging="360"/>
      </w:pPr>
      <w:rPr>
        <w:rFonts w:ascii="Courier New" w:hAnsi="Courier New" w:cs="Courier New" w:hint="default"/>
      </w:rPr>
    </w:lvl>
    <w:lvl w:ilvl="8" w:tplc="10000005" w:tentative="1">
      <w:start w:val="1"/>
      <w:numFmt w:val="bullet"/>
      <w:lvlText w:val=""/>
      <w:lvlJc w:val="left"/>
      <w:pPr>
        <w:ind w:left="6454" w:hanging="360"/>
      </w:pPr>
      <w:rPr>
        <w:rFonts w:ascii="Wingdings" w:hAnsi="Wingdings" w:hint="default"/>
      </w:rPr>
    </w:lvl>
  </w:abstractNum>
  <w:abstractNum w:abstractNumId="2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3" w15:restartNumberingAfterBreak="0">
    <w:nsid w:val="4FF35071"/>
    <w:multiLevelType w:val="multilevel"/>
    <w:tmpl w:val="83C6DAE2"/>
    <w:numStyleLink w:val="Althingi"/>
  </w:abstractNum>
  <w:abstractNum w:abstractNumId="24" w15:restartNumberingAfterBreak="0">
    <w:nsid w:val="594E5A00"/>
    <w:multiLevelType w:val="multilevel"/>
    <w:tmpl w:val="F60E3BEA"/>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106B67"/>
    <w:multiLevelType w:val="hybridMultilevel"/>
    <w:tmpl w:val="2F4620F4"/>
    <w:lvl w:ilvl="0" w:tplc="428EC0FC">
      <w:start w:val="3"/>
      <w:numFmt w:val="bullet"/>
      <w:lvlText w:val="-"/>
      <w:lvlJc w:val="left"/>
      <w:pPr>
        <w:ind w:left="689" w:hanging="360"/>
      </w:pPr>
      <w:rPr>
        <w:rFonts w:ascii="Times New Roman" w:eastAsia="Calibri" w:hAnsi="Times New Roman" w:cs="Times New Roman" w:hint="default"/>
      </w:rPr>
    </w:lvl>
    <w:lvl w:ilvl="1" w:tplc="10000003">
      <w:start w:val="1"/>
      <w:numFmt w:val="bullet"/>
      <w:lvlText w:val="o"/>
      <w:lvlJc w:val="left"/>
      <w:pPr>
        <w:ind w:left="1409" w:hanging="360"/>
      </w:pPr>
      <w:rPr>
        <w:rFonts w:ascii="Courier New" w:hAnsi="Courier New" w:cs="Courier New" w:hint="default"/>
      </w:rPr>
    </w:lvl>
    <w:lvl w:ilvl="2" w:tplc="10000005" w:tentative="1">
      <w:start w:val="1"/>
      <w:numFmt w:val="bullet"/>
      <w:lvlText w:val=""/>
      <w:lvlJc w:val="left"/>
      <w:pPr>
        <w:ind w:left="2129" w:hanging="360"/>
      </w:pPr>
      <w:rPr>
        <w:rFonts w:ascii="Wingdings" w:hAnsi="Wingdings" w:hint="default"/>
      </w:rPr>
    </w:lvl>
    <w:lvl w:ilvl="3" w:tplc="10000001" w:tentative="1">
      <w:start w:val="1"/>
      <w:numFmt w:val="bullet"/>
      <w:lvlText w:val=""/>
      <w:lvlJc w:val="left"/>
      <w:pPr>
        <w:ind w:left="2849" w:hanging="360"/>
      </w:pPr>
      <w:rPr>
        <w:rFonts w:ascii="Symbol" w:hAnsi="Symbol" w:hint="default"/>
      </w:rPr>
    </w:lvl>
    <w:lvl w:ilvl="4" w:tplc="10000003" w:tentative="1">
      <w:start w:val="1"/>
      <w:numFmt w:val="bullet"/>
      <w:lvlText w:val="o"/>
      <w:lvlJc w:val="left"/>
      <w:pPr>
        <w:ind w:left="3569" w:hanging="360"/>
      </w:pPr>
      <w:rPr>
        <w:rFonts w:ascii="Courier New" w:hAnsi="Courier New" w:cs="Courier New" w:hint="default"/>
      </w:rPr>
    </w:lvl>
    <w:lvl w:ilvl="5" w:tplc="10000005" w:tentative="1">
      <w:start w:val="1"/>
      <w:numFmt w:val="bullet"/>
      <w:lvlText w:val=""/>
      <w:lvlJc w:val="left"/>
      <w:pPr>
        <w:ind w:left="4289" w:hanging="360"/>
      </w:pPr>
      <w:rPr>
        <w:rFonts w:ascii="Wingdings" w:hAnsi="Wingdings" w:hint="default"/>
      </w:rPr>
    </w:lvl>
    <w:lvl w:ilvl="6" w:tplc="10000001" w:tentative="1">
      <w:start w:val="1"/>
      <w:numFmt w:val="bullet"/>
      <w:lvlText w:val=""/>
      <w:lvlJc w:val="left"/>
      <w:pPr>
        <w:ind w:left="5009" w:hanging="360"/>
      </w:pPr>
      <w:rPr>
        <w:rFonts w:ascii="Symbol" w:hAnsi="Symbol" w:hint="default"/>
      </w:rPr>
    </w:lvl>
    <w:lvl w:ilvl="7" w:tplc="10000003" w:tentative="1">
      <w:start w:val="1"/>
      <w:numFmt w:val="bullet"/>
      <w:lvlText w:val="o"/>
      <w:lvlJc w:val="left"/>
      <w:pPr>
        <w:ind w:left="5729" w:hanging="360"/>
      </w:pPr>
      <w:rPr>
        <w:rFonts w:ascii="Courier New" w:hAnsi="Courier New" w:cs="Courier New" w:hint="default"/>
      </w:rPr>
    </w:lvl>
    <w:lvl w:ilvl="8" w:tplc="10000005" w:tentative="1">
      <w:start w:val="1"/>
      <w:numFmt w:val="bullet"/>
      <w:lvlText w:val=""/>
      <w:lvlJc w:val="left"/>
      <w:pPr>
        <w:ind w:left="6449" w:hanging="360"/>
      </w:pPr>
      <w:rPr>
        <w:rFonts w:ascii="Wingdings" w:hAnsi="Wingdings" w:hint="default"/>
      </w:rPr>
    </w:lvl>
  </w:abstractNum>
  <w:abstractNum w:abstractNumId="2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9" w15:restartNumberingAfterBreak="0">
    <w:nsid w:val="7DB426BB"/>
    <w:multiLevelType w:val="multilevel"/>
    <w:tmpl w:val="081698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0"/>
  </w:num>
  <w:num w:numId="2">
    <w:abstractNumId w:val="26"/>
  </w:num>
  <w:num w:numId="3">
    <w:abstractNumId w:val="28"/>
  </w:num>
  <w:num w:numId="4">
    <w:abstractNumId w:val="10"/>
  </w:num>
  <w:num w:numId="5">
    <w:abstractNumId w:val="22"/>
  </w:num>
  <w:num w:numId="6">
    <w:abstractNumId w:val="27"/>
  </w:num>
  <w:num w:numId="7">
    <w:abstractNumId w:val="11"/>
  </w:num>
  <w:num w:numId="8">
    <w:abstractNumId w:val="5"/>
  </w:num>
  <w:num w:numId="9">
    <w:abstractNumId w:val="17"/>
  </w:num>
  <w:num w:numId="10">
    <w:abstractNumId w:val="12"/>
  </w:num>
  <w:num w:numId="11">
    <w:abstractNumId w:val="15"/>
  </w:num>
  <w:num w:numId="12">
    <w:abstractNumId w:val="23"/>
  </w:num>
  <w:num w:numId="13">
    <w:abstractNumId w:val="2"/>
  </w:num>
  <w:num w:numId="14">
    <w:abstractNumId w:val="13"/>
  </w:num>
  <w:num w:numId="15">
    <w:abstractNumId w:val="7"/>
  </w:num>
  <w:num w:numId="16">
    <w:abstractNumId w:val="4"/>
  </w:num>
  <w:num w:numId="17">
    <w:abstractNumId w:val="8"/>
  </w:num>
  <w:num w:numId="18">
    <w:abstractNumId w:val="18"/>
  </w:num>
  <w:num w:numId="19">
    <w:abstractNumId w:val="3"/>
  </w:num>
  <w:num w:numId="20">
    <w:abstractNumId w:val="25"/>
  </w:num>
  <w:num w:numId="21">
    <w:abstractNumId w:val="16"/>
  </w:num>
  <w:num w:numId="22">
    <w:abstractNumId w:val="9"/>
  </w:num>
  <w:num w:numId="23">
    <w:abstractNumId w:val="0"/>
  </w:num>
  <w:num w:numId="24">
    <w:abstractNumId w:val="24"/>
  </w:num>
  <w:num w:numId="25">
    <w:abstractNumId w:val="19"/>
  </w:num>
  <w:num w:numId="26">
    <w:abstractNumId w:val="6"/>
  </w:num>
  <w:num w:numId="27">
    <w:abstractNumId w:val="29"/>
  </w:num>
  <w:num w:numId="28">
    <w:abstractNumId w:val="20"/>
  </w:num>
  <w:num w:numId="29">
    <w:abstractNumId w:val="14"/>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28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453"/>
    <w:rsid w:val="00010FA6"/>
    <w:rsid w:val="000145B6"/>
    <w:rsid w:val="000149AE"/>
    <w:rsid w:val="0001584F"/>
    <w:rsid w:val="00017D94"/>
    <w:rsid w:val="000300CD"/>
    <w:rsid w:val="00030C42"/>
    <w:rsid w:val="00055B22"/>
    <w:rsid w:val="000600AB"/>
    <w:rsid w:val="00067AC3"/>
    <w:rsid w:val="0007237D"/>
    <w:rsid w:val="000754BE"/>
    <w:rsid w:val="00082DB1"/>
    <w:rsid w:val="000910C5"/>
    <w:rsid w:val="000919D1"/>
    <w:rsid w:val="00096B5F"/>
    <w:rsid w:val="000A1F74"/>
    <w:rsid w:val="000A7848"/>
    <w:rsid w:val="000B0152"/>
    <w:rsid w:val="000B6719"/>
    <w:rsid w:val="000B68E1"/>
    <w:rsid w:val="000B6F95"/>
    <w:rsid w:val="000C7AE9"/>
    <w:rsid w:val="000D11D7"/>
    <w:rsid w:val="000D40D8"/>
    <w:rsid w:val="000E16E7"/>
    <w:rsid w:val="000F46B1"/>
    <w:rsid w:val="00106159"/>
    <w:rsid w:val="0011342E"/>
    <w:rsid w:val="00115F79"/>
    <w:rsid w:val="00117680"/>
    <w:rsid w:val="001222CE"/>
    <w:rsid w:val="00122EE4"/>
    <w:rsid w:val="00125B43"/>
    <w:rsid w:val="001277F2"/>
    <w:rsid w:val="00132E7E"/>
    <w:rsid w:val="001371CD"/>
    <w:rsid w:val="00137FB8"/>
    <w:rsid w:val="00151D67"/>
    <w:rsid w:val="0015347B"/>
    <w:rsid w:val="00154C2E"/>
    <w:rsid w:val="0015772E"/>
    <w:rsid w:val="00171108"/>
    <w:rsid w:val="00173082"/>
    <w:rsid w:val="00173BD7"/>
    <w:rsid w:val="0017591F"/>
    <w:rsid w:val="0018059A"/>
    <w:rsid w:val="00180DC7"/>
    <w:rsid w:val="00181038"/>
    <w:rsid w:val="001832CC"/>
    <w:rsid w:val="001875B8"/>
    <w:rsid w:val="00196993"/>
    <w:rsid w:val="00196FE5"/>
    <w:rsid w:val="001A46E4"/>
    <w:rsid w:val="001A7188"/>
    <w:rsid w:val="001C437F"/>
    <w:rsid w:val="001C4562"/>
    <w:rsid w:val="001C51C8"/>
    <w:rsid w:val="001E47E8"/>
    <w:rsid w:val="001F17E9"/>
    <w:rsid w:val="001F434A"/>
    <w:rsid w:val="00203773"/>
    <w:rsid w:val="002073A0"/>
    <w:rsid w:val="00212B83"/>
    <w:rsid w:val="0022006D"/>
    <w:rsid w:val="002224E3"/>
    <w:rsid w:val="00222E75"/>
    <w:rsid w:val="00232A85"/>
    <w:rsid w:val="0024046D"/>
    <w:rsid w:val="00252C08"/>
    <w:rsid w:val="002537F6"/>
    <w:rsid w:val="00260FE0"/>
    <w:rsid w:val="002675EE"/>
    <w:rsid w:val="00270A34"/>
    <w:rsid w:val="00285A6B"/>
    <w:rsid w:val="00293FEE"/>
    <w:rsid w:val="00295B08"/>
    <w:rsid w:val="002A5B4F"/>
    <w:rsid w:val="002B3385"/>
    <w:rsid w:val="002C2609"/>
    <w:rsid w:val="002C7AE1"/>
    <w:rsid w:val="002C7CE6"/>
    <w:rsid w:val="002D034E"/>
    <w:rsid w:val="002D340A"/>
    <w:rsid w:val="002D576A"/>
    <w:rsid w:val="002D5A63"/>
    <w:rsid w:val="002E05E8"/>
    <w:rsid w:val="002E137E"/>
    <w:rsid w:val="002E7193"/>
    <w:rsid w:val="002F3AFA"/>
    <w:rsid w:val="00301215"/>
    <w:rsid w:val="00322F35"/>
    <w:rsid w:val="0032704C"/>
    <w:rsid w:val="00333E73"/>
    <w:rsid w:val="00335852"/>
    <w:rsid w:val="00335DC7"/>
    <w:rsid w:val="00335EEA"/>
    <w:rsid w:val="00341900"/>
    <w:rsid w:val="00354328"/>
    <w:rsid w:val="003565D3"/>
    <w:rsid w:val="00364307"/>
    <w:rsid w:val="0036503B"/>
    <w:rsid w:val="00367350"/>
    <w:rsid w:val="00381A95"/>
    <w:rsid w:val="00381ECF"/>
    <w:rsid w:val="00386B34"/>
    <w:rsid w:val="00391313"/>
    <w:rsid w:val="003917F4"/>
    <w:rsid w:val="003932FD"/>
    <w:rsid w:val="003A0A09"/>
    <w:rsid w:val="003A2799"/>
    <w:rsid w:val="003A47DA"/>
    <w:rsid w:val="003B47EB"/>
    <w:rsid w:val="003B68AB"/>
    <w:rsid w:val="003B7AF5"/>
    <w:rsid w:val="003C4374"/>
    <w:rsid w:val="003E3C1C"/>
    <w:rsid w:val="003F055D"/>
    <w:rsid w:val="003F5B37"/>
    <w:rsid w:val="00402F79"/>
    <w:rsid w:val="0040306E"/>
    <w:rsid w:val="004073D8"/>
    <w:rsid w:val="00417610"/>
    <w:rsid w:val="00432EA8"/>
    <w:rsid w:val="00435B33"/>
    <w:rsid w:val="00436458"/>
    <w:rsid w:val="00442847"/>
    <w:rsid w:val="004462DB"/>
    <w:rsid w:val="00472CF4"/>
    <w:rsid w:val="00474D66"/>
    <w:rsid w:val="004756CB"/>
    <w:rsid w:val="004871D5"/>
    <w:rsid w:val="00487988"/>
    <w:rsid w:val="00487AFC"/>
    <w:rsid w:val="00491760"/>
    <w:rsid w:val="0049606B"/>
    <w:rsid w:val="004A1A6A"/>
    <w:rsid w:val="004A2B28"/>
    <w:rsid w:val="004B3D9B"/>
    <w:rsid w:val="004C2641"/>
    <w:rsid w:val="004C4D11"/>
    <w:rsid w:val="004C568E"/>
    <w:rsid w:val="004D7422"/>
    <w:rsid w:val="004E4D53"/>
    <w:rsid w:val="004E7A60"/>
    <w:rsid w:val="004F37F2"/>
    <w:rsid w:val="004F69B4"/>
    <w:rsid w:val="00502CA3"/>
    <w:rsid w:val="0050458D"/>
    <w:rsid w:val="00506E0A"/>
    <w:rsid w:val="00507601"/>
    <w:rsid w:val="005303CF"/>
    <w:rsid w:val="005375B7"/>
    <w:rsid w:val="005527B2"/>
    <w:rsid w:val="00556732"/>
    <w:rsid w:val="00564348"/>
    <w:rsid w:val="005656AC"/>
    <w:rsid w:val="0057228A"/>
    <w:rsid w:val="005833FD"/>
    <w:rsid w:val="0059059A"/>
    <w:rsid w:val="00594040"/>
    <w:rsid w:val="005B4CD6"/>
    <w:rsid w:val="005C726B"/>
    <w:rsid w:val="005D14D8"/>
    <w:rsid w:val="005D5AEE"/>
    <w:rsid w:val="005D6658"/>
    <w:rsid w:val="005D7863"/>
    <w:rsid w:val="005E0DC6"/>
    <w:rsid w:val="005F7740"/>
    <w:rsid w:val="00606B0D"/>
    <w:rsid w:val="00614CBF"/>
    <w:rsid w:val="006150BE"/>
    <w:rsid w:val="00621D3E"/>
    <w:rsid w:val="00621D65"/>
    <w:rsid w:val="00623B78"/>
    <w:rsid w:val="006258D7"/>
    <w:rsid w:val="00632023"/>
    <w:rsid w:val="00644237"/>
    <w:rsid w:val="006448CB"/>
    <w:rsid w:val="0064721D"/>
    <w:rsid w:val="00650294"/>
    <w:rsid w:val="006514F9"/>
    <w:rsid w:val="00652C9A"/>
    <w:rsid w:val="00655561"/>
    <w:rsid w:val="00655AEA"/>
    <w:rsid w:val="00655EE3"/>
    <w:rsid w:val="0066420A"/>
    <w:rsid w:val="006659AF"/>
    <w:rsid w:val="006836A2"/>
    <w:rsid w:val="00685F63"/>
    <w:rsid w:val="0068656B"/>
    <w:rsid w:val="00697C70"/>
    <w:rsid w:val="006A09A5"/>
    <w:rsid w:val="006A1BE2"/>
    <w:rsid w:val="006A3445"/>
    <w:rsid w:val="006A68AD"/>
    <w:rsid w:val="006B2CB2"/>
    <w:rsid w:val="006B6B37"/>
    <w:rsid w:val="006C140A"/>
    <w:rsid w:val="006D5AD9"/>
    <w:rsid w:val="006D7E66"/>
    <w:rsid w:val="006F015B"/>
    <w:rsid w:val="006F069F"/>
    <w:rsid w:val="006F4043"/>
    <w:rsid w:val="006F4D1E"/>
    <w:rsid w:val="006F74FF"/>
    <w:rsid w:val="00706572"/>
    <w:rsid w:val="00707D37"/>
    <w:rsid w:val="00711D1E"/>
    <w:rsid w:val="0071351D"/>
    <w:rsid w:val="00715BF2"/>
    <w:rsid w:val="00716874"/>
    <w:rsid w:val="007176DC"/>
    <w:rsid w:val="00720CF2"/>
    <w:rsid w:val="00722E2A"/>
    <w:rsid w:val="007272D2"/>
    <w:rsid w:val="00730318"/>
    <w:rsid w:val="00730FA4"/>
    <w:rsid w:val="007555E3"/>
    <w:rsid w:val="00760621"/>
    <w:rsid w:val="007A08F8"/>
    <w:rsid w:val="007B1365"/>
    <w:rsid w:val="007B1775"/>
    <w:rsid w:val="007B3AE7"/>
    <w:rsid w:val="007D4338"/>
    <w:rsid w:val="007D590E"/>
    <w:rsid w:val="007F3B99"/>
    <w:rsid w:val="00803FAF"/>
    <w:rsid w:val="00810248"/>
    <w:rsid w:val="00821788"/>
    <w:rsid w:val="00825DF7"/>
    <w:rsid w:val="008343C8"/>
    <w:rsid w:val="00843B49"/>
    <w:rsid w:val="00852033"/>
    <w:rsid w:val="00852FF3"/>
    <w:rsid w:val="00853BAF"/>
    <w:rsid w:val="008559AB"/>
    <w:rsid w:val="0085674C"/>
    <w:rsid w:val="008577B7"/>
    <w:rsid w:val="00860D31"/>
    <w:rsid w:val="00865B81"/>
    <w:rsid w:val="0086684C"/>
    <w:rsid w:val="008745EA"/>
    <w:rsid w:val="008825DC"/>
    <w:rsid w:val="00882BA8"/>
    <w:rsid w:val="00882D45"/>
    <w:rsid w:val="00885E97"/>
    <w:rsid w:val="008864F2"/>
    <w:rsid w:val="00887A2D"/>
    <w:rsid w:val="00895423"/>
    <w:rsid w:val="008B0597"/>
    <w:rsid w:val="008B17DA"/>
    <w:rsid w:val="008C1371"/>
    <w:rsid w:val="008D0068"/>
    <w:rsid w:val="008D16E4"/>
    <w:rsid w:val="008D4EBD"/>
    <w:rsid w:val="008F0A08"/>
    <w:rsid w:val="008F1796"/>
    <w:rsid w:val="008F2CDE"/>
    <w:rsid w:val="008F66EC"/>
    <w:rsid w:val="00902501"/>
    <w:rsid w:val="00913770"/>
    <w:rsid w:val="0091779B"/>
    <w:rsid w:val="00930EF8"/>
    <w:rsid w:val="00943B67"/>
    <w:rsid w:val="00947F0E"/>
    <w:rsid w:val="00950283"/>
    <w:rsid w:val="00960946"/>
    <w:rsid w:val="009623C2"/>
    <w:rsid w:val="009649D5"/>
    <w:rsid w:val="009669F0"/>
    <w:rsid w:val="0097538C"/>
    <w:rsid w:val="0098369C"/>
    <w:rsid w:val="00984889"/>
    <w:rsid w:val="00990762"/>
    <w:rsid w:val="00993BFD"/>
    <w:rsid w:val="00995085"/>
    <w:rsid w:val="009A578F"/>
    <w:rsid w:val="009A5886"/>
    <w:rsid w:val="009C1B93"/>
    <w:rsid w:val="009C3A27"/>
    <w:rsid w:val="009C5935"/>
    <w:rsid w:val="009D3E5F"/>
    <w:rsid w:val="009D77B3"/>
    <w:rsid w:val="009D7D62"/>
    <w:rsid w:val="009D7F07"/>
    <w:rsid w:val="009F75F8"/>
    <w:rsid w:val="00A00374"/>
    <w:rsid w:val="00A01E5B"/>
    <w:rsid w:val="00A04176"/>
    <w:rsid w:val="00A10AE9"/>
    <w:rsid w:val="00A141B9"/>
    <w:rsid w:val="00A21C87"/>
    <w:rsid w:val="00A2280D"/>
    <w:rsid w:val="00A24367"/>
    <w:rsid w:val="00A366EA"/>
    <w:rsid w:val="00A36FF3"/>
    <w:rsid w:val="00A425DE"/>
    <w:rsid w:val="00A55359"/>
    <w:rsid w:val="00A5580A"/>
    <w:rsid w:val="00A62E51"/>
    <w:rsid w:val="00A6442E"/>
    <w:rsid w:val="00A67517"/>
    <w:rsid w:val="00A74357"/>
    <w:rsid w:val="00A757F8"/>
    <w:rsid w:val="00A77B3D"/>
    <w:rsid w:val="00A80763"/>
    <w:rsid w:val="00A82B46"/>
    <w:rsid w:val="00A84C9D"/>
    <w:rsid w:val="00A90212"/>
    <w:rsid w:val="00AB230C"/>
    <w:rsid w:val="00AB4DB6"/>
    <w:rsid w:val="00AC4DE2"/>
    <w:rsid w:val="00AC7C2A"/>
    <w:rsid w:val="00AD0879"/>
    <w:rsid w:val="00AD65F9"/>
    <w:rsid w:val="00AE3D34"/>
    <w:rsid w:val="00AF2F01"/>
    <w:rsid w:val="00AF581E"/>
    <w:rsid w:val="00B07351"/>
    <w:rsid w:val="00B122E0"/>
    <w:rsid w:val="00B203DC"/>
    <w:rsid w:val="00B20E81"/>
    <w:rsid w:val="00B30859"/>
    <w:rsid w:val="00B31CD8"/>
    <w:rsid w:val="00B33203"/>
    <w:rsid w:val="00B34910"/>
    <w:rsid w:val="00B402B4"/>
    <w:rsid w:val="00B42BB9"/>
    <w:rsid w:val="00B56947"/>
    <w:rsid w:val="00B67DA5"/>
    <w:rsid w:val="00B7500F"/>
    <w:rsid w:val="00B75FE3"/>
    <w:rsid w:val="00B76EFA"/>
    <w:rsid w:val="00B80C2F"/>
    <w:rsid w:val="00B80F89"/>
    <w:rsid w:val="00B82320"/>
    <w:rsid w:val="00B82578"/>
    <w:rsid w:val="00BA4CA0"/>
    <w:rsid w:val="00BA6792"/>
    <w:rsid w:val="00BC31E7"/>
    <w:rsid w:val="00BC3809"/>
    <w:rsid w:val="00BD6482"/>
    <w:rsid w:val="00BE1EB0"/>
    <w:rsid w:val="00BE4349"/>
    <w:rsid w:val="00BF2C1E"/>
    <w:rsid w:val="00BF3D23"/>
    <w:rsid w:val="00BF46C4"/>
    <w:rsid w:val="00C23B1F"/>
    <w:rsid w:val="00C34A72"/>
    <w:rsid w:val="00C350BA"/>
    <w:rsid w:val="00C35574"/>
    <w:rsid w:val="00C36086"/>
    <w:rsid w:val="00C40838"/>
    <w:rsid w:val="00C43939"/>
    <w:rsid w:val="00C44D18"/>
    <w:rsid w:val="00C456EA"/>
    <w:rsid w:val="00C53F85"/>
    <w:rsid w:val="00C710B1"/>
    <w:rsid w:val="00C809BE"/>
    <w:rsid w:val="00CA31D0"/>
    <w:rsid w:val="00CA3C61"/>
    <w:rsid w:val="00CC2358"/>
    <w:rsid w:val="00CC7ED2"/>
    <w:rsid w:val="00CD54BE"/>
    <w:rsid w:val="00CE11EF"/>
    <w:rsid w:val="00D06606"/>
    <w:rsid w:val="00D06E84"/>
    <w:rsid w:val="00D0740D"/>
    <w:rsid w:val="00D17EB5"/>
    <w:rsid w:val="00D205B5"/>
    <w:rsid w:val="00D230CA"/>
    <w:rsid w:val="00D25E73"/>
    <w:rsid w:val="00D337AE"/>
    <w:rsid w:val="00D45DA7"/>
    <w:rsid w:val="00D45F78"/>
    <w:rsid w:val="00D512A4"/>
    <w:rsid w:val="00D53C4B"/>
    <w:rsid w:val="00D5679C"/>
    <w:rsid w:val="00D73D1D"/>
    <w:rsid w:val="00D7611B"/>
    <w:rsid w:val="00D86EEE"/>
    <w:rsid w:val="00D959AE"/>
    <w:rsid w:val="00DA0E37"/>
    <w:rsid w:val="00DA0EB0"/>
    <w:rsid w:val="00DA4646"/>
    <w:rsid w:val="00DB2AA2"/>
    <w:rsid w:val="00DB33B7"/>
    <w:rsid w:val="00DB3CD4"/>
    <w:rsid w:val="00DC0C9D"/>
    <w:rsid w:val="00DC220E"/>
    <w:rsid w:val="00DD303D"/>
    <w:rsid w:val="00DD6C4F"/>
    <w:rsid w:val="00DE1B69"/>
    <w:rsid w:val="00DE3CC2"/>
    <w:rsid w:val="00E05D19"/>
    <w:rsid w:val="00E11B67"/>
    <w:rsid w:val="00E14EF5"/>
    <w:rsid w:val="00E255CC"/>
    <w:rsid w:val="00E3674B"/>
    <w:rsid w:val="00E45CB1"/>
    <w:rsid w:val="00E54888"/>
    <w:rsid w:val="00E6017B"/>
    <w:rsid w:val="00E61D77"/>
    <w:rsid w:val="00E66197"/>
    <w:rsid w:val="00E70F21"/>
    <w:rsid w:val="00E71F27"/>
    <w:rsid w:val="00E7395A"/>
    <w:rsid w:val="00E73B52"/>
    <w:rsid w:val="00E75169"/>
    <w:rsid w:val="00E82E2B"/>
    <w:rsid w:val="00E9646A"/>
    <w:rsid w:val="00EA4BBC"/>
    <w:rsid w:val="00EB0CEC"/>
    <w:rsid w:val="00EB12F6"/>
    <w:rsid w:val="00EB3C39"/>
    <w:rsid w:val="00EC30A3"/>
    <w:rsid w:val="00EC4D7F"/>
    <w:rsid w:val="00ED1890"/>
    <w:rsid w:val="00EE2C6E"/>
    <w:rsid w:val="00EF3C4D"/>
    <w:rsid w:val="00EF540C"/>
    <w:rsid w:val="00EF776B"/>
    <w:rsid w:val="00F119CD"/>
    <w:rsid w:val="00F148D3"/>
    <w:rsid w:val="00F205EF"/>
    <w:rsid w:val="00F306C7"/>
    <w:rsid w:val="00F45F77"/>
    <w:rsid w:val="00F4688E"/>
    <w:rsid w:val="00F47441"/>
    <w:rsid w:val="00F5395E"/>
    <w:rsid w:val="00F54C9A"/>
    <w:rsid w:val="00F566C8"/>
    <w:rsid w:val="00F61F0E"/>
    <w:rsid w:val="00F62BCA"/>
    <w:rsid w:val="00F66E0C"/>
    <w:rsid w:val="00F7051D"/>
    <w:rsid w:val="00F937D0"/>
    <w:rsid w:val="00FB01AF"/>
    <w:rsid w:val="00FB2716"/>
    <w:rsid w:val="00FB7774"/>
    <w:rsid w:val="00FD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2A5B4F"/>
    <w:rPr>
      <w:sz w:val="16"/>
      <w:szCs w:val="16"/>
    </w:rPr>
  </w:style>
  <w:style w:type="paragraph" w:styleId="CommentText">
    <w:name w:val="annotation text"/>
    <w:basedOn w:val="Normal"/>
    <w:link w:val="CommentTextChar"/>
    <w:uiPriority w:val="99"/>
    <w:unhideWhenUsed/>
    <w:rsid w:val="002A5B4F"/>
    <w:rPr>
      <w:sz w:val="20"/>
      <w:szCs w:val="20"/>
    </w:rPr>
  </w:style>
  <w:style w:type="character" w:customStyle="1" w:styleId="CommentTextChar">
    <w:name w:val="Comment Text Char"/>
    <w:basedOn w:val="DefaultParagraphFont"/>
    <w:link w:val="CommentText"/>
    <w:uiPriority w:val="99"/>
    <w:rsid w:val="002A5B4F"/>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2A5B4F"/>
    <w:rPr>
      <w:b/>
      <w:bCs/>
    </w:rPr>
  </w:style>
  <w:style w:type="character" w:customStyle="1" w:styleId="CommentSubjectChar">
    <w:name w:val="Comment Subject Char"/>
    <w:basedOn w:val="CommentTextChar"/>
    <w:link w:val="CommentSubject"/>
    <w:uiPriority w:val="99"/>
    <w:semiHidden/>
    <w:rsid w:val="002A5B4F"/>
    <w:rPr>
      <w:rFonts w:ascii="Times New Roman" w:hAnsi="Times New Roman"/>
      <w:b/>
      <w:bCs/>
      <w:lang w:val="is-IS"/>
    </w:rPr>
  </w:style>
  <w:style w:type="paragraph" w:styleId="BalloonText">
    <w:name w:val="Balloon Text"/>
    <w:basedOn w:val="Normal"/>
    <w:link w:val="BalloonTextChar"/>
    <w:uiPriority w:val="99"/>
    <w:semiHidden/>
    <w:unhideWhenUsed/>
    <w:rsid w:val="002A5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4F"/>
    <w:rPr>
      <w:rFonts w:ascii="Segoe UI" w:hAnsi="Segoe UI" w:cs="Segoe UI"/>
      <w:sz w:val="18"/>
      <w:szCs w:val="18"/>
      <w:lang w:val="is-IS"/>
    </w:rPr>
  </w:style>
  <w:style w:type="paragraph" w:customStyle="1" w:styleId="Normal1">
    <w:name w:val="Normal1"/>
    <w:basedOn w:val="Normal"/>
    <w:rsid w:val="00B75FE3"/>
    <w:pPr>
      <w:spacing w:before="100" w:beforeAutospacing="1" w:after="100" w:afterAutospacing="1"/>
      <w:ind w:firstLine="0"/>
      <w:jc w:val="left"/>
    </w:pPr>
    <w:rPr>
      <w:rFonts w:eastAsia="Times New Roman"/>
      <w:sz w:val="24"/>
      <w:szCs w:val="24"/>
    </w:rPr>
  </w:style>
  <w:style w:type="character" w:customStyle="1" w:styleId="UnresolvedMention1">
    <w:name w:val="Unresolved Mention1"/>
    <w:basedOn w:val="DefaultParagraphFont"/>
    <w:uiPriority w:val="99"/>
    <w:semiHidden/>
    <w:unhideWhenUsed/>
    <w:rsid w:val="006150BE"/>
    <w:rPr>
      <w:color w:val="605E5C"/>
      <w:shd w:val="clear" w:color="auto" w:fill="E1DFDD"/>
    </w:rPr>
  </w:style>
  <w:style w:type="character" w:styleId="FollowedHyperlink">
    <w:name w:val="FollowedHyperlink"/>
    <w:basedOn w:val="DefaultParagraphFont"/>
    <w:uiPriority w:val="99"/>
    <w:semiHidden/>
    <w:unhideWhenUsed/>
    <w:rsid w:val="00615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8763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ta.int/eea-lex/32017L23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fta.int/media/documents/legal-texts/eea/other-legal-documents/adopted-joint-committee-decisions/2019%20-%20Icelandic/305-2019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D8D9-D132-45F2-B8A1-0C01F1CA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5400</Words>
  <Characters>30785</Characters>
  <Application>Microsoft Office Word</Application>
  <DocSecurity>0</DocSecurity>
  <Lines>256</Lines>
  <Paragraphs>72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Hjörleifur Gíslason</cp:lastModifiedBy>
  <cp:revision>2</cp:revision>
  <cp:lastPrinted>2021-01-07T14:44:00Z</cp:lastPrinted>
  <dcterms:created xsi:type="dcterms:W3CDTF">2021-01-11T11:19:00Z</dcterms:created>
  <dcterms:modified xsi:type="dcterms:W3CDTF">2021-01-11T11:19:00Z</dcterms:modified>
</cp:coreProperties>
</file>