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8736D2" w14:paraId="743D17B8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C489BE" w14:textId="77777777" w:rsidR="00883508" w:rsidRPr="008736D2" w:rsidRDefault="00883508" w:rsidP="00D212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8736D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75466219" wp14:editId="282E5C49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4FB8B" w14:textId="77777777" w:rsidR="00883508" w:rsidRPr="008736D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8736D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8736D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0C92BBD8" w14:textId="77777777" w:rsidR="00883508" w:rsidRPr="008736D2" w:rsidRDefault="00883508" w:rsidP="00D212AA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8736D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8736D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8736D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8736D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8736D2" w14:paraId="4E364DB5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6C3EE45" w14:textId="77777777" w:rsidR="00135B40" w:rsidRPr="008736D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473696493" w:edGrp="everyone" w:colFirst="1" w:colLast="1"/>
            <w:r w:rsidRPr="008736D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98B3CC" w14:textId="2AA6811A" w:rsidR="00135B40" w:rsidRPr="008736D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76A51" w:rsidRPr="008736D2">
                  <w:rPr>
                    <w:rFonts w:ascii="Times New Roman" w:hAnsi="Times New Roman" w:cs="Times New Roman"/>
                    <w:lang w:val="is-IS"/>
                  </w:rPr>
                  <w:t>Frumvarp til laga um breytingu á</w:t>
                </w:r>
                <w:r w:rsidR="00BD3133" w:rsidRPr="008736D2">
                  <w:rPr>
                    <w:rFonts w:ascii="Times New Roman" w:hAnsi="Times New Roman" w:cs="Times New Roman"/>
                    <w:lang w:val="is-IS"/>
                  </w:rPr>
                  <w:t xml:space="preserve"> lögum um fjármálafyrirtæki og</w:t>
                </w:r>
                <w:r w:rsidR="00976A51" w:rsidRPr="008736D2">
                  <w:rPr>
                    <w:rFonts w:ascii="Times New Roman" w:hAnsi="Times New Roman" w:cs="Times New Roman"/>
                    <w:lang w:val="is-IS"/>
                  </w:rPr>
                  <w:t xml:space="preserve"> lögum um vátryggingastarfsemi</w:t>
                </w:r>
                <w:r w:rsidR="00387A5E" w:rsidRPr="008736D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D3133" w:rsidRPr="008736D2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976A51" w:rsidRPr="008736D2">
                  <w:rPr>
                    <w:rFonts w:ascii="Times New Roman" w:hAnsi="Times New Roman" w:cs="Times New Roman"/>
                    <w:lang w:val="is-IS"/>
                  </w:rPr>
                  <w:t>FJR</w:t>
                </w:r>
                <w:r w:rsidR="000D7B62" w:rsidRPr="008736D2">
                  <w:rPr>
                    <w:rFonts w:ascii="Times New Roman" w:hAnsi="Times New Roman" w:cs="Times New Roman"/>
                    <w:lang w:val="is-IS"/>
                  </w:rPr>
                  <w:t>19</w:t>
                </w:r>
                <w:r w:rsidR="00CD5748" w:rsidRPr="008736D2">
                  <w:rPr>
                    <w:rFonts w:ascii="Times New Roman" w:hAnsi="Times New Roman" w:cs="Times New Roman"/>
                    <w:lang w:val="is-IS"/>
                  </w:rPr>
                  <w:t>060103</w:t>
                </w:r>
              </w:p>
            </w:tc>
          </w:sdtContent>
        </w:sdt>
      </w:tr>
      <w:tr w:rsidR="00E34B42" w:rsidRPr="008736D2" w14:paraId="222C9D93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1450063A" w14:textId="77777777" w:rsidR="00135B40" w:rsidRPr="008736D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88707030" w:edGrp="everyone" w:colFirst="1" w:colLast="1"/>
            <w:permEnd w:id="473696493"/>
            <w:r w:rsidRPr="008736D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5D0BA101" w14:textId="77777777" w:rsidR="00135B40" w:rsidRPr="008736D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076A3" w:rsidRPr="008736D2">
                  <w:rPr>
                    <w:rFonts w:ascii="Times New Roman" w:hAnsi="Times New Roman" w:cs="Times New Roman"/>
                    <w:lang w:val="is-IS"/>
                  </w:rPr>
                  <w:t>Fjármála- og efnahagsmálaráðuneytið</w:t>
                </w:r>
              </w:p>
            </w:tc>
          </w:sdtContent>
        </w:sdt>
      </w:tr>
      <w:tr w:rsidR="00E34B42" w:rsidRPr="008736D2" w14:paraId="3CF1E18F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4A5CDB2" w14:textId="77777777" w:rsidR="00135B40" w:rsidRPr="008736D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408687403" w:edGrp="everyone" w:colFirst="1" w:colLast="1"/>
            <w:permEnd w:id="188707030"/>
            <w:r w:rsidRPr="008736D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07D0EF79" w14:textId="77777777" w:rsidR="00135B40" w:rsidRPr="008736D2" w:rsidRDefault="002B14D2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6A3" w:rsidRPr="008736D2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8736D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757FA535" w14:textId="77777777" w:rsidR="00135B40" w:rsidRPr="008736D2" w:rsidRDefault="002B14D2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8736D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8736D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8736D2" w14:paraId="68F3B757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5CE" w14:textId="77777777" w:rsidR="00135B40" w:rsidRPr="008736D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112832606" w:edGrp="everyone" w:colFirst="1" w:colLast="1"/>
            <w:permEnd w:id="408687403"/>
            <w:r w:rsidRPr="008736D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0A4EB" w14:textId="2FE48A0C" w:rsidR="00135B40" w:rsidRPr="008736D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A0AC6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2B14D2">
                  <w:rPr>
                    <w:rFonts w:ascii="Times New Roman" w:hAnsi="Times New Roman" w:cs="Times New Roman"/>
                    <w:lang w:val="is-IS"/>
                  </w:rPr>
                  <w:t>4</w:t>
                </w:r>
                <w:r w:rsidR="00B14A9F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2B14D2">
                  <w:rPr>
                    <w:rFonts w:ascii="Times New Roman" w:hAnsi="Times New Roman" w:cs="Times New Roman"/>
                    <w:lang w:val="is-IS"/>
                  </w:rPr>
                  <w:t xml:space="preserve">október </w:t>
                </w:r>
                <w:r w:rsidR="00C076A3" w:rsidRPr="008736D2">
                  <w:rPr>
                    <w:rFonts w:ascii="Times New Roman" w:hAnsi="Times New Roman" w:cs="Times New Roman"/>
                    <w:lang w:val="is-IS"/>
                  </w:rPr>
                  <w:t>201</w:t>
                </w:r>
                <w:r w:rsidR="00CD5748" w:rsidRPr="008736D2">
                  <w:rPr>
                    <w:rFonts w:ascii="Times New Roman" w:hAnsi="Times New Roman" w:cs="Times New Roman"/>
                    <w:lang w:val="is-IS"/>
                  </w:rPr>
                  <w:t>9</w:t>
                </w:r>
                <w:r w:rsidR="00C076A3" w:rsidRPr="008736D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permEnd w:id="2112832606"/>
    </w:tbl>
    <w:p w14:paraId="68CD7AFD" w14:textId="77777777" w:rsidR="007414CB" w:rsidRPr="008736D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8736D2" w14:paraId="0DA776B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DF43BD0" w14:textId="77777777" w:rsidR="00263F72" w:rsidRPr="008736D2" w:rsidRDefault="00F93B5C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8736D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8736D2" w14:paraId="32A0B4EF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ermStart w:id="442772072" w:edGrp="everyone" w:displacedByCustomXml="prev"/>
              <w:p w14:paraId="6C828114" w14:textId="77777777" w:rsidR="00FD2097" w:rsidRPr="008736D2" w:rsidRDefault="00133146" w:rsidP="00A92F9D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8736D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453BE579" w14:textId="5EA005FE" w:rsidR="007F6458" w:rsidRPr="008736D2" w:rsidRDefault="007F6458" w:rsidP="006411A4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i/>
                    <w:lang w:val="is-IS"/>
                  </w:rPr>
                  <w:t>1.1 Innleiðing tilskipunar 2009/138/EB</w:t>
                </w:r>
              </w:p>
              <w:p w14:paraId="09928472" w14:textId="144C79F9" w:rsidR="00BD3133" w:rsidRPr="008736D2" w:rsidRDefault="00391B99" w:rsidP="006411A4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Með lögum nr. 100/2016, um vátryggingastarfsemi</w:t>
                </w:r>
                <w:r w:rsidR="00D30711" w:rsidRPr="008736D2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og lögum nr. 60/2017, um vátryggin</w:t>
                </w:r>
                <w:r w:rsidR="00561727" w:rsidRPr="008736D2"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>asamstæður</w:t>
                </w:r>
                <w:r w:rsidR="00D30711" w:rsidRPr="008736D2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var meginefni tilskipunar 2009/138/EB, um stofnun og rekstur fyrirtækja á sviði vátrygginga og endurtrygginga, innleitt. </w:t>
                </w:r>
                <w:r w:rsidR="00551AC0" w:rsidRPr="008736D2">
                  <w:rPr>
                    <w:rFonts w:ascii="Times New Roman" w:hAnsi="Times New Roman" w:cs="Times New Roman"/>
                    <w:lang w:val="is-IS"/>
                  </w:rPr>
                  <w:t>Eftirlitsstofnun EFTA (ESA) hefur gert athugasemdir við innleiðingu á ákvæðum 2. mgr. 24. gr. og 1. mgr. 289. gr. tilskipunar</w:t>
                </w:r>
                <w:r w:rsidR="007F6458" w:rsidRPr="008736D2">
                  <w:rPr>
                    <w:rFonts w:ascii="Times New Roman" w:hAnsi="Times New Roman" w:cs="Times New Roman"/>
                    <w:lang w:val="is-IS"/>
                  </w:rPr>
                  <w:t>innar</w:t>
                </w:r>
                <w:r w:rsidR="00551AC0" w:rsidRPr="008736D2">
                  <w:rPr>
                    <w:rFonts w:ascii="Times New Roman" w:hAnsi="Times New Roman" w:cs="Times New Roman"/>
                    <w:lang w:val="is-IS"/>
                  </w:rPr>
                  <w:t xml:space="preserve"> í lög</w:t>
                </w:r>
                <w:r w:rsidR="007F6458" w:rsidRPr="008736D2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="00551AC0" w:rsidRPr="008736D2">
                  <w:rPr>
                    <w:rFonts w:ascii="Times New Roman" w:hAnsi="Times New Roman" w:cs="Times New Roman"/>
                    <w:lang w:val="is-IS"/>
                  </w:rPr>
                  <w:t xml:space="preserve"> um </w:t>
                </w:r>
                <w:proofErr w:type="spellStart"/>
                <w:r w:rsidR="00551AC0" w:rsidRPr="008736D2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="00551AC0" w:rsidRPr="008736D2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7F6458" w:rsidRPr="008736D2">
                  <w:rPr>
                    <w:rFonts w:ascii="Times New Roman" w:hAnsi="Times New Roman" w:cs="Times New Roman"/>
                    <w:lang w:val="is-IS"/>
                  </w:rPr>
                  <w:t>Fyrrnefnda ákvæðið</w:t>
                </w:r>
                <w:r w:rsidR="00011327" w:rsidRPr="008736D2">
                  <w:rPr>
                    <w:rFonts w:ascii="Times New Roman" w:hAnsi="Times New Roman" w:cs="Times New Roman"/>
                    <w:lang w:val="is-IS"/>
                  </w:rPr>
                  <w:t xml:space="preserve"> fjallar um skyldu </w:t>
                </w:r>
                <w:r w:rsidR="00D30711" w:rsidRPr="008736D2">
                  <w:rPr>
                    <w:rFonts w:ascii="Times New Roman" w:hAnsi="Times New Roman" w:cs="Times New Roman"/>
                    <w:lang w:val="is-IS"/>
                  </w:rPr>
                  <w:t xml:space="preserve">til </w:t>
                </w:r>
                <w:r w:rsidR="00011327" w:rsidRPr="008736D2">
                  <w:rPr>
                    <w:rFonts w:ascii="Times New Roman" w:hAnsi="Times New Roman" w:cs="Times New Roman"/>
                    <w:lang w:val="is-IS"/>
                  </w:rPr>
                  <w:t>að tilgreina eignarhluta vátryggingafélags í samræmi við ákvæði tilskipunar 2004/109/EB</w:t>
                </w:r>
                <w:r w:rsidR="00D30711" w:rsidRPr="008736D2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011327" w:rsidRPr="008736D2">
                  <w:rPr>
                    <w:rFonts w:ascii="Times New Roman" w:hAnsi="Times New Roman" w:cs="Times New Roman"/>
                    <w:lang w:val="is-IS"/>
                  </w:rPr>
                  <w:t xml:space="preserve"> um samhæfingu krafna um gagnsæi í tengslum við upplýsingar um útgefendur verðbréfa sem eru skráð á skipulegan markað</w:t>
                </w:r>
                <w:r w:rsidR="007F6458" w:rsidRPr="008736D2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011327" w:rsidRPr="008736D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F6458" w:rsidRPr="008736D2">
                  <w:rPr>
                    <w:rFonts w:ascii="Times New Roman" w:hAnsi="Times New Roman" w:cs="Times New Roman"/>
                    <w:lang w:val="is-IS"/>
                  </w:rPr>
                  <w:t xml:space="preserve">Síðarnefnda ákvæðið </w:t>
                </w:r>
                <w:r w:rsidR="00011327" w:rsidRPr="008736D2">
                  <w:rPr>
                    <w:rFonts w:ascii="Times New Roman" w:hAnsi="Times New Roman" w:cs="Times New Roman"/>
                    <w:lang w:val="is-IS"/>
                  </w:rPr>
                  <w:t>fjallar um áhrif endurskipulagningarráðstafana og slitameðferðar vátryggingafélags á réttindi og skyldur aðila á skipulegum verðbréfamarkaði.</w:t>
                </w:r>
              </w:p>
              <w:p w14:paraId="394FEECA" w14:textId="1F0D6F06" w:rsidR="007F6458" w:rsidRPr="00C4243E" w:rsidRDefault="007F6458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i/>
                    <w:lang w:val="is-IS"/>
                  </w:rPr>
                  <w:t>1.2 Búsetuskilyrði</w:t>
                </w:r>
              </w:p>
              <w:p w14:paraId="1885AFE6" w14:textId="272BBC93" w:rsidR="00391B99" w:rsidRPr="008736D2" w:rsidRDefault="00B70599" w:rsidP="00C4243E">
                <w:pPr>
                  <w:pStyle w:val="ListParagraph"/>
                  <w:rPr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ESA hefur síðustu ár haft til skoðunar búsetuskilyrði til stjórnarmanna og framkvæmdastjóra í íslenskum lögum. Með lögum nr. 25/2017 var skilyrð</w:t>
                </w:r>
                <w:r w:rsidR="0090641F" w:rsidRPr="008736D2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um búsetu </w:t>
                </w:r>
                <w:r w:rsidR="0090641F" w:rsidRPr="008736D2">
                  <w:rPr>
                    <w:rFonts w:ascii="Times New Roman" w:hAnsi="Times New Roman" w:cs="Times New Roman"/>
                    <w:lang w:val="is-IS"/>
                  </w:rPr>
                  <w:t>ríkisborgara EES- og EFTA-ríkja og Færeyinga í þeim ríkjum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í lögum nr. 2/1995, um hlutafélög, nr. 138/1994, um einkahlutafélög, og nr. 33/1999, um sjálfseignarstofnanir sem stunda atvinnurekstur, </w:t>
                </w:r>
                <w:r w:rsidR="0090641F" w:rsidRPr="008736D2">
                  <w:rPr>
                    <w:rFonts w:ascii="Times New Roman" w:hAnsi="Times New Roman" w:cs="Times New Roman"/>
                    <w:lang w:val="is-IS"/>
                  </w:rPr>
                  <w:t>fellt brott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til að bregðast við athugasemdum ESA um að þa</w:t>
                </w:r>
                <w:r w:rsidR="0090641F" w:rsidRPr="008736D2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samræmd</w:t>
                </w:r>
                <w:r w:rsidR="0090641F" w:rsidRPr="008736D2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st ekki EES-samningnum. </w:t>
                </w:r>
                <w:r w:rsidR="0090641F" w:rsidRPr="008736D2">
                  <w:rPr>
                    <w:rFonts w:ascii="Times New Roman" w:hAnsi="Times New Roman" w:cs="Times New Roman"/>
                    <w:lang w:val="is-IS"/>
                  </w:rPr>
                  <w:t>Atvinnuvega- og nýsköpunarráðuneytið áformar að gera hliðstæðar breytingar á lögum nr. 34/1991, um fjárfestingu erlendra aðila í atvinnurekstri.</w:t>
                </w:r>
                <w:r w:rsidR="00BD7670" w:rsidRPr="008736D2">
                  <w:rPr>
                    <w:rStyle w:val="FootnoteReference"/>
                    <w:rFonts w:ascii="Times New Roman" w:hAnsi="Times New Roman" w:cs="Times New Roman"/>
                    <w:lang w:val="is-IS"/>
                  </w:rPr>
                  <w:footnoteReference w:id="1"/>
                </w:r>
                <w:r w:rsidR="0090641F" w:rsidRPr="008736D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>Eftir standa svipuð búsetuskilyrði í 1. mgr. 52. gr. laga nr. 161/2002, um fjármálafyrirtæki, og 5. mgr. 40. gr. laga nr. 100/2016, um vátryggingastarfsemi</w:t>
                </w:r>
                <w:r w:rsidR="003B7142" w:rsidRPr="008736D2">
                  <w:rPr>
                    <w:rFonts w:ascii="Times New Roman" w:hAnsi="Times New Roman" w:cs="Times New Roman"/>
                    <w:lang w:val="is-IS"/>
                  </w:rPr>
                  <w:t xml:space="preserve">. Samkvæmt ákvæðunum skulu stjórnarmenn í fjármálafyrirtækjum og </w:t>
                </w:r>
                <w:proofErr w:type="spellStart"/>
                <w:r w:rsidR="003B7142" w:rsidRPr="008736D2">
                  <w:rPr>
                    <w:rFonts w:ascii="Times New Roman" w:hAnsi="Times New Roman" w:cs="Times New Roman"/>
                    <w:lang w:val="is-IS"/>
                  </w:rPr>
                  <w:t>vátryggingafélögum</w:t>
                </w:r>
                <w:proofErr w:type="spellEnd"/>
                <w:r w:rsidR="003B7142" w:rsidRPr="008736D2">
                  <w:rPr>
                    <w:rFonts w:ascii="Times New Roman" w:hAnsi="Times New Roman" w:cs="Times New Roman"/>
                    <w:lang w:val="is-IS"/>
                  </w:rPr>
                  <w:t xml:space="preserve"> vera búsettir í EES-, EFTA eða OECD-ríki eða Færeyjum. Framkvæmdastjóri skal vera búsettur í EES- eða EFTA-ríki eða Færeyjum.</w:t>
                </w:r>
              </w:p>
              <w:p w14:paraId="5BB9DC3A" w14:textId="77777777" w:rsidR="00FD2097" w:rsidRPr="008736D2" w:rsidRDefault="00D148DB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8736D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8736D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61495ED5" w14:textId="77777777" w:rsidR="000D23B3" w:rsidRPr="000D23B3" w:rsidRDefault="00551AC0" w:rsidP="000D23B3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bookmarkStart w:id="0" w:name="_Hlk17275315"/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Úrlausnarefnið er </w:t>
                </w:r>
                <w:r w:rsidR="009B139E" w:rsidRPr="008736D2">
                  <w:rPr>
                    <w:rFonts w:ascii="Times New Roman" w:hAnsi="Times New Roman" w:cs="Times New Roman"/>
                    <w:lang w:val="is-IS"/>
                  </w:rPr>
                  <w:t xml:space="preserve">annars vegar 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>að tryggja</w:t>
                </w:r>
                <w:r w:rsidR="0090641F" w:rsidRPr="008736D2">
                  <w:rPr>
                    <w:rFonts w:ascii="Times New Roman" w:hAnsi="Times New Roman" w:cs="Times New Roman"/>
                    <w:lang w:val="is-IS"/>
                  </w:rPr>
                  <w:t xml:space="preserve"> að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innleiðing á ákvæðum 2. mgr. 24. gr. og 1. mgr. 289. gr. tilskipunar 2009/138/EB</w:t>
                </w:r>
                <w:r w:rsidR="009B139E" w:rsidRPr="008736D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0641F" w:rsidRPr="008736D2">
                  <w:rPr>
                    <w:rFonts w:ascii="Times New Roman" w:hAnsi="Times New Roman" w:cs="Times New Roman"/>
                    <w:lang w:val="is-IS"/>
                  </w:rPr>
                  <w:t xml:space="preserve">sé skýr </w:t>
                </w:r>
                <w:r w:rsidR="009B139E" w:rsidRPr="008736D2">
                  <w:rPr>
                    <w:rFonts w:ascii="Times New Roman" w:hAnsi="Times New Roman" w:cs="Times New Roman"/>
                    <w:lang w:val="is-IS"/>
                  </w:rPr>
                  <w:t xml:space="preserve">og hins vegar að tryggja að skilyrði um búsetu </w:t>
                </w:r>
                <w:r w:rsidR="00D03B51" w:rsidRPr="008736D2">
                  <w:rPr>
                    <w:rFonts w:ascii="Times New Roman" w:hAnsi="Times New Roman" w:cs="Times New Roman"/>
                    <w:lang w:val="is-IS"/>
                  </w:rPr>
                  <w:t>stjórnarmanna og framkvæmdastjóra</w:t>
                </w:r>
                <w:r w:rsidR="009B139E" w:rsidRPr="008736D2">
                  <w:rPr>
                    <w:rFonts w:ascii="Times New Roman" w:hAnsi="Times New Roman" w:cs="Times New Roman"/>
                    <w:lang w:val="is-IS"/>
                  </w:rPr>
                  <w:t xml:space="preserve"> fjármálafyrirtækja og </w:t>
                </w:r>
                <w:proofErr w:type="spellStart"/>
                <w:r w:rsidR="009B139E" w:rsidRPr="008736D2">
                  <w:rPr>
                    <w:rFonts w:ascii="Times New Roman" w:hAnsi="Times New Roman" w:cs="Times New Roman"/>
                    <w:lang w:val="is-IS"/>
                  </w:rPr>
                  <w:t>vátryggingafélaga</w:t>
                </w:r>
                <w:proofErr w:type="spellEnd"/>
                <w:r w:rsidR="009B139E" w:rsidRPr="008736D2">
                  <w:rPr>
                    <w:rFonts w:ascii="Times New Roman" w:hAnsi="Times New Roman" w:cs="Times New Roman"/>
                    <w:lang w:val="is-IS"/>
                  </w:rPr>
                  <w:t xml:space="preserve"> samræmist EES-samningnum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bookmarkEnd w:id="0"/>
              </w:p>
              <w:p w14:paraId="04C75B19" w14:textId="3A90D508" w:rsidR="00561727" w:rsidRPr="008736D2" w:rsidRDefault="007822E4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 w:rsidRPr="008736D2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8736D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6EFE7378" w14:textId="7A6445B3" w:rsidR="00CA3381" w:rsidRPr="008736D2" w:rsidRDefault="00551AC0" w:rsidP="0056172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ESA telur framangreind ákvæði </w:t>
                </w:r>
                <w:r w:rsidR="00BC76DF" w:rsidRPr="008736D2">
                  <w:rPr>
                    <w:rFonts w:ascii="Times New Roman" w:hAnsi="Times New Roman" w:cs="Times New Roman"/>
                    <w:lang w:val="is-IS"/>
                  </w:rPr>
                  <w:t xml:space="preserve">tilskipunar 2009/138/EB 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ekki nægilega skýrt innleidd í lög um </w:t>
                </w:r>
                <w:proofErr w:type="spellStart"/>
                <w:r w:rsidRPr="008736D2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Pr="008736D2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561727" w:rsidRPr="008736D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B139E" w:rsidRPr="008736D2">
                  <w:rPr>
                    <w:rFonts w:ascii="Times New Roman" w:hAnsi="Times New Roman" w:cs="Times New Roman"/>
                    <w:lang w:val="is-IS"/>
                  </w:rPr>
                  <w:t xml:space="preserve">Jafnframt hefur ESA gert athugasemdir við búsetuskilyrði í lögum um vátryggingastarfsemi og </w:t>
                </w:r>
                <w:r w:rsidR="00967A76" w:rsidRPr="008736D2">
                  <w:rPr>
                    <w:rFonts w:ascii="Times New Roman" w:hAnsi="Times New Roman" w:cs="Times New Roman"/>
                    <w:lang w:val="is-IS"/>
                  </w:rPr>
                  <w:t>tekið</w:t>
                </w:r>
                <w:r w:rsidR="009B139E" w:rsidRPr="008736D2">
                  <w:rPr>
                    <w:rFonts w:ascii="Times New Roman" w:hAnsi="Times New Roman" w:cs="Times New Roman"/>
                    <w:lang w:val="is-IS"/>
                  </w:rPr>
                  <w:t xml:space="preserve"> til skoðunar</w:t>
                </w:r>
                <w:r w:rsidR="00BC76DF" w:rsidRPr="008736D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B139E" w:rsidRPr="008736D2">
                  <w:rPr>
                    <w:rFonts w:ascii="Times New Roman" w:hAnsi="Times New Roman" w:cs="Times New Roman"/>
                    <w:lang w:val="is-IS"/>
                  </w:rPr>
                  <w:t>búsetuskilyrði í lögum um fjármálafyrirtæki.</w:t>
                </w:r>
                <w:r w:rsidR="00704B91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442772072" w:displacedByCustomXml="prev"/>
        </w:tc>
      </w:tr>
      <w:tr w:rsidR="00E34B42" w:rsidRPr="008736D2" w14:paraId="67355503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A4A15DB" w14:textId="77777777" w:rsidR="00263F72" w:rsidRPr="008736D2" w:rsidRDefault="00263F7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8736D2">
              <w:rPr>
                <w:rFonts w:ascii="Times New Roman" w:hAnsi="Times New Roman" w:cs="Times New Roman"/>
                <w:b/>
                <w:lang w:val="is-IS"/>
              </w:rPr>
              <w:lastRenderedPageBreak/>
              <w:t>Markmið</w:t>
            </w:r>
            <w:r w:rsidR="007A02FD" w:rsidRPr="008736D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8736D2" w14:paraId="6712A5AC" w14:textId="77777777" w:rsidTr="005E6791">
        <w:trPr>
          <w:trHeight w:val="747"/>
        </w:trPr>
        <w:tc>
          <w:tcPr>
            <w:tcW w:w="9288" w:type="dxa"/>
          </w:tcPr>
          <w:permStart w:id="86501290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40B47DC" w14:textId="77777777" w:rsidR="006C6EA3" w:rsidRPr="008736D2" w:rsidRDefault="00645781" w:rsidP="00BA5089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8736D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8736D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3FD06863" w14:textId="77777777" w:rsidR="00561727" w:rsidRPr="008736D2" w:rsidRDefault="00561727" w:rsidP="0056172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Í sáttmála Framsóknarflokks, Sjálfstæðisflokks og Vinstrihreyfingarinnar – græns framboðs um ríkisstjórnarsamstarf og eflingu Alþingis segir að fjármálakerfið eigi að vera traust og þjóna samfélaginu á hagkvæman og sanngjarnan hátt. Stefnt sé að auknu trausti á íslenskum fjármálamarkaði, auknu gagnsæi og fjármálastöðugleika. Unnið verði að frekari skilvirkni í fjármálakerfinu með það að leiðarljósi að lækka kostnað neytenda. Þá telji ríkisstjórnin það eitt mikilvægasta hagsmunamál Íslands að sinna framkvæmd EES-samningsins vel.</w:t>
                </w:r>
              </w:p>
              <w:p w14:paraId="394170E9" w14:textId="77777777" w:rsidR="00561727" w:rsidRPr="008736D2" w:rsidRDefault="00187E36" w:rsidP="00645781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1E957768" w14:textId="7F8DDD83" w:rsidR="00CA3381" w:rsidRPr="008736D2" w:rsidRDefault="00561727" w:rsidP="0056172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Markmiðið er að hafa skýr lagaákvæði um innleiðingu EES-gerða</w:t>
                </w:r>
                <w:r w:rsidR="009B139E" w:rsidRPr="008736D2">
                  <w:rPr>
                    <w:rFonts w:ascii="Times New Roman" w:hAnsi="Times New Roman" w:cs="Times New Roman"/>
                    <w:lang w:val="is-IS"/>
                  </w:rPr>
                  <w:t xml:space="preserve"> og tryggja að lög samræmist skuldbindingum Íslands samkvæmt EES-samningnum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</w:sdtContent>
          </w:sdt>
        </w:tc>
      </w:tr>
      <w:permEnd w:id="865012904"/>
      <w:tr w:rsidR="00E34B42" w:rsidRPr="008736D2" w14:paraId="04ED99EF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16AAFF8" w14:textId="77777777" w:rsidR="00263F72" w:rsidRPr="008736D2" w:rsidRDefault="00E832C9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8736D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8736D2" w14:paraId="0BF45504" w14:textId="77777777" w:rsidTr="00FD2097">
        <w:trPr>
          <w:trHeight w:val="826"/>
        </w:trPr>
        <w:tc>
          <w:tcPr>
            <w:tcW w:w="9288" w:type="dxa"/>
          </w:tcPr>
          <w:permStart w:id="12936990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2A371B53" w14:textId="77777777" w:rsidR="00FD2097" w:rsidRPr="008736D2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F200D28" w14:textId="6F489CA9" w:rsidR="00D212AA" w:rsidRPr="008736D2" w:rsidRDefault="00EB1B21" w:rsidP="00D212AA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Ef ekkert er aðhafst </w:t>
                </w:r>
                <w:r w:rsidR="00551AC0" w:rsidRPr="008736D2">
                  <w:rPr>
                    <w:rFonts w:ascii="Times New Roman" w:hAnsi="Times New Roman" w:cs="Times New Roman"/>
                    <w:lang w:val="is-IS"/>
                  </w:rPr>
                  <w:t xml:space="preserve">mun ESA </w:t>
                </w:r>
                <w:r w:rsidR="004170CE" w:rsidRPr="008736D2">
                  <w:rPr>
                    <w:rFonts w:ascii="Times New Roman" w:hAnsi="Times New Roman" w:cs="Times New Roman"/>
                    <w:lang w:val="is-IS"/>
                  </w:rPr>
                  <w:t xml:space="preserve">telja </w:t>
                </w:r>
                <w:r w:rsidR="00551AC0" w:rsidRPr="008736D2">
                  <w:rPr>
                    <w:rFonts w:ascii="Times New Roman" w:hAnsi="Times New Roman" w:cs="Times New Roman"/>
                    <w:lang w:val="is-IS"/>
                  </w:rPr>
                  <w:t xml:space="preserve">innleiðingu tilskipunar 2009/138/EB ábótavant og </w:t>
                </w:r>
                <w:r w:rsidR="004170CE" w:rsidRPr="008736D2">
                  <w:rPr>
                    <w:rFonts w:ascii="Times New Roman" w:hAnsi="Times New Roman" w:cs="Times New Roman"/>
                    <w:lang w:val="is-IS"/>
                  </w:rPr>
                  <w:t xml:space="preserve">stofnunin </w:t>
                </w:r>
                <w:r w:rsidR="00551AC0" w:rsidRPr="008736D2">
                  <w:rPr>
                    <w:rFonts w:ascii="Times New Roman" w:hAnsi="Times New Roman" w:cs="Times New Roman"/>
                    <w:lang w:val="is-IS"/>
                  </w:rPr>
                  <w:t xml:space="preserve">gæti höfðað mál á hendur íslenska ríkinu vegna þess. </w:t>
                </w:r>
                <w:r w:rsidR="009B139E" w:rsidRPr="008736D2">
                  <w:rPr>
                    <w:rFonts w:ascii="Times New Roman" w:hAnsi="Times New Roman" w:cs="Times New Roman"/>
                    <w:lang w:val="is-IS"/>
                  </w:rPr>
                  <w:t>Jafnframt er líklegt að búsetuskilyrði í lögum um fjármálafyrirtæki og lögum um vátryggingastarfsemi yrðu talin brjóta í bága við skuldbindingar Íslands samkvæmt EES-samningnum.</w:t>
                </w:r>
              </w:p>
              <w:p w14:paraId="2BA56E61" w14:textId="77777777" w:rsidR="00FD2097" w:rsidRPr="008736D2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04885795" w14:textId="7CE3993E" w:rsidR="00E467C5" w:rsidRPr="008736D2" w:rsidRDefault="0090641F" w:rsidP="00E467C5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E467C5" w:rsidRPr="008736D2">
                  <w:rPr>
                    <w:rFonts w:ascii="Times New Roman" w:hAnsi="Times New Roman" w:cs="Times New Roman"/>
                    <w:lang w:val="is-IS"/>
                  </w:rPr>
                  <w:t xml:space="preserve">ingöngu lagasetning kemur til greina. </w:t>
                </w:r>
              </w:p>
              <w:p w14:paraId="7D94A885" w14:textId="77777777" w:rsidR="00E467C5" w:rsidRPr="008736D2" w:rsidRDefault="0047580A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8736D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8736D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8736D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4B11FBC3" w14:textId="427AE0A0" w:rsidR="00CA3381" w:rsidRPr="008736D2" w:rsidRDefault="0090641F" w:rsidP="00E467C5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Breytingar á lögum um fjármálafyrirtæki og lögum um vátryggingastarfsemi</w:t>
                </w:r>
                <w:r w:rsidR="00E467C5" w:rsidRPr="008736D2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permEnd w:id="129369901"/>
      <w:tr w:rsidR="00E34B42" w:rsidRPr="008736D2" w14:paraId="16E24C4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76E2084" w14:textId="77777777" w:rsidR="000D6E33" w:rsidRPr="008736D2" w:rsidRDefault="000D6E33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8736D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8736D2" w14:paraId="3B68D431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ermStart w:id="2126126938" w:edGrp="everyone" w:displacedByCustomXml="prev"/>
              <w:p w14:paraId="57609C47" w14:textId="7F0832C3" w:rsidR="0090641F" w:rsidRPr="008736D2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0FAF48E7" w14:textId="77777777" w:rsidR="0090641F" w:rsidRPr="008736D2" w:rsidRDefault="0090641F" w:rsidP="0090641F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i/>
                    <w:lang w:val="is-IS"/>
                  </w:rPr>
                  <w:t>1.1 Innleiðing tilskipunar 2009/138/EB</w:t>
                </w:r>
              </w:p>
              <w:p w14:paraId="51973D03" w14:textId="3C41C29A" w:rsidR="00011327" w:rsidRPr="008736D2" w:rsidRDefault="003C2618" w:rsidP="00011327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L</w:t>
                </w:r>
                <w:r w:rsidR="00E467C5" w:rsidRPr="008736D2">
                  <w:rPr>
                    <w:rFonts w:ascii="Times New Roman" w:hAnsi="Times New Roman" w:cs="Times New Roman"/>
                    <w:lang w:val="is-IS"/>
                  </w:rPr>
                  <w:t xml:space="preserve">agt </w:t>
                </w:r>
                <w:r w:rsidR="00EB1B21" w:rsidRPr="008736D2">
                  <w:rPr>
                    <w:rFonts w:ascii="Times New Roman" w:hAnsi="Times New Roman" w:cs="Times New Roman"/>
                    <w:lang w:val="is-IS"/>
                  </w:rPr>
                  <w:t xml:space="preserve">verður </w:t>
                </w:r>
                <w:r w:rsidR="00E467C5" w:rsidRPr="008736D2">
                  <w:rPr>
                    <w:rFonts w:ascii="Times New Roman" w:hAnsi="Times New Roman" w:cs="Times New Roman"/>
                    <w:lang w:val="is-IS"/>
                  </w:rPr>
                  <w:t xml:space="preserve">til að </w:t>
                </w:r>
                <w:r w:rsidR="00895362" w:rsidRPr="008736D2">
                  <w:rPr>
                    <w:rFonts w:ascii="Times New Roman" w:hAnsi="Times New Roman" w:cs="Times New Roman"/>
                    <w:lang w:val="is-IS"/>
                  </w:rPr>
                  <w:t xml:space="preserve">bæta nýjum málslið við 3. tölul. 2. mgr. 18. gr. </w:t>
                </w:r>
                <w:r w:rsidR="00BF5FA4" w:rsidRPr="008736D2">
                  <w:rPr>
                    <w:rFonts w:ascii="Times New Roman" w:hAnsi="Times New Roman" w:cs="Times New Roman"/>
                    <w:lang w:val="is-IS"/>
                  </w:rPr>
                  <w:t xml:space="preserve">laga um </w:t>
                </w:r>
                <w:proofErr w:type="spellStart"/>
                <w:r w:rsidR="00BF5FA4" w:rsidRPr="008736D2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="00BF5FA4" w:rsidRPr="008736D2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011327" w:rsidRPr="008736D2">
                  <w:rPr>
                    <w:rFonts w:ascii="Times New Roman" w:hAnsi="Times New Roman" w:cs="Times New Roman"/>
                    <w:lang w:val="is-IS"/>
                  </w:rPr>
                  <w:t xml:space="preserve">svohljóðandi: Við </w:t>
                </w:r>
                <w:proofErr w:type="spellStart"/>
                <w:r w:rsidR="00011327" w:rsidRPr="008736D2">
                  <w:rPr>
                    <w:rFonts w:ascii="Times New Roman" w:hAnsi="Times New Roman" w:cs="Times New Roman"/>
                    <w:lang w:val="is-IS"/>
                  </w:rPr>
                  <w:t>tilgreiningu</w:t>
                </w:r>
                <w:proofErr w:type="spellEnd"/>
                <w:r w:rsidR="00011327" w:rsidRPr="008736D2">
                  <w:rPr>
                    <w:rFonts w:ascii="Times New Roman" w:hAnsi="Times New Roman" w:cs="Times New Roman"/>
                    <w:lang w:val="is-IS"/>
                  </w:rPr>
                  <w:t xml:space="preserve"> eignarhluta skal fara eftir 1. mgr. 78. gr. laga um verðbréfaviðskipti</w:t>
                </w:r>
                <w:r w:rsidR="001862DB" w:rsidRPr="008736D2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011327" w:rsidRPr="008736D2">
                  <w:rPr>
                    <w:rFonts w:ascii="Times New Roman" w:hAnsi="Times New Roman" w:cs="Times New Roman"/>
                    <w:lang w:val="is-IS"/>
                  </w:rPr>
                  <w:t xml:space="preserve"> nr. 108/2007. </w:t>
                </w:r>
              </w:p>
              <w:p w14:paraId="010A7808" w14:textId="73225D76" w:rsidR="003C2618" w:rsidRPr="008736D2" w:rsidRDefault="003C2618" w:rsidP="003C2618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Lagt verður til að bæta nýjum málslið við 8. mgr. 149. gr. og 6. mgr. 161. gr. </w:t>
                </w:r>
                <w:r w:rsidR="00BF5FA4" w:rsidRPr="008736D2">
                  <w:rPr>
                    <w:rFonts w:ascii="Times New Roman" w:hAnsi="Times New Roman" w:cs="Times New Roman"/>
                    <w:lang w:val="is-IS"/>
                  </w:rPr>
                  <w:t xml:space="preserve">laga um vátryggingastarfsemi, 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svohljóðandi: Réttindi og skyldur aðila á skipulegum verðbréfamarkaði skulu fara eftir lögum þess ríkis sem um markaðinn gilda. </w:t>
                </w:r>
              </w:p>
              <w:p w14:paraId="09B7ACD4" w14:textId="78905E78" w:rsidR="0090641F" w:rsidRPr="00C600D4" w:rsidRDefault="0090641F" w:rsidP="00C600D4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i/>
                    <w:lang w:val="is-IS"/>
                  </w:rPr>
                  <w:t>1.2 Búsetuskilyrði</w:t>
                </w:r>
              </w:p>
              <w:p w14:paraId="6B2A3A8B" w14:textId="1259C2BA" w:rsidR="00C600D4" w:rsidRPr="00C600D4" w:rsidRDefault="00C600D4" w:rsidP="00C600D4">
                <w:pPr>
                  <w:pStyle w:val="ListParagraph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Ráðgert er að leggja</w:t>
                </w:r>
                <w:r w:rsidRPr="00C600D4">
                  <w:rPr>
                    <w:rFonts w:ascii="Times New Roman" w:hAnsi="Times New Roman" w:cs="Times New Roman"/>
                    <w:lang w:val="is-IS"/>
                  </w:rPr>
                  <w:t xml:space="preserve"> til að 1. mgr. 52. gr. laga um fjármálafyrirtæki og 5. mgr. 40. gr. laga um </w:t>
                </w:r>
                <w:proofErr w:type="spellStart"/>
                <w:r w:rsidRPr="00C600D4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Pr="00C600D4">
                  <w:rPr>
                    <w:rFonts w:ascii="Times New Roman" w:hAnsi="Times New Roman" w:cs="Times New Roman"/>
                    <w:lang w:val="is-IS"/>
                  </w:rPr>
                  <w:t xml:space="preserve"> falli brott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Pr="00C600D4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Í því felst að </w:t>
                </w:r>
                <w:r w:rsidRPr="00C600D4">
                  <w:rPr>
                    <w:rFonts w:ascii="Times New Roman" w:hAnsi="Times New Roman" w:cs="Times New Roman"/>
                    <w:lang w:val="is-IS"/>
                  </w:rPr>
                  <w:t>almenn búsetuskilyrði laga um hlutafélög gildi um stjórnarmenn og framkvæmdastjóra fjármálafyrirtækja og vátryggingafélaga.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Skv. 2. mgr. 66. gr. þeirra laga skulu framkvæmdastjórar og minnst helmingur stjórnarmanna vera búsettir hér á landi nema veitt sé undanþága frá því. Búsetuskilyrðið gildir þó ekki um ríkisborgara EES- og EFTA-ríkja og Færeyinga og þá sem búsettir eru á EES</w:t>
                </w:r>
                <w:r w:rsidR="002B14D2">
                  <w:rPr>
                    <w:rFonts w:ascii="Times New Roman" w:hAnsi="Times New Roman" w:cs="Times New Roman"/>
                    <w:lang w:val="is-IS"/>
                  </w:rPr>
                  <w:t xml:space="preserve"> svæðinu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>. Ráðherra hefur auk þess með auglýsingu nr. 828/2007 veitt ríkisborgurum OECD-ríkja sem eru búsettir í OECD-ríki almenna undanþágu frá búsetuskilyrðinu.</w:t>
                </w:r>
              </w:p>
              <w:p w14:paraId="741C5F11" w14:textId="77777777" w:rsidR="00E467C5" w:rsidRPr="008736D2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8736D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F780BC7" w14:textId="77777777" w:rsidR="000D6E33" w:rsidRPr="008736D2" w:rsidRDefault="00E467C5" w:rsidP="00E467C5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Sjá D.1.</w:t>
                </w:r>
              </w:p>
              <w:permEnd w:id="2126126938" w:displacedByCustomXml="next"/>
            </w:sdtContent>
          </w:sdt>
        </w:tc>
      </w:tr>
      <w:tr w:rsidR="00E34B42" w:rsidRPr="008736D2" w14:paraId="2876908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FA1423A" w14:textId="77777777" w:rsidR="00311838" w:rsidRPr="008736D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8736D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8736D2" w14:paraId="0CF915A0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364911904" w:edGrp="everyone" w:displacedByCustomXml="prev"/>
              <w:p w14:paraId="67933C45" w14:textId="77777777" w:rsidR="009941D2" w:rsidRPr="008736D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67C09DF" w14:textId="77777777" w:rsidR="00505089" w:rsidRPr="008736D2" w:rsidRDefault="00505089" w:rsidP="00A40D18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Frumvarpið er ekki talið koma inn á svið stjórnarskrár.</w:t>
                </w:r>
              </w:p>
              <w:p w14:paraId="2F936B95" w14:textId="1890118B" w:rsidR="00E467C5" w:rsidRPr="008736D2" w:rsidRDefault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Með frumvarpinu mun Ísland uppfylla </w:t>
                </w:r>
                <w:r w:rsidR="004170CE" w:rsidRPr="008736D2">
                  <w:rPr>
                    <w:rFonts w:ascii="Times New Roman" w:hAnsi="Times New Roman" w:cs="Times New Roman"/>
                    <w:lang w:val="is-IS"/>
                  </w:rPr>
                  <w:t xml:space="preserve">betur </w:t>
                </w:r>
                <w:proofErr w:type="spellStart"/>
                <w:r w:rsidRPr="008736D2">
                  <w:rPr>
                    <w:rFonts w:ascii="Times New Roman" w:hAnsi="Times New Roman" w:cs="Times New Roman"/>
                    <w:lang w:val="is-IS"/>
                  </w:rPr>
                  <w:t>þjóðréttarlegar</w:t>
                </w:r>
                <w:proofErr w:type="spellEnd"/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skuldbindingar sínar vegna tilskipunar Evrópuþingsins og ráðsins </w:t>
                </w:r>
                <w:bookmarkStart w:id="1" w:name="_Hlk17278194"/>
                <w:r w:rsidRPr="008736D2">
                  <w:rPr>
                    <w:rFonts w:ascii="Times New Roman" w:hAnsi="Times New Roman" w:cs="Times New Roman"/>
                    <w:lang w:val="is-IS"/>
                  </w:rPr>
                  <w:t>20</w:t>
                </w:r>
                <w:r w:rsidR="001224E5">
                  <w:rPr>
                    <w:rFonts w:ascii="Times New Roman" w:hAnsi="Times New Roman" w:cs="Times New Roman"/>
                    <w:lang w:val="is-IS"/>
                  </w:rPr>
                  <w:t>09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>/</w:t>
                </w:r>
                <w:r w:rsidR="001224E5">
                  <w:rPr>
                    <w:rFonts w:ascii="Times New Roman" w:hAnsi="Times New Roman" w:cs="Times New Roman"/>
                    <w:lang w:val="is-IS"/>
                  </w:rPr>
                  <w:t>138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>/E</w:t>
                </w:r>
                <w:bookmarkStart w:id="2" w:name="_GoBack"/>
                <w:bookmarkEnd w:id="2"/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B </w:t>
                </w:r>
                <w:bookmarkEnd w:id="1"/>
                <w:r w:rsidRPr="008736D2">
                  <w:rPr>
                    <w:rFonts w:ascii="Times New Roman" w:hAnsi="Times New Roman" w:cs="Times New Roman"/>
                    <w:lang w:val="is-IS"/>
                  </w:rPr>
                  <w:t>sem hefur verið tekin upp í EES-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lastRenderedPageBreak/>
                  <w:t>samninginn</w:t>
                </w:r>
                <w:r w:rsidR="00A0233B" w:rsidRPr="008736D2">
                  <w:rPr>
                    <w:rFonts w:ascii="Times New Roman" w:hAnsi="Times New Roman" w:cs="Times New Roman"/>
                    <w:lang w:val="is-IS"/>
                  </w:rPr>
                  <w:t xml:space="preserve"> og 28. og 31. gr. EES-samningsins sem lúta að frjálsri för launafólks og staðfesturétti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.  </w:t>
                </w:r>
              </w:p>
              <w:p w14:paraId="4592F61D" w14:textId="77777777" w:rsidR="009941D2" w:rsidRPr="008736D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1F89F36" w14:textId="77777777" w:rsidR="00505089" w:rsidRPr="008736D2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Já</w:t>
                </w:r>
              </w:p>
              <w:p w14:paraId="2A00AAF1" w14:textId="77777777" w:rsidR="00505089" w:rsidRPr="008736D2" w:rsidRDefault="00D62AAC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  <w:p w14:paraId="76AAAE99" w14:textId="77777777" w:rsidR="00CA3381" w:rsidRPr="008736D2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F656C4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364911904" w:displacedByCustomXml="next"/>
            </w:sdtContent>
          </w:sdt>
        </w:tc>
      </w:tr>
      <w:tr w:rsidR="00E34B42" w:rsidRPr="008736D2" w14:paraId="2ADD9D1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ABF6049" w14:textId="77777777" w:rsidR="00311838" w:rsidRPr="008736D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8736D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Samráð</w:t>
            </w:r>
          </w:p>
        </w:tc>
      </w:tr>
      <w:tr w:rsidR="00E34B42" w:rsidRPr="008736D2" w14:paraId="017CC374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4156933" w:edGrp="everyone" w:displacedByCustomXml="prev"/>
              <w:p w14:paraId="12E093FD" w14:textId="77777777" w:rsidR="009941D2" w:rsidRPr="008736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4C9A0476" w14:textId="006DCB3B" w:rsidR="00505089" w:rsidRPr="008736D2" w:rsidRDefault="004170CE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Neytendur, fyrirtæki á </w:t>
                </w:r>
                <w:r w:rsidR="001F41C2" w:rsidRPr="008736D2">
                  <w:rPr>
                    <w:rFonts w:ascii="Times New Roman" w:hAnsi="Times New Roman" w:cs="Times New Roman"/>
                    <w:lang w:val="is-IS"/>
                  </w:rPr>
                  <w:t xml:space="preserve">fjármála- og </w:t>
                </w:r>
                <w:proofErr w:type="spellStart"/>
                <w:r w:rsidRPr="008736D2">
                  <w:rPr>
                    <w:rFonts w:ascii="Times New Roman" w:hAnsi="Times New Roman" w:cs="Times New Roman"/>
                    <w:lang w:val="is-IS"/>
                  </w:rPr>
                  <w:t>vátryggingamarkaði</w:t>
                </w:r>
                <w:proofErr w:type="spellEnd"/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505089" w:rsidRPr="008736D2">
                  <w:rPr>
                    <w:rFonts w:ascii="Times New Roman" w:hAnsi="Times New Roman" w:cs="Times New Roman"/>
                    <w:lang w:val="is-IS"/>
                  </w:rPr>
                  <w:t xml:space="preserve">Fjármálaeftirlitið. </w:t>
                </w:r>
              </w:p>
              <w:p w14:paraId="4BA9FB82" w14:textId="77777777" w:rsidR="009941D2" w:rsidRPr="008736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3227F7E" w14:textId="77777777" w:rsidR="00505089" w:rsidRPr="008736D2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14:paraId="6D81F9BC" w14:textId="77777777" w:rsidR="009941D2" w:rsidRPr="008736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2E568FE4" w14:textId="39A0410E" w:rsidR="00505089" w:rsidRPr="008736D2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Samráð var </w:t>
                </w:r>
                <w:r w:rsidR="00EB1B21" w:rsidRPr="008736D2">
                  <w:rPr>
                    <w:rFonts w:ascii="Times New Roman" w:hAnsi="Times New Roman" w:cs="Times New Roman"/>
                    <w:lang w:val="is-IS"/>
                  </w:rPr>
                  <w:t xml:space="preserve">haft 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>við F</w:t>
                </w:r>
                <w:r w:rsidR="004170CE" w:rsidRPr="008736D2">
                  <w:rPr>
                    <w:rFonts w:ascii="Times New Roman" w:hAnsi="Times New Roman" w:cs="Times New Roman"/>
                    <w:lang w:val="is-IS"/>
                  </w:rPr>
                  <w:t>jármálaeftirlitið</w:t>
                </w:r>
                <w:r w:rsidR="001F41C2" w:rsidRPr="008736D2">
                  <w:rPr>
                    <w:rFonts w:ascii="Times New Roman" w:hAnsi="Times New Roman" w:cs="Times New Roman"/>
                    <w:lang w:val="is-IS"/>
                  </w:rPr>
                  <w:t xml:space="preserve"> um breytingar til að tryggja rétta innleiðingu tilskipunar 2009/138/EB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49DAFB90" w14:textId="77777777" w:rsidR="00505089" w:rsidRPr="008736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70F1A611" w14:textId="77777777" w:rsidR="00CA3381" w:rsidRPr="008736D2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Ráðger</w:t>
                </w:r>
                <w:r w:rsidR="00EB1B21" w:rsidRPr="008736D2">
                  <w:rPr>
                    <w:rFonts w:ascii="Times New Roman" w:hAnsi="Times New Roman" w:cs="Times New Roman"/>
                    <w:lang w:val="is-IS"/>
                  </w:rPr>
                  <w:t>t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er að birta drög að frumvarpi í samráðsgátt stjórnvalda. </w:t>
                </w:r>
                <w:r w:rsidR="00BA4BB1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4156933" w:displacedByCustomXml="next"/>
            </w:sdtContent>
          </w:sdt>
        </w:tc>
      </w:tr>
      <w:tr w:rsidR="00E34B42" w:rsidRPr="008736D2" w14:paraId="314CED5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A62F48F" w14:textId="77777777" w:rsidR="00311838" w:rsidRPr="008736D2" w:rsidRDefault="003821A7" w:rsidP="003821A7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8736D2">
              <w:rPr>
                <w:rFonts w:ascii="Times New Roman" w:hAnsi="Times New Roman" w:cs="Times New Roman"/>
                <w:b/>
                <w:lang w:val="is-IS"/>
              </w:rPr>
              <w:t xml:space="preserve">Mat </w:t>
            </w:r>
            <w:r w:rsidR="0013710B" w:rsidRPr="008736D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8736D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8736D2" w14:paraId="4083BC54" w14:textId="77777777" w:rsidTr="007414CB">
        <w:trPr>
          <w:trHeight w:val="283"/>
        </w:trPr>
        <w:tc>
          <w:tcPr>
            <w:tcW w:w="9288" w:type="dxa"/>
          </w:tcPr>
          <w:permStart w:id="55005328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F3ADED6" w14:textId="77777777" w:rsidR="00F93B5C" w:rsidRPr="008736D2" w:rsidRDefault="003821A7" w:rsidP="00BA1F90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</w:sdtContent>
          </w:sdt>
        </w:tc>
      </w:tr>
      <w:permEnd w:id="550053280"/>
      <w:tr w:rsidR="00E34B42" w:rsidRPr="008736D2" w14:paraId="66B4466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8DCB90F" w14:textId="77777777" w:rsidR="00311838" w:rsidRPr="008736D2" w:rsidRDefault="008A2C75" w:rsidP="008A2C7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8736D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8736D2" w14:paraId="490867BC" w14:textId="77777777" w:rsidTr="00FD2097">
        <w:trPr>
          <w:trHeight w:val="826"/>
        </w:trPr>
        <w:tc>
          <w:tcPr>
            <w:tcW w:w="9288" w:type="dxa"/>
          </w:tcPr>
          <w:permStart w:id="53458121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2CFE6C23" w14:textId="77777777" w:rsidR="009941D2" w:rsidRPr="008736D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8736D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7873875" w14:textId="77777777" w:rsidR="00505089" w:rsidRPr="008736D2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14:paraId="598DADC1" w14:textId="77777777" w:rsidR="009941D2" w:rsidRPr="008736D2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8736D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8736D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8736D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8736D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2B4FA95E" w14:textId="77777777" w:rsidR="00505089" w:rsidRPr="008736D2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Ekki þarf aðlögunartíma. </w:t>
                </w:r>
              </w:p>
              <w:p w14:paraId="2A215656" w14:textId="77777777" w:rsidR="009941D2" w:rsidRPr="008736D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8736D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BF9FD41" w14:textId="77777777" w:rsidR="00505089" w:rsidRPr="008736D2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Á ekki við. </w:t>
                </w:r>
              </w:p>
              <w:p w14:paraId="2075828D" w14:textId="77777777" w:rsidR="00645781" w:rsidRPr="008736D2" w:rsidRDefault="00645781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571E3031" w14:textId="77777777" w:rsidR="00505089" w:rsidRPr="008736D2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Á ekki við. </w:t>
                </w:r>
              </w:p>
              <w:p w14:paraId="3C2BA0E4" w14:textId="77777777" w:rsidR="00505089" w:rsidRPr="008736D2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8736D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0C8238A" w14:textId="77777777" w:rsidR="009941D2" w:rsidRPr="008736D2" w:rsidRDefault="00505089" w:rsidP="0050508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Á ekki við. </w:t>
                </w:r>
              </w:p>
            </w:sdtContent>
          </w:sdt>
        </w:tc>
      </w:tr>
      <w:permEnd w:id="534581215"/>
      <w:tr w:rsidR="00E34B42" w:rsidRPr="008736D2" w14:paraId="7236B7C4" w14:textId="77777777" w:rsidTr="00D212AA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628061D9" w14:textId="77777777" w:rsidR="00E34B42" w:rsidRPr="008736D2" w:rsidRDefault="00E34B42" w:rsidP="00D212AA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8736D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498024692" w:edGrp="everyone" w:colFirst="0" w:colLast="0"/>
      <w:tr w:rsidR="00E34B42" w:rsidRPr="008736D2" w14:paraId="5E1BDFFE" w14:textId="77777777" w:rsidTr="00D212AA">
        <w:trPr>
          <w:trHeight w:val="300"/>
        </w:trPr>
        <w:tc>
          <w:tcPr>
            <w:tcW w:w="9288" w:type="dxa"/>
          </w:tcPr>
          <w:p w14:paraId="3834D6A9" w14:textId="77777777" w:rsidR="00E34B42" w:rsidRPr="008736D2" w:rsidRDefault="002B14D2" w:rsidP="00D212AA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8736D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05089" w:rsidRPr="008736D2">
                  <w:rPr>
                    <w:rFonts w:ascii="Times New Roman" w:hAnsi="Times New Roman" w:cs="Times New Roman"/>
                    <w:lang w:val="is-IS"/>
                  </w:rPr>
                  <w:t xml:space="preserve">Nei. </w:t>
                </w:r>
              </w:sdtContent>
            </w:sdt>
          </w:p>
        </w:tc>
      </w:tr>
      <w:permEnd w:id="1498024692"/>
      <w:tr w:rsidR="00E34B42" w:rsidRPr="008736D2" w14:paraId="66ED7F62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6E6D01DD" w14:textId="77777777" w:rsidR="00000C39" w:rsidRPr="008736D2" w:rsidRDefault="00E34B4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8736D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8736D2" w14:paraId="1F18017A" w14:textId="77777777" w:rsidTr="007414CB">
        <w:trPr>
          <w:trHeight w:val="300"/>
        </w:trPr>
        <w:tc>
          <w:tcPr>
            <w:tcW w:w="9288" w:type="dxa"/>
          </w:tcPr>
          <w:permStart w:id="266749616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403CB56F" w14:textId="77777777" w:rsidR="00E34B42" w:rsidRPr="008736D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74092D33" w14:textId="77777777" w:rsidR="00000C39" w:rsidRPr="008736D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266749616"/>
    </w:tbl>
    <w:p w14:paraId="76FD7A36" w14:textId="77777777" w:rsidR="00263F72" w:rsidRPr="008736D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8736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0E66" w14:textId="77777777" w:rsidR="00F531FE" w:rsidRDefault="00F531FE" w:rsidP="007478E0">
      <w:pPr>
        <w:spacing w:after="0" w:line="240" w:lineRule="auto"/>
      </w:pPr>
      <w:r>
        <w:separator/>
      </w:r>
    </w:p>
  </w:endnote>
  <w:endnote w:type="continuationSeparator" w:id="0">
    <w:p w14:paraId="1E423993" w14:textId="77777777" w:rsidR="00F531FE" w:rsidRDefault="00F531FE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B1E23" w14:textId="2FCBE16A" w:rsidR="00D212AA" w:rsidRDefault="00D212AA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CE" w:rsidRPr="004170CE">
          <w:rPr>
            <w:noProof/>
            <w:lang w:val="is-IS"/>
          </w:rPr>
          <w:t>3</w:t>
        </w:r>
        <w:r>
          <w:rPr>
            <w:noProof/>
          </w:rPr>
          <w:fldChar w:fldCharType="end"/>
        </w:r>
      </w:p>
    </w:sdtContent>
  </w:sdt>
  <w:p w14:paraId="4C9FE980" w14:textId="77777777" w:rsidR="00D212AA" w:rsidRPr="00063E97" w:rsidRDefault="00D212AA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C17B0" w14:textId="77777777" w:rsidR="00F531FE" w:rsidRDefault="00F531FE" w:rsidP="007478E0">
      <w:pPr>
        <w:spacing w:after="0" w:line="240" w:lineRule="auto"/>
      </w:pPr>
      <w:r>
        <w:separator/>
      </w:r>
    </w:p>
  </w:footnote>
  <w:footnote w:type="continuationSeparator" w:id="0">
    <w:p w14:paraId="443EED8B" w14:textId="77777777" w:rsidR="00F531FE" w:rsidRDefault="00F531FE" w:rsidP="007478E0">
      <w:pPr>
        <w:spacing w:after="0" w:line="240" w:lineRule="auto"/>
      </w:pPr>
      <w:r>
        <w:continuationSeparator/>
      </w:r>
    </w:p>
  </w:footnote>
  <w:footnote w:id="1">
    <w:p w14:paraId="56EC62D4" w14:textId="4D752DFB" w:rsidR="00BD7670" w:rsidRPr="00275AA6" w:rsidRDefault="00EF4E97">
      <w:pPr>
        <w:pStyle w:val="FootnoteText"/>
        <w:rPr>
          <w:rFonts w:ascii="Times New Roman" w:hAnsi="Times New Roman" w:cs="Times New Roman"/>
          <w:lang w:val="is-IS"/>
        </w:rPr>
      </w:pPr>
      <w:r w:rsidRPr="00275AA6">
        <w:rPr>
          <w:rStyle w:val="FootnoteReference"/>
          <w:rFonts w:ascii="Times New Roman" w:hAnsi="Times New Roman" w:cs="Times New Roman"/>
        </w:rPr>
        <w:footnoteRef/>
      </w:r>
      <w:r w:rsidRPr="00275AA6">
        <w:rPr>
          <w:rFonts w:ascii="Times New Roman" w:hAnsi="Times New Roman" w:cs="Times New Roman"/>
        </w:rPr>
        <w:t xml:space="preserve"> </w:t>
      </w:r>
      <w:r w:rsidRPr="00275AA6">
        <w:rPr>
          <w:rFonts w:ascii="Times New Roman" w:hAnsi="Times New Roman" w:cs="Times New Roman"/>
          <w:lang w:val="is-IS"/>
        </w:rPr>
        <w:t>Atvinnuvega- og nýsköpunarráðuneytið birti áform þess efnis í samráðsgátt stjórnvalda 16. júlí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multilevel"/>
    <w:tmpl w:val="886E6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4B32C90"/>
    <w:multiLevelType w:val="hybridMultilevel"/>
    <w:tmpl w:val="9B8CC1A4"/>
    <w:lvl w:ilvl="0" w:tplc="DDAEDC3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4" w:hanging="360"/>
      </w:pPr>
    </w:lvl>
    <w:lvl w:ilvl="2" w:tplc="1000001B" w:tentative="1">
      <w:start w:val="1"/>
      <w:numFmt w:val="lowerRoman"/>
      <w:lvlText w:val="%3."/>
      <w:lvlJc w:val="right"/>
      <w:pPr>
        <w:ind w:left="2514" w:hanging="180"/>
      </w:pPr>
    </w:lvl>
    <w:lvl w:ilvl="3" w:tplc="1000000F" w:tentative="1">
      <w:start w:val="1"/>
      <w:numFmt w:val="decimal"/>
      <w:lvlText w:val="%4."/>
      <w:lvlJc w:val="left"/>
      <w:pPr>
        <w:ind w:left="3234" w:hanging="360"/>
      </w:pPr>
    </w:lvl>
    <w:lvl w:ilvl="4" w:tplc="10000019" w:tentative="1">
      <w:start w:val="1"/>
      <w:numFmt w:val="lowerLetter"/>
      <w:lvlText w:val="%5."/>
      <w:lvlJc w:val="left"/>
      <w:pPr>
        <w:ind w:left="3954" w:hanging="360"/>
      </w:pPr>
    </w:lvl>
    <w:lvl w:ilvl="5" w:tplc="1000001B" w:tentative="1">
      <w:start w:val="1"/>
      <w:numFmt w:val="lowerRoman"/>
      <w:lvlText w:val="%6."/>
      <w:lvlJc w:val="right"/>
      <w:pPr>
        <w:ind w:left="4674" w:hanging="180"/>
      </w:pPr>
    </w:lvl>
    <w:lvl w:ilvl="6" w:tplc="1000000F" w:tentative="1">
      <w:start w:val="1"/>
      <w:numFmt w:val="decimal"/>
      <w:lvlText w:val="%7."/>
      <w:lvlJc w:val="left"/>
      <w:pPr>
        <w:ind w:left="5394" w:hanging="360"/>
      </w:pPr>
    </w:lvl>
    <w:lvl w:ilvl="7" w:tplc="10000019" w:tentative="1">
      <w:start w:val="1"/>
      <w:numFmt w:val="lowerLetter"/>
      <w:lvlText w:val="%8."/>
      <w:lvlJc w:val="left"/>
      <w:pPr>
        <w:ind w:left="6114" w:hanging="360"/>
      </w:pPr>
    </w:lvl>
    <w:lvl w:ilvl="8" w:tplc="100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65460"/>
    <w:multiLevelType w:val="hybridMultilevel"/>
    <w:tmpl w:val="D7C05E3C"/>
    <w:lvl w:ilvl="0" w:tplc="F708AA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4" w:hanging="360"/>
      </w:pPr>
    </w:lvl>
    <w:lvl w:ilvl="2" w:tplc="1000001B" w:tentative="1">
      <w:start w:val="1"/>
      <w:numFmt w:val="lowerRoman"/>
      <w:lvlText w:val="%3."/>
      <w:lvlJc w:val="right"/>
      <w:pPr>
        <w:ind w:left="2514" w:hanging="180"/>
      </w:pPr>
    </w:lvl>
    <w:lvl w:ilvl="3" w:tplc="1000000F" w:tentative="1">
      <w:start w:val="1"/>
      <w:numFmt w:val="decimal"/>
      <w:lvlText w:val="%4."/>
      <w:lvlJc w:val="left"/>
      <w:pPr>
        <w:ind w:left="3234" w:hanging="360"/>
      </w:pPr>
    </w:lvl>
    <w:lvl w:ilvl="4" w:tplc="10000019" w:tentative="1">
      <w:start w:val="1"/>
      <w:numFmt w:val="lowerLetter"/>
      <w:lvlText w:val="%5."/>
      <w:lvlJc w:val="left"/>
      <w:pPr>
        <w:ind w:left="3954" w:hanging="360"/>
      </w:pPr>
    </w:lvl>
    <w:lvl w:ilvl="5" w:tplc="1000001B" w:tentative="1">
      <w:start w:val="1"/>
      <w:numFmt w:val="lowerRoman"/>
      <w:lvlText w:val="%6."/>
      <w:lvlJc w:val="right"/>
      <w:pPr>
        <w:ind w:left="4674" w:hanging="180"/>
      </w:pPr>
    </w:lvl>
    <w:lvl w:ilvl="6" w:tplc="1000000F" w:tentative="1">
      <w:start w:val="1"/>
      <w:numFmt w:val="decimal"/>
      <w:lvlText w:val="%7."/>
      <w:lvlJc w:val="left"/>
      <w:pPr>
        <w:ind w:left="5394" w:hanging="360"/>
      </w:pPr>
    </w:lvl>
    <w:lvl w:ilvl="7" w:tplc="10000019" w:tentative="1">
      <w:start w:val="1"/>
      <w:numFmt w:val="lowerLetter"/>
      <w:lvlText w:val="%8."/>
      <w:lvlJc w:val="left"/>
      <w:pPr>
        <w:ind w:left="6114" w:hanging="360"/>
      </w:pPr>
    </w:lvl>
    <w:lvl w:ilvl="8" w:tplc="100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21"/>
  </w:num>
  <w:num w:numId="5">
    <w:abstractNumId w:val="16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13"/>
  </w:num>
  <w:num w:numId="11">
    <w:abstractNumId w:val="19"/>
  </w:num>
  <w:num w:numId="12">
    <w:abstractNumId w:val="20"/>
  </w:num>
  <w:num w:numId="13">
    <w:abstractNumId w:val="2"/>
  </w:num>
  <w:num w:numId="14">
    <w:abstractNumId w:val="3"/>
  </w:num>
  <w:num w:numId="15">
    <w:abstractNumId w:val="22"/>
  </w:num>
  <w:num w:numId="16">
    <w:abstractNumId w:val="0"/>
  </w:num>
  <w:num w:numId="17">
    <w:abstractNumId w:val="6"/>
  </w:num>
  <w:num w:numId="18">
    <w:abstractNumId w:val="15"/>
  </w:num>
  <w:num w:numId="19">
    <w:abstractNumId w:val="12"/>
  </w:num>
  <w:num w:numId="20">
    <w:abstractNumId w:val="4"/>
  </w:num>
  <w:num w:numId="21">
    <w:abstractNumId w:val="9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11327"/>
    <w:rsid w:val="00043E61"/>
    <w:rsid w:val="000471DF"/>
    <w:rsid w:val="00050DAE"/>
    <w:rsid w:val="00051DC6"/>
    <w:rsid w:val="00063E97"/>
    <w:rsid w:val="00081ED8"/>
    <w:rsid w:val="000829E4"/>
    <w:rsid w:val="0008494B"/>
    <w:rsid w:val="00096B1D"/>
    <w:rsid w:val="000A7176"/>
    <w:rsid w:val="000C58BD"/>
    <w:rsid w:val="000D23B3"/>
    <w:rsid w:val="000D6E33"/>
    <w:rsid w:val="000D7B62"/>
    <w:rsid w:val="000E1312"/>
    <w:rsid w:val="000E34DF"/>
    <w:rsid w:val="00100138"/>
    <w:rsid w:val="00103FEE"/>
    <w:rsid w:val="001224E5"/>
    <w:rsid w:val="0012646E"/>
    <w:rsid w:val="00126525"/>
    <w:rsid w:val="00133146"/>
    <w:rsid w:val="00135B40"/>
    <w:rsid w:val="0013710B"/>
    <w:rsid w:val="00143B7A"/>
    <w:rsid w:val="00176943"/>
    <w:rsid w:val="001862DB"/>
    <w:rsid w:val="00187E36"/>
    <w:rsid w:val="001928E6"/>
    <w:rsid w:val="001972B9"/>
    <w:rsid w:val="001A44A4"/>
    <w:rsid w:val="001B31AF"/>
    <w:rsid w:val="001C6AD3"/>
    <w:rsid w:val="001D117E"/>
    <w:rsid w:val="001D5BCE"/>
    <w:rsid w:val="001E2499"/>
    <w:rsid w:val="001E7950"/>
    <w:rsid w:val="001F1687"/>
    <w:rsid w:val="001F2301"/>
    <w:rsid w:val="001F41C2"/>
    <w:rsid w:val="001F7268"/>
    <w:rsid w:val="002115E6"/>
    <w:rsid w:val="0021293B"/>
    <w:rsid w:val="00242342"/>
    <w:rsid w:val="00244F3D"/>
    <w:rsid w:val="00251D26"/>
    <w:rsid w:val="0026148A"/>
    <w:rsid w:val="00263F72"/>
    <w:rsid w:val="0026420F"/>
    <w:rsid w:val="002666DE"/>
    <w:rsid w:val="002704D7"/>
    <w:rsid w:val="00275AA6"/>
    <w:rsid w:val="00281D86"/>
    <w:rsid w:val="002A4788"/>
    <w:rsid w:val="002A54E0"/>
    <w:rsid w:val="002B14D2"/>
    <w:rsid w:val="002B70B7"/>
    <w:rsid w:val="002C573F"/>
    <w:rsid w:val="002C76B6"/>
    <w:rsid w:val="002D4FA8"/>
    <w:rsid w:val="003025EB"/>
    <w:rsid w:val="00311838"/>
    <w:rsid w:val="00314679"/>
    <w:rsid w:val="003310B0"/>
    <w:rsid w:val="00335A2A"/>
    <w:rsid w:val="00350CD3"/>
    <w:rsid w:val="0035270D"/>
    <w:rsid w:val="00360301"/>
    <w:rsid w:val="00364D97"/>
    <w:rsid w:val="003821A7"/>
    <w:rsid w:val="00387A5E"/>
    <w:rsid w:val="00391B99"/>
    <w:rsid w:val="003A1821"/>
    <w:rsid w:val="003B7142"/>
    <w:rsid w:val="003B784E"/>
    <w:rsid w:val="003C2618"/>
    <w:rsid w:val="003D01BF"/>
    <w:rsid w:val="003D1515"/>
    <w:rsid w:val="003E270A"/>
    <w:rsid w:val="003E611E"/>
    <w:rsid w:val="00403139"/>
    <w:rsid w:val="004170CE"/>
    <w:rsid w:val="0043227F"/>
    <w:rsid w:val="00441AD0"/>
    <w:rsid w:val="00450029"/>
    <w:rsid w:val="004502CC"/>
    <w:rsid w:val="0047580A"/>
    <w:rsid w:val="00480BB0"/>
    <w:rsid w:val="004978E5"/>
    <w:rsid w:val="004A515F"/>
    <w:rsid w:val="004B3B1D"/>
    <w:rsid w:val="004E0322"/>
    <w:rsid w:val="004E4F53"/>
    <w:rsid w:val="004F0024"/>
    <w:rsid w:val="004F142F"/>
    <w:rsid w:val="004F1C38"/>
    <w:rsid w:val="004F5331"/>
    <w:rsid w:val="00505089"/>
    <w:rsid w:val="00506F3F"/>
    <w:rsid w:val="00532D45"/>
    <w:rsid w:val="00535EC4"/>
    <w:rsid w:val="00551AC0"/>
    <w:rsid w:val="00561727"/>
    <w:rsid w:val="005641B1"/>
    <w:rsid w:val="00564856"/>
    <w:rsid w:val="00581561"/>
    <w:rsid w:val="00592E19"/>
    <w:rsid w:val="005A42BC"/>
    <w:rsid w:val="005B2C47"/>
    <w:rsid w:val="005B46C8"/>
    <w:rsid w:val="005C123A"/>
    <w:rsid w:val="005C1678"/>
    <w:rsid w:val="005C5DEB"/>
    <w:rsid w:val="005E469A"/>
    <w:rsid w:val="005E51EA"/>
    <w:rsid w:val="005E6791"/>
    <w:rsid w:val="00614066"/>
    <w:rsid w:val="00614FAD"/>
    <w:rsid w:val="00631C8F"/>
    <w:rsid w:val="006411A4"/>
    <w:rsid w:val="00645781"/>
    <w:rsid w:val="00666174"/>
    <w:rsid w:val="00670F44"/>
    <w:rsid w:val="00676A80"/>
    <w:rsid w:val="00677C3C"/>
    <w:rsid w:val="00683957"/>
    <w:rsid w:val="00694183"/>
    <w:rsid w:val="006960C1"/>
    <w:rsid w:val="00697B19"/>
    <w:rsid w:val="006A623A"/>
    <w:rsid w:val="006C5CA8"/>
    <w:rsid w:val="006C6EA3"/>
    <w:rsid w:val="006D5876"/>
    <w:rsid w:val="006D76C1"/>
    <w:rsid w:val="006E1B70"/>
    <w:rsid w:val="006F0215"/>
    <w:rsid w:val="006F2947"/>
    <w:rsid w:val="006F2CA4"/>
    <w:rsid w:val="00700AB1"/>
    <w:rsid w:val="00704B91"/>
    <w:rsid w:val="0070586C"/>
    <w:rsid w:val="00730F7B"/>
    <w:rsid w:val="00731AD2"/>
    <w:rsid w:val="007365C0"/>
    <w:rsid w:val="007414CB"/>
    <w:rsid w:val="007478E0"/>
    <w:rsid w:val="00777ED6"/>
    <w:rsid w:val="007822E4"/>
    <w:rsid w:val="0078460B"/>
    <w:rsid w:val="00795B16"/>
    <w:rsid w:val="00796FBB"/>
    <w:rsid w:val="007A02FD"/>
    <w:rsid w:val="007A2F22"/>
    <w:rsid w:val="007B3484"/>
    <w:rsid w:val="007B71B2"/>
    <w:rsid w:val="007C7454"/>
    <w:rsid w:val="007E0D8F"/>
    <w:rsid w:val="007F6458"/>
    <w:rsid w:val="007F64AB"/>
    <w:rsid w:val="00810FD9"/>
    <w:rsid w:val="00811C11"/>
    <w:rsid w:val="00820DCE"/>
    <w:rsid w:val="008210FC"/>
    <w:rsid w:val="008218F2"/>
    <w:rsid w:val="00823C70"/>
    <w:rsid w:val="00826B1C"/>
    <w:rsid w:val="00846436"/>
    <w:rsid w:val="00851A99"/>
    <w:rsid w:val="0085776D"/>
    <w:rsid w:val="00863BC9"/>
    <w:rsid w:val="00872634"/>
    <w:rsid w:val="008736D2"/>
    <w:rsid w:val="00883508"/>
    <w:rsid w:val="00886AC9"/>
    <w:rsid w:val="00892071"/>
    <w:rsid w:val="00895362"/>
    <w:rsid w:val="008A08BB"/>
    <w:rsid w:val="008A2C75"/>
    <w:rsid w:val="008D09FC"/>
    <w:rsid w:val="008E14CF"/>
    <w:rsid w:val="0090641F"/>
    <w:rsid w:val="0091519C"/>
    <w:rsid w:val="00923554"/>
    <w:rsid w:val="0092759D"/>
    <w:rsid w:val="00931A58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67A76"/>
    <w:rsid w:val="00976A51"/>
    <w:rsid w:val="00993115"/>
    <w:rsid w:val="00994012"/>
    <w:rsid w:val="009941D2"/>
    <w:rsid w:val="009B139E"/>
    <w:rsid w:val="009B7A52"/>
    <w:rsid w:val="009C1771"/>
    <w:rsid w:val="009C2DA3"/>
    <w:rsid w:val="009C3565"/>
    <w:rsid w:val="009F64EA"/>
    <w:rsid w:val="00A0233B"/>
    <w:rsid w:val="00A30C51"/>
    <w:rsid w:val="00A40D18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C72CB"/>
    <w:rsid w:val="00AD54FA"/>
    <w:rsid w:val="00AE50E5"/>
    <w:rsid w:val="00B01FF3"/>
    <w:rsid w:val="00B14A9F"/>
    <w:rsid w:val="00B339AF"/>
    <w:rsid w:val="00B3771A"/>
    <w:rsid w:val="00B50990"/>
    <w:rsid w:val="00B65214"/>
    <w:rsid w:val="00B70599"/>
    <w:rsid w:val="00B863E2"/>
    <w:rsid w:val="00BA1F90"/>
    <w:rsid w:val="00BA4BB1"/>
    <w:rsid w:val="00BA5089"/>
    <w:rsid w:val="00BB2B30"/>
    <w:rsid w:val="00BC76DF"/>
    <w:rsid w:val="00BD3133"/>
    <w:rsid w:val="00BD7670"/>
    <w:rsid w:val="00BE1D1C"/>
    <w:rsid w:val="00BF10B7"/>
    <w:rsid w:val="00BF3B4A"/>
    <w:rsid w:val="00BF5ACD"/>
    <w:rsid w:val="00BF5FA4"/>
    <w:rsid w:val="00C076A3"/>
    <w:rsid w:val="00C10C94"/>
    <w:rsid w:val="00C171B2"/>
    <w:rsid w:val="00C209C4"/>
    <w:rsid w:val="00C22E8B"/>
    <w:rsid w:val="00C24145"/>
    <w:rsid w:val="00C412C9"/>
    <w:rsid w:val="00C4243E"/>
    <w:rsid w:val="00C454D6"/>
    <w:rsid w:val="00C5037E"/>
    <w:rsid w:val="00C600D4"/>
    <w:rsid w:val="00C61306"/>
    <w:rsid w:val="00C61A59"/>
    <w:rsid w:val="00C67F5E"/>
    <w:rsid w:val="00C7397C"/>
    <w:rsid w:val="00CA3381"/>
    <w:rsid w:val="00CC774F"/>
    <w:rsid w:val="00CD5748"/>
    <w:rsid w:val="00CD60E4"/>
    <w:rsid w:val="00CE190D"/>
    <w:rsid w:val="00CE245A"/>
    <w:rsid w:val="00CF477F"/>
    <w:rsid w:val="00D03B51"/>
    <w:rsid w:val="00D03E7A"/>
    <w:rsid w:val="00D0424B"/>
    <w:rsid w:val="00D121DE"/>
    <w:rsid w:val="00D148DB"/>
    <w:rsid w:val="00D212AA"/>
    <w:rsid w:val="00D23EAD"/>
    <w:rsid w:val="00D30286"/>
    <w:rsid w:val="00D30711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D7F1E"/>
    <w:rsid w:val="00DF2AA7"/>
    <w:rsid w:val="00E02D04"/>
    <w:rsid w:val="00E1134A"/>
    <w:rsid w:val="00E17DA4"/>
    <w:rsid w:val="00E231B6"/>
    <w:rsid w:val="00E31C26"/>
    <w:rsid w:val="00E34B42"/>
    <w:rsid w:val="00E467C5"/>
    <w:rsid w:val="00E57920"/>
    <w:rsid w:val="00E664C8"/>
    <w:rsid w:val="00E67F09"/>
    <w:rsid w:val="00E71099"/>
    <w:rsid w:val="00E832C9"/>
    <w:rsid w:val="00E8379D"/>
    <w:rsid w:val="00EA460C"/>
    <w:rsid w:val="00EB1B21"/>
    <w:rsid w:val="00EE5D18"/>
    <w:rsid w:val="00EF4E97"/>
    <w:rsid w:val="00F23141"/>
    <w:rsid w:val="00F51F2D"/>
    <w:rsid w:val="00F531FE"/>
    <w:rsid w:val="00F60EE8"/>
    <w:rsid w:val="00F656C4"/>
    <w:rsid w:val="00F7438A"/>
    <w:rsid w:val="00F841D8"/>
    <w:rsid w:val="00F93B5C"/>
    <w:rsid w:val="00F952FE"/>
    <w:rsid w:val="00F9608F"/>
    <w:rsid w:val="00FA0AC6"/>
    <w:rsid w:val="00FA5670"/>
    <w:rsid w:val="00FA7664"/>
    <w:rsid w:val="00FD108A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91D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6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6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4F103E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87B34"/>
    <w:rsid w:val="00AF12E0"/>
    <w:rsid w:val="00D349B6"/>
    <w:rsid w:val="00DE4646"/>
    <w:rsid w:val="00DE681D"/>
    <w:rsid w:val="00E424E4"/>
    <w:rsid w:val="00E641C6"/>
    <w:rsid w:val="00F10F47"/>
    <w:rsid w:val="00F542A3"/>
    <w:rsid w:val="00F900B3"/>
    <w:rsid w:val="00FB11CB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BBD3-C89D-4762-98C5-897C9CA5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2019-10-14T14:54:00Z</dcterms:created>
  <dcterms:modified xsi:type="dcterms:W3CDTF">2019-10-14T15:00:00Z</dcterms:modified>
</cp:coreProperties>
</file>