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3F59" w14:textId="77777777" w:rsidR="007F43A9" w:rsidRDefault="00404D4C" w:rsidP="00404D4C">
      <w:pPr>
        <w:spacing w:line="240" w:lineRule="auto"/>
        <w:rPr>
          <w:rFonts w:ascii="Times New Roman" w:hAnsi="Times New Roman" w:cs="Times New Roman"/>
          <w:sz w:val="16"/>
          <w:szCs w:val="16"/>
        </w:rPr>
      </w:pPr>
      <w:r w:rsidRPr="00404D4C">
        <w:rPr>
          <w:rFonts w:ascii="Times New Roman" w:hAnsi="Times New Roman" w:cs="Times New Roman"/>
          <w:sz w:val="16"/>
          <w:szCs w:val="16"/>
        </w:rPr>
        <w:t>UMH</w:t>
      </w:r>
      <w:r>
        <w:rPr>
          <w:rFonts w:ascii="Times New Roman" w:hAnsi="Times New Roman" w:cs="Times New Roman"/>
          <w:sz w:val="16"/>
          <w:szCs w:val="16"/>
        </w:rPr>
        <w:t>13070078</w:t>
      </w:r>
    </w:p>
    <w:p w14:paraId="24711EB6" w14:textId="77777777" w:rsidR="00404D4C" w:rsidRPr="00404D4C" w:rsidRDefault="00404D4C" w:rsidP="00404D4C">
      <w:pPr>
        <w:spacing w:after="120" w:line="240" w:lineRule="auto"/>
        <w:jc w:val="center"/>
        <w:rPr>
          <w:rFonts w:ascii="Times New Roman" w:hAnsi="Times New Roman" w:cs="Times New Roman"/>
          <w:b/>
          <w:sz w:val="32"/>
          <w:szCs w:val="32"/>
        </w:rPr>
      </w:pPr>
      <w:r w:rsidRPr="00404D4C">
        <w:rPr>
          <w:rFonts w:ascii="Times New Roman" w:hAnsi="Times New Roman" w:cs="Times New Roman"/>
          <w:b/>
          <w:sz w:val="32"/>
          <w:szCs w:val="32"/>
        </w:rPr>
        <w:t>REGLUGERÐ</w:t>
      </w:r>
    </w:p>
    <w:p w14:paraId="22B3FCD1" w14:textId="77777777" w:rsidR="00404D4C" w:rsidRDefault="00404D4C" w:rsidP="00404D4C">
      <w:pPr>
        <w:spacing w:after="120" w:line="240" w:lineRule="auto"/>
        <w:jc w:val="center"/>
        <w:rPr>
          <w:rFonts w:ascii="Times New Roman" w:hAnsi="Times New Roman" w:cs="Times New Roman"/>
          <w:b/>
          <w:sz w:val="21"/>
          <w:szCs w:val="21"/>
        </w:rPr>
      </w:pPr>
      <w:r w:rsidRPr="00404D4C">
        <w:rPr>
          <w:rFonts w:ascii="Times New Roman" w:hAnsi="Times New Roman" w:cs="Times New Roman"/>
          <w:b/>
          <w:sz w:val="21"/>
          <w:szCs w:val="21"/>
        </w:rPr>
        <w:t>um stjórnvaldssektir fyrir brot á einstökum ákvæðum efnalaga</w:t>
      </w:r>
    </w:p>
    <w:p w14:paraId="6DF6A973" w14:textId="77777777" w:rsidR="00404D4C" w:rsidRDefault="00404D4C" w:rsidP="00404D4C">
      <w:pPr>
        <w:spacing w:after="120" w:line="240" w:lineRule="auto"/>
        <w:jc w:val="center"/>
        <w:rPr>
          <w:rFonts w:ascii="Times New Roman" w:hAnsi="Times New Roman" w:cs="Times New Roman"/>
          <w:b/>
          <w:sz w:val="21"/>
          <w:szCs w:val="21"/>
        </w:rPr>
      </w:pPr>
    </w:p>
    <w:p w14:paraId="2ACFA494" w14:textId="77777777" w:rsidR="00404D4C" w:rsidRDefault="00404D4C" w:rsidP="00404D4C">
      <w:pPr>
        <w:spacing w:after="0" w:line="240" w:lineRule="auto"/>
        <w:jc w:val="center"/>
        <w:rPr>
          <w:rFonts w:ascii="Times New Roman" w:hAnsi="Times New Roman" w:cs="Times New Roman"/>
          <w:sz w:val="21"/>
          <w:szCs w:val="21"/>
        </w:rPr>
      </w:pPr>
      <w:r w:rsidRPr="00404D4C">
        <w:rPr>
          <w:rFonts w:ascii="Times New Roman" w:hAnsi="Times New Roman" w:cs="Times New Roman"/>
          <w:sz w:val="21"/>
          <w:szCs w:val="21"/>
        </w:rPr>
        <w:t>I. KAFLI</w:t>
      </w:r>
    </w:p>
    <w:p w14:paraId="7AE988B8" w14:textId="77777777" w:rsidR="00404D4C" w:rsidRDefault="00404D4C" w:rsidP="00404D4C">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Almenn ákvæði</w:t>
      </w:r>
      <w:r w:rsidR="008E6C78">
        <w:rPr>
          <w:rFonts w:ascii="Times New Roman" w:hAnsi="Times New Roman" w:cs="Times New Roman"/>
          <w:b/>
          <w:sz w:val="21"/>
          <w:szCs w:val="21"/>
        </w:rPr>
        <w:t>.</w:t>
      </w:r>
    </w:p>
    <w:p w14:paraId="6C2EFB91" w14:textId="77777777" w:rsidR="00404D4C" w:rsidRDefault="00404D4C" w:rsidP="00404D4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1. gr. </w:t>
      </w:r>
    </w:p>
    <w:p w14:paraId="6175EC46" w14:textId="77777777" w:rsidR="00404D4C" w:rsidRPr="00ED14E5" w:rsidRDefault="00404D4C" w:rsidP="00404D4C">
      <w:pPr>
        <w:spacing w:after="0" w:line="240" w:lineRule="auto"/>
        <w:jc w:val="center"/>
        <w:rPr>
          <w:rFonts w:ascii="Times New Roman" w:hAnsi="Times New Roman" w:cs="Times New Roman"/>
          <w:i/>
          <w:sz w:val="21"/>
          <w:szCs w:val="21"/>
        </w:rPr>
      </w:pPr>
      <w:r w:rsidRPr="00ED14E5">
        <w:rPr>
          <w:rFonts w:ascii="Times New Roman" w:hAnsi="Times New Roman" w:cs="Times New Roman"/>
          <w:i/>
          <w:sz w:val="21"/>
          <w:szCs w:val="21"/>
        </w:rPr>
        <w:t>Markmið</w:t>
      </w:r>
      <w:r w:rsidR="00ED14E5" w:rsidRPr="00ED14E5">
        <w:rPr>
          <w:rFonts w:ascii="Times New Roman" w:hAnsi="Times New Roman" w:cs="Times New Roman"/>
          <w:i/>
          <w:sz w:val="21"/>
          <w:szCs w:val="21"/>
        </w:rPr>
        <w:t>.</w:t>
      </w:r>
    </w:p>
    <w:p w14:paraId="03F62A5A" w14:textId="77777777" w:rsidR="00404D4C" w:rsidRDefault="00404D4C" w:rsidP="00ED14E5">
      <w:pPr>
        <w:spacing w:after="120" w:line="240" w:lineRule="auto"/>
        <w:jc w:val="both"/>
        <w:rPr>
          <w:rFonts w:ascii="Times New Roman" w:hAnsi="Times New Roman" w:cs="Times New Roman"/>
          <w:sz w:val="21"/>
          <w:szCs w:val="21"/>
        </w:rPr>
      </w:pPr>
      <w:r>
        <w:rPr>
          <w:rFonts w:ascii="Times New Roman" w:hAnsi="Times New Roman" w:cs="Times New Roman"/>
          <w:sz w:val="21"/>
          <w:szCs w:val="21"/>
        </w:rPr>
        <w:t xml:space="preserve">Markmið reglugerðar þessarar er að ákveða fjárhæðir stjórnvaldssekta fyrir brot á einstökum ákvæðum efnalaga nr. 61/2013 innan þess ramma sem ákveðinn er í 4. mgr. 62. gr. laganna og tryggja þannig að beiting stjórnvaldssekta vegna brota á einstökum ákvæðum laganna sé fyrirsjáanleg og gegnsæ. </w:t>
      </w:r>
    </w:p>
    <w:p w14:paraId="15C367E9" w14:textId="77777777" w:rsidR="00404D4C" w:rsidRDefault="00404D4C" w:rsidP="00404D4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 gr</w:t>
      </w:r>
    </w:p>
    <w:p w14:paraId="04760561" w14:textId="77777777" w:rsidR="00404D4C" w:rsidRPr="00ED14E5" w:rsidRDefault="00404D4C" w:rsidP="00404D4C">
      <w:pPr>
        <w:spacing w:after="0" w:line="240" w:lineRule="auto"/>
        <w:jc w:val="center"/>
        <w:rPr>
          <w:rFonts w:ascii="Times New Roman" w:hAnsi="Times New Roman" w:cs="Times New Roman"/>
          <w:i/>
          <w:sz w:val="21"/>
          <w:szCs w:val="21"/>
        </w:rPr>
      </w:pPr>
      <w:r w:rsidRPr="00ED14E5">
        <w:rPr>
          <w:rFonts w:ascii="Times New Roman" w:hAnsi="Times New Roman" w:cs="Times New Roman"/>
          <w:i/>
          <w:sz w:val="21"/>
          <w:szCs w:val="21"/>
        </w:rPr>
        <w:t>Gildissvið</w:t>
      </w:r>
      <w:r w:rsidR="00ED14E5" w:rsidRPr="00ED14E5">
        <w:rPr>
          <w:rFonts w:ascii="Times New Roman" w:hAnsi="Times New Roman" w:cs="Times New Roman"/>
          <w:i/>
          <w:sz w:val="21"/>
          <w:szCs w:val="21"/>
        </w:rPr>
        <w:t>.</w:t>
      </w:r>
    </w:p>
    <w:p w14:paraId="3EB90266" w14:textId="77777777" w:rsidR="00404D4C" w:rsidRDefault="00404D4C" w:rsidP="00ED14E5">
      <w:pPr>
        <w:spacing w:after="120" w:line="240" w:lineRule="auto"/>
        <w:jc w:val="both"/>
        <w:rPr>
          <w:rFonts w:ascii="Times New Roman" w:hAnsi="Times New Roman" w:cs="Times New Roman"/>
          <w:sz w:val="21"/>
          <w:szCs w:val="21"/>
        </w:rPr>
      </w:pPr>
      <w:r>
        <w:rPr>
          <w:rFonts w:ascii="Times New Roman" w:hAnsi="Times New Roman" w:cs="Times New Roman"/>
          <w:sz w:val="21"/>
          <w:szCs w:val="21"/>
        </w:rPr>
        <w:t xml:space="preserve">Reglugerð þessi gildir um fjárhæð og beitingu stjórnvaldssekta fyrir brot á einstökum ákvæðum efnalaga innan þess ramma sem ákveðinn er í 62. gr. þeirra. </w:t>
      </w:r>
    </w:p>
    <w:p w14:paraId="5A9DEAAE" w14:textId="77777777" w:rsidR="00404D4C" w:rsidRDefault="00404D4C" w:rsidP="00404D4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 gr</w:t>
      </w:r>
    </w:p>
    <w:p w14:paraId="7740F710" w14:textId="77777777" w:rsidR="00404D4C" w:rsidRPr="00ED14E5" w:rsidRDefault="00404D4C" w:rsidP="00404D4C">
      <w:pPr>
        <w:spacing w:after="0" w:line="240" w:lineRule="auto"/>
        <w:jc w:val="center"/>
        <w:rPr>
          <w:rFonts w:ascii="Times New Roman" w:hAnsi="Times New Roman" w:cs="Times New Roman"/>
          <w:i/>
          <w:sz w:val="21"/>
          <w:szCs w:val="21"/>
        </w:rPr>
      </w:pPr>
      <w:r w:rsidRPr="00ED14E5">
        <w:rPr>
          <w:rFonts w:ascii="Times New Roman" w:hAnsi="Times New Roman" w:cs="Times New Roman"/>
          <w:i/>
          <w:sz w:val="21"/>
          <w:szCs w:val="21"/>
        </w:rPr>
        <w:t>Skilgreiningar</w:t>
      </w:r>
      <w:r w:rsidR="00ED14E5" w:rsidRPr="00ED14E5">
        <w:rPr>
          <w:rFonts w:ascii="Times New Roman" w:hAnsi="Times New Roman" w:cs="Times New Roman"/>
          <w:i/>
          <w:sz w:val="21"/>
          <w:szCs w:val="21"/>
        </w:rPr>
        <w:t>.</w:t>
      </w:r>
    </w:p>
    <w:p w14:paraId="1253298F"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Í reglugerð þessari er merking eftirtalinna orða, orðasambanda og hugtaka sem hér segir:</w:t>
      </w:r>
    </w:p>
    <w:p w14:paraId="1B6E1976"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Áþreifanleg viðvörun:</w:t>
      </w:r>
      <w:r>
        <w:rPr>
          <w:rFonts w:ascii="Times New Roman" w:hAnsi="Times New Roman" w:cs="Times New Roman"/>
          <w:sz w:val="21"/>
          <w:szCs w:val="21"/>
        </w:rPr>
        <w:t xml:space="preserve"> Viðvörun sem vekur athygli sjónskertra og blindra á hættu</w:t>
      </w:r>
    </w:p>
    <w:p w14:paraId="69D3746B" w14:textId="24E105A9"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Birgir:</w:t>
      </w:r>
      <w:r>
        <w:rPr>
          <w:rFonts w:ascii="Times New Roman" w:hAnsi="Times New Roman" w:cs="Times New Roman"/>
          <w:sz w:val="21"/>
          <w:szCs w:val="21"/>
        </w:rPr>
        <w:t xml:space="preserve"> Framleiðandi, innflytjandi, </w:t>
      </w:r>
      <w:proofErr w:type="spellStart"/>
      <w:r w:rsidR="006F111F">
        <w:rPr>
          <w:rFonts w:ascii="Times New Roman" w:hAnsi="Times New Roman" w:cs="Times New Roman"/>
          <w:sz w:val="21"/>
          <w:szCs w:val="21"/>
        </w:rPr>
        <w:t>eftirnotandi</w:t>
      </w:r>
      <w:proofErr w:type="spellEnd"/>
      <w:r>
        <w:rPr>
          <w:rFonts w:ascii="Times New Roman" w:hAnsi="Times New Roman" w:cs="Times New Roman"/>
          <w:sz w:val="21"/>
          <w:szCs w:val="21"/>
        </w:rPr>
        <w:t xml:space="preserve"> eða dreifandi með staðfestu á Evrópska efnahagssvæðinu sem setur efni á markað, hvort sem það er hreint, í efnablöndu eða í hlutum. </w:t>
      </w:r>
    </w:p>
    <w:p w14:paraId="702621AF"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Efnablanda:</w:t>
      </w:r>
      <w:r>
        <w:rPr>
          <w:rFonts w:ascii="Times New Roman" w:hAnsi="Times New Roman" w:cs="Times New Roman"/>
          <w:sz w:val="21"/>
          <w:szCs w:val="21"/>
        </w:rPr>
        <w:t xml:space="preserve"> Blanda eða lausn tveggja eða fleiri efna í föstu, fljótandi eða loftkenndu formi. </w:t>
      </w:r>
    </w:p>
    <w:p w14:paraId="01E7173C"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 xml:space="preserve">Efni: </w:t>
      </w:r>
      <w:r>
        <w:rPr>
          <w:rFonts w:ascii="Times New Roman" w:hAnsi="Times New Roman" w:cs="Times New Roman"/>
          <w:sz w:val="21"/>
          <w:szCs w:val="21"/>
        </w:rPr>
        <w:t>Frumefni og sambönd þeirra, bæði náttúruleg og manngerð, þ.m.t. aukaefni sem er nauðsynleg til að viðhalda stöðugleika efnisins eða breyti samsetningu þess</w:t>
      </w:r>
    </w:p>
    <w:p w14:paraId="19731890"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Hættumerki:</w:t>
      </w:r>
      <w:r>
        <w:rPr>
          <w:rFonts w:ascii="Times New Roman" w:hAnsi="Times New Roman" w:cs="Times New Roman"/>
          <w:sz w:val="21"/>
          <w:szCs w:val="21"/>
        </w:rPr>
        <w:t xml:space="preserve"> Grafísk skýringarmynd sem er með einu tákni og öðrum myndeiningum, t.d. kanti, bakgrunnsmynstri eð</w:t>
      </w:r>
      <w:bookmarkStart w:id="0" w:name="_GoBack"/>
      <w:bookmarkEnd w:id="0"/>
      <w:r>
        <w:rPr>
          <w:rFonts w:ascii="Times New Roman" w:hAnsi="Times New Roman" w:cs="Times New Roman"/>
          <w:sz w:val="21"/>
          <w:szCs w:val="21"/>
        </w:rPr>
        <w:t xml:space="preserve">a -lit, sem eiga að miðla sérstökum upplýsingum um hættuna sem um er að ræða. </w:t>
      </w:r>
    </w:p>
    <w:p w14:paraId="6F8215E4" w14:textId="77777777" w:rsidR="00404D4C" w:rsidRDefault="00404D4C"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Hættusetning:</w:t>
      </w:r>
      <w:r>
        <w:rPr>
          <w:rFonts w:ascii="Times New Roman" w:hAnsi="Times New Roman" w:cs="Times New Roman"/>
          <w:sz w:val="21"/>
          <w:szCs w:val="21"/>
        </w:rPr>
        <w:t xml:space="preserve"> Setning sem er tengd við hættuflokk og hættuundirflokk og lýsir því hvers konar hættur stafi af hættulegu efni eða hættulegri blöndum þ.m.t. hættustigið, ef við á. </w:t>
      </w:r>
    </w:p>
    <w:p w14:paraId="6C8ECAE7" w14:textId="062A372C" w:rsidR="008E6C78" w:rsidRDefault="008E6C78" w:rsidP="00ED14E5">
      <w:pPr>
        <w:spacing w:after="0" w:line="240" w:lineRule="auto"/>
        <w:jc w:val="both"/>
        <w:rPr>
          <w:rFonts w:ascii="Times New Roman" w:hAnsi="Times New Roman" w:cs="Times New Roman"/>
          <w:sz w:val="21"/>
          <w:szCs w:val="21"/>
        </w:rPr>
      </w:pPr>
      <w:r w:rsidRPr="008E6C78">
        <w:rPr>
          <w:rFonts w:ascii="Times New Roman" w:hAnsi="Times New Roman" w:cs="Times New Roman"/>
          <w:i/>
          <w:sz w:val="21"/>
          <w:szCs w:val="21"/>
        </w:rPr>
        <w:t>Sölueining</w:t>
      </w:r>
      <w:r>
        <w:rPr>
          <w:rFonts w:ascii="Times New Roman" w:hAnsi="Times New Roman" w:cs="Times New Roman"/>
          <w:sz w:val="21"/>
          <w:szCs w:val="21"/>
        </w:rPr>
        <w:t xml:space="preserve"> Hvert eintak </w:t>
      </w:r>
      <w:r w:rsidR="007E4068">
        <w:rPr>
          <w:rFonts w:ascii="Times New Roman" w:hAnsi="Times New Roman" w:cs="Times New Roman"/>
          <w:sz w:val="21"/>
          <w:szCs w:val="21"/>
        </w:rPr>
        <w:t xml:space="preserve">eða eining </w:t>
      </w:r>
      <w:r>
        <w:rPr>
          <w:rFonts w:ascii="Times New Roman" w:hAnsi="Times New Roman" w:cs="Times New Roman"/>
          <w:sz w:val="21"/>
          <w:szCs w:val="21"/>
        </w:rPr>
        <w:t>tiltekinnar vöru.</w:t>
      </w:r>
    </w:p>
    <w:p w14:paraId="3D0B0285" w14:textId="2C5F7C79" w:rsidR="008E6C78" w:rsidRDefault="008E6C78" w:rsidP="00ED14E5">
      <w:pPr>
        <w:spacing w:after="0" w:line="240" w:lineRule="auto"/>
        <w:jc w:val="both"/>
        <w:rPr>
          <w:rFonts w:ascii="Times New Roman" w:hAnsi="Times New Roman" w:cs="Times New Roman"/>
          <w:sz w:val="21"/>
          <w:szCs w:val="21"/>
        </w:rPr>
      </w:pPr>
      <w:r w:rsidRPr="008E6C78">
        <w:rPr>
          <w:rFonts w:ascii="Times New Roman" w:hAnsi="Times New Roman" w:cs="Times New Roman"/>
          <w:i/>
          <w:sz w:val="21"/>
          <w:szCs w:val="21"/>
        </w:rPr>
        <w:t>Vara</w:t>
      </w:r>
      <w:r>
        <w:rPr>
          <w:rFonts w:ascii="Times New Roman" w:hAnsi="Times New Roman" w:cs="Times New Roman"/>
          <w:sz w:val="21"/>
          <w:szCs w:val="21"/>
        </w:rPr>
        <w:t xml:space="preserve">: </w:t>
      </w:r>
      <w:r w:rsidR="005F704A">
        <w:rPr>
          <w:rFonts w:ascii="Times New Roman" w:hAnsi="Times New Roman" w:cs="Times New Roman"/>
          <w:sz w:val="21"/>
          <w:szCs w:val="21"/>
        </w:rPr>
        <w:t>Söluvarningur eða vara</w:t>
      </w:r>
      <w:r>
        <w:rPr>
          <w:rFonts w:ascii="Times New Roman" w:hAnsi="Times New Roman" w:cs="Times New Roman"/>
          <w:sz w:val="21"/>
          <w:szCs w:val="21"/>
        </w:rPr>
        <w:t xml:space="preserve"> með nafni og strikamerki og/eða annars konar skráningarnúmeri. Með vöru er átt við </w:t>
      </w:r>
      <w:r w:rsidR="00053F5C">
        <w:rPr>
          <w:rFonts w:ascii="Times New Roman" w:hAnsi="Times New Roman" w:cs="Times New Roman"/>
          <w:sz w:val="21"/>
          <w:szCs w:val="21"/>
        </w:rPr>
        <w:t xml:space="preserve">allar sölueiningar </w:t>
      </w:r>
      <w:r>
        <w:rPr>
          <w:rFonts w:ascii="Times New Roman" w:hAnsi="Times New Roman" w:cs="Times New Roman"/>
          <w:sz w:val="21"/>
          <w:szCs w:val="21"/>
        </w:rPr>
        <w:t>tiltekinnar vöru.</w:t>
      </w:r>
    </w:p>
    <w:p w14:paraId="6A6C72DE" w14:textId="7B3D0221" w:rsidR="008E6C78" w:rsidRDefault="008E6C78"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 xml:space="preserve">Varnaðarsetning: </w:t>
      </w:r>
      <w:r>
        <w:rPr>
          <w:rFonts w:ascii="Times New Roman" w:hAnsi="Times New Roman" w:cs="Times New Roman"/>
          <w:sz w:val="21"/>
          <w:szCs w:val="21"/>
        </w:rPr>
        <w:t xml:space="preserve">Setning sem lýsir þeim ráðstöfunum sem mælt er með til að lágmarka eða koma í veg fyrir skaðleg áhrif vegna </w:t>
      </w:r>
      <w:proofErr w:type="spellStart"/>
      <w:r>
        <w:rPr>
          <w:rFonts w:ascii="Times New Roman" w:hAnsi="Times New Roman" w:cs="Times New Roman"/>
          <w:sz w:val="21"/>
          <w:szCs w:val="21"/>
        </w:rPr>
        <w:t>váhrifa</w:t>
      </w:r>
      <w:proofErr w:type="spellEnd"/>
      <w:r>
        <w:rPr>
          <w:rFonts w:ascii="Times New Roman" w:hAnsi="Times New Roman" w:cs="Times New Roman"/>
          <w:sz w:val="21"/>
          <w:szCs w:val="21"/>
        </w:rPr>
        <w:t xml:space="preserve"> við notkun eða </w:t>
      </w:r>
      <w:proofErr w:type="spellStart"/>
      <w:r>
        <w:rPr>
          <w:rFonts w:ascii="Times New Roman" w:hAnsi="Times New Roman" w:cs="Times New Roman"/>
          <w:sz w:val="21"/>
          <w:szCs w:val="21"/>
        </w:rPr>
        <w:t>förgun</w:t>
      </w:r>
      <w:proofErr w:type="spellEnd"/>
      <w:r>
        <w:rPr>
          <w:rFonts w:ascii="Times New Roman" w:hAnsi="Times New Roman" w:cs="Times New Roman"/>
          <w:sz w:val="21"/>
          <w:szCs w:val="21"/>
        </w:rPr>
        <w:t xml:space="preserve"> hættulegs efnis eða blöndu.</w:t>
      </w:r>
    </w:p>
    <w:p w14:paraId="5D7FA496" w14:textId="77777777" w:rsidR="008E6C78" w:rsidRDefault="008E6C78"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 xml:space="preserve">Viðvörunarorð: </w:t>
      </w:r>
      <w:r>
        <w:rPr>
          <w:rFonts w:ascii="Times New Roman" w:hAnsi="Times New Roman" w:cs="Times New Roman"/>
          <w:sz w:val="21"/>
          <w:szCs w:val="21"/>
        </w:rPr>
        <w:t>Orð sem gefur til kynna alvarleikastig hættunnar til að gera lesandanum viðvart um mögulega hættu og er gerður greinarmunur á tveimur stigum</w:t>
      </w:r>
    </w:p>
    <w:p w14:paraId="04D9E497" w14:textId="77777777" w:rsidR="008E6C78" w:rsidRDefault="008E6C78" w:rsidP="00ED14E5">
      <w:pPr>
        <w:pStyle w:val="Mlsgreinlista"/>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i/>
          <w:sz w:val="21"/>
          <w:szCs w:val="21"/>
        </w:rPr>
        <w:t>Hætta:</w:t>
      </w:r>
      <w:r>
        <w:rPr>
          <w:rFonts w:ascii="Times New Roman" w:hAnsi="Times New Roman" w:cs="Times New Roman"/>
          <w:sz w:val="21"/>
          <w:szCs w:val="21"/>
        </w:rPr>
        <w:t xml:space="preserve"> Viðvörunarorð sem tilgreinir hættuundirflokka fyrir mjög alvarlega hættu.</w:t>
      </w:r>
    </w:p>
    <w:p w14:paraId="36231D05" w14:textId="77777777" w:rsidR="008E6C78" w:rsidRDefault="008E6C78" w:rsidP="00ED14E5">
      <w:pPr>
        <w:pStyle w:val="Mlsgreinlista"/>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i/>
          <w:sz w:val="21"/>
          <w:szCs w:val="21"/>
        </w:rPr>
        <w:t xml:space="preserve">Varúð: </w:t>
      </w:r>
      <w:r>
        <w:rPr>
          <w:rFonts w:ascii="Times New Roman" w:hAnsi="Times New Roman" w:cs="Times New Roman"/>
          <w:sz w:val="21"/>
          <w:szCs w:val="21"/>
        </w:rPr>
        <w:t>Viðvörunarorð sem tilgreinir hættuundirflokka fyrir hættu sem er ekki mjög alvarleg.</w:t>
      </w:r>
    </w:p>
    <w:p w14:paraId="7C1D0A13" w14:textId="7BB3D754" w:rsidR="008E6C78" w:rsidRDefault="008E6C78"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 xml:space="preserve">Vörureikningur: </w:t>
      </w:r>
      <w:r>
        <w:rPr>
          <w:rFonts w:ascii="Times New Roman" w:hAnsi="Times New Roman" w:cs="Times New Roman"/>
          <w:sz w:val="21"/>
          <w:szCs w:val="21"/>
        </w:rPr>
        <w:t>Reikningur fyrir kaupum</w:t>
      </w:r>
      <w:r w:rsidR="00725C2A">
        <w:rPr>
          <w:rFonts w:ascii="Times New Roman" w:hAnsi="Times New Roman" w:cs="Times New Roman"/>
          <w:sz w:val="21"/>
          <w:szCs w:val="21"/>
        </w:rPr>
        <w:t xml:space="preserve"> eða sölu</w:t>
      </w:r>
      <w:r>
        <w:rPr>
          <w:rFonts w:ascii="Times New Roman" w:hAnsi="Times New Roman" w:cs="Times New Roman"/>
          <w:sz w:val="21"/>
          <w:szCs w:val="21"/>
        </w:rPr>
        <w:t xml:space="preserve"> á vöru</w:t>
      </w:r>
      <w:r w:rsidR="00725C2A">
        <w:rPr>
          <w:rFonts w:ascii="Times New Roman" w:hAnsi="Times New Roman" w:cs="Times New Roman"/>
          <w:sz w:val="21"/>
          <w:szCs w:val="21"/>
        </w:rPr>
        <w:t xml:space="preserve"> þar sem andvirði hverrar sölueiningar kemur fram.</w:t>
      </w:r>
    </w:p>
    <w:p w14:paraId="01188320" w14:textId="77777777" w:rsidR="008E6C78" w:rsidRDefault="008E6C78" w:rsidP="00ED14E5">
      <w:pPr>
        <w:spacing w:after="0" w:line="240" w:lineRule="auto"/>
        <w:jc w:val="both"/>
        <w:rPr>
          <w:rFonts w:ascii="Times New Roman" w:hAnsi="Times New Roman" w:cs="Times New Roman"/>
          <w:sz w:val="21"/>
          <w:szCs w:val="21"/>
        </w:rPr>
      </w:pPr>
      <w:r>
        <w:rPr>
          <w:rFonts w:ascii="Times New Roman" w:hAnsi="Times New Roman" w:cs="Times New Roman"/>
          <w:i/>
          <w:sz w:val="21"/>
          <w:szCs w:val="21"/>
        </w:rPr>
        <w:t>Öryggislok:</w:t>
      </w:r>
      <w:r>
        <w:rPr>
          <w:rFonts w:ascii="Times New Roman" w:hAnsi="Times New Roman" w:cs="Times New Roman"/>
          <w:sz w:val="21"/>
          <w:szCs w:val="21"/>
        </w:rPr>
        <w:t xml:space="preserve"> Lok á </w:t>
      </w:r>
      <w:proofErr w:type="spellStart"/>
      <w:r>
        <w:rPr>
          <w:rFonts w:ascii="Times New Roman" w:hAnsi="Times New Roman" w:cs="Times New Roman"/>
          <w:sz w:val="21"/>
          <w:szCs w:val="21"/>
        </w:rPr>
        <w:t>endurlokanlegum</w:t>
      </w:r>
      <w:proofErr w:type="spellEnd"/>
      <w:r>
        <w:rPr>
          <w:rFonts w:ascii="Times New Roman" w:hAnsi="Times New Roman" w:cs="Times New Roman"/>
          <w:sz w:val="21"/>
          <w:szCs w:val="21"/>
        </w:rPr>
        <w:t xml:space="preserve"> umbúðum sem börn geta ekki opnað. </w:t>
      </w:r>
    </w:p>
    <w:p w14:paraId="246B1ECB" w14:textId="77777777" w:rsidR="008E6C78" w:rsidRDefault="008E6C78" w:rsidP="008E6C78">
      <w:pPr>
        <w:spacing w:after="0" w:line="240" w:lineRule="auto"/>
        <w:rPr>
          <w:rFonts w:ascii="Times New Roman" w:hAnsi="Times New Roman" w:cs="Times New Roman"/>
          <w:sz w:val="21"/>
          <w:szCs w:val="21"/>
        </w:rPr>
      </w:pPr>
    </w:p>
    <w:p w14:paraId="3C89261E" w14:textId="77777777" w:rsidR="008E6C78" w:rsidRDefault="008E6C78" w:rsidP="008E6C7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w:t>
      </w:r>
      <w:r w:rsidRPr="00404D4C">
        <w:rPr>
          <w:rFonts w:ascii="Times New Roman" w:hAnsi="Times New Roman" w:cs="Times New Roman"/>
          <w:sz w:val="21"/>
          <w:szCs w:val="21"/>
        </w:rPr>
        <w:t>I. KAFLI</w:t>
      </w:r>
    </w:p>
    <w:p w14:paraId="7488201A" w14:textId="77777777" w:rsidR="008E6C78" w:rsidRDefault="008E6C78" w:rsidP="008E6C78">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Stjórnvaldssektir.</w:t>
      </w:r>
    </w:p>
    <w:p w14:paraId="25448DD1" w14:textId="77777777" w:rsidR="00ED14E5" w:rsidRDefault="00ED14E5" w:rsidP="008E6C7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4. gr. </w:t>
      </w:r>
    </w:p>
    <w:p w14:paraId="520154E1" w14:textId="77777777" w:rsidR="00ED14E5" w:rsidRDefault="00ED14E5" w:rsidP="008E6C78">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Almennt um stjórnvaldssektir.</w:t>
      </w:r>
    </w:p>
    <w:p w14:paraId="1822204B" w14:textId="77777777" w:rsidR="00ED14E5" w:rsidRDefault="00ED14E5" w:rsidP="00ED14E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Umhverfisstofnun leggur stjórnvaldssektir á einstaklinga eða lögaðila sem brjóta gegn þeim ákvæðum sem talin eru upp í 1. mgr. 62. gr. efnalaga í samræmi við ákvæði laganna og reglugerðar þessarar. Við ákvörðun sekta vegna brota á einstökum ákvæðum laganna og reglugerðar þessarar. Við ákvörðun sekta vegna brota á einstökum ákvæðum efnalaga skal taka tillit til ákvæða 4. og 6. mgr. 62. gr. þeirra. </w:t>
      </w:r>
    </w:p>
    <w:p w14:paraId="703DADF1" w14:textId="77777777" w:rsidR="00ED14E5" w:rsidRDefault="00ED14E5" w:rsidP="00ED14E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Almennt verða stjórnvaldssektir ekki lagðar á einstaklinga og lögaðila nema að undangengnum þvingunarúrræðum XIII. kafla efnalaga. Þegar ekki er mögulegt að knýja á um framkvæmd ráðstöfunar samkvæmt efnalögum, eða þegar brot eru ítrekuð, er þó heimilt að leggja stjórnvaldssektir beint á lögaðila eða einstaklinga án undangenginna þvingunarúrræða. </w:t>
      </w:r>
    </w:p>
    <w:p w14:paraId="0946E872" w14:textId="77777777" w:rsidR="0055302F" w:rsidRDefault="0055302F" w:rsidP="00D02EED">
      <w:pPr>
        <w:spacing w:after="120" w:line="240" w:lineRule="auto"/>
        <w:jc w:val="both"/>
        <w:rPr>
          <w:rFonts w:ascii="Times New Roman" w:hAnsi="Times New Roman" w:cs="Times New Roman"/>
          <w:sz w:val="21"/>
          <w:szCs w:val="21"/>
        </w:rPr>
      </w:pPr>
      <w:r>
        <w:rPr>
          <w:rFonts w:ascii="Times New Roman" w:hAnsi="Times New Roman" w:cs="Times New Roman"/>
          <w:sz w:val="21"/>
          <w:szCs w:val="21"/>
        </w:rPr>
        <w:t xml:space="preserve">Þar sem fjárhæð stjórnvaldssekta er miðuð við gjaldskrá Efnastofnunar Evrópu (ECHA) vísast til reglugerðar framkvæmdastjórnar (EB) nr. 340/2008 um þóknanir og gjöld sem greiða ber til Efnastofnunar Evrópu </w:t>
      </w:r>
      <w:r>
        <w:rPr>
          <w:rFonts w:ascii="Times New Roman" w:hAnsi="Times New Roman" w:cs="Times New Roman"/>
          <w:sz w:val="21"/>
          <w:szCs w:val="21"/>
        </w:rPr>
        <w:lastRenderedPageBreak/>
        <w:t xml:space="preserve">samkvæmt reglugerð Evrópuþingsins og ráðsins (EB) nr. 1907/2006 um skráningu, mat, leyfisveitingu og takmarkanir að því er varðar efni (REACH), með síðari breytingum og skal gengi evru miðast við þann dag sem ákvörðun um álagningu stjórnvaldssektar er tekin. </w:t>
      </w:r>
    </w:p>
    <w:p w14:paraId="0050147E" w14:textId="77777777" w:rsidR="0055302F" w:rsidRDefault="00D02EED" w:rsidP="00D02EE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 gr.</w:t>
      </w:r>
    </w:p>
    <w:p w14:paraId="1B2EC64B" w14:textId="77777777" w:rsidR="00D02EED" w:rsidRDefault="00D02EED" w:rsidP="00D02EE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Skráningarskylda.</w:t>
      </w:r>
    </w:p>
    <w:p w14:paraId="6C79FEA4" w14:textId="34F9FE09" w:rsidR="00D02EED" w:rsidRPr="00D02EED" w:rsidRDefault="00D02EED" w:rsidP="003958CB">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22. gr. efnalaga um skráningarskyldu skal, fyrir hvert efni- eða efnablöndu, miða við tvöfalt skráningargjald </w:t>
      </w:r>
      <w:r w:rsidR="00EB61C8">
        <w:rPr>
          <w:rFonts w:ascii="Times New Roman" w:hAnsi="Times New Roman" w:cs="Times New Roman"/>
          <w:sz w:val="21"/>
          <w:szCs w:val="21"/>
        </w:rPr>
        <w:t>Efnastofnunar Evrópu (</w:t>
      </w:r>
      <w:r>
        <w:rPr>
          <w:rFonts w:ascii="Times New Roman" w:hAnsi="Times New Roman" w:cs="Times New Roman"/>
          <w:sz w:val="21"/>
          <w:szCs w:val="21"/>
        </w:rPr>
        <w:t>ECHA</w:t>
      </w:r>
      <w:r w:rsidR="00EB61C8">
        <w:rPr>
          <w:rFonts w:ascii="Times New Roman" w:hAnsi="Times New Roman" w:cs="Times New Roman"/>
          <w:sz w:val="21"/>
          <w:szCs w:val="21"/>
        </w:rPr>
        <w:t>)</w:t>
      </w:r>
      <w:r>
        <w:rPr>
          <w:rFonts w:ascii="Times New Roman" w:hAnsi="Times New Roman" w:cs="Times New Roman"/>
          <w:sz w:val="21"/>
          <w:szCs w:val="21"/>
        </w:rPr>
        <w:t>, samkvæmt gjaldskrá stofnunarinnar, að viðbættu tvöföldu</w:t>
      </w:r>
      <w:r w:rsidR="00B50B73">
        <w:rPr>
          <w:rFonts w:ascii="Times New Roman" w:hAnsi="Times New Roman" w:cs="Times New Roman"/>
          <w:sz w:val="21"/>
          <w:szCs w:val="21"/>
        </w:rPr>
        <w:t xml:space="preserve"> andvirði</w:t>
      </w:r>
      <w:r w:rsidR="003958CB">
        <w:rPr>
          <w:rFonts w:ascii="Times New Roman" w:hAnsi="Times New Roman" w:cs="Times New Roman"/>
          <w:sz w:val="21"/>
          <w:szCs w:val="21"/>
        </w:rPr>
        <w:t xml:space="preserve"> </w:t>
      </w:r>
      <w:r w:rsidR="00987FE5">
        <w:rPr>
          <w:rFonts w:ascii="Times New Roman" w:hAnsi="Times New Roman" w:cs="Times New Roman"/>
          <w:sz w:val="21"/>
          <w:szCs w:val="21"/>
        </w:rPr>
        <w:t>þess</w:t>
      </w:r>
      <w:r w:rsidR="003958CB">
        <w:rPr>
          <w:rFonts w:ascii="Times New Roman" w:hAnsi="Times New Roman" w:cs="Times New Roman"/>
          <w:sz w:val="21"/>
          <w:szCs w:val="21"/>
        </w:rPr>
        <w:t xml:space="preserve"> efni</w:t>
      </w:r>
      <w:r w:rsidR="00987FE5">
        <w:rPr>
          <w:rFonts w:ascii="Times New Roman" w:hAnsi="Times New Roman" w:cs="Times New Roman"/>
          <w:sz w:val="21"/>
          <w:szCs w:val="21"/>
        </w:rPr>
        <w:t>s</w:t>
      </w:r>
      <w:r w:rsidR="003958CB">
        <w:rPr>
          <w:rFonts w:ascii="Times New Roman" w:hAnsi="Times New Roman" w:cs="Times New Roman"/>
          <w:sz w:val="21"/>
          <w:szCs w:val="21"/>
        </w:rPr>
        <w:t xml:space="preserve"> eða efnablöndu</w:t>
      </w:r>
      <w:r>
        <w:rPr>
          <w:rFonts w:ascii="Times New Roman" w:hAnsi="Times New Roman" w:cs="Times New Roman"/>
          <w:sz w:val="21"/>
          <w:szCs w:val="21"/>
        </w:rPr>
        <w:t xml:space="preserve"> </w:t>
      </w:r>
      <w:r w:rsidR="00567357">
        <w:rPr>
          <w:rFonts w:ascii="Times New Roman" w:hAnsi="Times New Roman" w:cs="Times New Roman"/>
          <w:sz w:val="21"/>
          <w:szCs w:val="21"/>
        </w:rPr>
        <w:t>samkvæmt vörureikningi</w:t>
      </w:r>
      <w:r>
        <w:rPr>
          <w:rFonts w:ascii="Times New Roman" w:hAnsi="Times New Roman" w:cs="Times New Roman"/>
          <w:sz w:val="21"/>
          <w:szCs w:val="21"/>
        </w:rPr>
        <w:t xml:space="preserve">. </w:t>
      </w:r>
    </w:p>
    <w:p w14:paraId="1F2AC82D" w14:textId="77777777" w:rsidR="00D02EED" w:rsidRDefault="00D02EED" w:rsidP="00D02EE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 gr.</w:t>
      </w:r>
    </w:p>
    <w:p w14:paraId="474E1DB8" w14:textId="77777777" w:rsidR="00D02EED" w:rsidRPr="00D02EED" w:rsidRDefault="00D02EED" w:rsidP="00D02EED">
      <w:pPr>
        <w:spacing w:after="0" w:line="240" w:lineRule="auto"/>
        <w:jc w:val="center"/>
        <w:rPr>
          <w:rFonts w:ascii="Times New Roman" w:hAnsi="Times New Roman" w:cs="Times New Roman"/>
          <w:i/>
          <w:sz w:val="21"/>
          <w:szCs w:val="21"/>
        </w:rPr>
      </w:pPr>
      <w:r w:rsidRPr="00D02EED">
        <w:rPr>
          <w:rFonts w:ascii="Times New Roman" w:hAnsi="Times New Roman" w:cs="Times New Roman"/>
          <w:i/>
          <w:sz w:val="21"/>
          <w:szCs w:val="21"/>
        </w:rPr>
        <w:t>Framleiðsla, markaðssetning og notkun.</w:t>
      </w:r>
    </w:p>
    <w:p w14:paraId="1AD6FE9A" w14:textId="5457AA19" w:rsidR="008E6C78" w:rsidRDefault="00D02EED" w:rsidP="00567357">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23. gr. efnalaga um framleiðslu, markaðssetningu og notkun skal, fyrir </w:t>
      </w:r>
      <w:r w:rsidR="00567357">
        <w:rPr>
          <w:rFonts w:ascii="Times New Roman" w:hAnsi="Times New Roman" w:cs="Times New Roman"/>
          <w:sz w:val="21"/>
          <w:szCs w:val="21"/>
        </w:rPr>
        <w:t xml:space="preserve">hvert efni, hvort heldur það er hreint, í efnablöndu eða í hlutum, miða við tvöfalt skráningargjald Efnastofnunar Evrópu (ECHA), samkvæmt gjaldskrá stofnunarinnar, að viðbættu tvöföldu </w:t>
      </w:r>
      <w:r w:rsidR="00B50B73">
        <w:rPr>
          <w:rFonts w:ascii="Times New Roman" w:hAnsi="Times New Roman" w:cs="Times New Roman"/>
          <w:sz w:val="21"/>
          <w:szCs w:val="21"/>
        </w:rPr>
        <w:t>andvirði</w:t>
      </w:r>
      <w:r w:rsidR="003958CB">
        <w:rPr>
          <w:rFonts w:ascii="Times New Roman" w:hAnsi="Times New Roman" w:cs="Times New Roman"/>
          <w:sz w:val="21"/>
          <w:szCs w:val="21"/>
        </w:rPr>
        <w:t xml:space="preserve"> </w:t>
      </w:r>
      <w:r w:rsidR="00567357">
        <w:rPr>
          <w:rFonts w:ascii="Times New Roman" w:hAnsi="Times New Roman" w:cs="Times New Roman"/>
          <w:sz w:val="21"/>
          <w:szCs w:val="21"/>
        </w:rPr>
        <w:t xml:space="preserve">þess efnis eða efnablöndu samkvæmt vörureikningi. </w:t>
      </w:r>
    </w:p>
    <w:p w14:paraId="44F21CDB" w14:textId="77777777" w:rsidR="00D02EED" w:rsidRDefault="00D02EED" w:rsidP="00D02EE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 gr.</w:t>
      </w:r>
    </w:p>
    <w:p w14:paraId="1749DF45" w14:textId="77777777" w:rsidR="00D02EED" w:rsidRDefault="00D02EED" w:rsidP="00D02EE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Markaðssetning eiturefna og tiltekinna varnarefna.</w:t>
      </w:r>
    </w:p>
    <w:p w14:paraId="08070827" w14:textId="70C8509F" w:rsidR="00D02EED" w:rsidRPr="00567357" w:rsidRDefault="00567357" w:rsidP="00EE560E">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24. gr. efnalaga um markaðssetningu eiturefna sem og tiltekinna varnarefna sem ætluð eru til notkunar í atvinnuskyni, skal miða við 10.000 kr. fyrir hverja selda eða afhenta sölueiningu af vöru, að viðbættu </w:t>
      </w:r>
      <w:r w:rsidR="00B50B73">
        <w:rPr>
          <w:rFonts w:ascii="Times New Roman" w:hAnsi="Times New Roman" w:cs="Times New Roman"/>
          <w:sz w:val="21"/>
          <w:szCs w:val="21"/>
        </w:rPr>
        <w:t>andvirði</w:t>
      </w:r>
      <w:r>
        <w:rPr>
          <w:rFonts w:ascii="Times New Roman" w:hAnsi="Times New Roman" w:cs="Times New Roman"/>
          <w:sz w:val="21"/>
          <w:szCs w:val="21"/>
        </w:rPr>
        <w:t xml:space="preserve"> hverrar sölueiningar af vörunni. </w:t>
      </w:r>
    </w:p>
    <w:p w14:paraId="10D0687C" w14:textId="77777777" w:rsidR="00D02EED" w:rsidRDefault="00D02EED" w:rsidP="00D02EE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 gr.</w:t>
      </w:r>
    </w:p>
    <w:p w14:paraId="264505E2" w14:textId="77777777" w:rsidR="00D02EED" w:rsidRDefault="00D02EED" w:rsidP="00D02EED">
      <w:pPr>
        <w:spacing w:after="0" w:line="240" w:lineRule="auto"/>
        <w:jc w:val="center"/>
        <w:rPr>
          <w:rFonts w:ascii="Times New Roman" w:hAnsi="Times New Roman" w:cs="Times New Roman"/>
          <w:i/>
          <w:sz w:val="21"/>
          <w:szCs w:val="21"/>
        </w:rPr>
      </w:pPr>
      <w:proofErr w:type="spellStart"/>
      <w:r>
        <w:rPr>
          <w:rFonts w:ascii="Times New Roman" w:hAnsi="Times New Roman" w:cs="Times New Roman"/>
          <w:i/>
          <w:sz w:val="21"/>
          <w:szCs w:val="21"/>
        </w:rPr>
        <w:t>Ósoneyðandi</w:t>
      </w:r>
      <w:proofErr w:type="spellEnd"/>
      <w:r>
        <w:rPr>
          <w:rFonts w:ascii="Times New Roman" w:hAnsi="Times New Roman" w:cs="Times New Roman"/>
          <w:i/>
          <w:sz w:val="21"/>
          <w:szCs w:val="21"/>
        </w:rPr>
        <w:t xml:space="preserve"> efni</w:t>
      </w:r>
    </w:p>
    <w:p w14:paraId="40FF88B7" w14:textId="439D68C7" w:rsidR="00EE560E" w:rsidRDefault="00EE560E" w:rsidP="00EE560E">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25. gr. efnalaga um </w:t>
      </w:r>
      <w:proofErr w:type="spellStart"/>
      <w:r>
        <w:rPr>
          <w:rFonts w:ascii="Times New Roman" w:hAnsi="Times New Roman" w:cs="Times New Roman"/>
          <w:sz w:val="21"/>
          <w:szCs w:val="21"/>
        </w:rPr>
        <w:t>ósoneyðandi</w:t>
      </w:r>
      <w:proofErr w:type="spellEnd"/>
      <w:r>
        <w:rPr>
          <w:rFonts w:ascii="Times New Roman" w:hAnsi="Times New Roman" w:cs="Times New Roman"/>
          <w:sz w:val="21"/>
          <w:szCs w:val="21"/>
        </w:rPr>
        <w:t xml:space="preserve"> efni skal fjárhæð hennar nema allt að 2.000.000 kr., fyrir hvert </w:t>
      </w:r>
      <w:proofErr w:type="spellStart"/>
      <w:r>
        <w:rPr>
          <w:rFonts w:ascii="Times New Roman" w:hAnsi="Times New Roman" w:cs="Times New Roman"/>
          <w:sz w:val="21"/>
          <w:szCs w:val="21"/>
        </w:rPr>
        <w:t>ósoneyðandi</w:t>
      </w:r>
      <w:proofErr w:type="spellEnd"/>
      <w:r>
        <w:rPr>
          <w:rFonts w:ascii="Times New Roman" w:hAnsi="Times New Roman" w:cs="Times New Roman"/>
          <w:sz w:val="21"/>
          <w:szCs w:val="21"/>
        </w:rPr>
        <w:t xml:space="preserve"> efni að viðbættu </w:t>
      </w:r>
      <w:r w:rsidR="00B50B73">
        <w:rPr>
          <w:rFonts w:ascii="Times New Roman" w:hAnsi="Times New Roman" w:cs="Times New Roman"/>
          <w:sz w:val="21"/>
          <w:szCs w:val="21"/>
        </w:rPr>
        <w:t>andvirði</w:t>
      </w:r>
      <w:r>
        <w:rPr>
          <w:rFonts w:ascii="Times New Roman" w:hAnsi="Times New Roman" w:cs="Times New Roman"/>
          <w:sz w:val="21"/>
          <w:szCs w:val="21"/>
        </w:rPr>
        <w:t xml:space="preserve"> </w:t>
      </w:r>
      <w:proofErr w:type="spellStart"/>
      <w:r>
        <w:rPr>
          <w:rFonts w:ascii="Times New Roman" w:hAnsi="Times New Roman" w:cs="Times New Roman"/>
          <w:sz w:val="21"/>
          <w:szCs w:val="21"/>
        </w:rPr>
        <w:t>ósoneyðandi</w:t>
      </w:r>
      <w:proofErr w:type="spellEnd"/>
      <w:r>
        <w:rPr>
          <w:rFonts w:ascii="Times New Roman" w:hAnsi="Times New Roman" w:cs="Times New Roman"/>
          <w:sz w:val="21"/>
          <w:szCs w:val="21"/>
        </w:rPr>
        <w:t xml:space="preserve"> efnisins samkvæmt vörureikningi, margfaldað </w:t>
      </w:r>
      <w:r w:rsidR="00987FE5">
        <w:rPr>
          <w:rFonts w:ascii="Times New Roman" w:hAnsi="Times New Roman" w:cs="Times New Roman"/>
          <w:sz w:val="21"/>
          <w:szCs w:val="21"/>
        </w:rPr>
        <w:t xml:space="preserve">með </w:t>
      </w:r>
      <w:r>
        <w:rPr>
          <w:rFonts w:ascii="Times New Roman" w:hAnsi="Times New Roman" w:cs="Times New Roman"/>
          <w:sz w:val="21"/>
          <w:szCs w:val="21"/>
        </w:rPr>
        <w:t>eftirfarandi stuðli eftir því sem við á</w:t>
      </w:r>
      <w:r w:rsidR="00B50B73">
        <w:rPr>
          <w:rFonts w:ascii="Times New Roman" w:hAnsi="Times New Roman" w:cs="Times New Roman"/>
          <w:sz w:val="21"/>
          <w:szCs w:val="21"/>
        </w:rPr>
        <w:t>:</w:t>
      </w:r>
    </w:p>
    <w:p w14:paraId="262CB79D" w14:textId="77777777" w:rsidR="00EE560E" w:rsidRDefault="00EE560E" w:rsidP="00EE560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Efnaflokkur</w:t>
      </w:r>
      <w:r>
        <w:rPr>
          <w:rFonts w:ascii="Times New Roman" w:hAnsi="Times New Roman" w:cs="Times New Roman"/>
          <w:sz w:val="21"/>
          <w:szCs w:val="21"/>
        </w:rPr>
        <w:tab/>
      </w:r>
      <w:r>
        <w:rPr>
          <w:rFonts w:ascii="Times New Roman" w:hAnsi="Times New Roman" w:cs="Times New Roman"/>
          <w:sz w:val="21"/>
          <w:szCs w:val="21"/>
        </w:rPr>
        <w:tab/>
        <w:t>Stuðull</w:t>
      </w:r>
    </w:p>
    <w:p w14:paraId="1C8CC16D" w14:textId="77777777" w:rsidR="00EE560E" w:rsidRDefault="00EE560E" w:rsidP="00EE560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roofErr w:type="spellStart"/>
      <w:r>
        <w:rPr>
          <w:rFonts w:ascii="Times New Roman" w:hAnsi="Times New Roman" w:cs="Times New Roman"/>
          <w:sz w:val="21"/>
          <w:szCs w:val="21"/>
        </w:rPr>
        <w:t>Halónar</w:t>
      </w:r>
      <w:proofErr w:type="spellEnd"/>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10</w:t>
      </w:r>
    </w:p>
    <w:p w14:paraId="5EE53FB3" w14:textId="77777777" w:rsidR="00EE560E" w:rsidRDefault="00EE560E" w:rsidP="00EE560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roofErr w:type="spellStart"/>
      <w:r>
        <w:rPr>
          <w:rFonts w:ascii="Times New Roman" w:hAnsi="Times New Roman" w:cs="Times New Roman"/>
          <w:sz w:val="21"/>
          <w:szCs w:val="21"/>
        </w:rPr>
        <w:t>Klórflúorkolefni</w:t>
      </w:r>
      <w:proofErr w:type="spellEnd"/>
      <w:r>
        <w:rPr>
          <w:rFonts w:ascii="Times New Roman" w:hAnsi="Times New Roman" w:cs="Times New Roman"/>
          <w:sz w:val="21"/>
          <w:szCs w:val="21"/>
        </w:rPr>
        <w:tab/>
      </w:r>
      <w:r>
        <w:rPr>
          <w:rFonts w:ascii="Times New Roman" w:hAnsi="Times New Roman" w:cs="Times New Roman"/>
          <w:sz w:val="21"/>
          <w:szCs w:val="21"/>
        </w:rPr>
        <w:tab/>
        <w:t>5</w:t>
      </w:r>
    </w:p>
    <w:p w14:paraId="1BC98C59" w14:textId="77777777" w:rsidR="00EE560E" w:rsidRPr="00EE560E" w:rsidRDefault="00EE560E" w:rsidP="00EE560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roofErr w:type="spellStart"/>
      <w:r>
        <w:rPr>
          <w:rFonts w:ascii="Times New Roman" w:hAnsi="Times New Roman" w:cs="Times New Roman"/>
          <w:sz w:val="21"/>
          <w:szCs w:val="21"/>
        </w:rPr>
        <w:t>Vetnisklórflúorkolefni</w:t>
      </w:r>
      <w:proofErr w:type="spellEnd"/>
      <w:r>
        <w:rPr>
          <w:rFonts w:ascii="Times New Roman" w:hAnsi="Times New Roman" w:cs="Times New Roman"/>
          <w:sz w:val="21"/>
          <w:szCs w:val="21"/>
        </w:rPr>
        <w:tab/>
        <w:t>2</w:t>
      </w:r>
    </w:p>
    <w:p w14:paraId="1E19EF67" w14:textId="77777777" w:rsidR="00D02EED" w:rsidRDefault="00D02EED" w:rsidP="00D02EED">
      <w:pPr>
        <w:spacing w:after="0" w:line="240" w:lineRule="auto"/>
        <w:rPr>
          <w:rFonts w:ascii="Times New Roman" w:hAnsi="Times New Roman" w:cs="Times New Roman"/>
          <w:sz w:val="21"/>
          <w:szCs w:val="21"/>
        </w:rPr>
      </w:pPr>
    </w:p>
    <w:p w14:paraId="6401F751" w14:textId="77777777" w:rsidR="00D02EED" w:rsidRDefault="00D02EED" w:rsidP="00D02EE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 gr.</w:t>
      </w:r>
    </w:p>
    <w:p w14:paraId="3A79C168" w14:textId="77777777" w:rsidR="00EE560E" w:rsidRDefault="00D02EED" w:rsidP="00D02EED">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Markaðsleyfi Efnastofnunar Evrópu</w:t>
      </w:r>
    </w:p>
    <w:p w14:paraId="6BFD8A98" w14:textId="7F71C7ED" w:rsidR="00EE560E" w:rsidRDefault="00EB61C8" w:rsidP="00687076">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27. gr. efnalaga um markaðsleyfi Efnastofnunar Evrópu skal, fyrir hvert efni, miða við þrefalt umsóknargjald Efnastofnunar Evrópu (ECHA), samkvæmt gjaldskrá stofnunnarinnar, að viðbættu þreföldu </w:t>
      </w:r>
      <w:r w:rsidR="00B50B73">
        <w:rPr>
          <w:rFonts w:ascii="Times New Roman" w:hAnsi="Times New Roman" w:cs="Times New Roman"/>
          <w:sz w:val="21"/>
          <w:szCs w:val="21"/>
        </w:rPr>
        <w:t>andvirði</w:t>
      </w:r>
      <w:r>
        <w:rPr>
          <w:rFonts w:ascii="Times New Roman" w:hAnsi="Times New Roman" w:cs="Times New Roman"/>
          <w:sz w:val="21"/>
          <w:szCs w:val="21"/>
        </w:rPr>
        <w:t xml:space="preserve"> efnisins samkvæmt vörureikningi. </w:t>
      </w:r>
    </w:p>
    <w:p w14:paraId="78BAE4EC" w14:textId="77777777" w:rsidR="00687076" w:rsidRDefault="00687076" w:rsidP="0068707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 gr.</w:t>
      </w:r>
    </w:p>
    <w:p w14:paraId="34ED2DBE" w14:textId="77777777" w:rsidR="009677FF" w:rsidRDefault="00687076" w:rsidP="00687076">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Öryggisblöð og öryggisskýrslur.</w:t>
      </w:r>
    </w:p>
    <w:p w14:paraId="0A009D2E" w14:textId="77777777" w:rsidR="009677FF" w:rsidRPr="009677FF" w:rsidRDefault="009677FF" w:rsidP="00B50B73">
      <w:pPr>
        <w:spacing w:line="240" w:lineRule="auto"/>
        <w:jc w:val="both"/>
        <w:rPr>
          <w:rFonts w:ascii="Times New Roman" w:hAnsi="Times New Roman" w:cs="Times New Roman"/>
          <w:sz w:val="21"/>
          <w:szCs w:val="21"/>
        </w:rPr>
      </w:pPr>
      <w:r>
        <w:rPr>
          <w:rFonts w:ascii="Times New Roman" w:hAnsi="Times New Roman" w:cs="Times New Roman"/>
          <w:sz w:val="21"/>
          <w:szCs w:val="21"/>
        </w:rPr>
        <w:t>Við ákvörðun sektar vegna brota á 1. mgr. 30. gr. efnalaga um öryggisblöð og öryggisskýrslur skal sekt fyrir hvert efni eða efnablöndu vera allt að 100.000 kr.</w:t>
      </w:r>
    </w:p>
    <w:p w14:paraId="549AA84E" w14:textId="77777777" w:rsidR="00687076" w:rsidRDefault="00687076" w:rsidP="0068707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11. gr.</w:t>
      </w:r>
    </w:p>
    <w:p w14:paraId="4C3793D3" w14:textId="77777777" w:rsidR="00687076" w:rsidRDefault="00687076" w:rsidP="00687076">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Merkingar og umbúðir.</w:t>
      </w:r>
    </w:p>
    <w:p w14:paraId="0B2ED72E" w14:textId="77777777" w:rsidR="00641B5A" w:rsidRDefault="009677FF" w:rsidP="00687076">
      <w:pPr>
        <w:spacing w:line="240" w:lineRule="auto"/>
        <w:jc w:val="both"/>
        <w:rPr>
          <w:rFonts w:ascii="Times New Roman" w:hAnsi="Times New Roman" w:cs="Times New Roman"/>
          <w:sz w:val="21"/>
          <w:szCs w:val="21"/>
        </w:rPr>
      </w:pPr>
      <w:r>
        <w:rPr>
          <w:rFonts w:ascii="Times New Roman" w:hAnsi="Times New Roman" w:cs="Times New Roman"/>
          <w:sz w:val="21"/>
          <w:szCs w:val="21"/>
        </w:rPr>
        <w:t>Við ákvörðun sektar allt að 620.000 kr. vegna brota á 32. gr. efnalaga um merkingar og umbúðir skal sekt, fyrir hverja vöru, vera allt að fjárhæð</w:t>
      </w:r>
      <w:r w:rsidR="00641B5A">
        <w:rPr>
          <w:rFonts w:ascii="Times New Roman" w:hAnsi="Times New Roman" w:cs="Times New Roman"/>
          <w:sz w:val="21"/>
          <w:szCs w:val="21"/>
        </w:rPr>
        <w:t>:</w:t>
      </w:r>
    </w:p>
    <w:p w14:paraId="1F01A4CE" w14:textId="77777777" w:rsidR="00641B5A" w:rsidRDefault="00641B5A" w:rsidP="00641B5A">
      <w:pPr>
        <w:pStyle w:val="Mlsgreinlista"/>
        <w:numPr>
          <w:ilvl w:val="0"/>
          <w:numId w:val="3"/>
        </w:numPr>
        <w:spacing w:line="240" w:lineRule="auto"/>
        <w:jc w:val="both"/>
        <w:rPr>
          <w:rFonts w:ascii="Times New Roman" w:hAnsi="Times New Roman" w:cs="Times New Roman"/>
          <w:sz w:val="21"/>
          <w:szCs w:val="21"/>
        </w:rPr>
      </w:pPr>
      <w:r>
        <w:rPr>
          <w:rFonts w:ascii="Times New Roman" w:hAnsi="Times New Roman" w:cs="Times New Roman"/>
          <w:sz w:val="21"/>
          <w:szCs w:val="21"/>
        </w:rPr>
        <w:t>60.000 kr. fyrir hvert eftirtalinna atriða sem er ábótavant á vöru:</w:t>
      </w:r>
    </w:p>
    <w:p w14:paraId="1D1C22F1"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hættumerki vantar,</w:t>
      </w:r>
    </w:p>
    <w:p w14:paraId="5B75428D"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hættusetning/</w:t>
      </w:r>
      <w:proofErr w:type="spellStart"/>
      <w:r>
        <w:rPr>
          <w:rFonts w:ascii="Times New Roman" w:hAnsi="Times New Roman" w:cs="Times New Roman"/>
          <w:sz w:val="21"/>
          <w:szCs w:val="21"/>
        </w:rPr>
        <w:t>ar</w:t>
      </w:r>
      <w:proofErr w:type="spellEnd"/>
      <w:r>
        <w:rPr>
          <w:rFonts w:ascii="Times New Roman" w:hAnsi="Times New Roman" w:cs="Times New Roman"/>
          <w:sz w:val="21"/>
          <w:szCs w:val="21"/>
        </w:rPr>
        <w:t xml:space="preserve"> eru ekki á íslensku eða eru rangar,</w:t>
      </w:r>
    </w:p>
    <w:p w14:paraId="3C87149B"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varnaðarsetning/</w:t>
      </w:r>
      <w:proofErr w:type="spellStart"/>
      <w:r>
        <w:rPr>
          <w:rFonts w:ascii="Times New Roman" w:hAnsi="Times New Roman" w:cs="Times New Roman"/>
          <w:sz w:val="21"/>
          <w:szCs w:val="21"/>
        </w:rPr>
        <w:t>ar</w:t>
      </w:r>
      <w:proofErr w:type="spellEnd"/>
      <w:r>
        <w:rPr>
          <w:rFonts w:ascii="Times New Roman" w:hAnsi="Times New Roman" w:cs="Times New Roman"/>
          <w:sz w:val="21"/>
          <w:szCs w:val="21"/>
        </w:rPr>
        <w:t xml:space="preserve"> eru ekki á íslensku eða eru rangar,</w:t>
      </w:r>
    </w:p>
    <w:p w14:paraId="252E620A"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áþreifanlega viðvörun vantar,</w:t>
      </w:r>
    </w:p>
    <w:p w14:paraId="7F73EA67"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öryggislok vantar,</w:t>
      </w:r>
    </w:p>
    <w:p w14:paraId="1CF46A48" w14:textId="77777777" w:rsid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merkingar eru ekki festar við þær umbúðir sem eru í beinni snertingu við efni eða efnablöndu,</w:t>
      </w:r>
    </w:p>
    <w:p w14:paraId="679DFF2E" w14:textId="77777777" w:rsidR="00641B5A" w:rsidRPr="00641B5A" w:rsidRDefault="00641B5A" w:rsidP="00641B5A">
      <w:pPr>
        <w:pStyle w:val="Mlsgreinlista"/>
        <w:numPr>
          <w:ilvl w:val="0"/>
          <w:numId w:val="5"/>
        </w:numPr>
        <w:spacing w:line="240" w:lineRule="auto"/>
        <w:jc w:val="both"/>
        <w:rPr>
          <w:rFonts w:ascii="Times New Roman" w:hAnsi="Times New Roman" w:cs="Times New Roman"/>
          <w:sz w:val="21"/>
          <w:szCs w:val="21"/>
        </w:rPr>
      </w:pPr>
      <w:r>
        <w:rPr>
          <w:rFonts w:ascii="Times New Roman" w:hAnsi="Times New Roman" w:cs="Times New Roman"/>
          <w:sz w:val="21"/>
          <w:szCs w:val="21"/>
        </w:rPr>
        <w:t>merkingar á málningu eða lakki samkvæmt reglugerð nr. 1025/2005 um rokgjörn lífræn efnasambönd í málningu, lakki og efnum til lakkviðgerða vantar,</w:t>
      </w:r>
    </w:p>
    <w:p w14:paraId="33537C4D" w14:textId="77777777" w:rsidR="00641B5A" w:rsidRDefault="00641B5A" w:rsidP="00641B5A">
      <w:pPr>
        <w:pStyle w:val="Mlsgreinlista"/>
        <w:numPr>
          <w:ilvl w:val="0"/>
          <w:numId w:val="3"/>
        </w:numPr>
        <w:spacing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40.000 kr. fyrir hvert eftirtalinna atriða sem er ábótavant á vöru:</w:t>
      </w:r>
    </w:p>
    <w:p w14:paraId="24D461BA" w14:textId="77777777" w:rsidR="00641B5A" w:rsidRDefault="00641B5A" w:rsidP="00641B5A">
      <w:pPr>
        <w:pStyle w:val="Mlsgreinlista"/>
        <w:numPr>
          <w:ilvl w:val="0"/>
          <w:numId w:val="6"/>
        </w:numPr>
        <w:spacing w:line="240" w:lineRule="auto"/>
        <w:jc w:val="both"/>
        <w:rPr>
          <w:rFonts w:ascii="Times New Roman" w:hAnsi="Times New Roman" w:cs="Times New Roman"/>
          <w:sz w:val="21"/>
          <w:szCs w:val="21"/>
        </w:rPr>
      </w:pPr>
      <w:r>
        <w:rPr>
          <w:rFonts w:ascii="Times New Roman" w:hAnsi="Times New Roman" w:cs="Times New Roman"/>
          <w:sz w:val="21"/>
          <w:szCs w:val="21"/>
        </w:rPr>
        <w:t>viðvörunarorð er ekki á íslensku eða er rangt,</w:t>
      </w:r>
    </w:p>
    <w:p w14:paraId="02B5E88D" w14:textId="77777777" w:rsidR="00641B5A" w:rsidRDefault="00641B5A" w:rsidP="00641B5A">
      <w:pPr>
        <w:pStyle w:val="Mlsgreinlista"/>
        <w:numPr>
          <w:ilvl w:val="0"/>
          <w:numId w:val="6"/>
        </w:numPr>
        <w:spacing w:line="240" w:lineRule="auto"/>
        <w:jc w:val="both"/>
        <w:rPr>
          <w:rFonts w:ascii="Times New Roman" w:hAnsi="Times New Roman" w:cs="Times New Roman"/>
          <w:sz w:val="21"/>
          <w:szCs w:val="21"/>
        </w:rPr>
      </w:pPr>
      <w:r>
        <w:rPr>
          <w:rFonts w:ascii="Times New Roman" w:hAnsi="Times New Roman" w:cs="Times New Roman"/>
          <w:sz w:val="21"/>
          <w:szCs w:val="21"/>
        </w:rPr>
        <w:t>á vöruna vantar upplýsingar um birgi,</w:t>
      </w:r>
    </w:p>
    <w:p w14:paraId="17A723BF" w14:textId="77777777" w:rsidR="00641B5A" w:rsidRDefault="00641B5A" w:rsidP="00641B5A">
      <w:pPr>
        <w:pStyle w:val="Mlsgreinlista"/>
        <w:numPr>
          <w:ilvl w:val="0"/>
          <w:numId w:val="6"/>
        </w:numPr>
        <w:spacing w:line="240" w:lineRule="auto"/>
        <w:jc w:val="both"/>
        <w:rPr>
          <w:rFonts w:ascii="Times New Roman" w:hAnsi="Times New Roman" w:cs="Times New Roman"/>
          <w:sz w:val="21"/>
          <w:szCs w:val="21"/>
        </w:rPr>
      </w:pPr>
      <w:r>
        <w:rPr>
          <w:rFonts w:ascii="Times New Roman" w:hAnsi="Times New Roman" w:cs="Times New Roman"/>
          <w:sz w:val="21"/>
          <w:szCs w:val="21"/>
        </w:rPr>
        <w:t>upplýsingar um innihaldsefni, þar sem það á við, vantar,</w:t>
      </w:r>
    </w:p>
    <w:p w14:paraId="0213048D" w14:textId="77777777" w:rsidR="00641B5A" w:rsidRDefault="00641B5A" w:rsidP="00641B5A">
      <w:pPr>
        <w:pStyle w:val="Mlsgreinlista"/>
        <w:numPr>
          <w:ilvl w:val="0"/>
          <w:numId w:val="6"/>
        </w:numPr>
        <w:spacing w:line="240" w:lineRule="auto"/>
        <w:jc w:val="both"/>
        <w:rPr>
          <w:rFonts w:ascii="Times New Roman" w:hAnsi="Times New Roman" w:cs="Times New Roman"/>
          <w:sz w:val="21"/>
          <w:szCs w:val="21"/>
        </w:rPr>
      </w:pPr>
      <w:r>
        <w:rPr>
          <w:rFonts w:ascii="Times New Roman" w:hAnsi="Times New Roman" w:cs="Times New Roman"/>
          <w:sz w:val="21"/>
          <w:szCs w:val="21"/>
        </w:rPr>
        <w:t>á vöruna vantar skammtastærðir þvottaefna með tilliti til hörku vatns og hreinleika þvotts,</w:t>
      </w:r>
    </w:p>
    <w:p w14:paraId="2EA23525" w14:textId="77777777" w:rsidR="00641B5A" w:rsidRPr="00641B5A" w:rsidRDefault="00641B5A" w:rsidP="00641B5A">
      <w:pPr>
        <w:pStyle w:val="Mlsgreinlista"/>
        <w:numPr>
          <w:ilvl w:val="0"/>
          <w:numId w:val="6"/>
        </w:num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efni eða efnablanda er enn flokkuð samkvæmt eldra íslenska flokkunar- og merkingakerfinu. </w:t>
      </w:r>
    </w:p>
    <w:p w14:paraId="1FDD8E75" w14:textId="77777777" w:rsidR="00687076" w:rsidRDefault="00687076" w:rsidP="0068707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 gr.</w:t>
      </w:r>
    </w:p>
    <w:p w14:paraId="11AEE9F6" w14:textId="461B8D69" w:rsidR="00687076" w:rsidRDefault="00687076" w:rsidP="00687076">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Markaðsleyfi fyrir plöntuverndarvöru</w:t>
      </w:r>
      <w:r w:rsidR="00776ECC">
        <w:rPr>
          <w:rFonts w:ascii="Times New Roman" w:hAnsi="Times New Roman" w:cs="Times New Roman"/>
          <w:i/>
          <w:sz w:val="21"/>
          <w:szCs w:val="21"/>
        </w:rPr>
        <w:t>m</w:t>
      </w:r>
      <w:r>
        <w:rPr>
          <w:rFonts w:ascii="Times New Roman" w:hAnsi="Times New Roman" w:cs="Times New Roman"/>
          <w:i/>
          <w:sz w:val="21"/>
          <w:szCs w:val="21"/>
        </w:rPr>
        <w:t xml:space="preserve"> og </w:t>
      </w:r>
      <w:proofErr w:type="spellStart"/>
      <w:r>
        <w:rPr>
          <w:rFonts w:ascii="Times New Roman" w:hAnsi="Times New Roman" w:cs="Times New Roman"/>
          <w:i/>
          <w:sz w:val="21"/>
          <w:szCs w:val="21"/>
        </w:rPr>
        <w:t>sæfivöru</w:t>
      </w:r>
      <w:r w:rsidR="00776ECC">
        <w:rPr>
          <w:rFonts w:ascii="Times New Roman" w:hAnsi="Times New Roman" w:cs="Times New Roman"/>
          <w:i/>
          <w:sz w:val="21"/>
          <w:szCs w:val="21"/>
        </w:rPr>
        <w:t>m</w:t>
      </w:r>
      <w:proofErr w:type="spellEnd"/>
      <w:r>
        <w:rPr>
          <w:rFonts w:ascii="Times New Roman" w:hAnsi="Times New Roman" w:cs="Times New Roman"/>
          <w:i/>
          <w:sz w:val="21"/>
          <w:szCs w:val="21"/>
        </w:rPr>
        <w:t>.</w:t>
      </w:r>
    </w:p>
    <w:p w14:paraId="7E523278" w14:textId="60044739" w:rsidR="00687076" w:rsidRPr="00687076" w:rsidRDefault="00687076" w:rsidP="00687076">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35. gr. efnalaga um markaðsleyfi plöntuverndarvara og </w:t>
      </w:r>
      <w:proofErr w:type="spellStart"/>
      <w:r>
        <w:rPr>
          <w:rFonts w:ascii="Times New Roman" w:hAnsi="Times New Roman" w:cs="Times New Roman"/>
          <w:sz w:val="21"/>
          <w:szCs w:val="21"/>
        </w:rPr>
        <w:t>sæfivara</w:t>
      </w:r>
      <w:proofErr w:type="spellEnd"/>
      <w:r>
        <w:rPr>
          <w:rFonts w:ascii="Times New Roman" w:hAnsi="Times New Roman" w:cs="Times New Roman"/>
          <w:sz w:val="21"/>
          <w:szCs w:val="21"/>
        </w:rPr>
        <w:t xml:space="preserve"> skal, fyrir hverja vöru, miða við tvöfalt </w:t>
      </w:r>
      <w:r w:rsidR="00C6397D">
        <w:rPr>
          <w:rFonts w:ascii="Times New Roman" w:hAnsi="Times New Roman" w:cs="Times New Roman"/>
          <w:sz w:val="21"/>
          <w:szCs w:val="21"/>
        </w:rPr>
        <w:t>umsóknargjald</w:t>
      </w:r>
      <w:r>
        <w:rPr>
          <w:rFonts w:ascii="Times New Roman" w:hAnsi="Times New Roman" w:cs="Times New Roman"/>
          <w:sz w:val="21"/>
          <w:szCs w:val="21"/>
        </w:rPr>
        <w:t xml:space="preserve"> Umhverfisstofnunar, samkvæmt gjaldskrá stofnunarinnar, að viðbættu tvöföldu </w:t>
      </w:r>
      <w:r w:rsidR="00776ECC">
        <w:rPr>
          <w:rFonts w:ascii="Times New Roman" w:hAnsi="Times New Roman" w:cs="Times New Roman"/>
          <w:sz w:val="21"/>
          <w:szCs w:val="21"/>
        </w:rPr>
        <w:t>andvirði</w:t>
      </w:r>
      <w:r>
        <w:rPr>
          <w:rFonts w:ascii="Times New Roman" w:hAnsi="Times New Roman" w:cs="Times New Roman"/>
          <w:sz w:val="21"/>
          <w:szCs w:val="21"/>
        </w:rPr>
        <w:t xml:space="preserve"> vörunnar samkvæmt vörureikningi.</w:t>
      </w:r>
    </w:p>
    <w:p w14:paraId="326716F6" w14:textId="77777777" w:rsidR="00687076" w:rsidRDefault="00687076" w:rsidP="0068707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 gr.</w:t>
      </w:r>
    </w:p>
    <w:p w14:paraId="37E8AE77" w14:textId="77777777" w:rsidR="00687076" w:rsidRDefault="00687076" w:rsidP="00687076">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Snyrtivörur</w:t>
      </w:r>
    </w:p>
    <w:p w14:paraId="7479CF90" w14:textId="2A0CBD87" w:rsidR="00687076" w:rsidRPr="00687076" w:rsidRDefault="00641B5A" w:rsidP="00687076">
      <w:pPr>
        <w:spacing w:line="240" w:lineRule="auto"/>
        <w:jc w:val="both"/>
        <w:rPr>
          <w:rFonts w:ascii="Times New Roman" w:hAnsi="Times New Roman" w:cs="Times New Roman"/>
          <w:sz w:val="21"/>
          <w:szCs w:val="21"/>
        </w:rPr>
      </w:pPr>
      <w:r>
        <w:rPr>
          <w:rFonts w:ascii="Times New Roman" w:hAnsi="Times New Roman" w:cs="Times New Roman"/>
          <w:sz w:val="21"/>
          <w:szCs w:val="21"/>
        </w:rPr>
        <w:t>Við ákvörðun sektar allt að 25.000.000 kr. vegna brota á 40. gr. efnalaga um snyrtivörur skal fjárhæð hennar nema 250.000 kr. fyrir hverja vöru sem inniheldur efni sem þegar hafa verið bönnuð og 150.000 kr. fyrir hverja vöru sem inniheldur leyfileg innihaldsefni í hærri styrk en heimilað er.</w:t>
      </w:r>
    </w:p>
    <w:p w14:paraId="001CBA55" w14:textId="77777777" w:rsidR="00687076" w:rsidRDefault="00687076" w:rsidP="0068707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 gr.</w:t>
      </w:r>
    </w:p>
    <w:p w14:paraId="6924FB76" w14:textId="77777777" w:rsidR="00687076" w:rsidRDefault="00687076" w:rsidP="00687076">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Brennisteinsinnihald í eldsneyti.</w:t>
      </w:r>
    </w:p>
    <w:p w14:paraId="4ACFBAA1" w14:textId="6C0C01F4" w:rsidR="00687076" w:rsidRDefault="00641B5A" w:rsidP="005D70C1">
      <w:p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kr. vegna brota á 47. gr. i. efnalaga um brennisteinsinnihald í eldsneyti skal miða við mælt brennisteinsinnihald í eldsneytinu, deilt með leyfilegu brennisteinsinnihaldi þess og margfaldað með </w:t>
      </w:r>
      <w:r w:rsidR="00776ECC">
        <w:rPr>
          <w:rFonts w:ascii="Times New Roman" w:hAnsi="Times New Roman" w:cs="Times New Roman"/>
          <w:sz w:val="21"/>
          <w:szCs w:val="21"/>
        </w:rPr>
        <w:t>andvirði</w:t>
      </w:r>
      <w:r>
        <w:rPr>
          <w:rFonts w:ascii="Times New Roman" w:hAnsi="Times New Roman" w:cs="Times New Roman"/>
          <w:sz w:val="21"/>
          <w:szCs w:val="21"/>
        </w:rPr>
        <w:t xml:space="preserve"> eldsneytisins samkvæmt vörureikningi. </w:t>
      </w:r>
    </w:p>
    <w:p w14:paraId="1E3795C5" w14:textId="77777777" w:rsidR="00641B5A" w:rsidRDefault="00641B5A" w:rsidP="005D70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 gr</w:t>
      </w:r>
    </w:p>
    <w:p w14:paraId="557973E4" w14:textId="77777777" w:rsidR="00641B5A" w:rsidRDefault="00641B5A" w:rsidP="005D70C1">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Gæði eldsneytis.</w:t>
      </w:r>
    </w:p>
    <w:p w14:paraId="2F5FDD0D" w14:textId="36420B4E" w:rsidR="005D70C1" w:rsidRPr="005D70C1" w:rsidRDefault="005D70C1" w:rsidP="005D70C1">
      <w:pPr>
        <w:spacing w:line="240" w:lineRule="auto"/>
        <w:rPr>
          <w:rFonts w:ascii="Times New Roman" w:hAnsi="Times New Roman" w:cs="Times New Roman"/>
          <w:sz w:val="21"/>
          <w:szCs w:val="21"/>
        </w:rPr>
      </w:pPr>
      <w:r>
        <w:rPr>
          <w:rFonts w:ascii="Times New Roman" w:hAnsi="Times New Roman" w:cs="Times New Roman"/>
          <w:sz w:val="21"/>
          <w:szCs w:val="21"/>
        </w:rPr>
        <w:t xml:space="preserve">Við ákvörðun sektar allt að 25.000.000 vegna brota á 47. gr. l. efnalaga um gæði eldsneytis skal miða við þrefalt </w:t>
      </w:r>
      <w:r w:rsidR="00776ECC">
        <w:rPr>
          <w:rFonts w:ascii="Times New Roman" w:hAnsi="Times New Roman" w:cs="Times New Roman"/>
          <w:sz w:val="21"/>
          <w:szCs w:val="21"/>
        </w:rPr>
        <w:t>andvirði</w:t>
      </w:r>
      <w:r>
        <w:rPr>
          <w:rFonts w:ascii="Times New Roman" w:hAnsi="Times New Roman" w:cs="Times New Roman"/>
          <w:sz w:val="21"/>
          <w:szCs w:val="21"/>
        </w:rPr>
        <w:t xml:space="preserve"> eldsneytisins samkvæmt vörureikningi.</w:t>
      </w:r>
    </w:p>
    <w:p w14:paraId="0BB012CB" w14:textId="77777777" w:rsidR="00641B5A" w:rsidRDefault="00641B5A" w:rsidP="005D70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 gr.</w:t>
      </w:r>
    </w:p>
    <w:p w14:paraId="7CCDABC4" w14:textId="77777777" w:rsidR="00641B5A" w:rsidRDefault="00641B5A" w:rsidP="005D70C1">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Gildistaka og lagastoð.</w:t>
      </w:r>
    </w:p>
    <w:p w14:paraId="79437CFB" w14:textId="77777777" w:rsidR="00641B5A" w:rsidRDefault="00641B5A" w:rsidP="00EB61C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Reglugerð þessi</w:t>
      </w:r>
      <w:r w:rsidR="005D70C1">
        <w:rPr>
          <w:rFonts w:ascii="Times New Roman" w:hAnsi="Times New Roman" w:cs="Times New Roman"/>
          <w:sz w:val="21"/>
          <w:szCs w:val="21"/>
        </w:rPr>
        <w:t xml:space="preserve"> er sett með stoð í 24. </w:t>
      </w:r>
      <w:proofErr w:type="spellStart"/>
      <w:r w:rsidR="005D70C1">
        <w:rPr>
          <w:rFonts w:ascii="Times New Roman" w:hAnsi="Times New Roman" w:cs="Times New Roman"/>
          <w:sz w:val="21"/>
          <w:szCs w:val="21"/>
        </w:rPr>
        <w:t>tölul</w:t>
      </w:r>
      <w:proofErr w:type="spellEnd"/>
      <w:r w:rsidR="005D70C1">
        <w:rPr>
          <w:rFonts w:ascii="Times New Roman" w:hAnsi="Times New Roman" w:cs="Times New Roman"/>
          <w:sz w:val="21"/>
          <w:szCs w:val="21"/>
        </w:rPr>
        <w:t xml:space="preserve">. 1. mgr. 11. gr. efnalaga nr. 61/2013 sbr. einnig 2. mgr. 62. gr. laganna. </w:t>
      </w:r>
    </w:p>
    <w:p w14:paraId="2D1E8FE9" w14:textId="77777777" w:rsidR="005D70C1" w:rsidRPr="00641B5A" w:rsidRDefault="005D70C1" w:rsidP="00EB61C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Reglugerðin öðlast þegar gildi.</w:t>
      </w:r>
    </w:p>
    <w:sectPr w:rsidR="005D70C1" w:rsidRPr="00641B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B424" w14:textId="77777777" w:rsidR="00CE5CE2" w:rsidRDefault="00CE5CE2" w:rsidP="00404D4C">
      <w:pPr>
        <w:spacing w:after="0" w:line="240" w:lineRule="auto"/>
      </w:pPr>
      <w:r>
        <w:separator/>
      </w:r>
    </w:p>
  </w:endnote>
  <w:endnote w:type="continuationSeparator" w:id="0">
    <w:p w14:paraId="7ABC2A8A" w14:textId="77777777" w:rsidR="00CE5CE2" w:rsidRDefault="00CE5CE2" w:rsidP="0040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FC9C" w14:textId="77777777" w:rsidR="00CE5CE2" w:rsidRDefault="00CE5CE2" w:rsidP="00404D4C">
      <w:pPr>
        <w:spacing w:after="0" w:line="240" w:lineRule="auto"/>
      </w:pPr>
      <w:r>
        <w:separator/>
      </w:r>
    </w:p>
  </w:footnote>
  <w:footnote w:type="continuationSeparator" w:id="0">
    <w:p w14:paraId="5EAB4B7A" w14:textId="77777777" w:rsidR="00CE5CE2" w:rsidRDefault="00CE5CE2" w:rsidP="0040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01CC" w14:textId="77777777" w:rsidR="00890AD0" w:rsidRPr="00404D4C" w:rsidRDefault="00890AD0">
    <w:pPr>
      <w:pStyle w:val="Suhaus"/>
      <w:rPr>
        <w:color w:val="FF0000"/>
      </w:rPr>
    </w:pPr>
    <w:r w:rsidRPr="00404D4C">
      <w:rPr>
        <w:color w:val="FF0000"/>
      </w:rPr>
      <w:t>DRÖG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AB4"/>
    <w:multiLevelType w:val="hybridMultilevel"/>
    <w:tmpl w:val="2678206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E5F7EF5"/>
    <w:multiLevelType w:val="hybridMultilevel"/>
    <w:tmpl w:val="973422D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6630580"/>
    <w:multiLevelType w:val="hybridMultilevel"/>
    <w:tmpl w:val="2C0ACA8E"/>
    <w:lvl w:ilvl="0" w:tplc="803AC8E2">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F631CA2"/>
    <w:multiLevelType w:val="hybridMultilevel"/>
    <w:tmpl w:val="CAAE12DE"/>
    <w:lvl w:ilvl="0" w:tplc="490CBC2E">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60E466F4"/>
    <w:multiLevelType w:val="hybridMultilevel"/>
    <w:tmpl w:val="975AE7BC"/>
    <w:lvl w:ilvl="0" w:tplc="E26E172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684A2B92"/>
    <w:multiLevelType w:val="hybridMultilevel"/>
    <w:tmpl w:val="EBD61024"/>
    <w:lvl w:ilvl="0" w:tplc="CD085B0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4C"/>
    <w:rsid w:val="00053F5C"/>
    <w:rsid w:val="001254FD"/>
    <w:rsid w:val="002325F2"/>
    <w:rsid w:val="003958CB"/>
    <w:rsid w:val="00404D4C"/>
    <w:rsid w:val="004F4733"/>
    <w:rsid w:val="00532558"/>
    <w:rsid w:val="0055302F"/>
    <w:rsid w:val="00567357"/>
    <w:rsid w:val="005D70C1"/>
    <w:rsid w:val="005F704A"/>
    <w:rsid w:val="00641B5A"/>
    <w:rsid w:val="00687076"/>
    <w:rsid w:val="006F111F"/>
    <w:rsid w:val="00725C2A"/>
    <w:rsid w:val="00776ECC"/>
    <w:rsid w:val="007E4068"/>
    <w:rsid w:val="007F43A9"/>
    <w:rsid w:val="00871948"/>
    <w:rsid w:val="00890AD0"/>
    <w:rsid w:val="008E6C78"/>
    <w:rsid w:val="009677FF"/>
    <w:rsid w:val="00987FE5"/>
    <w:rsid w:val="00B50B73"/>
    <w:rsid w:val="00C6397D"/>
    <w:rsid w:val="00CE5CE2"/>
    <w:rsid w:val="00D02EED"/>
    <w:rsid w:val="00D25CD0"/>
    <w:rsid w:val="00D57C2F"/>
    <w:rsid w:val="00EB61C8"/>
    <w:rsid w:val="00ED14E5"/>
    <w:rsid w:val="00EE560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B8CA"/>
  <w15:chartTrackingRefBased/>
  <w15:docId w15:val="{6E1344A7-75E1-404A-B5A1-84C9CB94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404D4C"/>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404D4C"/>
  </w:style>
  <w:style w:type="paragraph" w:styleId="Suftur">
    <w:name w:val="footer"/>
    <w:basedOn w:val="Venjulegur"/>
    <w:link w:val="SufturStaf"/>
    <w:uiPriority w:val="99"/>
    <w:unhideWhenUsed/>
    <w:rsid w:val="00404D4C"/>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404D4C"/>
  </w:style>
  <w:style w:type="paragraph" w:styleId="Mlsgreinlista">
    <w:name w:val="List Paragraph"/>
    <w:basedOn w:val="Venjulegur"/>
    <w:uiPriority w:val="34"/>
    <w:qFormat/>
    <w:rsid w:val="00404D4C"/>
    <w:pPr>
      <w:ind w:left="720"/>
      <w:contextualSpacing/>
    </w:pPr>
  </w:style>
  <w:style w:type="character" w:styleId="Tilvsunathugasemd">
    <w:name w:val="annotation reference"/>
    <w:basedOn w:val="Sjlfgefinleturgermlsgreinar"/>
    <w:uiPriority w:val="99"/>
    <w:semiHidden/>
    <w:unhideWhenUsed/>
    <w:rsid w:val="00EB61C8"/>
    <w:rPr>
      <w:sz w:val="16"/>
      <w:szCs w:val="16"/>
    </w:rPr>
  </w:style>
  <w:style w:type="paragraph" w:styleId="Textiathugasemdar">
    <w:name w:val="annotation text"/>
    <w:basedOn w:val="Venjulegur"/>
    <w:link w:val="TextiathugasemdarStaf"/>
    <w:uiPriority w:val="99"/>
    <w:semiHidden/>
    <w:unhideWhenUsed/>
    <w:rsid w:val="00EB61C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B61C8"/>
    <w:rPr>
      <w:sz w:val="20"/>
      <w:szCs w:val="20"/>
    </w:rPr>
  </w:style>
  <w:style w:type="paragraph" w:styleId="Efniathugasemdar">
    <w:name w:val="annotation subject"/>
    <w:basedOn w:val="Textiathugasemdar"/>
    <w:next w:val="Textiathugasemdar"/>
    <w:link w:val="EfniathugasemdarStaf"/>
    <w:uiPriority w:val="99"/>
    <w:semiHidden/>
    <w:unhideWhenUsed/>
    <w:rsid w:val="00EB61C8"/>
    <w:rPr>
      <w:b/>
      <w:bCs/>
    </w:rPr>
  </w:style>
  <w:style w:type="character" w:customStyle="1" w:styleId="EfniathugasemdarStaf">
    <w:name w:val="Efni athugasemdar Staf"/>
    <w:basedOn w:val="TextiathugasemdarStaf"/>
    <w:link w:val="Efniathugasemdar"/>
    <w:uiPriority w:val="99"/>
    <w:semiHidden/>
    <w:rsid w:val="00EB61C8"/>
    <w:rPr>
      <w:b/>
      <w:bCs/>
      <w:sz w:val="20"/>
      <w:szCs w:val="20"/>
    </w:rPr>
  </w:style>
  <w:style w:type="paragraph" w:styleId="Blrutexti">
    <w:name w:val="Balloon Text"/>
    <w:basedOn w:val="Venjulegur"/>
    <w:link w:val="BlrutextiStaf"/>
    <w:uiPriority w:val="99"/>
    <w:semiHidden/>
    <w:unhideWhenUsed/>
    <w:rsid w:val="00EB61C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B6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7020</Characters>
  <Application>Microsoft Office Word</Application>
  <DocSecurity>0</DocSecurity>
  <Lines>58</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Rúnar Gíslason</dc:creator>
  <cp:keywords/>
  <dc:description/>
  <cp:lastModifiedBy>William Freyr Huntingdon-Williams</cp:lastModifiedBy>
  <cp:revision>2</cp:revision>
  <cp:lastPrinted>2018-03-05T14:53:00Z</cp:lastPrinted>
  <dcterms:created xsi:type="dcterms:W3CDTF">2018-03-13T08:49:00Z</dcterms:created>
  <dcterms:modified xsi:type="dcterms:W3CDTF">2018-03-13T08:49:00Z</dcterms:modified>
</cp:coreProperties>
</file>