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C4" w:rsidRPr="00D423A5" w:rsidRDefault="00D52CC4" w:rsidP="00D52CC4">
      <w:pPr>
        <w:pStyle w:val="Fyrirsgn3"/>
        <w:rPr>
          <w:rFonts w:ascii="Times New Roman" w:hAnsi="Times New Roman"/>
        </w:rPr>
      </w:pPr>
    </w:p>
    <w:p w:rsidR="00D52CC4" w:rsidRPr="00D423A5" w:rsidRDefault="00D52CC4" w:rsidP="00D52CC4">
      <w:pPr>
        <w:keepNext/>
        <w:tabs>
          <w:tab w:val="right" w:pos="7796"/>
        </w:tabs>
        <w:spacing w:before="240" w:after="60"/>
        <w:ind w:firstLine="0"/>
        <w:jc w:val="center"/>
        <w:outlineLvl w:val="0"/>
        <w:rPr>
          <w:rFonts w:ascii="Times New Roman" w:hAnsi="Times New Roman"/>
          <w:noProof w:val="0"/>
          <w:spacing w:val="32"/>
          <w:kern w:val="28"/>
          <w:sz w:val="32"/>
          <w:szCs w:val="20"/>
          <w:lang w:eastAsia="en-GB"/>
        </w:rPr>
      </w:pPr>
      <w:r w:rsidRPr="00D423A5">
        <w:rPr>
          <w:rFonts w:ascii="Times New Roman" w:hAnsi="Times New Roman"/>
          <w:noProof w:val="0"/>
          <w:spacing w:val="32"/>
          <w:kern w:val="28"/>
          <w:sz w:val="32"/>
          <w:szCs w:val="20"/>
          <w:lang w:eastAsia="en-GB"/>
        </w:rPr>
        <w:t>REGLUGERÐ</w:t>
      </w:r>
    </w:p>
    <w:p w:rsidR="00D52CC4" w:rsidRPr="00D423A5" w:rsidRDefault="00D52CC4" w:rsidP="00D52CC4">
      <w:pPr>
        <w:keepNext/>
        <w:tabs>
          <w:tab w:val="right" w:pos="7796"/>
        </w:tabs>
        <w:ind w:firstLine="0"/>
        <w:jc w:val="center"/>
        <w:outlineLvl w:val="1"/>
        <w:rPr>
          <w:rFonts w:ascii="Times New Roman" w:hAnsi="Times New Roman"/>
          <w:b/>
          <w:noProof w:val="0"/>
          <w:szCs w:val="20"/>
          <w:lang w:eastAsia="en-GB"/>
        </w:rPr>
      </w:pPr>
      <w:r w:rsidRPr="00D423A5">
        <w:rPr>
          <w:rFonts w:ascii="Times New Roman" w:hAnsi="Times New Roman"/>
          <w:b/>
          <w:noProof w:val="0"/>
          <w:szCs w:val="20"/>
          <w:lang w:eastAsia="en-GB"/>
        </w:rPr>
        <w:t xml:space="preserve">um </w:t>
      </w:r>
      <w:r w:rsidR="00822100">
        <w:rPr>
          <w:rFonts w:ascii="Times New Roman" w:hAnsi="Times New Roman"/>
          <w:b/>
          <w:noProof w:val="0"/>
          <w:szCs w:val="20"/>
          <w:lang w:eastAsia="en-GB"/>
        </w:rPr>
        <w:t>breytingu á reglugerð</w:t>
      </w:r>
      <w:r w:rsidRPr="00D423A5">
        <w:rPr>
          <w:rFonts w:ascii="Times New Roman" w:hAnsi="Times New Roman"/>
          <w:b/>
          <w:noProof w:val="0"/>
          <w:szCs w:val="20"/>
          <w:lang w:eastAsia="en-GB"/>
        </w:rPr>
        <w:t xml:space="preserve"> nr. </w:t>
      </w:r>
      <w:r w:rsidR="00822100">
        <w:rPr>
          <w:rFonts w:ascii="Times New Roman" w:hAnsi="Times New Roman"/>
          <w:b/>
          <w:noProof w:val="0"/>
          <w:szCs w:val="20"/>
          <w:lang w:eastAsia="en-GB"/>
        </w:rPr>
        <w:t>289/1995 um umferðarmerki</w:t>
      </w:r>
      <w:r w:rsidR="008F2E41">
        <w:rPr>
          <w:rFonts w:ascii="Times New Roman" w:hAnsi="Times New Roman"/>
          <w:b/>
          <w:noProof w:val="0"/>
          <w:szCs w:val="20"/>
          <w:lang w:eastAsia="en-GB"/>
        </w:rPr>
        <w:t xml:space="preserve"> og notkun þeirra</w:t>
      </w:r>
      <w:bookmarkStart w:id="0" w:name="_GoBack"/>
      <w:bookmarkEnd w:id="0"/>
      <w:r w:rsidRPr="00D423A5">
        <w:rPr>
          <w:rFonts w:ascii="Times New Roman" w:hAnsi="Times New Roman"/>
          <w:b/>
          <w:noProof w:val="0"/>
          <w:szCs w:val="20"/>
          <w:lang w:eastAsia="en-GB"/>
        </w:rPr>
        <w:t>.</w:t>
      </w:r>
    </w:p>
    <w:tbl>
      <w:tblPr>
        <w:tblW w:w="5000" w:type="pct"/>
        <w:tblCellSpacing w:w="15" w:type="dxa"/>
        <w:tblLook w:val="04A0" w:firstRow="1" w:lastRow="0" w:firstColumn="1" w:lastColumn="0" w:noHBand="0" w:noVBand="1"/>
      </w:tblPr>
      <w:tblGrid>
        <w:gridCol w:w="9072"/>
      </w:tblGrid>
      <w:tr w:rsidR="00D52CC4" w:rsidRPr="00D423A5" w:rsidTr="00D52CC4">
        <w:trPr>
          <w:tblCellSpacing w:w="15" w:type="dxa"/>
        </w:trPr>
        <w:tc>
          <w:tcPr>
            <w:tcW w:w="0" w:type="auto"/>
            <w:tcMar>
              <w:top w:w="15" w:type="dxa"/>
              <w:left w:w="15" w:type="dxa"/>
              <w:bottom w:w="15" w:type="dxa"/>
              <w:right w:w="15" w:type="dxa"/>
            </w:tcMar>
            <w:vAlign w:val="center"/>
            <w:hideMark/>
          </w:tcPr>
          <w:p w:rsidR="00D52CC4" w:rsidRPr="00D423A5" w:rsidRDefault="00D52CC4">
            <w:pPr>
              <w:rPr>
                <w:rFonts w:ascii="Times New Roman" w:hAnsi="Times New Roman"/>
                <w:b/>
                <w:noProof w:val="0"/>
                <w:szCs w:val="20"/>
                <w:lang w:eastAsia="en-GB"/>
              </w:rPr>
            </w:pPr>
          </w:p>
        </w:tc>
      </w:tr>
    </w:tbl>
    <w:p w:rsidR="00D52CC4" w:rsidRPr="00D423A5" w:rsidRDefault="00D52CC4" w:rsidP="00D52CC4">
      <w:pPr>
        <w:ind w:firstLine="0"/>
        <w:rPr>
          <w:rFonts w:ascii="Times New Roman" w:hAnsi="Times New Roman"/>
          <w:sz w:val="20"/>
          <w:szCs w:val="20"/>
          <w:lang w:eastAsia="en-GB"/>
        </w:rPr>
      </w:pPr>
    </w:p>
    <w:p w:rsidR="00D52CC4" w:rsidRPr="00D423A5" w:rsidRDefault="00D52CC4" w:rsidP="00D52CC4">
      <w:pPr>
        <w:jc w:val="center"/>
        <w:rPr>
          <w:rFonts w:ascii="Times New Roman" w:hAnsi="Times New Roman"/>
          <w:sz w:val="20"/>
          <w:szCs w:val="20"/>
          <w:lang w:eastAsia="en-GB"/>
        </w:rPr>
      </w:pPr>
    </w:p>
    <w:p w:rsidR="00D52CC4" w:rsidRPr="00D423A5" w:rsidRDefault="00D52CC4" w:rsidP="00D52CC4">
      <w:pPr>
        <w:jc w:val="center"/>
        <w:rPr>
          <w:rFonts w:ascii="Times New Roman" w:hAnsi="Times New Roman"/>
          <w:lang w:eastAsia="en-GB"/>
        </w:rPr>
      </w:pPr>
      <w:r w:rsidRPr="00D423A5">
        <w:rPr>
          <w:rFonts w:ascii="Times New Roman" w:hAnsi="Times New Roman"/>
          <w:lang w:eastAsia="en-GB"/>
        </w:rPr>
        <w:t>1. gr.</w:t>
      </w:r>
    </w:p>
    <w:p w:rsidR="00D52CC4" w:rsidRPr="00D423A5" w:rsidRDefault="00D52CC4" w:rsidP="00D52CC4">
      <w:pPr>
        <w:jc w:val="center"/>
        <w:rPr>
          <w:rFonts w:ascii="Times New Roman" w:hAnsi="Times New Roman"/>
          <w:lang w:eastAsia="en-GB"/>
        </w:rPr>
      </w:pPr>
    </w:p>
    <w:p w:rsidR="00B42B69" w:rsidRDefault="00B42B69" w:rsidP="003514E9">
      <w:pPr>
        <w:rPr>
          <w:rFonts w:ascii="Times New Roman" w:hAnsi="Times New Roman"/>
          <w:szCs w:val="21"/>
          <w:lang w:eastAsia="en-GB"/>
        </w:rPr>
      </w:pPr>
      <w:r>
        <w:rPr>
          <w:rFonts w:ascii="Times New Roman" w:hAnsi="Times New Roman"/>
          <w:szCs w:val="21"/>
          <w:lang w:eastAsia="en-GB"/>
        </w:rPr>
        <w:t>23. gr. verði svohljóðandi:</w:t>
      </w:r>
    </w:p>
    <w:p w:rsidR="00B42B69" w:rsidRDefault="00B42B69" w:rsidP="003514E9">
      <w:pPr>
        <w:rPr>
          <w:rFonts w:ascii="Times New Roman" w:hAnsi="Times New Roman"/>
          <w:szCs w:val="21"/>
          <w:lang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85"/>
        <w:gridCol w:w="6077"/>
      </w:tblGrid>
      <w:tr w:rsidR="00974858" w:rsidRPr="00BC3C31" w:rsidTr="001D6AFD">
        <w:trPr>
          <w:tblCellSpacing w:w="15" w:type="dxa"/>
        </w:trPr>
        <w:tc>
          <w:tcPr>
            <w:tcW w:w="2955" w:type="dxa"/>
            <w:shd w:val="clear" w:color="auto" w:fill="FFFFFF"/>
            <w:hideMark/>
          </w:tcPr>
          <w:p w:rsidR="00974858" w:rsidRPr="00BC3C31" w:rsidRDefault="00974858" w:rsidP="00E77661">
            <w:pPr>
              <w:spacing w:after="168"/>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63D624BC" wp14:editId="294C2766">
                  <wp:extent cx="1428750" cy="285750"/>
                  <wp:effectExtent l="0" t="0" r="0" b="0"/>
                  <wp:docPr id="19" name="Mynd 19" descr="https://www.reglugerd.is/media/embedded/393.1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reglugerd.is/media/embedded/393.148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i/>
                <w:iCs/>
                <w:color w:val="272727"/>
                <w:szCs w:val="21"/>
                <w:lang w:eastAsia="is-IS"/>
              </w:rPr>
              <w:t>L11</w:t>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69904B7E" wp14:editId="5FAD2000">
                  <wp:extent cx="1428750" cy="285750"/>
                  <wp:effectExtent l="0" t="0" r="0" b="0"/>
                  <wp:docPr id="18" name="Mynd 18" descr="https://www.reglugerd.is/media/embedded/393.2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reglugerd.is/media/embedded/393.243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i/>
                <w:iCs/>
                <w:color w:val="272727"/>
                <w:szCs w:val="21"/>
                <w:lang w:eastAsia="is-IS"/>
              </w:rPr>
              <w:t>L12</w:t>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0FB18A2D" wp14:editId="290EA296">
                  <wp:extent cx="1428750" cy="285750"/>
                  <wp:effectExtent l="0" t="0" r="0" b="0"/>
                  <wp:docPr id="17" name="Mynd 17" descr="https://www.reglugerd.is/media/embedded/393.34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reglugerd.is/media/embedded/393.348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i/>
                <w:iCs/>
                <w:color w:val="272727"/>
                <w:szCs w:val="21"/>
                <w:lang w:eastAsia="is-IS"/>
              </w:rPr>
              <w:t>L21</w:t>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31801DD9" wp14:editId="1B05E101">
                  <wp:extent cx="1428750" cy="276225"/>
                  <wp:effectExtent l="0" t="0" r="0" b="9525"/>
                  <wp:docPr id="16" name="Mynd 16" descr="https://www.reglugerd.is/media/embedded/393.44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reglugerd.is/media/embedded/393.44A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76225"/>
                          </a:xfrm>
                          <a:prstGeom prst="rect">
                            <a:avLst/>
                          </a:prstGeom>
                          <a:noFill/>
                          <a:ln>
                            <a:noFill/>
                          </a:ln>
                        </pic:spPr>
                      </pic:pic>
                    </a:graphicData>
                  </a:graphic>
                </wp:inline>
              </w:drawing>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i/>
                <w:iCs/>
                <w:color w:val="272727"/>
                <w:szCs w:val="21"/>
                <w:lang w:eastAsia="is-IS"/>
              </w:rPr>
              <w:t>L22</w:t>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4B95AEAA" wp14:editId="485A9EA7">
                  <wp:extent cx="1428750" cy="285750"/>
                  <wp:effectExtent l="0" t="0" r="0" b="0"/>
                  <wp:docPr id="15" name="Mynd 15" descr="https://www.reglugerd.is/media/embedded/394.9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reglugerd.is/media/embedded/394.9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i/>
                <w:iCs/>
                <w:color w:val="272727"/>
                <w:szCs w:val="21"/>
                <w:lang w:eastAsia="is-IS"/>
              </w:rPr>
              <w:t>L23</w:t>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57853FEA" wp14:editId="2DF1C648">
                  <wp:extent cx="1428750" cy="276225"/>
                  <wp:effectExtent l="0" t="0" r="0" b="9525"/>
                  <wp:docPr id="14" name="Mynd 14" descr="https://www.reglugerd.is/media/embedded/394.19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reglugerd.is/media/embedded/394.198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76225"/>
                          </a:xfrm>
                          <a:prstGeom prst="rect">
                            <a:avLst/>
                          </a:prstGeom>
                          <a:noFill/>
                          <a:ln>
                            <a:noFill/>
                          </a:ln>
                        </pic:spPr>
                      </pic:pic>
                    </a:graphicData>
                  </a:graphic>
                </wp:inline>
              </w:drawing>
            </w:r>
          </w:p>
          <w:p w:rsidR="00974858" w:rsidRPr="00BC3C31" w:rsidRDefault="00974858" w:rsidP="00E77661">
            <w:pPr>
              <w:spacing w:after="240"/>
              <w:rPr>
                <w:rFonts w:ascii="Times New Roman" w:hAnsi="Times New Roman"/>
                <w:color w:val="272727"/>
                <w:szCs w:val="21"/>
                <w:lang w:eastAsia="is-IS"/>
              </w:rPr>
            </w:pPr>
            <w:r w:rsidRPr="00BC3C31">
              <w:rPr>
                <w:rFonts w:ascii="Times New Roman" w:hAnsi="Times New Roman"/>
                <w:i/>
                <w:iCs/>
                <w:color w:val="272727"/>
                <w:szCs w:val="21"/>
                <w:lang w:eastAsia="is-IS"/>
              </w:rPr>
              <w:t>L24</w:t>
            </w:r>
          </w:p>
        </w:tc>
        <w:tc>
          <w:tcPr>
            <w:tcW w:w="6285" w:type="dxa"/>
            <w:shd w:val="clear" w:color="auto" w:fill="FFFFFF"/>
            <w:hideMark/>
          </w:tcPr>
          <w:p w:rsidR="00974858" w:rsidRDefault="00974858" w:rsidP="00E77661">
            <w:pPr>
              <w:rPr>
                <w:rFonts w:ascii="Times New Roman" w:hAnsi="Times New Roman"/>
                <w:szCs w:val="21"/>
                <w:lang w:eastAsia="en-GB"/>
              </w:rPr>
            </w:pPr>
            <w:r w:rsidRPr="00BC3C31">
              <w:rPr>
                <w:rFonts w:ascii="Times New Roman" w:hAnsi="Times New Roman"/>
                <w:color w:val="272727"/>
                <w:szCs w:val="21"/>
                <w:lang w:eastAsia="is-IS"/>
              </w:rPr>
              <w:br/>
            </w:r>
            <w:r w:rsidRPr="00126395">
              <w:rPr>
                <w:rFonts w:ascii="Times New Roman" w:hAnsi="Times New Roman"/>
                <w:i/>
                <w:szCs w:val="21"/>
                <w:lang w:eastAsia="en-GB"/>
              </w:rPr>
              <w:t>Miðlína (L1x-2x)</w:t>
            </w:r>
            <w:r>
              <w:rPr>
                <w:rFonts w:ascii="Times New Roman" w:hAnsi="Times New Roman"/>
                <w:szCs w:val="21"/>
                <w:lang w:eastAsia="en-GB"/>
              </w:rPr>
              <w:t xml:space="preserve"> er milli umferðar í gagnstæðar áttir. Veg utan þéttbýlis sem er með 5,5 m breiða akbraut eða breiðari skal marka með miðlínu. Óháð breidd akbrautar skal einnig marka akbraut með miðlínu þar sem vegsýn er takmörkuð, áður en komið er að gangbraut, stöðvunarlínu, umferðareyju, umferðarmerki á akbraut eða stað þar sem fyrirstaða er á akbraut. Miðlínur skulu vera 100-200 mm breiðar og eru þessar:</w:t>
            </w:r>
          </w:p>
          <w:p w:rsidR="00974858" w:rsidRDefault="00974858" w:rsidP="00190608">
            <w:pPr>
              <w:ind w:firstLine="0"/>
              <w:rPr>
                <w:rFonts w:ascii="Times New Roman" w:hAnsi="Times New Roman"/>
                <w:szCs w:val="21"/>
                <w:lang w:eastAsia="en-GB"/>
              </w:rPr>
            </w:pPr>
          </w:p>
          <w:p w:rsidR="00974858" w:rsidRDefault="00974858" w:rsidP="00974858">
            <w:pPr>
              <w:pStyle w:val="Mlsgreinlista"/>
              <w:numPr>
                <w:ilvl w:val="0"/>
                <w:numId w:val="6"/>
              </w:numPr>
              <w:rPr>
                <w:rFonts w:ascii="Times New Roman" w:hAnsi="Times New Roman"/>
                <w:szCs w:val="21"/>
                <w:lang w:eastAsia="en-GB"/>
              </w:rPr>
            </w:pPr>
            <w:r w:rsidRPr="00126395">
              <w:rPr>
                <w:rFonts w:ascii="Times New Roman" w:hAnsi="Times New Roman"/>
                <w:i/>
                <w:szCs w:val="21"/>
                <w:lang w:eastAsia="en-GB"/>
              </w:rPr>
              <w:t>Óbrotin lína (L11)</w:t>
            </w:r>
            <w:r>
              <w:rPr>
                <w:rFonts w:ascii="Times New Roman" w:hAnsi="Times New Roman"/>
                <w:szCs w:val="21"/>
                <w:lang w:eastAsia="en-GB"/>
              </w:rPr>
              <w:t xml:space="preserve"> sem gefur til kynna að hættulegt sé að aka yfir hana og óheimilt nema brýna nauðsyn beri til. Miðlína milli umferðar í gagnstæðar áttir á vegi með fleiri en tvær akreinar skal vera tvöföld (L12).</w:t>
            </w:r>
          </w:p>
          <w:p w:rsidR="00974858" w:rsidRPr="007A1C87" w:rsidRDefault="00974858" w:rsidP="00E77661">
            <w:pPr>
              <w:ind w:left="397" w:firstLine="0"/>
              <w:rPr>
                <w:rFonts w:ascii="Times New Roman" w:hAnsi="Times New Roman"/>
                <w:szCs w:val="21"/>
                <w:lang w:eastAsia="en-GB"/>
              </w:rPr>
            </w:pPr>
          </w:p>
          <w:p w:rsidR="00974858" w:rsidRDefault="00974858" w:rsidP="00974858">
            <w:pPr>
              <w:pStyle w:val="Mlsgreinlista"/>
              <w:numPr>
                <w:ilvl w:val="0"/>
                <w:numId w:val="6"/>
              </w:numPr>
              <w:rPr>
                <w:rFonts w:ascii="Times New Roman" w:hAnsi="Times New Roman"/>
                <w:szCs w:val="21"/>
                <w:lang w:eastAsia="en-GB"/>
              </w:rPr>
            </w:pPr>
            <w:r w:rsidRPr="00126395">
              <w:rPr>
                <w:rFonts w:ascii="Times New Roman" w:hAnsi="Times New Roman"/>
                <w:i/>
                <w:szCs w:val="21"/>
                <w:lang w:eastAsia="en-GB"/>
              </w:rPr>
              <w:t>Hálfbrotin lína (L21)</w:t>
            </w:r>
            <w:r>
              <w:rPr>
                <w:rFonts w:ascii="Times New Roman" w:hAnsi="Times New Roman"/>
                <w:szCs w:val="21"/>
                <w:lang w:eastAsia="en-GB"/>
              </w:rPr>
              <w:t xml:space="preserve"> (Línan þrisvar sinnum lengri en bilið) sem gefur til kynna að varhugavert sé að aka yfir hana og óheimilt nema með sérstakri varúð.</w:t>
            </w:r>
          </w:p>
          <w:p w:rsidR="00974858" w:rsidRPr="007A1C87" w:rsidRDefault="00974858" w:rsidP="007917F9">
            <w:pPr>
              <w:ind w:firstLine="0"/>
              <w:rPr>
                <w:rFonts w:ascii="Times New Roman" w:hAnsi="Times New Roman"/>
                <w:szCs w:val="21"/>
                <w:lang w:eastAsia="en-GB"/>
              </w:rPr>
            </w:pPr>
          </w:p>
          <w:p w:rsidR="00974858" w:rsidRDefault="00974858" w:rsidP="00974858">
            <w:pPr>
              <w:pStyle w:val="Mlsgreinlista"/>
              <w:numPr>
                <w:ilvl w:val="0"/>
                <w:numId w:val="6"/>
              </w:numPr>
              <w:rPr>
                <w:rFonts w:ascii="Times New Roman" w:hAnsi="Times New Roman"/>
                <w:szCs w:val="21"/>
                <w:lang w:eastAsia="en-GB"/>
              </w:rPr>
            </w:pPr>
            <w:r w:rsidRPr="00126395">
              <w:rPr>
                <w:rFonts w:ascii="Times New Roman" w:hAnsi="Times New Roman"/>
                <w:i/>
                <w:szCs w:val="21"/>
                <w:lang w:eastAsia="en-GB"/>
              </w:rPr>
              <w:t>Hálfbrotin lína við hliðina á heilli línu (L22)</w:t>
            </w:r>
            <w:r>
              <w:rPr>
                <w:rFonts w:ascii="Times New Roman" w:hAnsi="Times New Roman"/>
                <w:szCs w:val="21"/>
                <w:lang w:eastAsia="en-GB"/>
              </w:rPr>
              <w:t xml:space="preserve"> sem gefur til kynna að varhugavert sé að  aka yfir línurnar og óheimilt nema með sérstakri varúð og að hættulegt sé og óheimilt að aka yfir þær þeim megin frá sem heila línan er.</w:t>
            </w:r>
          </w:p>
          <w:p w:rsidR="00974858" w:rsidRPr="007A1C87" w:rsidRDefault="00974858" w:rsidP="00E77661">
            <w:pPr>
              <w:ind w:left="397" w:firstLine="0"/>
              <w:rPr>
                <w:rFonts w:ascii="Times New Roman" w:hAnsi="Times New Roman"/>
                <w:szCs w:val="21"/>
                <w:lang w:eastAsia="en-GB"/>
              </w:rPr>
            </w:pPr>
          </w:p>
          <w:p w:rsidR="00974858" w:rsidRDefault="00974858" w:rsidP="00974858">
            <w:pPr>
              <w:pStyle w:val="Mlsgreinlista"/>
              <w:numPr>
                <w:ilvl w:val="0"/>
                <w:numId w:val="6"/>
              </w:numPr>
              <w:jc w:val="left"/>
              <w:rPr>
                <w:rFonts w:ascii="Times New Roman" w:hAnsi="Times New Roman"/>
                <w:szCs w:val="21"/>
                <w:lang w:eastAsia="en-GB"/>
              </w:rPr>
            </w:pPr>
            <w:r w:rsidRPr="00DE76BD">
              <w:rPr>
                <w:rFonts w:ascii="Times New Roman" w:hAnsi="Times New Roman"/>
                <w:i/>
                <w:szCs w:val="21"/>
                <w:lang w:eastAsia="en-GB"/>
              </w:rPr>
              <w:t>Fullbrotin lína (L23)</w:t>
            </w:r>
            <w:r>
              <w:rPr>
                <w:rFonts w:ascii="Times New Roman" w:hAnsi="Times New Roman"/>
                <w:szCs w:val="21"/>
                <w:lang w:eastAsia="en-GB"/>
              </w:rPr>
              <w:t xml:space="preserve"> (línan einn þriðji af bilinu) sem gefur til kynna að aka megi yfir hana, enda sé gætt fyllstu varúðar.</w:t>
            </w:r>
          </w:p>
          <w:p w:rsidR="00974858" w:rsidRPr="007A1C87" w:rsidRDefault="00974858" w:rsidP="007917F9">
            <w:pPr>
              <w:ind w:firstLine="0"/>
              <w:jc w:val="left"/>
              <w:rPr>
                <w:rFonts w:ascii="Times New Roman" w:hAnsi="Times New Roman"/>
                <w:szCs w:val="21"/>
                <w:lang w:eastAsia="en-GB"/>
              </w:rPr>
            </w:pPr>
          </w:p>
          <w:p w:rsidR="00974858" w:rsidRPr="006B3D0A" w:rsidRDefault="00974858" w:rsidP="006B3D0A">
            <w:pPr>
              <w:pStyle w:val="Mlsgreinlista"/>
              <w:numPr>
                <w:ilvl w:val="0"/>
                <w:numId w:val="6"/>
              </w:numPr>
              <w:jc w:val="left"/>
              <w:rPr>
                <w:rFonts w:ascii="Times New Roman" w:hAnsi="Times New Roman"/>
                <w:szCs w:val="21"/>
                <w:lang w:eastAsia="en-GB"/>
              </w:rPr>
            </w:pPr>
            <w:r w:rsidRPr="00126395">
              <w:rPr>
                <w:rFonts w:ascii="Times New Roman" w:hAnsi="Times New Roman"/>
                <w:i/>
                <w:szCs w:val="21"/>
                <w:lang w:eastAsia="en-GB"/>
              </w:rPr>
              <w:t>Fullbrotin lína við hliðina á heilli línu (L24)</w:t>
            </w:r>
            <w:r>
              <w:rPr>
                <w:rFonts w:ascii="Times New Roman" w:hAnsi="Times New Roman"/>
                <w:szCs w:val="21"/>
                <w:lang w:eastAsia="en-GB"/>
              </w:rPr>
              <w:t xml:space="preserve"> sem gefur til kynna að aka megi yfir línurnar þeim megin frá sem brotna línan er, enda sé gætt fyllstu varúðar, og að hættulegt sé og óheimilt að aka yfir þær þeim megin frá sem heila línan er.</w:t>
            </w:r>
          </w:p>
        </w:tc>
      </w:tr>
    </w:tbl>
    <w:p w:rsidR="00B42B69" w:rsidRDefault="00B42B69" w:rsidP="006B3D0A">
      <w:pPr>
        <w:ind w:firstLine="0"/>
        <w:rPr>
          <w:rFonts w:ascii="Times New Roman" w:hAnsi="Times New Roman"/>
          <w:szCs w:val="21"/>
          <w:lang w:eastAsia="en-GB"/>
        </w:rPr>
      </w:pPr>
    </w:p>
    <w:p w:rsidR="00B42B69" w:rsidRPr="006B3D0A" w:rsidRDefault="007A1C87" w:rsidP="006B3D0A">
      <w:pPr>
        <w:jc w:val="center"/>
        <w:rPr>
          <w:rFonts w:ascii="Times New Roman" w:hAnsi="Times New Roman"/>
          <w:lang w:eastAsia="en-GB"/>
        </w:rPr>
      </w:pPr>
      <w:r>
        <w:rPr>
          <w:rFonts w:ascii="Times New Roman" w:hAnsi="Times New Roman"/>
          <w:lang w:eastAsia="en-GB"/>
        </w:rPr>
        <w:t>2</w:t>
      </w:r>
      <w:r w:rsidRPr="00D423A5">
        <w:rPr>
          <w:rFonts w:ascii="Times New Roman" w:hAnsi="Times New Roman"/>
          <w:lang w:eastAsia="en-GB"/>
        </w:rPr>
        <w:t>. gr.</w:t>
      </w:r>
    </w:p>
    <w:p w:rsidR="00B42B69" w:rsidRDefault="00B42B69" w:rsidP="003514E9">
      <w:pPr>
        <w:rPr>
          <w:rFonts w:ascii="Times New Roman" w:hAnsi="Times New Roman"/>
          <w:szCs w:val="21"/>
          <w:lang w:eastAsia="en-GB"/>
        </w:rPr>
      </w:pPr>
    </w:p>
    <w:p w:rsidR="00B42B69" w:rsidRDefault="007A1C87" w:rsidP="003514E9">
      <w:pPr>
        <w:rPr>
          <w:rFonts w:ascii="Times New Roman" w:hAnsi="Times New Roman"/>
          <w:szCs w:val="21"/>
          <w:lang w:eastAsia="en-GB"/>
        </w:rPr>
      </w:pPr>
      <w:r>
        <w:rPr>
          <w:rFonts w:ascii="Times New Roman" w:hAnsi="Times New Roman"/>
          <w:szCs w:val="21"/>
          <w:lang w:eastAsia="en-GB"/>
        </w:rPr>
        <w:t>24. gr. verði svohljóðandi:</w:t>
      </w:r>
    </w:p>
    <w:p w:rsidR="00B42B69" w:rsidRDefault="00B42B69" w:rsidP="0084338E">
      <w:pPr>
        <w:ind w:firstLine="0"/>
        <w:rPr>
          <w:rFonts w:ascii="Times New Roman" w:hAnsi="Times New Roman"/>
          <w:szCs w:val="21"/>
          <w:lang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6"/>
        <w:gridCol w:w="6086"/>
      </w:tblGrid>
      <w:tr w:rsidR="00974858" w:rsidRPr="00BC3C31" w:rsidTr="001D6AFD">
        <w:trPr>
          <w:tblCellSpacing w:w="15" w:type="dxa"/>
        </w:trPr>
        <w:tc>
          <w:tcPr>
            <w:tcW w:w="2955" w:type="dxa"/>
            <w:shd w:val="clear" w:color="auto" w:fill="FFFFFF"/>
            <w:hideMark/>
          </w:tcPr>
          <w:p w:rsidR="00974858" w:rsidRPr="00BC3C31" w:rsidRDefault="00974858" w:rsidP="00E77661">
            <w:pPr>
              <w:spacing w:after="168"/>
              <w:jc w:val="center"/>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22205F4E" wp14:editId="4EF4F1AD">
                  <wp:extent cx="1428750" cy="285750"/>
                  <wp:effectExtent l="0" t="0" r="0" b="0"/>
                  <wp:docPr id="21" name="Mynd 21" descr="https://www.reglugerd.is/media/embedded/394.3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reglugerd.is/media/embedded/394.323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974858" w:rsidRPr="00BC3C31" w:rsidRDefault="00974858" w:rsidP="00E77661">
            <w:pPr>
              <w:spacing w:after="240"/>
              <w:jc w:val="center"/>
              <w:rPr>
                <w:rFonts w:ascii="Times New Roman" w:hAnsi="Times New Roman"/>
                <w:color w:val="272727"/>
                <w:szCs w:val="21"/>
                <w:lang w:eastAsia="is-IS"/>
              </w:rPr>
            </w:pPr>
            <w:r w:rsidRPr="00BC3C31">
              <w:rPr>
                <w:rFonts w:ascii="Times New Roman" w:hAnsi="Times New Roman"/>
                <w:i/>
                <w:iCs/>
                <w:color w:val="272727"/>
                <w:szCs w:val="21"/>
                <w:lang w:eastAsia="is-IS"/>
              </w:rPr>
              <w:t>L31</w:t>
            </w:r>
          </w:p>
          <w:p w:rsidR="00974858" w:rsidRPr="00BC3C31" w:rsidRDefault="00974858" w:rsidP="00E77661">
            <w:pPr>
              <w:spacing w:after="240"/>
              <w:jc w:val="center"/>
              <w:rPr>
                <w:rFonts w:ascii="Times New Roman" w:hAnsi="Times New Roman"/>
                <w:color w:val="272727"/>
                <w:szCs w:val="21"/>
                <w:lang w:eastAsia="is-IS"/>
              </w:rPr>
            </w:pPr>
            <w:r w:rsidRPr="00BC3C31">
              <w:rPr>
                <w:rFonts w:ascii="Times New Roman" w:hAnsi="Times New Roman"/>
                <w:color w:val="272727"/>
                <w:szCs w:val="21"/>
                <w:lang w:eastAsia="is-IS"/>
              </w:rPr>
              <w:drawing>
                <wp:inline distT="0" distB="0" distL="0" distR="0" wp14:anchorId="25E8587C" wp14:editId="5D975055">
                  <wp:extent cx="1428750" cy="285750"/>
                  <wp:effectExtent l="0" t="0" r="0" b="0"/>
                  <wp:docPr id="20" name="Mynd 20" descr="https://www.reglugerd.is/media/embedded/394.4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reglugerd.is/media/embedded/394.425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974858" w:rsidRPr="00BC3C31" w:rsidRDefault="00974858" w:rsidP="00E77661">
            <w:pPr>
              <w:spacing w:after="240"/>
              <w:jc w:val="center"/>
              <w:rPr>
                <w:rFonts w:ascii="Times New Roman" w:hAnsi="Times New Roman"/>
                <w:color w:val="272727"/>
                <w:szCs w:val="21"/>
                <w:lang w:eastAsia="is-IS"/>
              </w:rPr>
            </w:pPr>
            <w:r w:rsidRPr="00BC3C31">
              <w:rPr>
                <w:rFonts w:ascii="Times New Roman" w:hAnsi="Times New Roman"/>
                <w:i/>
                <w:iCs/>
                <w:color w:val="272727"/>
                <w:szCs w:val="21"/>
                <w:lang w:eastAsia="is-IS"/>
              </w:rPr>
              <w:t>L32</w:t>
            </w:r>
          </w:p>
        </w:tc>
        <w:tc>
          <w:tcPr>
            <w:tcW w:w="6510" w:type="dxa"/>
            <w:shd w:val="clear" w:color="auto" w:fill="FFFFFF"/>
            <w:hideMark/>
          </w:tcPr>
          <w:p w:rsidR="00974858" w:rsidRDefault="00974858" w:rsidP="00E77661">
            <w:pPr>
              <w:rPr>
                <w:rFonts w:ascii="Times New Roman" w:hAnsi="Times New Roman"/>
                <w:szCs w:val="21"/>
                <w:lang w:eastAsia="en-GB"/>
              </w:rPr>
            </w:pPr>
            <w:r w:rsidRPr="00BC3C31">
              <w:rPr>
                <w:rFonts w:ascii="Times New Roman" w:hAnsi="Times New Roman"/>
                <w:color w:val="272727"/>
                <w:szCs w:val="21"/>
                <w:lang w:eastAsia="is-IS"/>
              </w:rPr>
              <w:br/>
            </w:r>
            <w:r w:rsidRPr="00126395">
              <w:rPr>
                <w:rFonts w:ascii="Times New Roman" w:hAnsi="Times New Roman"/>
                <w:i/>
                <w:szCs w:val="21"/>
                <w:lang w:eastAsia="en-GB"/>
              </w:rPr>
              <w:t>Deililína (L3x)</w:t>
            </w:r>
            <w:r>
              <w:rPr>
                <w:rFonts w:ascii="Times New Roman" w:hAnsi="Times New Roman"/>
                <w:szCs w:val="21"/>
                <w:lang w:eastAsia="en-GB"/>
              </w:rPr>
              <w:t xml:space="preserve"> er milli umferðar í sömu átt á akbraut, enda sé breidd hverrar reinar 2,75 m eða meiri fyrir vélknúin ökutæki en 1,25 m eða meiri fyrir hjólareinar. Línur sem marka akreinar fyrir almenna umferð skuli vera 100-150mm breiðar en þær sem marka aðreinar, fráreinar eða akreinar fyrir sérstaka umferð, t.d. strætisvagna, skulu vera 200-300 mm breiðar. Deililínur eru þessar:</w:t>
            </w:r>
          </w:p>
          <w:p w:rsidR="00974858" w:rsidRDefault="00974858" w:rsidP="00E77661">
            <w:pPr>
              <w:rPr>
                <w:rFonts w:ascii="Times New Roman" w:hAnsi="Times New Roman"/>
                <w:szCs w:val="21"/>
                <w:lang w:eastAsia="en-GB"/>
              </w:rPr>
            </w:pPr>
          </w:p>
          <w:p w:rsidR="00974858" w:rsidRDefault="00974858" w:rsidP="00974858">
            <w:pPr>
              <w:pStyle w:val="Mlsgreinlista"/>
              <w:numPr>
                <w:ilvl w:val="0"/>
                <w:numId w:val="7"/>
              </w:numPr>
              <w:rPr>
                <w:rFonts w:ascii="Times New Roman" w:hAnsi="Times New Roman"/>
                <w:szCs w:val="21"/>
                <w:lang w:eastAsia="en-GB"/>
              </w:rPr>
            </w:pPr>
            <w:r w:rsidRPr="00126395">
              <w:rPr>
                <w:rFonts w:ascii="Times New Roman" w:hAnsi="Times New Roman"/>
                <w:i/>
                <w:szCs w:val="21"/>
                <w:lang w:eastAsia="en-GB"/>
              </w:rPr>
              <w:t>Óbrotin lína (L31)</w:t>
            </w:r>
            <w:r w:rsidRPr="007A1C87">
              <w:rPr>
                <w:rFonts w:ascii="Times New Roman" w:hAnsi="Times New Roman"/>
                <w:szCs w:val="21"/>
                <w:lang w:eastAsia="en-GB"/>
              </w:rPr>
              <w:t xml:space="preserve"> sem gefur til kynna að hættulegt sé að aka yfir hana og óheimilt nema brýna nauðsyn beri til.</w:t>
            </w:r>
          </w:p>
          <w:p w:rsidR="00974858" w:rsidRPr="007A1C87" w:rsidRDefault="00974858" w:rsidP="00E77661">
            <w:pPr>
              <w:ind w:left="397" w:firstLine="0"/>
              <w:rPr>
                <w:rFonts w:ascii="Times New Roman" w:hAnsi="Times New Roman"/>
                <w:szCs w:val="21"/>
                <w:lang w:eastAsia="en-GB"/>
              </w:rPr>
            </w:pPr>
          </w:p>
          <w:p w:rsidR="00974858" w:rsidRPr="006B3D0A" w:rsidRDefault="00974858" w:rsidP="006B3D0A">
            <w:pPr>
              <w:pStyle w:val="Mlsgreinlista"/>
              <w:numPr>
                <w:ilvl w:val="0"/>
                <w:numId w:val="7"/>
              </w:numPr>
              <w:rPr>
                <w:rFonts w:ascii="Times New Roman" w:hAnsi="Times New Roman"/>
                <w:szCs w:val="21"/>
                <w:lang w:eastAsia="en-GB"/>
              </w:rPr>
            </w:pPr>
            <w:r w:rsidRPr="00126395">
              <w:rPr>
                <w:rFonts w:ascii="Times New Roman" w:hAnsi="Times New Roman"/>
                <w:i/>
                <w:szCs w:val="21"/>
                <w:lang w:eastAsia="en-GB"/>
              </w:rPr>
              <w:lastRenderedPageBreak/>
              <w:t>Brotin lína (L3</w:t>
            </w:r>
            <w:r>
              <w:rPr>
                <w:rFonts w:ascii="Times New Roman" w:hAnsi="Times New Roman"/>
                <w:i/>
                <w:szCs w:val="21"/>
                <w:lang w:eastAsia="en-GB"/>
              </w:rPr>
              <w:t>2</w:t>
            </w:r>
            <w:r w:rsidRPr="00126395">
              <w:rPr>
                <w:rFonts w:ascii="Times New Roman" w:hAnsi="Times New Roman"/>
                <w:i/>
                <w:szCs w:val="21"/>
                <w:lang w:eastAsia="en-GB"/>
              </w:rPr>
              <w:t>)</w:t>
            </w:r>
            <w:r w:rsidRPr="007A1C87">
              <w:rPr>
                <w:rFonts w:ascii="Times New Roman" w:hAnsi="Times New Roman"/>
                <w:szCs w:val="21"/>
                <w:lang w:eastAsia="en-GB"/>
              </w:rPr>
              <w:t xml:space="preserve"> sem gefur til kynna að aka megi yfir hana, enda sé gætt fyllstu varúðar.</w:t>
            </w:r>
          </w:p>
        </w:tc>
      </w:tr>
    </w:tbl>
    <w:p w:rsidR="00FB21ED" w:rsidRPr="00FB21ED" w:rsidRDefault="00FB21ED" w:rsidP="006B3D0A">
      <w:pPr>
        <w:ind w:firstLine="0"/>
        <w:rPr>
          <w:rFonts w:ascii="Times New Roman" w:hAnsi="Times New Roman"/>
          <w:sz w:val="22"/>
          <w:szCs w:val="22"/>
        </w:rPr>
      </w:pPr>
    </w:p>
    <w:p w:rsidR="006905D2" w:rsidRPr="00D423A5" w:rsidRDefault="007A1C87" w:rsidP="00D52CC4">
      <w:pPr>
        <w:jc w:val="center"/>
        <w:rPr>
          <w:rFonts w:ascii="Times New Roman" w:hAnsi="Times New Roman"/>
          <w:lang w:eastAsia="en-GB"/>
        </w:rPr>
      </w:pPr>
      <w:r>
        <w:rPr>
          <w:rFonts w:ascii="Times New Roman" w:hAnsi="Times New Roman"/>
          <w:lang w:eastAsia="en-GB"/>
        </w:rPr>
        <w:t>3</w:t>
      </w:r>
      <w:r w:rsidR="006905D2" w:rsidRPr="00D423A5">
        <w:rPr>
          <w:rFonts w:ascii="Times New Roman" w:hAnsi="Times New Roman"/>
          <w:lang w:eastAsia="en-GB"/>
        </w:rPr>
        <w:t>. gr.</w:t>
      </w:r>
    </w:p>
    <w:p w:rsidR="006905D2" w:rsidRDefault="006905D2" w:rsidP="00FB21ED">
      <w:pPr>
        <w:ind w:firstLine="0"/>
        <w:rPr>
          <w:rFonts w:ascii="Times New Roman" w:hAnsi="Times New Roman"/>
          <w:szCs w:val="21"/>
          <w:lang w:eastAsia="en-GB"/>
        </w:rPr>
      </w:pPr>
    </w:p>
    <w:p w:rsidR="00FB21ED" w:rsidRDefault="00FB21ED" w:rsidP="00FB21ED">
      <w:pPr>
        <w:ind w:firstLine="0"/>
        <w:rPr>
          <w:rFonts w:ascii="Times New Roman" w:hAnsi="Times New Roman"/>
          <w:lang w:eastAsia="en-GB"/>
        </w:rPr>
      </w:pPr>
      <w:r>
        <w:rPr>
          <w:rFonts w:ascii="Times New Roman" w:hAnsi="Times New Roman"/>
          <w:lang w:eastAsia="en-GB"/>
        </w:rPr>
        <w:tab/>
        <w:t>25. gr. breytist þannig að brott falli orðið „vélknúnum“ í 1. málsl. a-liðar</w:t>
      </w:r>
      <w:r w:rsidR="00F865D0">
        <w:rPr>
          <w:rFonts w:ascii="Times New Roman" w:hAnsi="Times New Roman"/>
          <w:lang w:eastAsia="en-GB"/>
        </w:rPr>
        <w:t>.</w:t>
      </w:r>
    </w:p>
    <w:p w:rsidR="00FB21ED" w:rsidRDefault="00FB21ED" w:rsidP="00FB21ED">
      <w:pPr>
        <w:ind w:firstLine="0"/>
        <w:rPr>
          <w:rFonts w:ascii="Times New Roman" w:hAnsi="Times New Roman"/>
          <w:lang w:eastAsia="en-GB"/>
        </w:rPr>
      </w:pPr>
    </w:p>
    <w:p w:rsidR="00FB21ED" w:rsidRPr="00D423A5" w:rsidRDefault="007A1C87" w:rsidP="00FB21ED">
      <w:pPr>
        <w:jc w:val="center"/>
        <w:rPr>
          <w:rFonts w:ascii="Times New Roman" w:hAnsi="Times New Roman"/>
          <w:lang w:eastAsia="en-GB"/>
        </w:rPr>
      </w:pPr>
      <w:r>
        <w:rPr>
          <w:rFonts w:ascii="Times New Roman" w:hAnsi="Times New Roman"/>
          <w:lang w:eastAsia="en-GB"/>
        </w:rPr>
        <w:t>4</w:t>
      </w:r>
      <w:r w:rsidR="00FB21ED" w:rsidRPr="00D423A5">
        <w:rPr>
          <w:rFonts w:ascii="Times New Roman" w:hAnsi="Times New Roman"/>
          <w:lang w:eastAsia="en-GB"/>
        </w:rPr>
        <w:t>. gr.</w:t>
      </w:r>
    </w:p>
    <w:p w:rsidR="00FB21ED" w:rsidRPr="00D423A5" w:rsidRDefault="00FB21ED" w:rsidP="00FB21ED">
      <w:pPr>
        <w:ind w:firstLine="0"/>
        <w:rPr>
          <w:rFonts w:ascii="Times New Roman" w:hAnsi="Times New Roman"/>
          <w:lang w:eastAsia="en-GB"/>
        </w:rPr>
      </w:pPr>
    </w:p>
    <w:p w:rsidR="006905D2" w:rsidRDefault="00FB21ED" w:rsidP="006905D2">
      <w:pPr>
        <w:rPr>
          <w:rFonts w:ascii="Times New Roman" w:hAnsi="Times New Roman"/>
          <w:lang w:eastAsia="en-GB"/>
        </w:rPr>
      </w:pPr>
      <w:r>
        <w:rPr>
          <w:rFonts w:ascii="Times New Roman" w:hAnsi="Times New Roman"/>
          <w:lang w:eastAsia="en-GB"/>
        </w:rPr>
        <w:t>29. gr. breytist þannig að brott falli orðin „eða bóluröðum“.</w:t>
      </w:r>
    </w:p>
    <w:p w:rsidR="00FB21ED" w:rsidRDefault="00FB21ED" w:rsidP="006905D2">
      <w:pPr>
        <w:rPr>
          <w:rFonts w:ascii="Times New Roman" w:hAnsi="Times New Roman"/>
          <w:lang w:eastAsia="en-GB"/>
        </w:rPr>
      </w:pPr>
    </w:p>
    <w:p w:rsidR="00FB21ED" w:rsidRPr="00D423A5" w:rsidRDefault="007A1C87" w:rsidP="00FB21ED">
      <w:pPr>
        <w:jc w:val="center"/>
        <w:rPr>
          <w:rFonts w:ascii="Times New Roman" w:hAnsi="Times New Roman"/>
          <w:lang w:eastAsia="en-GB"/>
        </w:rPr>
      </w:pPr>
      <w:r>
        <w:rPr>
          <w:rFonts w:ascii="Times New Roman" w:hAnsi="Times New Roman"/>
          <w:lang w:eastAsia="en-GB"/>
        </w:rPr>
        <w:t>5</w:t>
      </w:r>
      <w:r w:rsidR="00FB21ED" w:rsidRPr="00D423A5">
        <w:rPr>
          <w:rFonts w:ascii="Times New Roman" w:hAnsi="Times New Roman"/>
          <w:lang w:eastAsia="en-GB"/>
        </w:rPr>
        <w:t>. gr.</w:t>
      </w:r>
    </w:p>
    <w:p w:rsidR="00FB21ED" w:rsidRDefault="00FB21ED" w:rsidP="006905D2">
      <w:pPr>
        <w:rPr>
          <w:rFonts w:ascii="Times New Roman" w:hAnsi="Times New Roman"/>
          <w:lang w:eastAsia="en-GB"/>
        </w:rPr>
      </w:pPr>
    </w:p>
    <w:p w:rsidR="00FB21ED" w:rsidRDefault="00FB21ED" w:rsidP="006905D2">
      <w:pPr>
        <w:rPr>
          <w:rFonts w:ascii="Times New Roman" w:hAnsi="Times New Roman"/>
          <w:lang w:eastAsia="en-GB"/>
        </w:rPr>
      </w:pPr>
      <w:r>
        <w:rPr>
          <w:rFonts w:ascii="Times New Roman" w:hAnsi="Times New Roman"/>
          <w:lang w:eastAsia="en-GB"/>
        </w:rPr>
        <w:t>32. gr. verði svohljóðandi:</w:t>
      </w:r>
    </w:p>
    <w:p w:rsidR="007A1C87" w:rsidRDefault="007A1C87" w:rsidP="006905D2">
      <w:pPr>
        <w:rPr>
          <w:rFonts w:ascii="Times New Roman" w:hAnsi="Times New Roman"/>
          <w:lang w:eastAsia="en-GB"/>
        </w:rPr>
      </w:pPr>
    </w:p>
    <w:p w:rsidR="00FB21ED" w:rsidRPr="00D423A5" w:rsidRDefault="00FF73BE" w:rsidP="007A1C87">
      <w:pPr>
        <w:ind w:firstLine="0"/>
        <w:rPr>
          <w:rFonts w:ascii="Times New Roman" w:hAnsi="Times New Roman"/>
          <w:lang w:eastAsia="en-GB"/>
        </w:rPr>
      </w:pPr>
      <w:r>
        <w:rPr>
          <w:rFonts w:ascii="Times New Roman" w:hAnsi="Times New Roman"/>
          <w:i/>
          <w:lang w:eastAsia="en-GB"/>
        </w:rPr>
        <w:tab/>
      </w:r>
      <w:r w:rsidRPr="00126395">
        <w:rPr>
          <w:rFonts w:ascii="Times New Roman" w:hAnsi="Times New Roman"/>
          <w:i/>
          <w:lang w:eastAsia="en-GB"/>
        </w:rPr>
        <w:t>Bifreiðastæði</w:t>
      </w:r>
      <w:r>
        <w:rPr>
          <w:rFonts w:ascii="Times New Roman" w:hAnsi="Times New Roman"/>
          <w:lang w:eastAsia="en-GB"/>
        </w:rPr>
        <w:t xml:space="preserve"> eru merkt með hvítum 100 mm breiðum óbrotnum línum. Þegar ökutæki er lagt á merkt stæði skal það allt vera innan línanna. Bifreiðastæði ætluð sérstökum aðilum eru merkt með umferðarmerki. Jafnframt er heimilt að merkja stæðin með áletrun til samræmis við merkið.</w:t>
      </w:r>
    </w:p>
    <w:p w:rsidR="00D52CC4" w:rsidRPr="00D423A5" w:rsidRDefault="00126395" w:rsidP="00D52CC4">
      <w:pPr>
        <w:jc w:val="center"/>
        <w:rPr>
          <w:rFonts w:ascii="Times New Roman" w:hAnsi="Times New Roman"/>
          <w:lang w:eastAsia="en-GB"/>
        </w:rPr>
      </w:pPr>
      <w:r>
        <w:rPr>
          <w:rFonts w:ascii="Times New Roman" w:hAnsi="Times New Roman"/>
          <w:lang w:eastAsia="en-GB"/>
        </w:rPr>
        <w:t>6</w:t>
      </w:r>
      <w:r w:rsidR="00D52CC4" w:rsidRPr="00D423A5">
        <w:rPr>
          <w:rFonts w:ascii="Times New Roman" w:hAnsi="Times New Roman"/>
          <w:lang w:eastAsia="en-GB"/>
        </w:rPr>
        <w:t>. gr.</w:t>
      </w:r>
    </w:p>
    <w:p w:rsidR="00DC6D3D" w:rsidRPr="00D423A5" w:rsidRDefault="00DC6D3D" w:rsidP="00D52CC4">
      <w:pPr>
        <w:jc w:val="center"/>
        <w:rPr>
          <w:rFonts w:ascii="Times New Roman" w:hAnsi="Times New Roman"/>
          <w:lang w:eastAsia="en-GB"/>
        </w:rPr>
      </w:pPr>
    </w:p>
    <w:p w:rsidR="00D52CC4" w:rsidRPr="00D423A5" w:rsidRDefault="00D52CC4" w:rsidP="00D52CC4">
      <w:pPr>
        <w:keepNext/>
        <w:tabs>
          <w:tab w:val="right" w:pos="7796"/>
        </w:tabs>
        <w:ind w:firstLine="0"/>
        <w:jc w:val="center"/>
        <w:outlineLvl w:val="3"/>
        <w:rPr>
          <w:rFonts w:ascii="Times New Roman" w:hAnsi="Times New Roman"/>
          <w:bCs/>
          <w:i/>
          <w:noProof w:val="0"/>
          <w:szCs w:val="28"/>
          <w:lang w:eastAsia="en-GB"/>
        </w:rPr>
      </w:pPr>
      <w:r w:rsidRPr="00D423A5">
        <w:rPr>
          <w:rFonts w:ascii="Times New Roman" w:hAnsi="Times New Roman"/>
          <w:bCs/>
          <w:i/>
          <w:noProof w:val="0"/>
          <w:szCs w:val="28"/>
          <w:lang w:eastAsia="en-GB"/>
        </w:rPr>
        <w:t>Gildistaka.</w:t>
      </w:r>
    </w:p>
    <w:p w:rsidR="00D52CC4" w:rsidRPr="00D423A5" w:rsidRDefault="00D52CC4" w:rsidP="00D52CC4">
      <w:pPr>
        <w:rPr>
          <w:rFonts w:ascii="Times New Roman" w:hAnsi="Times New Roman"/>
        </w:rPr>
      </w:pPr>
    </w:p>
    <w:p w:rsidR="00D52CC4" w:rsidRPr="00D423A5" w:rsidRDefault="00D52CC4" w:rsidP="00D52CC4">
      <w:pPr>
        <w:rPr>
          <w:rFonts w:ascii="Times New Roman" w:hAnsi="Times New Roman"/>
        </w:rPr>
      </w:pPr>
      <w:r w:rsidRPr="00D423A5">
        <w:rPr>
          <w:rFonts w:ascii="Times New Roman" w:hAnsi="Times New Roman"/>
        </w:rPr>
        <w:t xml:space="preserve">Reglugerð þessi er sett samkvæmt heimild í </w:t>
      </w:r>
      <w:r w:rsidR="007A1C87">
        <w:rPr>
          <w:rFonts w:ascii="Times New Roman" w:hAnsi="Times New Roman"/>
        </w:rPr>
        <w:t>79</w:t>
      </w:r>
      <w:r w:rsidRPr="00D423A5">
        <w:rPr>
          <w:rFonts w:ascii="Times New Roman" w:hAnsi="Times New Roman"/>
        </w:rPr>
        <w:t>.</w:t>
      </w:r>
      <w:r w:rsidR="007A1C87">
        <w:rPr>
          <w:rFonts w:ascii="Times New Roman" w:hAnsi="Times New Roman"/>
        </w:rPr>
        <w:t xml:space="preserve"> og 84.</w:t>
      </w:r>
      <w:r w:rsidRPr="00D423A5">
        <w:rPr>
          <w:rFonts w:ascii="Times New Roman" w:hAnsi="Times New Roman"/>
        </w:rPr>
        <w:t xml:space="preserve"> gr. </w:t>
      </w:r>
      <w:r w:rsidR="00A74779">
        <w:rPr>
          <w:rFonts w:ascii="Times New Roman" w:hAnsi="Times New Roman"/>
        </w:rPr>
        <w:t>umferðarlaga nr. 50/1987 með síðari breytingum og öðlast þegar gildi.</w:t>
      </w:r>
    </w:p>
    <w:p w:rsidR="00D52CC4" w:rsidRPr="00D423A5" w:rsidRDefault="00D52CC4" w:rsidP="00D52CC4">
      <w:pPr>
        <w:rPr>
          <w:rFonts w:ascii="Times New Roman" w:hAnsi="Times New Roman"/>
        </w:rPr>
      </w:pPr>
    </w:p>
    <w:p w:rsidR="00D52CC4" w:rsidRPr="00D423A5" w:rsidRDefault="00D52CC4" w:rsidP="00D52CC4">
      <w:pPr>
        <w:rPr>
          <w:rFonts w:ascii="Times New Roman" w:hAnsi="Times New Roman"/>
          <w:sz w:val="20"/>
          <w:szCs w:val="20"/>
          <w:lang w:eastAsia="en-GB"/>
        </w:rPr>
      </w:pPr>
    </w:p>
    <w:p w:rsidR="00D52CC4" w:rsidRPr="00D423A5" w:rsidRDefault="00D52CC4" w:rsidP="00D52CC4">
      <w:pPr>
        <w:keepNext/>
        <w:tabs>
          <w:tab w:val="right" w:pos="7796"/>
        </w:tabs>
        <w:ind w:firstLine="0"/>
        <w:jc w:val="center"/>
        <w:outlineLvl w:val="3"/>
        <w:rPr>
          <w:rFonts w:ascii="Times New Roman" w:hAnsi="Times New Roman"/>
          <w:bCs/>
          <w:i/>
          <w:noProof w:val="0"/>
          <w:szCs w:val="28"/>
          <w:lang w:eastAsia="en-GB"/>
        </w:rPr>
      </w:pPr>
    </w:p>
    <w:p w:rsidR="00D52CC4" w:rsidRPr="00D423A5" w:rsidRDefault="00D52CC4" w:rsidP="00D52CC4">
      <w:pPr>
        <w:keepNext/>
        <w:tabs>
          <w:tab w:val="right" w:pos="7796"/>
        </w:tabs>
        <w:ind w:firstLine="0"/>
        <w:jc w:val="center"/>
        <w:outlineLvl w:val="3"/>
        <w:rPr>
          <w:rFonts w:ascii="Times New Roman" w:hAnsi="Times New Roman"/>
          <w:bCs/>
          <w:i/>
          <w:noProof w:val="0"/>
          <w:szCs w:val="28"/>
          <w:lang w:eastAsia="en-GB"/>
        </w:rPr>
      </w:pPr>
    </w:p>
    <w:p w:rsidR="00D52CC4" w:rsidRPr="00D423A5" w:rsidRDefault="00D52CC4" w:rsidP="00D52CC4">
      <w:pPr>
        <w:keepNext/>
        <w:tabs>
          <w:tab w:val="right" w:pos="7796"/>
        </w:tabs>
        <w:ind w:firstLine="0"/>
        <w:jc w:val="center"/>
        <w:outlineLvl w:val="3"/>
        <w:rPr>
          <w:rFonts w:ascii="Times New Roman" w:hAnsi="Times New Roman"/>
          <w:bCs/>
          <w:i/>
          <w:noProof w:val="0"/>
          <w:szCs w:val="28"/>
          <w:lang w:eastAsia="en-GB"/>
        </w:rPr>
      </w:pPr>
    </w:p>
    <w:p w:rsidR="00D52CC4" w:rsidRPr="00D423A5" w:rsidRDefault="00D52CC4" w:rsidP="00D52CC4">
      <w:pPr>
        <w:jc w:val="center"/>
        <w:rPr>
          <w:rFonts w:ascii="Times New Roman" w:hAnsi="Times New Roman"/>
          <w:color w:val="000000" w:themeColor="text1"/>
          <w:szCs w:val="21"/>
        </w:rPr>
      </w:pPr>
      <w:r w:rsidRPr="00D423A5">
        <w:rPr>
          <w:rFonts w:ascii="Times New Roman" w:hAnsi="Times New Roman"/>
          <w:color w:val="000000" w:themeColor="text1"/>
          <w:szCs w:val="21"/>
        </w:rPr>
        <w:t>Samgöngu- og sveita</w:t>
      </w:r>
      <w:r w:rsidR="00934AAB">
        <w:rPr>
          <w:rFonts w:ascii="Times New Roman" w:hAnsi="Times New Roman"/>
          <w:color w:val="000000" w:themeColor="text1"/>
          <w:szCs w:val="21"/>
        </w:rPr>
        <w:t>r</w:t>
      </w:r>
      <w:r w:rsidRPr="00D423A5">
        <w:rPr>
          <w:rFonts w:ascii="Times New Roman" w:hAnsi="Times New Roman"/>
          <w:color w:val="000000" w:themeColor="text1"/>
          <w:szCs w:val="21"/>
        </w:rPr>
        <w:t xml:space="preserve">stjórnarráðuneytinu,  </w:t>
      </w:r>
      <w:r w:rsidR="00CB6248">
        <w:rPr>
          <w:rFonts w:ascii="Times New Roman" w:hAnsi="Times New Roman"/>
          <w:color w:val="000000" w:themeColor="text1"/>
          <w:szCs w:val="21"/>
        </w:rPr>
        <w:t xml:space="preserve">  </w:t>
      </w:r>
      <w:r w:rsidRPr="00D423A5">
        <w:rPr>
          <w:rFonts w:ascii="Times New Roman" w:hAnsi="Times New Roman"/>
          <w:color w:val="000000" w:themeColor="text1"/>
          <w:szCs w:val="21"/>
        </w:rPr>
        <w:t xml:space="preserve"> </w:t>
      </w:r>
      <w:r w:rsidR="009F6433">
        <w:rPr>
          <w:rFonts w:ascii="Times New Roman" w:hAnsi="Times New Roman"/>
          <w:color w:val="000000" w:themeColor="text1"/>
          <w:szCs w:val="21"/>
        </w:rPr>
        <w:t xml:space="preserve">  </w:t>
      </w:r>
      <w:r w:rsidR="00BD7D80">
        <w:rPr>
          <w:rFonts w:ascii="Times New Roman" w:hAnsi="Times New Roman"/>
          <w:color w:val="000000" w:themeColor="text1"/>
          <w:szCs w:val="21"/>
        </w:rPr>
        <w:t>XX</w:t>
      </w:r>
      <w:r w:rsidRPr="00D423A5">
        <w:rPr>
          <w:rFonts w:ascii="Times New Roman" w:hAnsi="Times New Roman"/>
          <w:color w:val="000000" w:themeColor="text1"/>
          <w:szCs w:val="21"/>
        </w:rPr>
        <w:t xml:space="preserve">. </w:t>
      </w:r>
      <w:r w:rsidR="00BD7D80">
        <w:rPr>
          <w:rFonts w:ascii="Times New Roman" w:hAnsi="Times New Roman"/>
          <w:color w:val="000000" w:themeColor="text1"/>
          <w:szCs w:val="21"/>
        </w:rPr>
        <w:t>XX</w:t>
      </w:r>
      <w:r w:rsidRPr="00D423A5">
        <w:rPr>
          <w:rFonts w:ascii="Times New Roman" w:hAnsi="Times New Roman"/>
          <w:color w:val="000000" w:themeColor="text1"/>
          <w:szCs w:val="21"/>
        </w:rPr>
        <w:t xml:space="preserve"> 201</w:t>
      </w:r>
      <w:r w:rsidR="00BD7D80">
        <w:rPr>
          <w:rFonts w:ascii="Times New Roman" w:hAnsi="Times New Roman"/>
          <w:color w:val="000000" w:themeColor="text1"/>
          <w:szCs w:val="21"/>
        </w:rPr>
        <w:t>9</w:t>
      </w:r>
      <w:r w:rsidRPr="00D423A5">
        <w:rPr>
          <w:rFonts w:ascii="Times New Roman" w:hAnsi="Times New Roman"/>
          <w:color w:val="000000" w:themeColor="text1"/>
          <w:szCs w:val="21"/>
        </w:rPr>
        <w:t>.</w:t>
      </w:r>
    </w:p>
    <w:p w:rsidR="00D52CC4" w:rsidRPr="00D423A5" w:rsidRDefault="00D52CC4" w:rsidP="00D52CC4">
      <w:pPr>
        <w:jc w:val="center"/>
        <w:rPr>
          <w:rFonts w:ascii="Times New Roman" w:hAnsi="Times New Roman"/>
          <w:color w:val="000000" w:themeColor="text1"/>
          <w:szCs w:val="21"/>
        </w:rPr>
      </w:pPr>
    </w:p>
    <w:p w:rsidR="00D52CC4" w:rsidRPr="00D423A5" w:rsidRDefault="00D52CC4" w:rsidP="00D52CC4">
      <w:pPr>
        <w:jc w:val="center"/>
        <w:rPr>
          <w:rFonts w:ascii="Times New Roman" w:hAnsi="Times New Roman"/>
          <w:color w:val="000000" w:themeColor="text1"/>
          <w:szCs w:val="21"/>
        </w:rPr>
      </w:pPr>
    </w:p>
    <w:p w:rsidR="00D52CC4" w:rsidRPr="00D423A5" w:rsidRDefault="00D52CC4" w:rsidP="00D52CC4">
      <w:pPr>
        <w:jc w:val="center"/>
        <w:rPr>
          <w:rFonts w:ascii="Times New Roman" w:hAnsi="Times New Roman"/>
          <w:color w:val="000000" w:themeColor="text1"/>
          <w:szCs w:val="21"/>
        </w:rPr>
      </w:pPr>
    </w:p>
    <w:p w:rsidR="00D52CC4" w:rsidRPr="00D423A5" w:rsidRDefault="00D52CC4" w:rsidP="00D52CC4">
      <w:pPr>
        <w:jc w:val="center"/>
        <w:rPr>
          <w:rFonts w:ascii="Times New Roman" w:hAnsi="Times New Roman"/>
          <w:b/>
          <w:color w:val="000000" w:themeColor="text1"/>
          <w:szCs w:val="21"/>
        </w:rPr>
      </w:pPr>
    </w:p>
    <w:p w:rsidR="00D52CC4" w:rsidRPr="00D423A5" w:rsidRDefault="00D52CC4" w:rsidP="00D52CC4">
      <w:pPr>
        <w:jc w:val="center"/>
        <w:rPr>
          <w:rFonts w:ascii="Times New Roman" w:hAnsi="Times New Roman"/>
          <w:b/>
          <w:color w:val="000000" w:themeColor="text1"/>
          <w:szCs w:val="21"/>
        </w:rPr>
      </w:pPr>
    </w:p>
    <w:p w:rsidR="00D52CC4" w:rsidRPr="00D423A5" w:rsidRDefault="00D52CC4" w:rsidP="00D52CC4">
      <w:pPr>
        <w:jc w:val="center"/>
        <w:rPr>
          <w:rFonts w:ascii="Times New Roman" w:hAnsi="Times New Roman"/>
          <w:b/>
          <w:color w:val="000000" w:themeColor="text1"/>
          <w:szCs w:val="21"/>
        </w:rPr>
      </w:pPr>
    </w:p>
    <w:p w:rsidR="00D52CC4" w:rsidRPr="00D423A5" w:rsidRDefault="00D52CC4" w:rsidP="00D52CC4">
      <w:pPr>
        <w:jc w:val="center"/>
        <w:rPr>
          <w:rFonts w:ascii="Times New Roman" w:hAnsi="Times New Roman"/>
          <w:b/>
          <w:color w:val="000000" w:themeColor="text1"/>
          <w:szCs w:val="21"/>
        </w:rPr>
      </w:pPr>
    </w:p>
    <w:p w:rsidR="00D52CC4" w:rsidRPr="00D423A5" w:rsidRDefault="00CB6248" w:rsidP="00D52CC4">
      <w:pPr>
        <w:jc w:val="center"/>
        <w:rPr>
          <w:rFonts w:ascii="Times New Roman" w:hAnsi="Times New Roman"/>
          <w:b/>
          <w:color w:val="000000" w:themeColor="text1"/>
          <w:szCs w:val="21"/>
        </w:rPr>
      </w:pPr>
      <w:r>
        <w:rPr>
          <w:rFonts w:ascii="Times New Roman" w:hAnsi="Times New Roman"/>
          <w:b/>
          <w:color w:val="000000" w:themeColor="text1"/>
          <w:szCs w:val="21"/>
        </w:rPr>
        <w:t>Sigurður Ingi Jóhannsson</w:t>
      </w:r>
      <w:r w:rsidR="00D52CC4" w:rsidRPr="00D423A5">
        <w:rPr>
          <w:rFonts w:ascii="Times New Roman" w:hAnsi="Times New Roman"/>
          <w:b/>
          <w:color w:val="000000" w:themeColor="text1"/>
          <w:szCs w:val="21"/>
        </w:rPr>
        <w:t>.</w:t>
      </w:r>
    </w:p>
    <w:p w:rsidR="00D52CC4" w:rsidRPr="00D423A5" w:rsidRDefault="00D52CC4" w:rsidP="00D52CC4">
      <w:pPr>
        <w:rPr>
          <w:rFonts w:ascii="Times New Roman" w:hAnsi="Times New Roman"/>
          <w:i/>
          <w:color w:val="000000" w:themeColor="text1"/>
          <w:szCs w:val="21"/>
        </w:rPr>
      </w:pPr>
    </w:p>
    <w:p w:rsidR="00D52CC4" w:rsidRPr="00D423A5" w:rsidRDefault="00D52CC4" w:rsidP="00D52CC4">
      <w:pPr>
        <w:jc w:val="right"/>
        <w:rPr>
          <w:rFonts w:ascii="Times New Roman" w:hAnsi="Times New Roman"/>
          <w:i/>
          <w:color w:val="000000" w:themeColor="text1"/>
          <w:szCs w:val="21"/>
        </w:rPr>
      </w:pPr>
    </w:p>
    <w:p w:rsidR="00D52CC4" w:rsidRPr="00D423A5" w:rsidRDefault="00D52CC4" w:rsidP="00D52CC4">
      <w:pPr>
        <w:jc w:val="right"/>
        <w:rPr>
          <w:rFonts w:ascii="Times New Roman" w:hAnsi="Times New Roman"/>
          <w:i/>
          <w:color w:val="000000" w:themeColor="text1"/>
          <w:szCs w:val="21"/>
        </w:rPr>
      </w:pPr>
    </w:p>
    <w:p w:rsidR="00D52CC4" w:rsidRPr="00D423A5" w:rsidRDefault="007917F9" w:rsidP="00D52CC4">
      <w:pPr>
        <w:jc w:val="right"/>
        <w:rPr>
          <w:rFonts w:ascii="Times New Roman" w:hAnsi="Times New Roman"/>
          <w:i/>
          <w:color w:val="000000" w:themeColor="text1"/>
          <w:szCs w:val="21"/>
        </w:rPr>
      </w:pPr>
      <w:r>
        <w:rPr>
          <w:rFonts w:ascii="Times New Roman" w:hAnsi="Times New Roman"/>
          <w:i/>
          <w:color w:val="000000" w:themeColor="text1"/>
          <w:szCs w:val="21"/>
        </w:rPr>
        <w:t>Ragnhildur Hjaltadóttir</w:t>
      </w:r>
      <w:r w:rsidR="001D34A2">
        <w:rPr>
          <w:rFonts w:ascii="Times New Roman" w:hAnsi="Times New Roman"/>
          <w:i/>
          <w:color w:val="000000" w:themeColor="text1"/>
          <w:szCs w:val="21"/>
        </w:rPr>
        <w:t>.</w:t>
      </w:r>
    </w:p>
    <w:p w:rsidR="00D52CC4" w:rsidRPr="00D423A5" w:rsidRDefault="00D52CC4" w:rsidP="00D52CC4">
      <w:pPr>
        <w:tabs>
          <w:tab w:val="clear" w:pos="397"/>
        </w:tabs>
        <w:ind w:firstLine="0"/>
        <w:jc w:val="left"/>
        <w:rPr>
          <w:rFonts w:ascii="Times New Roman" w:hAnsi="Times New Roman"/>
          <w:szCs w:val="21"/>
          <w:lang w:eastAsia="en-GB"/>
        </w:rPr>
      </w:pPr>
    </w:p>
    <w:p w:rsidR="00825572" w:rsidRPr="00D423A5" w:rsidRDefault="00825572">
      <w:pPr>
        <w:rPr>
          <w:rFonts w:ascii="Times New Roman" w:hAnsi="Times New Roman"/>
        </w:rPr>
      </w:pPr>
    </w:p>
    <w:sectPr w:rsidR="00825572" w:rsidRPr="00D423A5" w:rsidSect="00D4624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980" w:rsidRDefault="004A3980" w:rsidP="004A3980">
      <w:r>
        <w:separator/>
      </w:r>
    </w:p>
  </w:endnote>
  <w:endnote w:type="continuationSeparator" w:id="0">
    <w:p w:rsidR="004A3980" w:rsidRDefault="004A3980" w:rsidP="004A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80" w:rsidRDefault="004A3980">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80" w:rsidRDefault="004A3980">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80" w:rsidRDefault="004A3980">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980" w:rsidRDefault="004A3980" w:rsidP="004A3980">
      <w:r>
        <w:separator/>
      </w:r>
    </w:p>
  </w:footnote>
  <w:footnote w:type="continuationSeparator" w:id="0">
    <w:p w:rsidR="004A3980" w:rsidRDefault="004A3980" w:rsidP="004A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80" w:rsidRDefault="004A3980">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3837"/>
      <w:docPartObj>
        <w:docPartGallery w:val="Watermarks"/>
        <w:docPartUnique/>
      </w:docPartObj>
    </w:sdtPr>
    <w:sdtEndPr/>
    <w:sdtContent>
      <w:p w:rsidR="004A3980" w:rsidRDefault="008F2E41">
        <w:pPr>
          <w:pStyle w:val="Suhaus"/>
        </w:pPr>
        <w:r>
          <w:rPr>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80" w:rsidRDefault="004A3980">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298D"/>
    <w:multiLevelType w:val="hybridMultilevel"/>
    <w:tmpl w:val="8584A3C0"/>
    <w:lvl w:ilvl="0" w:tplc="A154A57E">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15:restartNumberingAfterBreak="0">
    <w:nsid w:val="20F9307B"/>
    <w:multiLevelType w:val="hybridMultilevel"/>
    <w:tmpl w:val="A8960E68"/>
    <w:lvl w:ilvl="0" w:tplc="E2EE87E4">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46F7326B"/>
    <w:multiLevelType w:val="hybridMultilevel"/>
    <w:tmpl w:val="2FC4CBD8"/>
    <w:lvl w:ilvl="0" w:tplc="78ACD508">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5CE86969"/>
    <w:multiLevelType w:val="hybridMultilevel"/>
    <w:tmpl w:val="AE884CD8"/>
    <w:lvl w:ilvl="0" w:tplc="A5FC2ED2">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608817E4"/>
    <w:multiLevelType w:val="hybridMultilevel"/>
    <w:tmpl w:val="E2BE4A12"/>
    <w:lvl w:ilvl="0" w:tplc="44609956">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5" w15:restartNumberingAfterBreak="0">
    <w:nsid w:val="60CF3D33"/>
    <w:multiLevelType w:val="hybridMultilevel"/>
    <w:tmpl w:val="14B6DCE4"/>
    <w:lvl w:ilvl="0" w:tplc="014065DC">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6" w15:restartNumberingAfterBreak="0">
    <w:nsid w:val="6DB03833"/>
    <w:multiLevelType w:val="hybridMultilevel"/>
    <w:tmpl w:val="441C4424"/>
    <w:lvl w:ilvl="0" w:tplc="D5FCB48E">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C4"/>
    <w:rsid w:val="00021F32"/>
    <w:rsid w:val="00026EF9"/>
    <w:rsid w:val="00126395"/>
    <w:rsid w:val="00165449"/>
    <w:rsid w:val="00190608"/>
    <w:rsid w:val="001D34A2"/>
    <w:rsid w:val="001D6AFD"/>
    <w:rsid w:val="001E7E0E"/>
    <w:rsid w:val="002C78B7"/>
    <w:rsid w:val="002E3931"/>
    <w:rsid w:val="0034009E"/>
    <w:rsid w:val="003514E9"/>
    <w:rsid w:val="003844C4"/>
    <w:rsid w:val="003E438B"/>
    <w:rsid w:val="004278DC"/>
    <w:rsid w:val="00431FDD"/>
    <w:rsid w:val="00462332"/>
    <w:rsid w:val="004A3980"/>
    <w:rsid w:val="005342BA"/>
    <w:rsid w:val="005D1A9F"/>
    <w:rsid w:val="006019C0"/>
    <w:rsid w:val="006905D2"/>
    <w:rsid w:val="006A6434"/>
    <w:rsid w:val="006B3D0A"/>
    <w:rsid w:val="0074289C"/>
    <w:rsid w:val="007917F9"/>
    <w:rsid w:val="00792F0F"/>
    <w:rsid w:val="007A1C87"/>
    <w:rsid w:val="00822100"/>
    <w:rsid w:val="0082553B"/>
    <w:rsid w:val="00825572"/>
    <w:rsid w:val="00837ED5"/>
    <w:rsid w:val="0084338E"/>
    <w:rsid w:val="00880431"/>
    <w:rsid w:val="008F2E41"/>
    <w:rsid w:val="00934AAB"/>
    <w:rsid w:val="00974858"/>
    <w:rsid w:val="009F6433"/>
    <w:rsid w:val="00A74779"/>
    <w:rsid w:val="00A8242B"/>
    <w:rsid w:val="00B153DA"/>
    <w:rsid w:val="00B42B69"/>
    <w:rsid w:val="00BD7D80"/>
    <w:rsid w:val="00BF1AD7"/>
    <w:rsid w:val="00C7450E"/>
    <w:rsid w:val="00CB6248"/>
    <w:rsid w:val="00D34281"/>
    <w:rsid w:val="00D423A5"/>
    <w:rsid w:val="00D425F0"/>
    <w:rsid w:val="00D46248"/>
    <w:rsid w:val="00D52CC4"/>
    <w:rsid w:val="00D74762"/>
    <w:rsid w:val="00DC6D3D"/>
    <w:rsid w:val="00DE64DB"/>
    <w:rsid w:val="00DE76BD"/>
    <w:rsid w:val="00EC1DB3"/>
    <w:rsid w:val="00ED6218"/>
    <w:rsid w:val="00F514E7"/>
    <w:rsid w:val="00F865D0"/>
    <w:rsid w:val="00FB21ED"/>
    <w:rsid w:val="00FE7B35"/>
    <w:rsid w:val="00FF73B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47541"/>
  <w15:chartTrackingRefBased/>
  <w15:docId w15:val="{ECD99A86-92B3-4C52-98A0-65B6A56C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aliases w:val="Texti ákvæðis"/>
    <w:qFormat/>
    <w:rsid w:val="00D52CC4"/>
    <w:pPr>
      <w:tabs>
        <w:tab w:val="left" w:pos="397"/>
        <w:tab w:val="left" w:pos="709"/>
      </w:tabs>
      <w:spacing w:after="0" w:line="240" w:lineRule="auto"/>
      <w:ind w:firstLine="397"/>
      <w:jc w:val="both"/>
    </w:pPr>
    <w:rPr>
      <w:rFonts w:ascii="Times" w:eastAsia="Times New Roman" w:hAnsi="Times" w:cs="Times New Roman"/>
      <w:noProof/>
      <w:sz w:val="21"/>
      <w:szCs w:val="24"/>
    </w:rPr>
  </w:style>
  <w:style w:type="paragraph" w:styleId="Fyrirsgn3">
    <w:name w:val="heading 3"/>
    <w:aliases w:val="Kafli númer"/>
    <w:basedOn w:val="Venjulegur"/>
    <w:next w:val="Venjulegur"/>
    <w:link w:val="Fyrirsgn3Staf"/>
    <w:autoRedefine/>
    <w:semiHidden/>
    <w:unhideWhenUsed/>
    <w:qFormat/>
    <w:rsid w:val="00D52CC4"/>
    <w:pPr>
      <w:keepNext/>
      <w:tabs>
        <w:tab w:val="right" w:pos="7796"/>
      </w:tabs>
      <w:ind w:firstLine="0"/>
      <w:jc w:val="center"/>
      <w:outlineLvl w:val="2"/>
    </w:pPr>
    <w:rPr>
      <w:noProof w:val="0"/>
      <w:szCs w:val="20"/>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aliases w:val="Kafli númer Staf"/>
    <w:basedOn w:val="Sjlfgefinleturgermlsgreinar"/>
    <w:link w:val="Fyrirsgn3"/>
    <w:semiHidden/>
    <w:rsid w:val="00D52CC4"/>
    <w:rPr>
      <w:rFonts w:ascii="Times" w:eastAsia="Times New Roman" w:hAnsi="Times" w:cs="Times New Roman"/>
      <w:sz w:val="21"/>
      <w:szCs w:val="20"/>
      <w:lang w:val="is-IS" w:eastAsia="en-GB"/>
    </w:rPr>
  </w:style>
  <w:style w:type="paragraph" w:styleId="Mlsgreinlista">
    <w:name w:val="List Paragraph"/>
    <w:basedOn w:val="Venjulegur"/>
    <w:uiPriority w:val="34"/>
    <w:qFormat/>
    <w:rsid w:val="003514E9"/>
    <w:pPr>
      <w:ind w:left="720"/>
      <w:contextualSpacing/>
    </w:pPr>
  </w:style>
  <w:style w:type="paragraph" w:styleId="Venjulegtvefur">
    <w:name w:val="Normal (Web)"/>
    <w:basedOn w:val="Venjulegur"/>
    <w:uiPriority w:val="99"/>
    <w:semiHidden/>
    <w:unhideWhenUsed/>
    <w:rsid w:val="00D425F0"/>
    <w:pPr>
      <w:tabs>
        <w:tab w:val="clear" w:pos="397"/>
        <w:tab w:val="clear" w:pos="709"/>
      </w:tabs>
      <w:spacing w:before="100" w:beforeAutospacing="1" w:after="100" w:afterAutospacing="1"/>
      <w:ind w:firstLine="0"/>
      <w:jc w:val="left"/>
    </w:pPr>
    <w:rPr>
      <w:rFonts w:ascii="Times New Roman" w:hAnsi="Times New Roman"/>
      <w:noProof w:val="0"/>
      <w:sz w:val="24"/>
      <w:lang w:eastAsia="is-IS"/>
    </w:rPr>
  </w:style>
  <w:style w:type="character" w:styleId="hersla">
    <w:name w:val="Emphasis"/>
    <w:basedOn w:val="Sjlfgefinleturgermlsgreinar"/>
    <w:uiPriority w:val="20"/>
    <w:qFormat/>
    <w:rsid w:val="00D425F0"/>
    <w:rPr>
      <w:i/>
      <w:iCs/>
    </w:rPr>
  </w:style>
  <w:style w:type="paragraph" w:styleId="Blrutexti">
    <w:name w:val="Balloon Text"/>
    <w:basedOn w:val="Venjulegur"/>
    <w:link w:val="BlrutextiStaf"/>
    <w:uiPriority w:val="99"/>
    <w:semiHidden/>
    <w:unhideWhenUsed/>
    <w:rsid w:val="0084338E"/>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4338E"/>
    <w:rPr>
      <w:rFonts w:ascii="Segoe UI" w:eastAsia="Times New Roman" w:hAnsi="Segoe UI" w:cs="Segoe UI"/>
      <w:noProof/>
      <w:sz w:val="18"/>
      <w:szCs w:val="18"/>
    </w:rPr>
  </w:style>
  <w:style w:type="paragraph" w:styleId="Suhaus">
    <w:name w:val="header"/>
    <w:basedOn w:val="Venjulegur"/>
    <w:link w:val="SuhausStaf"/>
    <w:uiPriority w:val="99"/>
    <w:unhideWhenUsed/>
    <w:rsid w:val="004A3980"/>
    <w:pPr>
      <w:tabs>
        <w:tab w:val="clear" w:pos="397"/>
        <w:tab w:val="clear" w:pos="709"/>
        <w:tab w:val="center" w:pos="4513"/>
        <w:tab w:val="right" w:pos="9026"/>
      </w:tabs>
    </w:pPr>
  </w:style>
  <w:style w:type="character" w:customStyle="1" w:styleId="SuhausStaf">
    <w:name w:val="Síðuhaus Staf"/>
    <w:basedOn w:val="Sjlfgefinleturgermlsgreinar"/>
    <w:link w:val="Suhaus"/>
    <w:uiPriority w:val="99"/>
    <w:rsid w:val="004A3980"/>
    <w:rPr>
      <w:rFonts w:ascii="Times" w:eastAsia="Times New Roman" w:hAnsi="Times" w:cs="Times New Roman"/>
      <w:noProof/>
      <w:sz w:val="21"/>
      <w:szCs w:val="24"/>
    </w:rPr>
  </w:style>
  <w:style w:type="paragraph" w:styleId="Suftur">
    <w:name w:val="footer"/>
    <w:basedOn w:val="Venjulegur"/>
    <w:link w:val="SufturStaf"/>
    <w:uiPriority w:val="99"/>
    <w:unhideWhenUsed/>
    <w:rsid w:val="004A3980"/>
    <w:pPr>
      <w:tabs>
        <w:tab w:val="clear" w:pos="397"/>
        <w:tab w:val="clear" w:pos="709"/>
        <w:tab w:val="center" w:pos="4513"/>
        <w:tab w:val="right" w:pos="9026"/>
      </w:tabs>
    </w:pPr>
  </w:style>
  <w:style w:type="character" w:customStyle="1" w:styleId="SufturStaf">
    <w:name w:val="Síðufótur Staf"/>
    <w:basedOn w:val="Sjlfgefinleturgermlsgreinar"/>
    <w:link w:val="Suftur"/>
    <w:uiPriority w:val="99"/>
    <w:rsid w:val="004A3980"/>
    <w:rPr>
      <w:rFonts w:ascii="Times" w:eastAsia="Times New Roman" w:hAnsi="Times" w:cs="Times New Roman"/>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70004">
      <w:bodyDiv w:val="1"/>
      <w:marLeft w:val="0"/>
      <w:marRight w:val="0"/>
      <w:marTop w:val="0"/>
      <w:marBottom w:val="0"/>
      <w:divBdr>
        <w:top w:val="none" w:sz="0" w:space="0" w:color="auto"/>
        <w:left w:val="none" w:sz="0" w:space="0" w:color="auto"/>
        <w:bottom w:val="none" w:sz="0" w:space="0" w:color="auto"/>
        <w:right w:val="none" w:sz="0" w:space="0" w:color="auto"/>
      </w:divBdr>
    </w:div>
    <w:div w:id="1893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Titill</vt:lpstr>
      </vt:variant>
      <vt:variant>
        <vt:i4>1</vt:i4>
      </vt:variant>
    </vt:vector>
  </HeadingPairs>
  <TitlesOfParts>
    <vt:vector size="1" baseType="lpstr">
      <vt:lpstr/>
    </vt:vector>
  </TitlesOfParts>
  <Company>HBR</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Birgir Jónasson</dc:creator>
  <cp:keywords/>
  <dc:description/>
  <cp:lastModifiedBy>Jónas Birgir Jónasson</cp:lastModifiedBy>
  <cp:revision>4</cp:revision>
  <cp:lastPrinted>2018-12-19T14:24:00Z</cp:lastPrinted>
  <dcterms:created xsi:type="dcterms:W3CDTF">2019-01-07T13:14:00Z</dcterms:created>
  <dcterms:modified xsi:type="dcterms:W3CDTF">2019-01-11T16:23:00Z</dcterms:modified>
</cp:coreProperties>
</file>