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4813BD" w:rsidRPr="00361438" w14:paraId="352301ED" w14:textId="77777777" w:rsidTr="00494B4F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C97366" w14:textId="77777777" w:rsidR="004813BD" w:rsidRPr="00361438" w:rsidRDefault="004813BD" w:rsidP="00494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361438">
              <w:rPr>
                <w:rFonts w:ascii="Times New Roman" w:hAnsi="Times New Roman" w:cs="Times New Roman"/>
                <w:i/>
                <w:noProof/>
                <w:lang w:eastAsia="is-IS"/>
              </w:rPr>
              <w:drawing>
                <wp:inline distT="0" distB="0" distL="0" distR="0" wp14:anchorId="4BA4CA9B" wp14:editId="0BFD891C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CF548" w14:textId="77777777" w:rsidR="004813BD" w:rsidRPr="00361438" w:rsidRDefault="004813BD" w:rsidP="00494B4F">
            <w:pPr>
              <w:spacing w:before="400" w:after="120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 xml:space="preserve">      ÁFORM UM LAGASETNINGU</w:t>
            </w:r>
          </w:p>
          <w:p w14:paraId="263AB448" w14:textId="77777777" w:rsidR="004813BD" w:rsidRPr="00361438" w:rsidRDefault="004813BD" w:rsidP="00494B4F">
            <w:pPr>
              <w:spacing w:before="120" w:after="120"/>
              <w:rPr>
                <w:rFonts w:ascii="Times New Roman" w:hAnsi="Times New Roman" w:cs="Times New Roman"/>
                <w:i/>
                <w:lang w:val="is-IS"/>
              </w:rPr>
            </w:pPr>
            <w:r w:rsidRPr="00361438">
              <w:rPr>
                <w:rFonts w:ascii="Times New Roman" w:hAnsi="Times New Roman" w:cs="Times New Roman"/>
                <w:i/>
                <w:lang w:val="is-IS"/>
              </w:rPr>
              <w:t xml:space="preserve">          – sbr. samþykkt ríkisstjórnar frá 10. mars 2017, 1.-4.  gr.</w:t>
            </w:r>
          </w:p>
        </w:tc>
      </w:tr>
      <w:tr w:rsidR="004813BD" w:rsidRPr="00361438" w14:paraId="3E233B28" w14:textId="77777777" w:rsidTr="00494B4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0DBDC9" w14:textId="77777777" w:rsidR="004813BD" w:rsidRPr="00361438" w:rsidRDefault="004813BD" w:rsidP="00494B4F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</w:rPr>
            <w:id w:val="764192880"/>
            <w:placeholder>
              <w:docPart w:val="4F5C0298E6184833849B407A1B2BFF72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3695F1" w14:textId="56BD11DA" w:rsidR="004813BD" w:rsidRPr="00361438" w:rsidRDefault="004813BD" w:rsidP="00494B4F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 xml:space="preserve">Frumvarp til laga um breytingu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á sveitarstjórnarlögum</w:t>
                </w:r>
                <w:r w:rsidRPr="00361438">
                  <w:rPr>
                    <w:rFonts w:ascii="Times New Roman" w:hAnsi="Times New Roman" w:cs="Times New Roman"/>
                    <w:lang w:val="is-IS"/>
                  </w:rPr>
                  <w:t xml:space="preserve">, nr.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138</w:t>
                </w:r>
                <w:r w:rsidRPr="00361438">
                  <w:rPr>
                    <w:rFonts w:ascii="Times New Roman" w:hAnsi="Times New Roman" w:cs="Times New Roman"/>
                    <w:lang w:val="is-IS"/>
                  </w:rPr>
                  <w:t>/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2011. </w:t>
                </w:r>
                <w:r w:rsidR="00433760">
                  <w:rPr>
                    <w:rFonts w:ascii="Times New Roman" w:hAnsi="Times New Roman" w:cs="Times New Roman"/>
                    <w:lang w:val="is-IS"/>
                  </w:rPr>
                  <w:t>SRN21090066</w:t>
                </w:r>
              </w:p>
            </w:tc>
          </w:sdtContent>
        </w:sdt>
      </w:tr>
      <w:tr w:rsidR="004813BD" w:rsidRPr="00361438" w14:paraId="2AEE9D87" w14:textId="77777777" w:rsidTr="00494B4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68A14A11" w14:textId="77777777" w:rsidR="004813BD" w:rsidRPr="00361438" w:rsidRDefault="004813BD" w:rsidP="00494B4F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Ráðuneyti /verkefnisstjóri</w:t>
            </w:r>
          </w:p>
        </w:tc>
        <w:sdt>
          <w:sdtPr>
            <w:rPr>
              <w:rFonts w:ascii="Times New Roman" w:hAnsi="Times New Roman" w:cs="Times New Roman"/>
            </w:rPr>
            <w:id w:val="1126588465"/>
            <w:placeholder>
              <w:docPart w:val="1AEB5E7D75124D9F868F5D4B1523BA12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EA35488" w14:textId="77777777" w:rsidR="004813BD" w:rsidRPr="00361438" w:rsidRDefault="004813BD" w:rsidP="00494B4F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 xml:space="preserve">Samgöngu- og sveitarstjórnarráðuneytið </w:t>
                </w:r>
              </w:p>
            </w:tc>
          </w:sdtContent>
        </w:sdt>
      </w:tr>
      <w:tr w:rsidR="004813BD" w:rsidRPr="00361438" w14:paraId="04D63616" w14:textId="77777777" w:rsidTr="00494B4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1F1E1FC2" w14:textId="77777777" w:rsidR="004813BD" w:rsidRPr="00361438" w:rsidRDefault="004813BD" w:rsidP="00494B4F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Innleiðing EES-gerðar?</w:t>
            </w:r>
          </w:p>
        </w:tc>
        <w:tc>
          <w:tcPr>
            <w:tcW w:w="7479" w:type="dxa"/>
            <w:tcBorders>
              <w:bottom w:val="nil"/>
            </w:tcBorders>
          </w:tcPr>
          <w:p w14:paraId="61B5158A" w14:textId="77777777" w:rsidR="004813BD" w:rsidRPr="00361438" w:rsidRDefault="00E669D8" w:rsidP="00494B4F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</w:rPr>
                <w:id w:val="-20795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BD" w:rsidRPr="00361438">
                  <w:rPr>
                    <w:rFonts w:ascii="Segoe UI Symbol" w:hAnsi="Segoe UI Symbol" w:cs="Segoe UI Symbol"/>
                    <w:lang w:val="is-IS"/>
                  </w:rPr>
                  <w:t>☐</w:t>
                </w:r>
              </w:sdtContent>
            </w:sdt>
            <w:r w:rsidR="004813BD" w:rsidRPr="00361438">
              <w:rPr>
                <w:rFonts w:ascii="Times New Roman" w:hAnsi="Times New Roman" w:cs="Times New Roman"/>
                <w:lang w:val="is-IS"/>
              </w:rPr>
              <w:t xml:space="preserve"> Já</w:t>
            </w:r>
          </w:p>
          <w:p w14:paraId="7B083495" w14:textId="77777777" w:rsidR="004813BD" w:rsidRPr="00361438" w:rsidRDefault="00E669D8" w:rsidP="00494B4F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</w:rPr>
                <w:id w:val="466950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3BD" w:rsidRPr="00361438">
                  <w:rPr>
                    <w:rFonts w:ascii="Segoe UI Symbol" w:hAnsi="Segoe UI Symbol" w:cs="Segoe UI Symbol"/>
                    <w:lang w:val="is-IS"/>
                  </w:rPr>
                  <w:t>☒</w:t>
                </w:r>
              </w:sdtContent>
            </w:sdt>
            <w:r w:rsidR="004813BD" w:rsidRPr="00361438">
              <w:rPr>
                <w:rFonts w:ascii="Times New Roman" w:hAnsi="Times New Roman" w:cs="Times New Roman"/>
                <w:lang w:val="is-IS"/>
              </w:rPr>
              <w:t xml:space="preserve"> Nei</w:t>
            </w:r>
          </w:p>
        </w:tc>
      </w:tr>
      <w:tr w:rsidR="004813BD" w:rsidRPr="00361438" w14:paraId="3FC2C111" w14:textId="77777777" w:rsidTr="00494B4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A82" w14:textId="77777777" w:rsidR="004813BD" w:rsidRPr="00361438" w:rsidRDefault="004813BD" w:rsidP="00494B4F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AFFC4" w14:textId="77777777" w:rsidR="004813BD" w:rsidRPr="00361438" w:rsidRDefault="004813BD" w:rsidP="00494B4F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5.11.2021</w:t>
                </w:r>
              </w:p>
            </w:tc>
          </w:sdtContent>
        </w:sdt>
      </w:tr>
    </w:tbl>
    <w:p w14:paraId="2D75923A" w14:textId="77777777" w:rsidR="004813BD" w:rsidRPr="00361438" w:rsidRDefault="004813BD" w:rsidP="004813BD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4813BD" w:rsidRPr="00361438" w14:paraId="0EA456D3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127787E0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Úrlausnarefni</w:t>
            </w:r>
          </w:p>
        </w:tc>
      </w:tr>
      <w:tr w:rsidR="004813BD" w:rsidRPr="00361438" w14:paraId="598C2631" w14:textId="77777777" w:rsidTr="00494B4F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580805120"/>
            </w:sdtPr>
            <w:sdtEndPr/>
            <w:sdtContent>
              <w:p w14:paraId="51A383D7" w14:textId="77777777" w:rsidR="004813BD" w:rsidRDefault="004813BD" w:rsidP="00494B4F">
                <w:pPr>
                  <w:numPr>
                    <w:ilvl w:val="0"/>
                    <w:numId w:val="4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Forsaga máls og tilefni</w:t>
                </w:r>
              </w:p>
              <w:p w14:paraId="5F89B1CC" w14:textId="4C2F6F7E" w:rsidR="00BA4A1E" w:rsidRDefault="00A8203E" w:rsidP="00494B4F">
                <w:pPr>
                  <w:autoSpaceDE w:val="0"/>
                  <w:autoSpaceDN w:val="0"/>
                  <w:adjustRightInd w:val="0"/>
                  <w:spacing w:after="120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 s</w:t>
                </w:r>
                <w:r w:rsidR="00BA4A1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veitarstjórnarlög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um</w:t>
                </w:r>
                <w:r w:rsidR="00BA4A1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, nr. 138/2011, 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er gert ráð fyrir þremur</w:t>
                </w:r>
                <w:r w:rsidR="00BA4A1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tilvikum </w:t>
                </w:r>
                <w:r w:rsidR="00BA4A1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af íbúakosningum. Kosningar </w:t>
                </w:r>
                <w:r w:rsidR="00295597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um skipan</w:t>
                </w:r>
                <w:r w:rsidR="00BA4A1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nefndar fyrir hluta sveitarfélags, sbr. 38. gr., kosningar um einstök málefni, sbr. 107. gr. og kosningar um sameiningu sveitarfélaga, sbr. 125. gr.</w:t>
                </w:r>
                <w:r w:rsidR="00F737C4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r w:rsidR="009555A6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 ákvæð</w:t>
                </w:r>
                <w:r w:rsidR="00295597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u</w:t>
                </w:r>
                <w:r w:rsidR="009555A6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num er almennt mælt fyrir um að slíkar kosningar skulu fara eftir meginreglum laga um kosninga til sveitarstjórna</w:t>
                </w:r>
                <w:r w:rsidR="00945942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,</w:t>
                </w:r>
                <w:r w:rsidR="00295597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</w:t>
                </w:r>
                <w:r w:rsidR="009555A6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eftir atvikum. </w:t>
                </w:r>
              </w:p>
              <w:p w14:paraId="5EA52617" w14:textId="0A9B49AD" w:rsidR="00222733" w:rsidRDefault="00F737C4" w:rsidP="00494B4F">
                <w:pPr>
                  <w:autoSpaceDE w:val="0"/>
                  <w:autoSpaceDN w:val="0"/>
                  <w:adjustRightInd w:val="0"/>
                  <w:spacing w:after="120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Reynslan við framkvæmd íbúakosninga skv. </w:t>
                </w:r>
                <w:r w:rsidR="00696451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s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veitarstjórnarlögum hefur leitt í ljós að þær reglur sem gilda um slíkar kosningar mættu vera skýrari. Jafnframt hefur reynslan </w:t>
                </w:r>
                <w:r w:rsidR="002E4F42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leitt í ljós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að þær kröfur sem núgildandi lagaákvæði gera til slíkra kosninga kunna að vera óþarflega miklar og hafa leitt til þess að sveitarfélög nýti ekki þau úrræði sem mælt er fyrir um í sveitarstjórnarlögum til að </w:t>
                </w:r>
                <w:r w:rsidR="00696451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kanna vilja íbúa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 og haldi þess í stað sérstakar kannanir.</w:t>
                </w:r>
              </w:p>
              <w:p w14:paraId="00F68928" w14:textId="18ABC963" w:rsidR="00222733" w:rsidRDefault="00222733" w:rsidP="00494B4F">
                <w:pPr>
                  <w:autoSpaceDE w:val="0"/>
                  <w:autoSpaceDN w:val="0"/>
                  <w:adjustRightInd w:val="0"/>
                  <w:spacing w:after="120"/>
                  <w:jc w:val="both"/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Pr="00253E0E">
                  <w:rPr>
                    <w:rFonts w:ascii="Times New Roman" w:hAnsi="Times New Roman" w:cs="Times New Roman"/>
                    <w:lang w:val="is-IS"/>
                  </w:rPr>
                  <w:t>þingsályktun um stefnumótandi áætlun í málefnum sveitarfélaga, nr. 21/150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, samþykkti Alþingi 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m.a.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að stefna að því að 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sveitarfélög á Íslandi verði öflug og sjálfbær vettvangur lýðræðislegrar starfsemi. </w:t>
                </w:r>
                <w:r w:rsidR="00295597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Í samræmi við umrætt markmið er m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ikilvægt að úrræði sveitarstjórnarlaga sem mæla fyrir um íbúakosningar séu </w:t>
                </w:r>
                <w:r w:rsidR="00602E44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skýr og allri óvissu um framkvæmd þeirri verði eytt. Vinna er því hafin við að útfæra reglur sem eiga að gilda um íbúakosningar á grundvelli framangreindra sjónarmiða. </w:t>
                </w:r>
              </w:p>
              <w:p w14:paraId="058BC2FA" w14:textId="77777777" w:rsidR="004813BD" w:rsidRDefault="004813BD" w:rsidP="00494B4F">
                <w:pPr>
                  <w:pStyle w:val="ListParagraph"/>
                  <w:numPr>
                    <w:ilvl w:val="0"/>
                    <w:numId w:val="4"/>
                  </w:numPr>
                  <w:autoSpaceDE w:val="0"/>
                  <w:autoSpaceDN w:val="0"/>
                  <w:adjustRightInd w:val="0"/>
                  <w:spacing w:after="120"/>
                  <w:jc w:val="both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9461BE">
                  <w:rPr>
                    <w:rFonts w:ascii="Times New Roman" w:hAnsi="Times New Roman" w:cs="Times New Roman"/>
                    <w:b/>
                    <w:lang w:val="is-IS"/>
                  </w:rPr>
                  <w:t>Hvert er úrlausnarefnið?</w:t>
                </w:r>
              </w:p>
              <w:p w14:paraId="5DC3B202" w14:textId="65D05B63" w:rsidR="004813BD" w:rsidRPr="00BD027F" w:rsidRDefault="004813BD" w:rsidP="00494B4F">
                <w:pPr>
                  <w:autoSpaceDE w:val="0"/>
                  <w:autoSpaceDN w:val="0"/>
                  <w:adjustRightInd w:val="0"/>
                  <w:spacing w:after="120"/>
                  <w:jc w:val="bot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Úrslausnarefnið er </w:t>
                </w:r>
                <w:r w:rsidR="004539D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</w:t>
                </w:r>
                <w:r w:rsidR="00DF22F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skýra og </w:t>
                </w:r>
                <w:r w:rsidR="004539D7">
                  <w:rPr>
                    <w:rFonts w:ascii="Times New Roman" w:hAnsi="Times New Roman" w:cs="Times New Roman"/>
                    <w:bCs/>
                    <w:lang w:val="is-IS"/>
                  </w:rPr>
                  <w:t>einfalda kröfur sveitarstjórnarlaga til íbúakosninga</w:t>
                </w:r>
                <w:r w:rsidR="00DF22F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</w:p>
              <w:p w14:paraId="3790D19E" w14:textId="77777777" w:rsidR="004813BD" w:rsidRDefault="004813BD" w:rsidP="00494B4F">
                <w:pPr>
                  <w:numPr>
                    <w:ilvl w:val="0"/>
                    <w:numId w:val="4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Að hvaða marki duga gildandi lög og reglur ekki til?</w:t>
                </w:r>
              </w:p>
              <w:p w14:paraId="49C65A89" w14:textId="77777777" w:rsidR="004813BD" w:rsidRPr="00361438" w:rsidRDefault="004813BD" w:rsidP="00494B4F">
                <w:p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3A7D">
                  <w:rPr>
                    <w:rFonts w:ascii="Times New Roman" w:hAnsi="Times New Roman" w:cs="Times New Roman"/>
                    <w:bCs/>
                    <w:lang w:val="is-IS"/>
                  </w:rPr>
                  <w:t>Gildandi lög og reglur duga ekki til að ná fram framangreindum markmiðum.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</w:p>
            </w:sdtContent>
          </w:sdt>
        </w:tc>
      </w:tr>
      <w:tr w:rsidR="004813BD" w:rsidRPr="00361438" w14:paraId="10E4B33F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70A1F945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 xml:space="preserve">Markmið </w:t>
            </w:r>
          </w:p>
        </w:tc>
      </w:tr>
      <w:tr w:rsidR="004813BD" w:rsidRPr="00361438" w14:paraId="744B4980" w14:textId="77777777" w:rsidTr="00494B4F">
        <w:trPr>
          <w:trHeight w:val="747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30BD3002" w14:textId="77777777" w:rsidR="004813BD" w:rsidRPr="00361438" w:rsidRDefault="004813BD" w:rsidP="00494B4F">
                <w:pPr>
                  <w:numPr>
                    <w:ilvl w:val="0"/>
                    <w:numId w:val="5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Stefna hins opinbera á viðkomandi málefnasviði/málaflokki</w:t>
                </w:r>
              </w:p>
              <w:p w14:paraId="64E79870" w14:textId="193D004C" w:rsidR="004813BD" w:rsidRPr="00361438" w:rsidRDefault="004813BD" w:rsidP="00494B4F">
                <w:pPr>
                  <w:spacing w:before="60" w:after="6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Stefna hins opinbera </w:t>
                </w:r>
                <w:r w:rsidR="001B6ADD">
                  <w:rPr>
                    <w:rFonts w:ascii="Times New Roman" w:hAnsi="Times New Roman" w:cs="Times New Roman"/>
                    <w:lang w:val="is-IS"/>
                  </w:rPr>
                  <w:t>í málaflokki sveitarstjórnarmála</w:t>
                </w:r>
                <w:r w:rsidRPr="00253E0E">
                  <w:rPr>
                    <w:rFonts w:ascii="Times New Roman" w:hAnsi="Times New Roman" w:cs="Times New Roman"/>
                    <w:lang w:val="is-IS"/>
                  </w:rPr>
                  <w:t xml:space="preserve"> er rakin í þingsályktun um stefnumótandi áætlun í málefnum sveitarfélaga, nr. 21/150. </w:t>
                </w:r>
                <w:r w:rsidRPr="00253E0E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 Stefnan er m.a. að Ísland verði í fremstu röð með trausta og örugga innviði, öflug sveitarfélög, verðmætasköpun og framsækna þjónustu. </w:t>
                </w:r>
                <w:r w:rsidR="001B6ADD"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>Þá er það stefna hins opinbera að s</w:t>
                </w:r>
                <w:r>
                  <w:rPr>
                    <w:rFonts w:ascii="Times New Roman" w:hAnsi="Times New Roman" w:cs="Times New Roman"/>
                    <w:color w:val="242424"/>
                    <w:shd w:val="clear" w:color="auto" w:fill="FFFFFF"/>
                  </w:rPr>
                  <w:t xml:space="preserve">veitarfélög á Íslandi verði öflug og sjálfbær vettvangur lýðræðislegrar starfsemi og að sjálfstjórn og ábyrgð sveitarfélaga verði virt og tryggð verði sem jöfnust réttindi og aðgengi íbúa að þjónustu. </w:t>
                </w:r>
              </w:p>
              <w:p w14:paraId="23CFE71E" w14:textId="77777777" w:rsidR="004813BD" w:rsidRPr="00361438" w:rsidRDefault="004813BD" w:rsidP="00494B4F">
                <w:pPr>
                  <w:numPr>
                    <w:ilvl w:val="0"/>
                    <w:numId w:val="5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Markmið sem að er stefnt með lagasetningu í ljósi úrlausnarefnis og stefnu stjórnvalda</w:t>
                </w:r>
              </w:p>
              <w:p w14:paraId="79E228FC" w14:textId="41FF856D" w:rsidR="004813BD" w:rsidRPr="00361438" w:rsidRDefault="00A8203E" w:rsidP="00494B4F">
                <w:pPr>
                  <w:spacing w:before="60" w:after="6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00A8203E">
                  <w:rPr>
                    <w:rFonts w:ascii="Times New Roman" w:hAnsi="Times New Roman" w:cs="Times New Roman"/>
                  </w:rPr>
                  <w:t>Markmiðið er að skýra og einfalda kröfur sveitarstjórnarlaga varðandi íbúakosningar og að styðja með því ofangreinda stefnu stjórnvalda.</w:t>
                </w:r>
              </w:p>
            </w:sdtContent>
          </w:sdt>
        </w:tc>
      </w:tr>
      <w:tr w:rsidR="004813BD" w:rsidRPr="00361438" w14:paraId="13E23DDA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074F9A61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Leiðir</w:t>
            </w:r>
          </w:p>
        </w:tc>
      </w:tr>
      <w:tr w:rsidR="004813BD" w:rsidRPr="00361438" w14:paraId="2CC6EDE3" w14:textId="77777777" w:rsidTr="00494B4F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355357149"/>
            </w:sdtPr>
            <w:sdtEndPr/>
            <w:sdtContent>
              <w:p w14:paraId="696B9A07" w14:textId="77777777" w:rsidR="004813BD" w:rsidRDefault="004813BD" w:rsidP="00494B4F">
                <w:pPr>
                  <w:numPr>
                    <w:ilvl w:val="0"/>
                    <w:numId w:val="3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Ekkert aðhafst  - hvaða afleiðingar hefði það?</w:t>
                </w:r>
              </w:p>
              <w:p w14:paraId="6000E378" w14:textId="77777777" w:rsidR="004813BD" w:rsidRPr="00BD027F" w:rsidRDefault="004813BD" w:rsidP="00494B4F">
                <w:pPr>
                  <w:spacing w:before="60" w:after="6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Markmið lagabreytinganna myndi ekki nást fram.</w:t>
                </w:r>
              </w:p>
              <w:p w14:paraId="1D236623" w14:textId="77777777" w:rsidR="004813BD" w:rsidRPr="00361438" w:rsidRDefault="004813BD" w:rsidP="00494B4F">
                <w:pPr>
                  <w:numPr>
                    <w:ilvl w:val="0"/>
                    <w:numId w:val="3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Önnur úrræði en lagasetning sem metin hafa verið</w:t>
                </w:r>
              </w:p>
              <w:p w14:paraId="721203A2" w14:textId="77777777" w:rsidR="004813BD" w:rsidRPr="00361438" w:rsidRDefault="004813BD" w:rsidP="00494B4F">
                <w:pPr>
                  <w:spacing w:before="60" w:after="60" w:line="276" w:lineRule="auto"/>
                  <w:rPr>
                    <w:rFonts w:ascii="Times New Roman" w:hAnsi="Times New Roman" w:cs="Times New Roman"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>Framangreindum markmiðum verður ekki náð nema með lagabreytingum.</w:t>
                </w:r>
              </w:p>
              <w:p w14:paraId="38226386" w14:textId="77777777" w:rsidR="004813BD" w:rsidRPr="00361438" w:rsidRDefault="004813BD" w:rsidP="00494B4F">
                <w:pPr>
                  <w:numPr>
                    <w:ilvl w:val="0"/>
                    <w:numId w:val="3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Mögulegar leiðir við lagasetningu</w:t>
                </w:r>
              </w:p>
              <w:p w14:paraId="1A50E752" w14:textId="2FCA5AB3" w:rsidR="004813BD" w:rsidRPr="00361438" w:rsidRDefault="004813BD" w:rsidP="00494B4F">
                <w:pPr>
                  <w:spacing w:before="60" w:after="60" w:line="276" w:lineRule="auto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 xml:space="preserve">Beinast liggur við að gerðar verði nauðsynlegar breytingar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á sveitarstjórnarlögum, nr. 138/2011</w:t>
                </w:r>
                <w:r w:rsidR="00DF22F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295597">
                  <w:rPr>
                    <w:rFonts w:ascii="Times New Roman" w:hAnsi="Times New Roman" w:cs="Times New Roman"/>
                    <w:lang w:val="is-IS"/>
                  </w:rPr>
                  <w:t>Tvær leiðir er fyrirsjáanlegar við lagasetninguna, annað hvort kemur t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>il greina að veita ráðherra heimild til að setja reglur eða fyrirmynd a</w:t>
                </w:r>
                <w:r w:rsidR="002E4F42">
                  <w:rPr>
                    <w:rFonts w:ascii="Times New Roman" w:hAnsi="Times New Roman" w:cs="Times New Roman"/>
                    <w:lang w:val="is-IS"/>
                  </w:rPr>
                  <w:t>ð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 reglum um íbú</w:t>
                </w:r>
                <w:r w:rsidR="002E4F42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>kosningar sveitarfélaga eða að lögfest</w:t>
                </w:r>
                <w:r w:rsidR="00295597">
                  <w:rPr>
                    <w:rFonts w:ascii="Times New Roman" w:hAnsi="Times New Roman" w:cs="Times New Roman"/>
                    <w:lang w:val="is-IS"/>
                  </w:rPr>
                  <w:t xml:space="preserve"> verði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 ítarleg</w:t>
                </w:r>
                <w:r w:rsidR="002E4F42">
                  <w:rPr>
                    <w:rFonts w:ascii="Times New Roman" w:hAnsi="Times New Roman" w:cs="Times New Roman"/>
                    <w:lang w:val="is-IS"/>
                  </w:rPr>
                  <w:t>ri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 ákvæði </w:t>
                </w:r>
                <w:r w:rsidR="00295597">
                  <w:rPr>
                    <w:rFonts w:ascii="Times New Roman" w:hAnsi="Times New Roman" w:cs="Times New Roman"/>
                    <w:lang w:val="is-IS"/>
                  </w:rPr>
                  <w:t xml:space="preserve">um </w:t>
                </w:r>
                <w:r w:rsidR="002E4F42">
                  <w:rPr>
                    <w:rFonts w:ascii="Times New Roman" w:hAnsi="Times New Roman" w:cs="Times New Roman"/>
                    <w:lang w:val="is-IS"/>
                  </w:rPr>
                  <w:t xml:space="preserve">framkvæmd </w:t>
                </w:r>
                <w:r w:rsidR="00295597">
                  <w:rPr>
                    <w:rFonts w:ascii="Times New Roman" w:hAnsi="Times New Roman" w:cs="Times New Roman"/>
                    <w:lang w:val="is-IS"/>
                  </w:rPr>
                  <w:t xml:space="preserve">íbúakosninga 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í sveitarstjórnarlög. </w:t>
                </w:r>
              </w:p>
            </w:sdtContent>
          </w:sdt>
        </w:tc>
      </w:tr>
      <w:tr w:rsidR="004813BD" w:rsidRPr="00361438" w14:paraId="44D82410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66A0E0AC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Hvaða leið er áformuð og hvers vegna?</w:t>
            </w:r>
          </w:p>
        </w:tc>
      </w:tr>
      <w:tr w:rsidR="004813BD" w:rsidRPr="00361438" w14:paraId="3A8FA73F" w14:textId="77777777" w:rsidTr="00494B4F">
        <w:trPr>
          <w:trHeight w:val="679"/>
        </w:trPr>
        <w:tc>
          <w:tcPr>
            <w:tcW w:w="9288" w:type="dxa"/>
          </w:tcPr>
          <w:p w14:paraId="32EC6423" w14:textId="77777777" w:rsidR="004813BD" w:rsidRPr="00361438" w:rsidRDefault="004813BD" w:rsidP="00494B4F">
            <w:pPr>
              <w:numPr>
                <w:ilvl w:val="0"/>
                <w:numId w:val="9"/>
              </w:numPr>
              <w:spacing w:before="60" w:after="60"/>
              <w:ind w:left="714" w:hanging="357"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Stutt lýsing á þeirri leið sem áformuð er og rökstuðningur fyrir henni</w:t>
            </w:r>
          </w:p>
          <w:p w14:paraId="31CA62E4" w14:textId="26DB6500" w:rsidR="004813BD" w:rsidRPr="00361438" w:rsidRDefault="004813BD" w:rsidP="00494B4F">
            <w:pPr>
              <w:spacing w:before="60" w:after="60" w:line="276" w:lineRule="auto"/>
              <w:rPr>
                <w:rFonts w:ascii="Times New Roman" w:hAnsi="Times New Roman" w:cs="Times New Roman"/>
                <w:lang w:val="is-IS"/>
              </w:rPr>
            </w:pPr>
            <w:r w:rsidRPr="00361438">
              <w:rPr>
                <w:rFonts w:ascii="Times New Roman" w:hAnsi="Times New Roman" w:cs="Times New Roman"/>
                <w:lang w:val="is-IS"/>
              </w:rPr>
              <w:t xml:space="preserve">Áformað er að breyta </w:t>
            </w:r>
            <w:r>
              <w:rPr>
                <w:rFonts w:ascii="Times New Roman" w:hAnsi="Times New Roman" w:cs="Times New Roman"/>
                <w:lang w:val="is-IS"/>
              </w:rPr>
              <w:t>sveitarstjórnarlögum</w:t>
            </w:r>
            <w:r w:rsidR="009555A6">
              <w:rPr>
                <w:rFonts w:ascii="Times New Roman" w:hAnsi="Times New Roman" w:cs="Times New Roman"/>
                <w:lang w:val="is-IS"/>
              </w:rPr>
              <w:t xml:space="preserve"> á þann veg að mælt verðir fyrir um með skýrari hætti hvaða reglur skulu gilda um íbúakosningar sveitarfélaga. </w:t>
            </w:r>
          </w:p>
          <w:p w14:paraId="75B197E7" w14:textId="6BF981C0" w:rsidR="004813BD" w:rsidRPr="003B73A9" w:rsidRDefault="004813BD" w:rsidP="009555A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 xml:space="preserve">2. </w:t>
            </w:r>
            <w:r w:rsidRPr="00361438">
              <w:rPr>
                <w:rFonts w:ascii="Times New Roman" w:hAnsi="Times New Roman" w:cs="Times New Roman"/>
                <w:b/>
                <w:lang w:val="is-IS"/>
              </w:rPr>
              <w:t>Helstu fyrirhuguðu breytingar á gildandi lögum og reglum, hvort heldur bætt er við eða fellt brott</w:t>
            </w:r>
            <w:r w:rsidRPr="00361438">
              <w:rPr>
                <w:rFonts w:ascii="Times New Roman" w:hAnsi="Times New Roman" w:cs="Times New Roman"/>
                <w:b/>
                <w:lang w:val="is-IS"/>
              </w:rPr>
              <w:br/>
            </w:r>
            <w:r w:rsidR="009555A6">
              <w:rPr>
                <w:rFonts w:ascii="Times New Roman" w:hAnsi="Times New Roman" w:cs="Times New Roman"/>
                <w:color w:val="000000"/>
                <w:lang w:val="is-IS"/>
              </w:rPr>
              <w:t>Helstu fyrirhugaðar breytingar munu snúa að 38.gr., 107. gr. og 122. gr. sveitarstjórnarlaga auk þess sem bráðabirgðaákvæði V</w:t>
            </w:r>
            <w:r w:rsidR="002E4F42">
              <w:rPr>
                <w:rFonts w:ascii="Times New Roman" w:hAnsi="Times New Roman" w:cs="Times New Roman"/>
                <w:color w:val="000000"/>
                <w:lang w:val="is-IS"/>
              </w:rPr>
              <w:t>. við lögin, sem fjallar</w:t>
            </w:r>
            <w:r w:rsidR="009555A6">
              <w:rPr>
                <w:rFonts w:ascii="Times New Roman" w:hAnsi="Times New Roman" w:cs="Times New Roman"/>
                <w:color w:val="000000"/>
                <w:lang w:val="is-IS"/>
              </w:rPr>
              <w:t xml:space="preserve"> um rafrænar kosningar</w:t>
            </w:r>
            <w:r w:rsidR="002E4F42">
              <w:rPr>
                <w:rFonts w:ascii="Times New Roman" w:hAnsi="Times New Roman" w:cs="Times New Roman"/>
                <w:color w:val="000000"/>
                <w:lang w:val="is-IS"/>
              </w:rPr>
              <w:t>,</w:t>
            </w:r>
            <w:r w:rsidR="009555A6">
              <w:rPr>
                <w:rFonts w:ascii="Times New Roman" w:hAnsi="Times New Roman" w:cs="Times New Roman"/>
                <w:color w:val="000000"/>
                <w:lang w:val="is-IS"/>
              </w:rPr>
              <w:t xml:space="preserve"> mun óhjákvæmilega koma til skoðunar. </w:t>
            </w:r>
          </w:p>
          <w:p w14:paraId="39101F5B" w14:textId="52D51D5F" w:rsidR="004813BD" w:rsidRPr="00E257AA" w:rsidRDefault="004813BD" w:rsidP="00494B4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color w:val="000000"/>
                <w:lang w:val="is-IS"/>
              </w:rPr>
            </w:pPr>
            <w:r>
              <w:rPr>
                <w:rFonts w:ascii="Times New Roman" w:hAnsi="Times New Roman" w:cs="Times New Roman"/>
                <w:color w:val="000000"/>
                <w:lang w:val="is-IS"/>
              </w:rPr>
              <w:t>Ekki er útilokað að fleiri atriði mun</w:t>
            </w:r>
            <w:r w:rsidR="00762980">
              <w:rPr>
                <w:rFonts w:ascii="Times New Roman" w:hAnsi="Times New Roman" w:cs="Times New Roman"/>
                <w:color w:val="000000"/>
                <w:lang w:val="is-I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is-IS"/>
              </w:rPr>
              <w:t xml:space="preserve"> koma til skoðunar við vinnu frumvarpsins</w:t>
            </w:r>
            <w:r w:rsidR="003D5BAE">
              <w:rPr>
                <w:rFonts w:ascii="Times New Roman" w:hAnsi="Times New Roman" w:cs="Times New Roman"/>
                <w:color w:val="000000"/>
                <w:lang w:val="is-IS"/>
              </w:rPr>
              <w:t>, sem mikilvægt er að huga að</w:t>
            </w:r>
            <w:r w:rsidR="00945942">
              <w:rPr>
                <w:rFonts w:ascii="Times New Roman" w:hAnsi="Times New Roman" w:cs="Times New Roman"/>
                <w:color w:val="000000"/>
                <w:lang w:val="is-IS"/>
              </w:rPr>
              <w:t>,</w:t>
            </w:r>
            <w:r w:rsidR="001B6ADD">
              <w:rPr>
                <w:rFonts w:ascii="Times New Roman" w:hAnsi="Times New Roman" w:cs="Times New Roman"/>
                <w:color w:val="000000"/>
                <w:lang w:val="is-IS"/>
              </w:rPr>
              <w:t xml:space="preserve"> svo sem almenn og/eða sérstök heimildarákvæði fyrir sveitarfélög til að vinna með persónuupplýsingar o.fl. </w:t>
            </w:r>
          </w:p>
        </w:tc>
      </w:tr>
      <w:tr w:rsidR="004813BD" w:rsidRPr="00361438" w14:paraId="637AF06E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340FF6C7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Samræmi við stjórnarskrá og þjóðarétt – aðrar grundvallarspurningar</w:t>
            </w:r>
          </w:p>
        </w:tc>
      </w:tr>
      <w:tr w:rsidR="004813BD" w:rsidRPr="00361438" w14:paraId="548D90CF" w14:textId="77777777" w:rsidTr="00494B4F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515513155"/>
            </w:sdtPr>
            <w:sdtEndPr/>
            <w:sdtContent>
              <w:p w14:paraId="7E669861" w14:textId="77777777" w:rsidR="004813BD" w:rsidRPr="00361438" w:rsidRDefault="004813BD" w:rsidP="00494B4F">
                <w:pPr>
                  <w:numPr>
                    <w:ilvl w:val="0"/>
                    <w:numId w:val="8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Koma áformin inn á svið stjórnarskrár og þjóðréttarskuldbindinga?</w:t>
                </w:r>
              </w:p>
              <w:p w14:paraId="40F0BB12" w14:textId="7819C29D" w:rsidR="004813BD" w:rsidRPr="00361438" w:rsidRDefault="004813BD" w:rsidP="00494B4F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Áformin 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koma ekki inn á svið stjórnarskrár og þjóðarréttarskuldbindinga. </w:t>
                </w:r>
              </w:p>
              <w:p w14:paraId="6E4588DD" w14:textId="77777777" w:rsidR="004813BD" w:rsidRPr="00361438" w:rsidRDefault="004813BD" w:rsidP="00494B4F">
                <w:pPr>
                  <w:numPr>
                    <w:ilvl w:val="0"/>
                    <w:numId w:val="8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 xml:space="preserve">Varða áformin ákvæði EES-samningsins um ríkisaðstoð, tæknilegar reglur um vöru og fjarþjónustu eða frelsi til að veita þjónustu? </w:t>
                </w:r>
              </w:p>
              <w:p w14:paraId="7CA072A1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Nei. </w:t>
                </w:r>
              </w:p>
              <w:p w14:paraId="325A7D81" w14:textId="17A0F5C4" w:rsidR="004813BD" w:rsidRPr="00361438" w:rsidRDefault="004813BD" w:rsidP="00494B4F">
                <w:pPr>
                  <w:numPr>
                    <w:ilvl w:val="0"/>
                    <w:numId w:val="8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Er önnur grundvallarlöggjöf sem taka þarf tillit til?</w:t>
                </w: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="00762980">
                  <w:rPr>
                    <w:rFonts w:ascii="Times New Roman" w:hAnsi="Times New Roman" w:cs="Times New Roman"/>
                    <w:lang w:val="is-IS"/>
                  </w:rPr>
                  <w:t>Líklegt er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 að taka </w:t>
                </w:r>
                <w:r w:rsidR="00762980">
                  <w:rPr>
                    <w:rFonts w:ascii="Times New Roman" w:hAnsi="Times New Roman" w:cs="Times New Roman"/>
                    <w:lang w:val="is-IS"/>
                  </w:rPr>
                  <w:t xml:space="preserve">þurfi 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tillit til </w:t>
                </w:r>
                <w:r w:rsidR="00762980">
                  <w:rPr>
                    <w:rFonts w:ascii="Times New Roman" w:hAnsi="Times New Roman" w:cs="Times New Roman"/>
                    <w:lang w:val="is-IS"/>
                  </w:rPr>
                  <w:t>nýsettra laga um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 xml:space="preserve"> kosningar</w:t>
                </w:r>
                <w:r w:rsidR="00762980">
                  <w:rPr>
                    <w:rFonts w:ascii="Times New Roman" w:hAnsi="Times New Roman" w:cs="Times New Roman"/>
                    <w:lang w:val="is-IS"/>
                  </w:rPr>
                  <w:t xml:space="preserve"> og að minnsta kosti vísa til þeirra laga í væntanlegu frumvarpi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tr w:rsidR="004813BD" w:rsidRPr="00361438" w14:paraId="53FE7F43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55F931F6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Samráð</w:t>
            </w:r>
          </w:p>
        </w:tc>
      </w:tr>
      <w:tr w:rsidR="004813BD" w:rsidRPr="00361438" w14:paraId="18F6CBEF" w14:textId="77777777" w:rsidTr="00494B4F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501779221"/>
            </w:sdtPr>
            <w:sdtEndPr/>
            <w:sdtContent>
              <w:p w14:paraId="6564FF76" w14:textId="77777777" w:rsidR="004813BD" w:rsidRPr="00361438" w:rsidRDefault="004813BD" w:rsidP="00494B4F">
                <w:pPr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Hverjir eru helstu hagsmunaaðilar?</w:t>
                </w:r>
              </w:p>
              <w:p w14:paraId="6EA92EB3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>Helstu hagsmunaaðilar eru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sveitarfélög.</w:t>
                </w:r>
              </w:p>
              <w:p w14:paraId="6B718B40" w14:textId="77777777" w:rsidR="004813BD" w:rsidRPr="00361438" w:rsidRDefault="004813BD" w:rsidP="00494B4F">
                <w:pPr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 xml:space="preserve">Er skörun við stjórnarmálefni annarra ráðuneyta? </w:t>
                </w:r>
              </w:p>
              <w:p w14:paraId="7DF80AC3" w14:textId="0B203D0D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 xml:space="preserve">Frumvarpið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kann að varða stjórnarmálefni </w:t>
                </w:r>
                <w:r w:rsidR="00602E44">
                  <w:rPr>
                    <w:rFonts w:ascii="Times New Roman" w:hAnsi="Times New Roman" w:cs="Times New Roman"/>
                    <w:lang w:val="is-IS"/>
                  </w:rPr>
                  <w:t>dómsmálaráðuneytisins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2FC1C610" w14:textId="77777777" w:rsidR="004813BD" w:rsidRPr="00361438" w:rsidRDefault="004813BD" w:rsidP="00494B4F">
                <w:pPr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Samráð sem þegar hefur farið fram</w:t>
                </w:r>
              </w:p>
              <w:p w14:paraId="37D82AF4" w14:textId="064CDEFD" w:rsidR="004813BD" w:rsidRPr="00361438" w:rsidRDefault="00602E44" w:rsidP="00602E44">
                <w:pPr>
                  <w:spacing w:before="60" w:after="60" w:line="276" w:lineRule="auto"/>
                  <w:ind w:left="357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  Samráð hefur átt sér stað við </w:t>
                </w:r>
                <w:r w:rsidR="004813BD">
                  <w:rPr>
                    <w:rFonts w:ascii="Times New Roman" w:hAnsi="Times New Roman" w:cs="Times New Roman"/>
                    <w:lang w:val="is-IS"/>
                  </w:rPr>
                  <w:t xml:space="preserve">Samband íslenskra sveitarfélaga. </w:t>
                </w:r>
              </w:p>
              <w:p w14:paraId="7AF4B5FE" w14:textId="77777777" w:rsidR="004813BD" w:rsidRPr="00361438" w:rsidRDefault="004813BD" w:rsidP="00494B4F">
                <w:pPr>
                  <w:numPr>
                    <w:ilvl w:val="0"/>
                    <w:numId w:val="6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Fyrirhugað samráð</w:t>
                </w: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br/>
                </w:r>
                <w:r w:rsidRPr="00361438">
                  <w:rPr>
                    <w:rFonts w:ascii="Times New Roman" w:hAnsi="Times New Roman" w:cs="Times New Roman"/>
                    <w:lang w:val="is-IS"/>
                  </w:rPr>
                  <w:t>Við undirbúning frumvarpsins verður gætt vel að samráði við hagsmunaaðila.</w:t>
                </w: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</w:tc>
      </w:tr>
      <w:tr w:rsidR="004813BD" w:rsidRPr="00361438" w14:paraId="73F45B9F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4EFA50A3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 xml:space="preserve">Mat á áhrifum þeirrar leiðar sem áformuð er </w:t>
            </w:r>
          </w:p>
        </w:tc>
      </w:tr>
      <w:tr w:rsidR="004813BD" w:rsidRPr="00361438" w14:paraId="2FB1DB1E" w14:textId="77777777" w:rsidTr="00494B4F">
        <w:trPr>
          <w:trHeight w:val="283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35200883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06BDDE0" w14:textId="77777777" w:rsidR="004813BD" w:rsidRPr="00361438" w:rsidRDefault="004813BD" w:rsidP="00494B4F">
                <w:pPr>
                  <w:numPr>
                    <w:ilvl w:val="0"/>
                    <w:numId w:val="2"/>
                  </w:numPr>
                  <w:spacing w:before="60" w:after="6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Niðurstaða frummats á áhrifum, sbr. fylgiskjal</w:t>
                </w:r>
              </w:p>
              <w:p w14:paraId="452B7845" w14:textId="495603DA" w:rsidR="004813BD" w:rsidRPr="00361438" w:rsidRDefault="00A8203E" w:rsidP="00494B4F">
                <w:pPr>
                  <w:spacing w:before="60" w:after="60" w:line="276" w:lineRule="auto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8203E"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að frumvarpið muni áhrif á ríkissjóð.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</w:sdtContent>
          </w:sdt>
        </w:tc>
      </w:tr>
      <w:tr w:rsidR="004813BD" w:rsidRPr="00361438" w14:paraId="2564E2AD" w14:textId="77777777" w:rsidTr="00494B4F">
        <w:tc>
          <w:tcPr>
            <w:tcW w:w="9288" w:type="dxa"/>
            <w:shd w:val="clear" w:color="auto" w:fill="4873D2" w:themeFill="accent5" w:themeFillTint="99"/>
          </w:tcPr>
          <w:p w14:paraId="552FC9FD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Næstu skref, innleiðing</w:t>
            </w:r>
          </w:p>
        </w:tc>
      </w:tr>
      <w:tr w:rsidR="004813BD" w:rsidRPr="00361438" w14:paraId="2E5C7EE0" w14:textId="77777777" w:rsidTr="00494B4F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</w:rPr>
              <w:id w:val="-954320449"/>
            </w:sdtPr>
            <w:sdtEndPr/>
            <w:sdtContent>
              <w:p w14:paraId="2A58D2AD" w14:textId="77777777" w:rsidR="004813BD" w:rsidRPr="00361438" w:rsidRDefault="004813BD" w:rsidP="00494B4F">
                <w:pPr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Hefur verið gerð verkefnisáætlun fyrir frumvarpssmíðina?</w:t>
                </w:r>
              </w:p>
              <w:p w14:paraId="2C9709CB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Nei. </w:t>
                </w:r>
              </w:p>
              <w:p w14:paraId="395F8D82" w14:textId="77777777" w:rsidR="004813BD" w:rsidRDefault="004813BD" w:rsidP="00494B4F">
                <w:pPr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Hvernig verður staðið að innleiðingu löggjafar? Hvað má gera ráð fyrir að þeir sem verða fyrir áhrifum, opinberar stofnanir/hagsmunaaðilar/almenningur, þurfi langan tíma til undirbúnings/aðlögunar?</w:t>
                </w:r>
              </w:p>
              <w:p w14:paraId="21C4891F" w14:textId="77777777" w:rsidR="004813BD" w:rsidRPr="00361438" w:rsidRDefault="004813BD" w:rsidP="00494B4F">
                <w:pPr>
                  <w:spacing w:before="60" w:after="60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Löggjöfin mun taka gildi þegar í stað. Hagsmunaaðilar munu ekki þurfa langan tíma til aðlögunar.</w:t>
                </w:r>
              </w:p>
              <w:p w14:paraId="0BCD3C63" w14:textId="77777777" w:rsidR="004813BD" w:rsidRPr="00361438" w:rsidRDefault="004813BD" w:rsidP="00494B4F">
                <w:pPr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Hvaða forsendur þurfa að vera fyrir hendi til að lagasetning beri árangur?</w:t>
                </w:r>
              </w:p>
              <w:p w14:paraId="5B925870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>Liggur ekki fyrir.</w:t>
                </w: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18579C8D" w14:textId="77777777" w:rsidR="004813BD" w:rsidRPr="00361438" w:rsidRDefault="004813BD" w:rsidP="00494B4F">
                <w:pPr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>Mælikvarðar á árangur og útkomu</w:t>
                </w:r>
              </w:p>
              <w:p w14:paraId="741D9B38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>Helstu mælikvarðar á árangur og útkomu munu felast í því hvernig gangi að hrinda í framkvæmd þeim breytingum sem frumvarpið mun fela í sér.</w:t>
                </w:r>
              </w:p>
              <w:p w14:paraId="2ED8B6EB" w14:textId="77777777" w:rsidR="004813BD" w:rsidRPr="00361438" w:rsidRDefault="004813BD" w:rsidP="00494B4F">
                <w:pPr>
                  <w:numPr>
                    <w:ilvl w:val="0"/>
                    <w:numId w:val="7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Hefur verið hugað að því að afla gagna til að meta árangur þegar þar að kemur? </w:t>
                </w:r>
              </w:p>
              <w:p w14:paraId="4AEE2DB6" w14:textId="77777777" w:rsidR="004813BD" w:rsidRPr="00361438" w:rsidRDefault="004813BD" w:rsidP="00494B4F">
                <w:pPr>
                  <w:spacing w:before="60" w:after="60" w:line="276" w:lineRule="auto"/>
                  <w:ind w:left="714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61438">
                  <w:rPr>
                    <w:rFonts w:ascii="Times New Roman" w:hAnsi="Times New Roman" w:cs="Times New Roman"/>
                    <w:lang w:val="is-IS"/>
                  </w:rPr>
                  <w:t>Hefur ekki verið útfært enn.</w:t>
                </w:r>
              </w:p>
            </w:sdtContent>
          </w:sdt>
        </w:tc>
      </w:tr>
      <w:tr w:rsidR="004813BD" w:rsidRPr="00361438" w14:paraId="1142139A" w14:textId="77777777" w:rsidTr="00494B4F">
        <w:trPr>
          <w:trHeight w:val="312"/>
        </w:trPr>
        <w:tc>
          <w:tcPr>
            <w:tcW w:w="9288" w:type="dxa"/>
            <w:shd w:val="clear" w:color="auto" w:fill="4873D2" w:themeFill="accent5" w:themeFillTint="99"/>
          </w:tcPr>
          <w:p w14:paraId="2D7C3676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Annað</w:t>
            </w:r>
          </w:p>
        </w:tc>
      </w:tr>
      <w:tr w:rsidR="004813BD" w:rsidRPr="00361438" w14:paraId="4B4017DE" w14:textId="77777777" w:rsidTr="00494B4F">
        <w:trPr>
          <w:trHeight w:val="300"/>
        </w:trPr>
        <w:tc>
          <w:tcPr>
            <w:tcW w:w="9288" w:type="dxa"/>
          </w:tcPr>
          <w:p w14:paraId="2EF6C068" w14:textId="77777777" w:rsidR="004813BD" w:rsidRPr="00361438" w:rsidRDefault="00E669D8" w:rsidP="00494B4F">
            <w:pPr>
              <w:spacing w:before="60" w:after="60"/>
              <w:ind w:left="426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</w:rPr>
                <w:id w:val="2087638118"/>
              </w:sdtPr>
              <w:sdtEndPr/>
              <w:sdtContent>
                <w:r w:rsidR="004813BD" w:rsidRPr="0036143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tr w:rsidR="004813BD" w:rsidRPr="00361438" w14:paraId="63D2345F" w14:textId="77777777" w:rsidTr="00494B4F">
        <w:trPr>
          <w:trHeight w:val="312"/>
        </w:trPr>
        <w:tc>
          <w:tcPr>
            <w:tcW w:w="9288" w:type="dxa"/>
            <w:shd w:val="clear" w:color="auto" w:fill="4873D2" w:themeFill="accent5" w:themeFillTint="99"/>
          </w:tcPr>
          <w:p w14:paraId="74E0816D" w14:textId="77777777" w:rsidR="004813BD" w:rsidRPr="00361438" w:rsidRDefault="004813BD" w:rsidP="00494B4F">
            <w:pPr>
              <w:numPr>
                <w:ilvl w:val="0"/>
                <w:numId w:val="1"/>
              </w:numPr>
              <w:spacing w:before="60" w:after="60"/>
              <w:ind w:left="426" w:hanging="284"/>
              <w:contextualSpacing/>
              <w:rPr>
                <w:rFonts w:ascii="Times New Roman" w:hAnsi="Times New Roman" w:cs="Times New Roman"/>
                <w:b/>
                <w:lang w:val="is-IS"/>
              </w:rPr>
            </w:pPr>
            <w:r w:rsidRPr="00361438">
              <w:rPr>
                <w:rFonts w:ascii="Times New Roman" w:hAnsi="Times New Roman" w:cs="Times New Roman"/>
                <w:b/>
                <w:lang w:val="is-IS"/>
              </w:rPr>
              <w:t>Fylgiskjöl</w:t>
            </w:r>
          </w:p>
        </w:tc>
      </w:tr>
    </w:tbl>
    <w:sdt>
      <w:sdtPr>
        <w:id w:val="1543943641"/>
      </w:sdtPr>
      <w:sdtEndPr/>
      <w:sdtContent>
        <w:p w14:paraId="1230116F" w14:textId="77777777" w:rsidR="004813BD" w:rsidRPr="00361438" w:rsidRDefault="004813BD" w:rsidP="004813BD"/>
        <w:tbl>
          <w:tblPr>
            <w:tblStyle w:val="TableGrid"/>
            <w:tblW w:w="9288" w:type="dxa"/>
            <w:tblLayout w:type="fixed"/>
            <w:tblLook w:val="04A0" w:firstRow="1" w:lastRow="0" w:firstColumn="1" w:lastColumn="0" w:noHBand="0" w:noVBand="1"/>
          </w:tblPr>
          <w:tblGrid>
            <w:gridCol w:w="9288"/>
          </w:tblGrid>
          <w:tr w:rsidR="004813BD" w:rsidRPr="00361438" w14:paraId="4131F5DD" w14:textId="77777777" w:rsidTr="00494B4F">
            <w:trPr>
              <w:trHeight w:val="300"/>
            </w:trPr>
            <w:tc>
              <w:tcPr>
                <w:tcW w:w="9288" w:type="dxa"/>
              </w:tcPr>
              <w:p w14:paraId="59197889" w14:textId="77777777" w:rsidR="004813BD" w:rsidRPr="00361438" w:rsidRDefault="00E669D8" w:rsidP="00494B4F">
                <w:pPr>
                  <w:numPr>
                    <w:ilvl w:val="0"/>
                    <w:numId w:val="10"/>
                  </w:numPr>
                  <w:spacing w:before="60" w:after="60"/>
                  <w:contextualSpacing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</w:tc>
          </w:tr>
        </w:tbl>
      </w:sdtContent>
    </w:sdt>
    <w:p w14:paraId="34B1EDD0" w14:textId="77777777" w:rsidR="004813BD" w:rsidRPr="00361438" w:rsidRDefault="004813BD" w:rsidP="004813BD">
      <w:pPr>
        <w:rPr>
          <w:rFonts w:ascii="Times New Roman" w:hAnsi="Times New Roman" w:cs="Times New Roman"/>
        </w:rPr>
      </w:pPr>
    </w:p>
    <w:p w14:paraId="28FD05D4" w14:textId="77777777" w:rsidR="004813BD" w:rsidRPr="00361438" w:rsidRDefault="004813BD" w:rsidP="004813BD"/>
    <w:p w14:paraId="0DD55183" w14:textId="77777777" w:rsidR="004813BD" w:rsidRDefault="004813BD" w:rsidP="004813BD"/>
    <w:p w14:paraId="3B350231" w14:textId="77777777" w:rsidR="00A40635" w:rsidRDefault="00A40635"/>
    <w:sectPr w:rsidR="00A406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73C7D" w14:textId="77777777" w:rsidR="00E669D8" w:rsidRDefault="00E669D8">
      <w:pPr>
        <w:spacing w:after="0" w:line="240" w:lineRule="auto"/>
      </w:pPr>
      <w:r>
        <w:separator/>
      </w:r>
    </w:p>
  </w:endnote>
  <w:endnote w:type="continuationSeparator" w:id="0">
    <w:p w14:paraId="4AFC66C1" w14:textId="77777777" w:rsidR="00E669D8" w:rsidRDefault="00E6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1A0C3" w14:textId="77777777" w:rsidR="00192DB0" w:rsidRDefault="00433760" w:rsidP="008037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69BF">
          <w:rPr>
            <w:noProof/>
            <w:lang w:val="is-IS"/>
          </w:rPr>
          <w:t>2</w:t>
        </w:r>
        <w:r>
          <w:rPr>
            <w:noProof/>
          </w:rPr>
          <w:fldChar w:fldCharType="end"/>
        </w:r>
      </w:p>
    </w:sdtContent>
  </w:sdt>
  <w:p w14:paraId="4001050C" w14:textId="77777777" w:rsidR="00192DB0" w:rsidRPr="00063E97" w:rsidRDefault="00433760" w:rsidP="008037EE">
    <w:pP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t>Útg. 2</w:t>
    </w:r>
    <w:r w:rsidRPr="00063E97">
      <w:rPr>
        <w:rFonts w:ascii="Times New Roman" w:hAnsi="Times New Roman" w:cs="Times New Roman"/>
        <w:noProof/>
        <w:sz w:val="20"/>
        <w:szCs w:val="20"/>
      </w:rPr>
      <w:t xml:space="preserve"> – </w:t>
    </w:r>
    <w:r>
      <w:rPr>
        <w:rFonts w:ascii="Times New Roman" w:hAnsi="Times New Roman" w:cs="Times New Roman"/>
        <w:noProof/>
        <w:sz w:val="20"/>
        <w:szCs w:val="20"/>
      </w:rPr>
      <w:t>Ágúst</w:t>
    </w:r>
    <w:r w:rsidRPr="00063E97">
      <w:rPr>
        <w:rFonts w:ascii="Times New Roman" w:hAnsi="Times New Roman" w:cs="Times New Roman"/>
        <w:noProof/>
        <w:sz w:val="20"/>
        <w:szCs w:val="20"/>
      </w:rPr>
      <w:t xml:space="preserve">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23037" w14:textId="77777777" w:rsidR="00E669D8" w:rsidRDefault="00E669D8">
      <w:pPr>
        <w:spacing w:after="0" w:line="240" w:lineRule="auto"/>
      </w:pPr>
      <w:r>
        <w:separator/>
      </w:r>
    </w:p>
  </w:footnote>
  <w:footnote w:type="continuationSeparator" w:id="0">
    <w:p w14:paraId="366A901B" w14:textId="77777777" w:rsidR="00E669D8" w:rsidRDefault="00E6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0185"/>
    <w:multiLevelType w:val="hybridMultilevel"/>
    <w:tmpl w:val="F72022DC"/>
    <w:lvl w:ilvl="0" w:tplc="040F000F">
      <w:start w:val="1"/>
      <w:numFmt w:val="decimal"/>
      <w:lvlText w:val="%1.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BD"/>
    <w:rsid w:val="001B6ADD"/>
    <w:rsid w:val="00222733"/>
    <w:rsid w:val="00295597"/>
    <w:rsid w:val="002E4F42"/>
    <w:rsid w:val="00396567"/>
    <w:rsid w:val="003D5BAE"/>
    <w:rsid w:val="00433760"/>
    <w:rsid w:val="004539D7"/>
    <w:rsid w:val="004813BD"/>
    <w:rsid w:val="00602E44"/>
    <w:rsid w:val="00696451"/>
    <w:rsid w:val="00762980"/>
    <w:rsid w:val="00927A8D"/>
    <w:rsid w:val="00945942"/>
    <w:rsid w:val="009555A6"/>
    <w:rsid w:val="00A40635"/>
    <w:rsid w:val="00A8203E"/>
    <w:rsid w:val="00AF56DF"/>
    <w:rsid w:val="00BA4A1E"/>
    <w:rsid w:val="00DC54C0"/>
    <w:rsid w:val="00DF22F1"/>
    <w:rsid w:val="00E669D8"/>
    <w:rsid w:val="00F737C4"/>
    <w:rsid w:val="00F7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94AA"/>
  <w15:chartTrackingRefBased/>
  <w15:docId w15:val="{70F68633-387A-40E9-A587-49123553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813B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813BD"/>
    <w:rPr>
      <w:lang w:val="en-US"/>
    </w:rPr>
  </w:style>
  <w:style w:type="table" w:styleId="TableGrid">
    <w:name w:val="Table Grid"/>
    <w:basedOn w:val="TableNormal"/>
    <w:uiPriority w:val="59"/>
    <w:rsid w:val="004813B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3B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F5C0298E6184833849B407A1B2B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CCEC-5039-4F37-8312-CCF440AB3C33}"/>
      </w:docPartPr>
      <w:docPartBody>
        <w:p w:rsidR="00017F06" w:rsidRDefault="00E65FEF" w:rsidP="00E65FEF">
          <w:pPr>
            <w:pStyle w:val="4F5C0298E6184833849B407A1B2BFF72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1AEB5E7D75124D9F868F5D4B1523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2974-1A07-4D62-9031-26764A87CEB6}"/>
      </w:docPartPr>
      <w:docPartBody>
        <w:p w:rsidR="00017F06" w:rsidRDefault="00E65FEF" w:rsidP="00E65FEF">
          <w:pPr>
            <w:pStyle w:val="1AEB5E7D75124D9F868F5D4B1523BA12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EF"/>
    <w:rsid w:val="00017F06"/>
    <w:rsid w:val="00804C3F"/>
    <w:rsid w:val="008248BA"/>
    <w:rsid w:val="00AD3EA5"/>
    <w:rsid w:val="00E65FEF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5C0298E6184833849B407A1B2BFF72">
    <w:name w:val="4F5C0298E6184833849B407A1B2BFF72"/>
    <w:rsid w:val="00E65FEF"/>
  </w:style>
  <w:style w:type="paragraph" w:customStyle="1" w:styleId="1AEB5E7D75124D9F868F5D4B1523BA12">
    <w:name w:val="1AEB5E7D75124D9F868F5D4B1523BA12"/>
    <w:rsid w:val="00E65F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Ingi Óskarsson</dc:creator>
  <cp:keywords/>
  <dc:description/>
  <cp:lastModifiedBy>Björn Ingi Óskarsson</cp:lastModifiedBy>
  <cp:revision>5</cp:revision>
  <dcterms:created xsi:type="dcterms:W3CDTF">2021-11-11T07:50:00Z</dcterms:created>
  <dcterms:modified xsi:type="dcterms:W3CDTF">2021-11-11T08:33:00Z</dcterms:modified>
</cp:coreProperties>
</file>