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E7CA1" w14:textId="77777777" w:rsidR="001434CE" w:rsidRDefault="001434CE" w:rsidP="001434CE">
      <w:pPr>
        <w:pStyle w:val="Heading1"/>
      </w:pPr>
      <w:r>
        <w:t>REGLUGERÐ</w:t>
      </w:r>
    </w:p>
    <w:p w14:paraId="70CFFA90" w14:textId="588648EB" w:rsidR="001434CE" w:rsidRDefault="001434CE" w:rsidP="001434CE">
      <w:pPr>
        <w:pStyle w:val="Heading2"/>
      </w:pPr>
      <w:r>
        <w:t xml:space="preserve">um </w:t>
      </w:r>
      <w:r w:rsidR="003908C4">
        <w:t>breytingu á byggingarreglugerð</w:t>
      </w:r>
      <w:r w:rsidR="0017003A">
        <w:t>,</w:t>
      </w:r>
      <w:r w:rsidR="003908C4">
        <w:t xml:space="preserve"> nr. 112/2012</w:t>
      </w:r>
      <w:r w:rsidR="0017003A">
        <w:t>, með síðari breytingum.</w:t>
      </w:r>
    </w:p>
    <w:p w14:paraId="75CC4A7D" w14:textId="77777777" w:rsidR="001434CE" w:rsidRDefault="001434CE" w:rsidP="001434CE">
      <w:pPr>
        <w:rPr>
          <w:lang w:eastAsia="en-GB"/>
        </w:rPr>
      </w:pPr>
    </w:p>
    <w:p w14:paraId="30A0AB5A" w14:textId="390D2C69" w:rsidR="001434CE" w:rsidRDefault="001434CE" w:rsidP="00714753">
      <w:pPr>
        <w:pStyle w:val="Heading3"/>
        <w:jc w:val="both"/>
      </w:pPr>
    </w:p>
    <w:p w14:paraId="3F82E84F" w14:textId="77777777" w:rsidR="001A3112" w:rsidRDefault="001434CE" w:rsidP="001A3112">
      <w:pPr>
        <w:pStyle w:val="Heading3"/>
      </w:pPr>
      <w:r>
        <w:t>1. gr.</w:t>
      </w:r>
    </w:p>
    <w:p w14:paraId="3E8B328E" w14:textId="46E2E372" w:rsidR="001434CE" w:rsidRPr="001A3112" w:rsidRDefault="00BA494B" w:rsidP="001A3112">
      <w:pPr>
        <w:pStyle w:val="Heading3"/>
        <w:jc w:val="both"/>
      </w:pPr>
      <w:r>
        <w:rPr>
          <w:iCs/>
        </w:rPr>
        <w:tab/>
      </w:r>
      <w:r w:rsidR="00714753" w:rsidRPr="00323FF5">
        <w:rPr>
          <w:iCs/>
        </w:rPr>
        <w:t>Ef</w:t>
      </w:r>
      <w:r w:rsidR="00C66D45" w:rsidRPr="00323FF5">
        <w:rPr>
          <w:iCs/>
        </w:rPr>
        <w:t xml:space="preserve">tirfarandi breytingar </w:t>
      </w:r>
      <w:r w:rsidR="00800A5F" w:rsidRPr="00323FF5">
        <w:rPr>
          <w:iCs/>
        </w:rPr>
        <w:t>verða</w:t>
      </w:r>
      <w:r w:rsidR="00C66D45" w:rsidRPr="00323FF5">
        <w:rPr>
          <w:iCs/>
        </w:rPr>
        <w:t xml:space="preserve"> á 1.2.1. gr. </w:t>
      </w:r>
      <w:r w:rsidR="00800A5F" w:rsidRPr="00323FF5">
        <w:rPr>
          <w:iCs/>
        </w:rPr>
        <w:t>reglugerðarinnar</w:t>
      </w:r>
      <w:r w:rsidR="00C66D45" w:rsidRPr="00323FF5">
        <w:rPr>
          <w:iCs/>
        </w:rPr>
        <w:t>:</w:t>
      </w:r>
    </w:p>
    <w:p w14:paraId="41271FF5" w14:textId="77777777" w:rsidR="00AF3DFF" w:rsidRPr="00AF3DFF" w:rsidRDefault="00AF3DFF" w:rsidP="00AF3DFF">
      <w:pPr>
        <w:pStyle w:val="ListParagraph"/>
        <w:numPr>
          <w:ilvl w:val="0"/>
          <w:numId w:val="6"/>
        </w:numPr>
        <w:rPr>
          <w:lang w:eastAsia="en-GB"/>
        </w:rPr>
      </w:pPr>
      <w:r w:rsidRPr="00AF3DFF">
        <w:rPr>
          <w:lang w:eastAsia="en-GB"/>
        </w:rPr>
        <w:t xml:space="preserve">Nýr töluliður bætist við í viðeigandi stafrófsröð: Ljósvist: Samansafn ýmissa þátta sem snúa að lýsingu, s.s. dagsljósi og raflýsingu, sem saman lýsa sjónskilyrðum og þeirri upplifun sem rýmið veitir. Þættirnir eru meðal annars litarhitastig, litarendurgjöf, flökt, styrkur, jafnleiki, geislun, ljómi, glýja, ljósmengun og orka. </w:t>
      </w:r>
    </w:p>
    <w:p w14:paraId="315EABA5" w14:textId="7C7FC38F" w:rsidR="001434CE" w:rsidRDefault="007F7556" w:rsidP="00243CA0">
      <w:pPr>
        <w:pStyle w:val="ListParagraph"/>
        <w:numPr>
          <w:ilvl w:val="0"/>
          <w:numId w:val="6"/>
        </w:numPr>
        <w:tabs>
          <w:tab w:val="clear" w:pos="397"/>
          <w:tab w:val="clear" w:pos="709"/>
        </w:tabs>
        <w:ind w:left="754" w:hanging="357"/>
        <w:jc w:val="left"/>
      </w:pPr>
      <w:r w:rsidRPr="003F7A48">
        <w:t xml:space="preserve">Nýr töluliður bætist við í viðeigandi stafrófsröð: </w:t>
      </w:r>
      <w:r w:rsidRPr="003F7A48">
        <w:rPr>
          <w:i/>
          <w:iCs/>
        </w:rPr>
        <w:t>Vistarverur</w:t>
      </w:r>
      <w:r w:rsidRPr="003F7A48">
        <w:t>: Með vistarverum er átt við íbúðarhúsnæði og annað rými þar sem fólk dvelur í lengri tíma (&gt; 30 mín), s.s. vinnurými, kennslustofur, matsalir, stofur og eldhús.</w:t>
      </w:r>
    </w:p>
    <w:p w14:paraId="135EF88E" w14:textId="77777777" w:rsidR="00243CA0" w:rsidRDefault="00243CA0" w:rsidP="00243CA0">
      <w:pPr>
        <w:pStyle w:val="ListParagraph"/>
        <w:tabs>
          <w:tab w:val="clear" w:pos="397"/>
          <w:tab w:val="clear" w:pos="709"/>
        </w:tabs>
        <w:ind w:left="754" w:firstLine="0"/>
        <w:jc w:val="left"/>
      </w:pPr>
    </w:p>
    <w:p w14:paraId="17EBB422" w14:textId="77777777" w:rsidR="001434CE" w:rsidRDefault="001434CE" w:rsidP="001434CE">
      <w:pPr>
        <w:pStyle w:val="Heading3"/>
      </w:pPr>
      <w:r>
        <w:t>2. gr.</w:t>
      </w:r>
    </w:p>
    <w:p w14:paraId="1E0A20E7" w14:textId="0F88F4FB" w:rsidR="00800A5F" w:rsidRDefault="00BA494B" w:rsidP="00943D69">
      <w:pPr>
        <w:ind w:firstLine="0"/>
        <w:rPr>
          <w:lang w:eastAsia="en-GB"/>
        </w:rPr>
      </w:pPr>
      <w:r>
        <w:rPr>
          <w:lang w:eastAsia="en-GB"/>
        </w:rPr>
        <w:tab/>
      </w:r>
      <w:r w:rsidR="00800A5F">
        <w:rPr>
          <w:lang w:eastAsia="en-GB"/>
        </w:rPr>
        <w:t>Við 2.5.</w:t>
      </w:r>
      <w:r w:rsidR="00072CCA">
        <w:rPr>
          <w:lang w:eastAsia="en-GB"/>
        </w:rPr>
        <w:t>2</w:t>
      </w:r>
      <w:r w:rsidR="00800A5F">
        <w:rPr>
          <w:lang w:eastAsia="en-GB"/>
        </w:rPr>
        <w:t>. gr. reglugerðarinnar bætist ný mgr., sem verður 2. mgr., svohljóðandi:</w:t>
      </w:r>
    </w:p>
    <w:p w14:paraId="2CD3FB2F" w14:textId="2CEDCB8A" w:rsidR="00C650AE" w:rsidRDefault="00BA494B" w:rsidP="00243CA0">
      <w:pPr>
        <w:ind w:left="397" w:firstLine="0"/>
        <w:rPr>
          <w:lang w:eastAsia="en-GB"/>
        </w:rPr>
      </w:pPr>
      <w:r>
        <w:rPr>
          <w:lang w:eastAsia="en-GB"/>
        </w:rPr>
        <w:tab/>
      </w:r>
      <w:r w:rsidR="00483EC7" w:rsidRPr="00483EC7">
        <w:rPr>
          <w:lang w:eastAsia="en-GB"/>
        </w:rPr>
        <w:t>Við gerð og uppsetningu skilta sem eru upplýst eða sem ljós stafar frá skal jafnframt gæta að kröfum varðandi ljósmengun, sbr. 10.4.5. gr.</w:t>
      </w:r>
    </w:p>
    <w:p w14:paraId="3CE5F653" w14:textId="77777777" w:rsidR="00243CA0" w:rsidRDefault="00243CA0" w:rsidP="00243CA0">
      <w:pPr>
        <w:ind w:left="397" w:firstLine="0"/>
        <w:rPr>
          <w:lang w:eastAsia="en-GB"/>
        </w:rPr>
      </w:pPr>
    </w:p>
    <w:p w14:paraId="6E260604" w14:textId="44069C47" w:rsidR="00483EC7" w:rsidRDefault="0051324E" w:rsidP="007F1B3F">
      <w:pPr>
        <w:pStyle w:val="Heading3"/>
      </w:pPr>
      <w:r>
        <w:t>3. gr.</w:t>
      </w:r>
    </w:p>
    <w:p w14:paraId="1EEE0E23" w14:textId="234D1B03" w:rsidR="0051324E" w:rsidRDefault="00BA494B" w:rsidP="008664D5">
      <w:pPr>
        <w:ind w:firstLine="0"/>
        <w:rPr>
          <w:iCs/>
        </w:rPr>
      </w:pPr>
      <w:r>
        <w:rPr>
          <w:iCs/>
        </w:rPr>
        <w:tab/>
      </w:r>
      <w:r w:rsidR="008664D5" w:rsidRPr="00323FF5">
        <w:rPr>
          <w:iCs/>
        </w:rPr>
        <w:t xml:space="preserve">Eftirfarandi breytingar verða á </w:t>
      </w:r>
      <w:r w:rsidR="008664D5">
        <w:rPr>
          <w:iCs/>
        </w:rPr>
        <w:t>3.9.2.</w:t>
      </w:r>
      <w:r w:rsidR="008664D5" w:rsidRPr="00323FF5">
        <w:rPr>
          <w:iCs/>
        </w:rPr>
        <w:t xml:space="preserve"> gr. reglugerðarinnar:</w:t>
      </w:r>
    </w:p>
    <w:p w14:paraId="5F039744" w14:textId="77777777" w:rsidR="00AB49F5" w:rsidRPr="00AB49F5" w:rsidRDefault="00AB49F5" w:rsidP="00AB49F5">
      <w:pPr>
        <w:pStyle w:val="ListParagraph"/>
        <w:numPr>
          <w:ilvl w:val="0"/>
          <w:numId w:val="8"/>
        </w:numPr>
        <w:rPr>
          <w:lang w:eastAsia="en-GB"/>
        </w:rPr>
      </w:pPr>
      <w:r w:rsidRPr="00AB49F5">
        <w:rPr>
          <w:lang w:eastAsia="en-GB"/>
        </w:rPr>
        <w:t>Í stað orðanna „á byggingarstað.“ í 1. málslið 1. mgr. kemur: „aðgengilegir“.</w:t>
      </w:r>
    </w:p>
    <w:p w14:paraId="4C365443" w14:textId="545DE961" w:rsidR="00764770" w:rsidRDefault="004A2B08" w:rsidP="00243CA0">
      <w:pPr>
        <w:pStyle w:val="ListParagraph"/>
        <w:numPr>
          <w:ilvl w:val="0"/>
          <w:numId w:val="8"/>
        </w:numPr>
        <w:ind w:left="714" w:hanging="357"/>
        <w:jc w:val="left"/>
        <w:rPr>
          <w:kern w:val="28"/>
          <w:lang w:eastAsia="is-IS"/>
        </w:rPr>
      </w:pPr>
      <w:r w:rsidRPr="003F7A48">
        <w:rPr>
          <w:kern w:val="28"/>
          <w:lang w:eastAsia="is-IS"/>
        </w:rPr>
        <w:t xml:space="preserve">Nýr töluliður bætist við 1. mgr., sem verður að f-lið og breytast aðrir töluliðir til samræmis, svohljóðandi: Staðfestingu rafvirkjameistara um að lýsingarkerfi hafi verið virkniprófað. </w:t>
      </w:r>
    </w:p>
    <w:p w14:paraId="46D7EA4A" w14:textId="77777777" w:rsidR="00243CA0" w:rsidRPr="00243CA0" w:rsidRDefault="00243CA0" w:rsidP="00243CA0">
      <w:pPr>
        <w:pStyle w:val="ListParagraph"/>
        <w:ind w:left="714" w:firstLine="0"/>
        <w:jc w:val="left"/>
        <w:rPr>
          <w:kern w:val="28"/>
          <w:lang w:eastAsia="is-IS"/>
        </w:rPr>
      </w:pPr>
    </w:p>
    <w:p w14:paraId="43C2F952" w14:textId="0231ECC9" w:rsidR="004870F3" w:rsidRDefault="004870F3" w:rsidP="00943D69">
      <w:pPr>
        <w:pStyle w:val="Heading3"/>
      </w:pPr>
      <w:r>
        <w:t>4. gr.</w:t>
      </w:r>
    </w:p>
    <w:p w14:paraId="0462F650" w14:textId="7B766929" w:rsidR="002074AD" w:rsidRDefault="006706BF" w:rsidP="00243CA0">
      <w:pPr>
        <w:ind w:left="397" w:firstLine="0"/>
        <w:rPr>
          <w:lang w:eastAsia="en-GB"/>
        </w:rPr>
      </w:pPr>
      <w:r>
        <w:rPr>
          <w:lang w:eastAsia="en-GB"/>
        </w:rPr>
        <w:t>Í stað orðsins „lýsingar“ í h-lið 1. mgr. 4.5.3. gr. reglugerðarinnar kemur „ljósvistar“.</w:t>
      </w:r>
    </w:p>
    <w:p w14:paraId="1151A320" w14:textId="03EBC7B6" w:rsidR="002074AD" w:rsidRDefault="002074AD" w:rsidP="004870F3">
      <w:pPr>
        <w:rPr>
          <w:lang w:eastAsia="en-GB"/>
        </w:rPr>
      </w:pPr>
    </w:p>
    <w:p w14:paraId="2DA636DB" w14:textId="77777777" w:rsidR="006B21A7" w:rsidRDefault="002074AD" w:rsidP="006B21A7">
      <w:pPr>
        <w:pStyle w:val="Heading3"/>
      </w:pPr>
      <w:r>
        <w:t>5. gr.</w:t>
      </w:r>
    </w:p>
    <w:p w14:paraId="7ABA8D32" w14:textId="2BE18BC6" w:rsidR="006B21A7" w:rsidRDefault="006B21A7" w:rsidP="006B21A7">
      <w:pPr>
        <w:rPr>
          <w:lang w:eastAsia="en-GB"/>
        </w:rPr>
      </w:pPr>
      <w:r>
        <w:rPr>
          <w:lang w:eastAsia="en-GB"/>
        </w:rPr>
        <w:t>Eftirfarandi breytingar verða á 6.7.2. gr. reglugerðarinnar:</w:t>
      </w:r>
    </w:p>
    <w:p w14:paraId="10151C00" w14:textId="77777777" w:rsidR="00C82886" w:rsidRDefault="002A5D62" w:rsidP="00C82886">
      <w:pPr>
        <w:pStyle w:val="ListParagraph"/>
        <w:numPr>
          <w:ilvl w:val="0"/>
          <w:numId w:val="10"/>
        </w:numPr>
        <w:rPr>
          <w:lang w:eastAsia="en-GB"/>
        </w:rPr>
      </w:pPr>
      <w:r>
        <w:rPr>
          <w:lang w:eastAsia="en-GB"/>
        </w:rPr>
        <w:t>1., 3. og. 5. mgr. falla brott.</w:t>
      </w:r>
    </w:p>
    <w:p w14:paraId="19F5E375" w14:textId="45F2D654" w:rsidR="00606926" w:rsidRPr="006B21A7" w:rsidRDefault="002A5D62" w:rsidP="00C82886">
      <w:pPr>
        <w:pStyle w:val="ListParagraph"/>
        <w:numPr>
          <w:ilvl w:val="0"/>
          <w:numId w:val="10"/>
        </w:numPr>
        <w:rPr>
          <w:lang w:eastAsia="en-GB"/>
        </w:rPr>
      </w:pPr>
      <w:r>
        <w:rPr>
          <w:lang w:eastAsia="en-GB"/>
        </w:rPr>
        <w:t>Fyrirsögn verður svohljóðandi: „Lofthæð íbúða</w:t>
      </w:r>
      <w:r w:rsidR="00606926">
        <w:rPr>
          <w:lang w:eastAsia="en-GB"/>
        </w:rPr>
        <w:t>.“</w:t>
      </w:r>
    </w:p>
    <w:p w14:paraId="116E4692" w14:textId="4E95F687" w:rsidR="003D5BDF" w:rsidRDefault="003D5BDF" w:rsidP="00374AA6">
      <w:pPr>
        <w:ind w:firstLine="0"/>
        <w:rPr>
          <w:lang w:eastAsia="en-GB"/>
        </w:rPr>
      </w:pPr>
    </w:p>
    <w:p w14:paraId="3E0377D3" w14:textId="62809169" w:rsidR="003D5BDF" w:rsidRDefault="00374AA6" w:rsidP="003D5BDF">
      <w:pPr>
        <w:pStyle w:val="Heading3"/>
      </w:pPr>
      <w:r>
        <w:t>6</w:t>
      </w:r>
      <w:r w:rsidR="003D5BDF">
        <w:t>. gr.</w:t>
      </w:r>
    </w:p>
    <w:p w14:paraId="5FC62E22" w14:textId="15631131" w:rsidR="00D32C5A" w:rsidRDefault="00D32C5A" w:rsidP="00C55AFA">
      <w:pPr>
        <w:rPr>
          <w:lang w:eastAsia="en-GB"/>
        </w:rPr>
      </w:pPr>
      <w:r>
        <w:rPr>
          <w:lang w:eastAsia="en-GB"/>
        </w:rPr>
        <w:t>Kafli</w:t>
      </w:r>
      <w:r w:rsidR="00624A39">
        <w:rPr>
          <w:lang w:eastAsia="en-GB"/>
        </w:rPr>
        <w:t xml:space="preserve"> 10.4. verður svohljóðandi</w:t>
      </w:r>
      <w:r>
        <w:rPr>
          <w:lang w:eastAsia="en-GB"/>
        </w:rPr>
        <w:t>,</w:t>
      </w:r>
      <w:r w:rsidR="00624A39">
        <w:rPr>
          <w:lang w:eastAsia="en-GB"/>
        </w:rPr>
        <w:t xml:space="preserve"> ásamt fyrirsögn og kaflaheiti</w:t>
      </w:r>
      <w:r w:rsidR="00C55AFA">
        <w:rPr>
          <w:lang w:eastAsia="en-GB"/>
        </w:rPr>
        <w:t>:</w:t>
      </w:r>
    </w:p>
    <w:p w14:paraId="6D30CA1C" w14:textId="77777777" w:rsidR="00C82886" w:rsidRDefault="00C82886" w:rsidP="00D32C5A">
      <w:pPr>
        <w:jc w:val="center"/>
        <w:rPr>
          <w:lang w:eastAsia="en-GB"/>
        </w:rPr>
      </w:pPr>
    </w:p>
    <w:p w14:paraId="72794A6A" w14:textId="411803BF" w:rsidR="00D32C5A" w:rsidRDefault="001963AA" w:rsidP="00D32C5A">
      <w:pPr>
        <w:jc w:val="center"/>
        <w:rPr>
          <w:lang w:eastAsia="en-GB"/>
        </w:rPr>
      </w:pPr>
      <w:r>
        <w:rPr>
          <w:lang w:eastAsia="en-GB"/>
        </w:rPr>
        <w:t>10.4. KAFLI</w:t>
      </w:r>
    </w:p>
    <w:p w14:paraId="364D1A4D" w14:textId="06BF6A4A" w:rsidR="001963AA" w:rsidRDefault="001963AA" w:rsidP="00D32C5A">
      <w:pPr>
        <w:jc w:val="center"/>
        <w:rPr>
          <w:b/>
          <w:bCs/>
          <w:lang w:eastAsia="en-GB"/>
        </w:rPr>
      </w:pPr>
      <w:r>
        <w:rPr>
          <w:b/>
          <w:bCs/>
          <w:lang w:eastAsia="en-GB"/>
        </w:rPr>
        <w:t>Ljósvist og útsýni</w:t>
      </w:r>
      <w:r w:rsidR="002C3C00">
        <w:rPr>
          <w:b/>
          <w:bCs/>
          <w:lang w:eastAsia="en-GB"/>
        </w:rPr>
        <w:t>.</w:t>
      </w:r>
    </w:p>
    <w:p w14:paraId="2E2A7863" w14:textId="5EF92A93" w:rsidR="002C3C00" w:rsidRDefault="002C3C00" w:rsidP="00D32C5A">
      <w:pPr>
        <w:jc w:val="center"/>
        <w:rPr>
          <w:lang w:eastAsia="en-GB"/>
        </w:rPr>
      </w:pPr>
      <w:r>
        <w:rPr>
          <w:lang w:eastAsia="en-GB"/>
        </w:rPr>
        <w:t>10.4.1.</w:t>
      </w:r>
      <w:r w:rsidR="00F8419C">
        <w:rPr>
          <w:lang w:eastAsia="en-GB"/>
        </w:rPr>
        <w:t xml:space="preserve"> gr.</w:t>
      </w:r>
    </w:p>
    <w:p w14:paraId="5D045661" w14:textId="3ED796C1" w:rsidR="002C3C00" w:rsidRDefault="002C3C00" w:rsidP="00D32C5A">
      <w:pPr>
        <w:jc w:val="center"/>
        <w:rPr>
          <w:i/>
          <w:iCs/>
          <w:lang w:eastAsia="en-GB"/>
        </w:rPr>
      </w:pPr>
      <w:r>
        <w:rPr>
          <w:i/>
          <w:iCs/>
          <w:lang w:eastAsia="en-GB"/>
        </w:rPr>
        <w:t>Framsetning krafna</w:t>
      </w:r>
      <w:r w:rsidR="00BA39F2">
        <w:rPr>
          <w:i/>
          <w:iCs/>
          <w:lang w:eastAsia="en-GB"/>
        </w:rPr>
        <w:t>.</w:t>
      </w:r>
    </w:p>
    <w:p w14:paraId="2357F749" w14:textId="78534DAB" w:rsidR="00C82886" w:rsidRDefault="00FA05DE" w:rsidP="00C55AFA">
      <w:pPr>
        <w:ind w:firstLine="357"/>
      </w:pPr>
      <w:r>
        <w:rPr>
          <w:lang w:eastAsia="en-GB"/>
        </w:rPr>
        <w:tab/>
      </w:r>
      <w:r w:rsidR="0087571F" w:rsidRPr="003F7A48">
        <w:t>Um þau ákvæði þessa hluta reglugerðarinnar sem skip</w:t>
      </w:r>
      <w:r w:rsidR="0087571F">
        <w:t>t</w:t>
      </w:r>
      <w:r w:rsidR="0087571F" w:rsidRPr="003F7A48">
        <w:t>ast í meginreglur og viðmiðunarreglur gildir að meginreglur eru ávallt ófrávíkjanlegar en viðmiðunarreglur eru frávíkjanlegar ef sýnt er fram á að gæði, heilsa og öryggi séu tryggð með jafngildum hætti og meginregla viðkomandi ákvæðis þar með uppfyllt. Í slíkum tilvikum skal hönnuður skila með hönnunargögnum greinargerð þar sem gerð er grein fyrir því og rökstutt með hvaða hætti meginregla ákvæðisins er uppfyllt og gæði, heilsa og öryggi tryggð. Önnur ákvæði þessa hluta reglugerðarinnar eru ófrávíkjanleg nema annað sé sérstaklega tekið fram í viðkomandi ákvæði.</w:t>
      </w:r>
    </w:p>
    <w:p w14:paraId="6F44AFDC" w14:textId="77777777" w:rsidR="00C82886" w:rsidRDefault="00C82886" w:rsidP="00FE0A47">
      <w:pPr>
        <w:ind w:firstLine="360"/>
        <w:jc w:val="center"/>
      </w:pPr>
    </w:p>
    <w:p w14:paraId="4168D4D2" w14:textId="00B65E1A" w:rsidR="00FE0A47" w:rsidRDefault="00F8419C" w:rsidP="00FE0A47">
      <w:pPr>
        <w:ind w:firstLine="360"/>
        <w:jc w:val="center"/>
      </w:pPr>
      <w:r>
        <w:t>10.4.2. gr.</w:t>
      </w:r>
    </w:p>
    <w:p w14:paraId="7F55F87E" w14:textId="36E99A9C" w:rsidR="00F8419C" w:rsidRDefault="00F8419C" w:rsidP="00FE0A47">
      <w:pPr>
        <w:ind w:firstLine="360"/>
        <w:jc w:val="center"/>
        <w:rPr>
          <w:i/>
          <w:iCs/>
        </w:rPr>
      </w:pPr>
      <w:r>
        <w:rPr>
          <w:i/>
          <w:iCs/>
        </w:rPr>
        <w:t>Markmið.</w:t>
      </w:r>
    </w:p>
    <w:p w14:paraId="33AEAD56" w14:textId="77777777" w:rsidR="0073386C" w:rsidRDefault="00F8419C" w:rsidP="00C82886">
      <w:pPr>
        <w:ind w:firstLine="357"/>
      </w:pPr>
      <w:r>
        <w:tab/>
      </w:r>
      <w:r w:rsidR="0073386C" w:rsidRPr="003F7A48">
        <w:t xml:space="preserve">Þess skal gætt að byggingar og önnur mannvirki hafi eðlileg tengsl við útivistarsvæði á lóð og staðsetning vistarvera taki mið af dagsbirtu og útsýni þannig að góðrar ljósvistar gæti í vistarverum. </w:t>
      </w:r>
      <w:r w:rsidR="0073386C" w:rsidRPr="003F7A48">
        <w:lastRenderedPageBreak/>
        <w:t>Mannvirki skulu þannig hönnuð og byggð að tekið sé tillit til þarfa allra aldurshópa vegna ljósvistar og að hún sé í fullu samræmi við þá starfsemi sem fer fram við eða innan mannvirkisins, án þess að óeðlilegur truflandi hiti eða óeðlileg glýjumyndun verði vegna raflýsingar.</w:t>
      </w:r>
    </w:p>
    <w:p w14:paraId="73DC9958" w14:textId="77777777" w:rsidR="00BB5FC9" w:rsidRDefault="00BB5FC9" w:rsidP="00652F2D">
      <w:pPr>
        <w:ind w:firstLine="357"/>
      </w:pPr>
    </w:p>
    <w:p w14:paraId="3053B597" w14:textId="7AA3A6EC" w:rsidR="0073386C" w:rsidRDefault="0073386C" w:rsidP="0073386C">
      <w:pPr>
        <w:ind w:firstLine="360"/>
        <w:jc w:val="center"/>
      </w:pPr>
      <w:r>
        <w:t>10.4.3. gr.</w:t>
      </w:r>
    </w:p>
    <w:p w14:paraId="1DDB7C1D" w14:textId="25942070" w:rsidR="0073386C" w:rsidRDefault="0073386C" w:rsidP="0073386C">
      <w:pPr>
        <w:ind w:firstLine="360"/>
        <w:jc w:val="center"/>
        <w:rPr>
          <w:i/>
          <w:iCs/>
        </w:rPr>
      </w:pPr>
      <w:r>
        <w:rPr>
          <w:i/>
          <w:iCs/>
        </w:rPr>
        <w:t>Kröfur til raflýsingar.</w:t>
      </w:r>
    </w:p>
    <w:p w14:paraId="5F48FBB8" w14:textId="77777777" w:rsidR="006C78D2" w:rsidRPr="003F7A48" w:rsidRDefault="006C78D2" w:rsidP="006C78D2">
      <w:pPr>
        <w:ind w:firstLine="360"/>
      </w:pPr>
      <w:r w:rsidRPr="003F7A48">
        <w:rPr>
          <w:i/>
          <w:iCs/>
        </w:rPr>
        <w:t>Meginregla</w:t>
      </w:r>
      <w:r w:rsidRPr="003F7A48">
        <w:t xml:space="preserve">: Raflýsing skal vera fullnægjandi í atvinnuhúsnæði og í sameiginlegum rýmum fjölbýlishúsa. </w:t>
      </w:r>
    </w:p>
    <w:p w14:paraId="0DEDBAB5" w14:textId="77777777" w:rsidR="006C78D2" w:rsidRPr="003F7A48" w:rsidRDefault="006C78D2" w:rsidP="006C78D2">
      <w:pPr>
        <w:ind w:firstLine="360"/>
      </w:pPr>
      <w:r w:rsidRPr="003F7A48">
        <w:rPr>
          <w:i/>
          <w:iCs/>
        </w:rPr>
        <w:t>Viðmiðunarregla</w:t>
      </w:r>
      <w:r w:rsidRPr="003F7A48">
        <w:t xml:space="preserve">: Raflýsing atvinnuhúsnæðis og sameiginlegra rýma fjölbýlishúsa skal uppfylla að lágmarki kröfur staðalsins ÍST EN 12464-1 innandyra og staðalsins ÍST EN 12464-2 utandyra. </w:t>
      </w:r>
    </w:p>
    <w:p w14:paraId="742064B4" w14:textId="77777777" w:rsidR="006C78D2" w:rsidRPr="003F7A48" w:rsidRDefault="006C78D2" w:rsidP="006C78D2">
      <w:pPr>
        <w:ind w:firstLine="360"/>
      </w:pPr>
      <w:r w:rsidRPr="003F7A48">
        <w:t>Allur búnaður sem notaður er til raflýsingar skal uppfylla kröfur gildandi staðla um raf- og segulmengun, geislun og flökt sem geta haft skaðleg áhrif á heilsu.</w:t>
      </w:r>
    </w:p>
    <w:p w14:paraId="19C43B03" w14:textId="77777777" w:rsidR="006C78D2" w:rsidRPr="003F7A48" w:rsidRDefault="006C78D2" w:rsidP="006C78D2">
      <w:pPr>
        <w:ind w:firstLine="360"/>
      </w:pPr>
      <w:r w:rsidRPr="003F7A48">
        <w:t xml:space="preserve">Heimilt er í undantekningartilvikum að víkja frá kröfu 2. og 3. mgr. ef aðstæður eru þannig að krafan </w:t>
      </w:r>
      <w:r>
        <w:t>eigi</w:t>
      </w:r>
      <w:r w:rsidRPr="003F7A48">
        <w:t xml:space="preserve"> ekki rétt á sér, t.d. vegna þess að það gæti haft skaðleg áhrif á starfsemi í mannvirki. Rökstyðja skal slík frávik í greinargerð hönnuða.</w:t>
      </w:r>
    </w:p>
    <w:p w14:paraId="1818B20B" w14:textId="77777777" w:rsidR="006C78D2" w:rsidRPr="003F7A48" w:rsidRDefault="006C78D2" w:rsidP="006C78D2">
      <w:pPr>
        <w:ind w:firstLine="360"/>
      </w:pPr>
      <w:bookmarkStart w:id="0" w:name="_Hlk89954652"/>
      <w:r w:rsidRPr="003F7A48">
        <w:t>Virkniprófa skal lýsingarkerfi áður en lokaúttekt er gerð og staðfesta þannig  að kröfur til ljósvistar samkvæmt þessum kafla séu uppfylltar og að nemar og stýringar séu í samræmi við hönnunargögn.</w:t>
      </w:r>
      <w:bookmarkEnd w:id="0"/>
    </w:p>
    <w:p w14:paraId="0672FC35" w14:textId="77777777" w:rsidR="006C78D2" w:rsidRDefault="006C78D2" w:rsidP="00652F2D">
      <w:pPr>
        <w:ind w:firstLine="357"/>
      </w:pPr>
      <w:r w:rsidRPr="003F7A48">
        <w:t xml:space="preserve">Húsnæðis- og mannvirkjastofnun skal gefa út leiðbeiningar um framkvæmd þessarar greinar. </w:t>
      </w:r>
    </w:p>
    <w:p w14:paraId="0DE7C7C9" w14:textId="77777777" w:rsidR="00652F2D" w:rsidRPr="003F7A48" w:rsidRDefault="00652F2D" w:rsidP="00652F2D">
      <w:pPr>
        <w:ind w:firstLine="357"/>
      </w:pPr>
    </w:p>
    <w:p w14:paraId="14B92AEE" w14:textId="702BFB14" w:rsidR="0073386C" w:rsidRDefault="003646EF" w:rsidP="003646EF">
      <w:pPr>
        <w:ind w:firstLine="360"/>
        <w:jc w:val="center"/>
      </w:pPr>
      <w:r>
        <w:t>10.4.4. gr.</w:t>
      </w:r>
    </w:p>
    <w:p w14:paraId="1EA28EB9" w14:textId="666B95A3" w:rsidR="003646EF" w:rsidRDefault="00DA2F9C" w:rsidP="003646EF">
      <w:pPr>
        <w:ind w:firstLine="360"/>
        <w:jc w:val="center"/>
        <w:rPr>
          <w:i/>
          <w:iCs/>
        </w:rPr>
      </w:pPr>
      <w:r>
        <w:rPr>
          <w:i/>
          <w:iCs/>
        </w:rPr>
        <w:t>Kröfur til dagslýsingar í vistarverum.</w:t>
      </w:r>
    </w:p>
    <w:p w14:paraId="49A15211" w14:textId="77777777" w:rsidR="00461DE8" w:rsidRPr="003F7A48" w:rsidRDefault="00461DE8" w:rsidP="00461DE8">
      <w:pPr>
        <w:ind w:firstLine="360"/>
      </w:pPr>
      <w:r w:rsidRPr="003F7A48">
        <w:rPr>
          <w:i/>
          <w:iCs/>
        </w:rPr>
        <w:t>Meginregla</w:t>
      </w:r>
      <w:r w:rsidRPr="003F7A48">
        <w:t xml:space="preserve">: </w:t>
      </w:r>
      <w:r>
        <w:t xml:space="preserve">Í </w:t>
      </w:r>
      <w:r w:rsidRPr="003F7A48">
        <w:t>vistarverum</w:t>
      </w:r>
      <w:r>
        <w:t xml:space="preserve"> skal vera fullnægjandi d</w:t>
      </w:r>
      <w:r w:rsidRPr="003F7A48">
        <w:t>agsljós</w:t>
      </w:r>
      <w:r>
        <w:t>.</w:t>
      </w:r>
    </w:p>
    <w:p w14:paraId="4CD62048" w14:textId="77777777" w:rsidR="00461DE8" w:rsidRPr="003F7A48" w:rsidRDefault="00461DE8" w:rsidP="00B553C6">
      <w:pPr>
        <w:spacing w:after="40"/>
        <w:ind w:firstLine="357"/>
      </w:pPr>
      <w:r w:rsidRPr="003F7A48">
        <w:rPr>
          <w:i/>
          <w:iCs/>
        </w:rPr>
        <w:t>Viðmiðunarreglur</w:t>
      </w:r>
      <w:r w:rsidRPr="003F7A48">
        <w:t xml:space="preserve">: Eftirfarandi viðmiðunarreglur gilda um dagsljós í vistarverum: </w:t>
      </w:r>
    </w:p>
    <w:p w14:paraId="4DA13648" w14:textId="77777777" w:rsidR="00461DE8" w:rsidRPr="007E2195" w:rsidRDefault="00461DE8" w:rsidP="00461DE8">
      <w:pPr>
        <w:pStyle w:val="ListParagraph"/>
        <w:numPr>
          <w:ilvl w:val="0"/>
          <w:numId w:val="11"/>
        </w:numPr>
        <w:spacing w:after="160" w:line="259" w:lineRule="auto"/>
        <w:ind w:left="1066"/>
      </w:pPr>
      <w:r w:rsidRPr="003F7A48">
        <w:t xml:space="preserve">Samanlagt ljósop glugga skal ekki vera minna en sem svarar til 1/10 af gólffleti vistarvera, þó aldrei minna en 1 m². Þessa aðferð má einungis nota ef leiðrétt er fyrir umhverfisáhrifum sem takmarka aðgengi að dagsbirtu. </w:t>
      </w:r>
      <w:r w:rsidRPr="007E2195">
        <w:t xml:space="preserve">Takmarkandi þættir eru t.d. ljóshleypni glugga, þykkt veggja og ytri afskermun, s.s. svalir, og nærliggjandi mannvirki. </w:t>
      </w:r>
    </w:p>
    <w:p w14:paraId="3CAC56FA" w14:textId="77777777" w:rsidR="00461DE8" w:rsidRPr="007E2195" w:rsidRDefault="00461DE8" w:rsidP="00B553C6">
      <w:pPr>
        <w:pStyle w:val="ListParagraph"/>
        <w:numPr>
          <w:ilvl w:val="0"/>
          <w:numId w:val="11"/>
        </w:numPr>
        <w:spacing w:after="40"/>
        <w:ind w:left="1066" w:hanging="357"/>
        <w:contextualSpacing w:val="0"/>
      </w:pPr>
      <w:r w:rsidRPr="007E2195">
        <w:t xml:space="preserve">Dagslýsing nemur að lágmarki 300 lux fyrir helming dagsbirtutíma á að minnsta kosti 40% af viðeigandi gólffleti. Í íbúðarhúsnæði er viðeigandi gólfflötur sá sami og gólfflötur viðkomandi rýmis. Í vinnurýmum er viðeigendi gólfflötur það svæði þar sem vinnustöðvar eru staðsettar.  </w:t>
      </w:r>
    </w:p>
    <w:p w14:paraId="3A918119" w14:textId="77777777" w:rsidR="00461DE8" w:rsidRPr="003F7A48" w:rsidRDefault="00461DE8" w:rsidP="00461DE8">
      <w:pPr>
        <w:ind w:firstLine="360"/>
      </w:pPr>
      <w:r w:rsidRPr="003F7A48">
        <w:t xml:space="preserve">Hönnuðir skulu ávallt leggja fram greinargerð vegna dagslýsingar með öðrum hönnunargögnum, sbr. 4.5.3. gr. </w:t>
      </w:r>
    </w:p>
    <w:p w14:paraId="7B127279" w14:textId="77777777" w:rsidR="00461DE8" w:rsidRPr="003F7A48" w:rsidRDefault="00461DE8" w:rsidP="00461DE8">
      <w:pPr>
        <w:ind w:firstLine="360"/>
      </w:pPr>
      <w:r w:rsidRPr="003F7A48">
        <w:t>Ef sýnt er fram á að dagsljós sé fullnægjandi með öðrum hætti en hér er sett fram til viðmiðunar, eða ef aðstæður eru þannig að krafan á ekki rétt á sér, t.d. vegna þess að það gæti haft skaðleg áhrif á starfsemi í mannvirki, er heimilt að víkja frá framangreindum viðmiðum. Rökstyðja skal slík frávik í greinargerð hönnuða.</w:t>
      </w:r>
    </w:p>
    <w:p w14:paraId="0DBE765C" w14:textId="77777777" w:rsidR="00461DE8" w:rsidRDefault="00461DE8" w:rsidP="00652F2D">
      <w:pPr>
        <w:ind w:firstLine="357"/>
      </w:pPr>
      <w:r w:rsidRPr="003F7A48">
        <w:t>Húsnæðis- og mannvirkjastofnun skal gefa út leiðbeiningar um framkvæmd þessarar greinar.</w:t>
      </w:r>
    </w:p>
    <w:p w14:paraId="7E5DE463" w14:textId="77777777" w:rsidR="00652F2D" w:rsidRDefault="00652F2D" w:rsidP="00652F2D">
      <w:pPr>
        <w:ind w:firstLine="357"/>
      </w:pPr>
    </w:p>
    <w:p w14:paraId="67924712" w14:textId="758BF58C" w:rsidR="00AA0AB9" w:rsidRDefault="00AA0AB9" w:rsidP="00764C1E">
      <w:pPr>
        <w:ind w:firstLine="357"/>
        <w:jc w:val="center"/>
      </w:pPr>
      <w:r>
        <w:t xml:space="preserve">10.4.5. gr. </w:t>
      </w:r>
    </w:p>
    <w:p w14:paraId="380B5183" w14:textId="0E3535F6" w:rsidR="00764C1E" w:rsidRDefault="00764C1E" w:rsidP="00764C1E">
      <w:pPr>
        <w:ind w:firstLine="357"/>
        <w:jc w:val="center"/>
        <w:rPr>
          <w:i/>
          <w:iCs/>
        </w:rPr>
      </w:pPr>
      <w:r>
        <w:rPr>
          <w:i/>
          <w:iCs/>
        </w:rPr>
        <w:t>Kröfur varðandi ljósmengun.</w:t>
      </w:r>
    </w:p>
    <w:p w14:paraId="699ECAAC" w14:textId="77777777" w:rsidR="00292245" w:rsidRPr="003F7A48" w:rsidRDefault="00292245" w:rsidP="00292245">
      <w:pPr>
        <w:ind w:firstLine="360"/>
      </w:pPr>
      <w:r w:rsidRPr="003F7A48">
        <w:rPr>
          <w:i/>
          <w:iCs/>
        </w:rPr>
        <w:t>Meginregla</w:t>
      </w:r>
      <w:r w:rsidRPr="003F7A48">
        <w:t>: Við hönnun og uppsetningu á lýsingu skal koma í veg fyrir ljósmengun og tryggja að lýsing valdi nágrönnum ekki óþægindum eða trufli umferð utan lóðar. Þetta á jafnframt við um upplýst skilti, skjái og merkingar sem notuð eru fyrir auglýsingar.</w:t>
      </w:r>
    </w:p>
    <w:p w14:paraId="0BD207A6" w14:textId="77777777" w:rsidR="00292245" w:rsidRPr="003F7A48" w:rsidRDefault="00292245" w:rsidP="00292245">
      <w:pPr>
        <w:ind w:firstLine="360"/>
      </w:pPr>
      <w:r w:rsidRPr="003F7A48">
        <w:rPr>
          <w:i/>
          <w:iCs/>
        </w:rPr>
        <w:t>Viðmiðunarregla</w:t>
      </w:r>
      <w:r w:rsidRPr="003F7A48">
        <w:t>: Tryggja skal að útilýsingu sé beint að viðeigandi svæði og að notaðir séu vel skermaðir lampar sem varpa ljósinu niður og valda síður glýju. Eins skal nýta þar til gerðar gardínur í gróðurhúsum til að fyrirbyggja ljósmengun og spara orku.</w:t>
      </w:r>
    </w:p>
    <w:p w14:paraId="137C12A5" w14:textId="77777777" w:rsidR="00292245" w:rsidRPr="003F7A48" w:rsidRDefault="00292245" w:rsidP="00292245">
      <w:pPr>
        <w:ind w:firstLine="360"/>
      </w:pPr>
      <w:r w:rsidRPr="003F7A48">
        <w:t xml:space="preserve">Gera skal grein fyrir fyrirbyggjandi aðgerðum gegn ljósmengun í greinargerð hönnuðar. </w:t>
      </w:r>
    </w:p>
    <w:p w14:paraId="19E40548" w14:textId="77777777" w:rsidR="00292245" w:rsidRDefault="00292245" w:rsidP="00B553C6">
      <w:pPr>
        <w:spacing w:after="160"/>
        <w:ind w:firstLine="357"/>
      </w:pPr>
      <w:r w:rsidRPr="003F7A48">
        <w:t xml:space="preserve">Húsnæðis og mannvirkjastofnun skal gefa út leiðbeiningar um framkvæmd þessarar greinar. </w:t>
      </w:r>
    </w:p>
    <w:p w14:paraId="21ABA51C" w14:textId="77777777" w:rsidR="00C55AFA" w:rsidRDefault="00C55AFA" w:rsidP="000E342D">
      <w:pPr>
        <w:ind w:firstLine="357"/>
        <w:jc w:val="center"/>
      </w:pPr>
    </w:p>
    <w:p w14:paraId="376BFE00" w14:textId="77777777" w:rsidR="00C55AFA" w:rsidRDefault="00C55AFA" w:rsidP="000E342D">
      <w:pPr>
        <w:ind w:firstLine="357"/>
        <w:jc w:val="center"/>
      </w:pPr>
    </w:p>
    <w:p w14:paraId="25ADA460" w14:textId="50E9E110" w:rsidR="000E342D" w:rsidRDefault="000E342D" w:rsidP="000E342D">
      <w:pPr>
        <w:ind w:firstLine="357"/>
        <w:jc w:val="center"/>
      </w:pPr>
      <w:r>
        <w:lastRenderedPageBreak/>
        <w:t xml:space="preserve">10.4.6. gr. </w:t>
      </w:r>
    </w:p>
    <w:p w14:paraId="2456B13E" w14:textId="3EABFB54" w:rsidR="000E342D" w:rsidRDefault="00993A0E" w:rsidP="000E342D">
      <w:pPr>
        <w:ind w:firstLine="357"/>
        <w:jc w:val="center"/>
        <w:rPr>
          <w:i/>
          <w:iCs/>
        </w:rPr>
      </w:pPr>
      <w:r>
        <w:rPr>
          <w:i/>
          <w:iCs/>
        </w:rPr>
        <w:t>Kröfur um útsýni í vistarverum.</w:t>
      </w:r>
    </w:p>
    <w:p w14:paraId="51BB5856" w14:textId="77777777" w:rsidR="003D663F" w:rsidRPr="003F7A48" w:rsidRDefault="003D663F" w:rsidP="003D663F">
      <w:pPr>
        <w:ind w:firstLine="360"/>
      </w:pPr>
      <w:bookmarkStart w:id="1" w:name="_Hlk89955143"/>
      <w:r w:rsidRPr="003F7A48">
        <w:rPr>
          <w:i/>
          <w:iCs/>
        </w:rPr>
        <w:t>Meginregla</w:t>
      </w:r>
      <w:r w:rsidRPr="003F7A48">
        <w:t>: Staðsetning glugga í vistarverum mannvirkja, útfærsla þeirra og afskermun skal tryggja útsýni í fullnægjandi hluta rýmis.</w:t>
      </w:r>
    </w:p>
    <w:bookmarkEnd w:id="1"/>
    <w:p w14:paraId="1B38C053" w14:textId="77777777" w:rsidR="003D663F" w:rsidRPr="003F7A48" w:rsidRDefault="003D663F" w:rsidP="003D663F">
      <w:pPr>
        <w:ind w:firstLine="360"/>
      </w:pPr>
      <w:r w:rsidRPr="003F7A48">
        <w:rPr>
          <w:i/>
          <w:iCs/>
        </w:rPr>
        <w:t>Viðmiðunarregla</w:t>
      </w:r>
      <w:r w:rsidRPr="003F7A48">
        <w:t xml:space="preserve">: Við mat á útsýni skal notast við aðferð samkvæmt ÍST EN 17037. </w:t>
      </w:r>
    </w:p>
    <w:p w14:paraId="6B36E4E6" w14:textId="77777777" w:rsidR="003D663F" w:rsidRPr="003F7A48" w:rsidRDefault="003D663F" w:rsidP="003D663F">
      <w:pPr>
        <w:ind w:firstLine="360"/>
      </w:pPr>
      <w:r w:rsidRPr="003F7A48">
        <w:t>Gera skal grein fyrir útsýni í greinargerð hönnuðar með því að skilgreina hve stór hluti rýmis nýtur þess útsýnis sem upp er gefið. Fjöld</w:t>
      </w:r>
      <w:r>
        <w:t>a</w:t>
      </w:r>
      <w:r w:rsidRPr="003F7A48">
        <w:t xml:space="preserve"> útsýnislaga skal gefa upp skv. ÍST EN 17037 fyrir dæmigerðar vistarverur í mannvirkinu.</w:t>
      </w:r>
    </w:p>
    <w:p w14:paraId="33F846F6" w14:textId="77777777" w:rsidR="003D663F" w:rsidRPr="003F7A48" w:rsidRDefault="003D663F" w:rsidP="003D663F">
      <w:pPr>
        <w:ind w:firstLine="360"/>
      </w:pPr>
      <w:r w:rsidRPr="003F7A48">
        <w:t>Húsnæðis- og mannvirkjastofnun skal gefa út leiðbeiningar um framkvæmd þessarar greinar.</w:t>
      </w:r>
    </w:p>
    <w:p w14:paraId="58E60B9C" w14:textId="49F7CFB6" w:rsidR="007B7703" w:rsidRDefault="007B7703" w:rsidP="007B7703">
      <w:pPr>
        <w:ind w:firstLine="0"/>
        <w:rPr>
          <w:lang w:eastAsia="en-GB"/>
        </w:rPr>
      </w:pPr>
    </w:p>
    <w:p w14:paraId="0C5854F0" w14:textId="6752E0B3" w:rsidR="007B7703" w:rsidRDefault="007B7703" w:rsidP="007B7703">
      <w:pPr>
        <w:pStyle w:val="Heading3"/>
      </w:pPr>
      <w:r>
        <w:t>7. gr.</w:t>
      </w:r>
    </w:p>
    <w:p w14:paraId="2B2469EE" w14:textId="3819B8AB" w:rsidR="0068125C" w:rsidRDefault="007B7703" w:rsidP="0017003A">
      <w:pPr>
        <w:rPr>
          <w:lang w:eastAsia="en-GB"/>
        </w:rPr>
      </w:pPr>
      <w:r>
        <w:rPr>
          <w:lang w:eastAsia="en-GB"/>
        </w:rPr>
        <w:t>Reglugerð þessi, sem sett er á grundvelli 60. gr. laga um mannvirki, nr. 160/2010, öðlast gildi 1. mars 2025.</w:t>
      </w:r>
    </w:p>
    <w:p w14:paraId="52758170" w14:textId="07B7A89C" w:rsidR="00775E66" w:rsidRDefault="00775E66" w:rsidP="00264266">
      <w:pPr>
        <w:ind w:firstLine="0"/>
        <w:rPr>
          <w:lang w:eastAsia="en-GB"/>
        </w:rPr>
      </w:pPr>
    </w:p>
    <w:p w14:paraId="3945517A" w14:textId="7F822354" w:rsidR="00D91E59" w:rsidRPr="00D91E59" w:rsidRDefault="00D91E59" w:rsidP="00D91E59">
      <w:pPr>
        <w:rPr>
          <w:lang w:eastAsia="en-GB"/>
        </w:rPr>
      </w:pPr>
      <w:r>
        <w:rPr>
          <w:lang w:eastAsia="en-GB"/>
        </w:rPr>
        <w:t xml:space="preserve"> </w:t>
      </w:r>
    </w:p>
    <w:p w14:paraId="2EB14149" w14:textId="77777777" w:rsidR="0017003A" w:rsidRDefault="0017003A" w:rsidP="001E558B">
      <w:pPr>
        <w:rPr>
          <w:lang w:eastAsia="en-GB"/>
        </w:rPr>
      </w:pPr>
    </w:p>
    <w:p w14:paraId="61225932" w14:textId="77777777" w:rsidR="0017003A" w:rsidRDefault="0017003A" w:rsidP="001E558B">
      <w:pPr>
        <w:rPr>
          <w:lang w:eastAsia="en-GB"/>
        </w:rPr>
      </w:pPr>
    </w:p>
    <w:p w14:paraId="7DC4BE88" w14:textId="7C7652D2" w:rsidR="0017003A" w:rsidRPr="0017003A" w:rsidRDefault="0017003A" w:rsidP="0017003A">
      <w:pPr>
        <w:pStyle w:val="Heading4"/>
      </w:pPr>
      <w:r w:rsidRPr="0017003A">
        <w:t>Innviðaráðuneytinu x. xxxx 2024.</w:t>
      </w:r>
    </w:p>
    <w:p w14:paraId="7FCE72C5" w14:textId="77777777" w:rsidR="0017003A" w:rsidRDefault="0017003A" w:rsidP="001E558B">
      <w:pPr>
        <w:rPr>
          <w:lang w:eastAsia="en-GB"/>
        </w:rPr>
      </w:pPr>
    </w:p>
    <w:p w14:paraId="2E15EA13" w14:textId="77777777" w:rsidR="0017003A" w:rsidRDefault="0017003A" w:rsidP="001E558B">
      <w:pPr>
        <w:rPr>
          <w:lang w:eastAsia="en-GB"/>
        </w:rPr>
      </w:pPr>
    </w:p>
    <w:p w14:paraId="19C1B425" w14:textId="77777777" w:rsidR="0017003A" w:rsidRDefault="0017003A" w:rsidP="001E558B">
      <w:pPr>
        <w:rPr>
          <w:lang w:eastAsia="en-GB"/>
        </w:rPr>
      </w:pPr>
    </w:p>
    <w:p w14:paraId="3728AFBB" w14:textId="77777777" w:rsidR="0017003A" w:rsidRDefault="0017003A" w:rsidP="001E558B">
      <w:pPr>
        <w:rPr>
          <w:lang w:eastAsia="en-GB"/>
        </w:rPr>
      </w:pPr>
    </w:p>
    <w:p w14:paraId="2EEA6CEE" w14:textId="77777777" w:rsidR="0017003A" w:rsidRDefault="0017003A" w:rsidP="001E558B">
      <w:pPr>
        <w:rPr>
          <w:lang w:eastAsia="en-GB"/>
        </w:rPr>
      </w:pPr>
    </w:p>
    <w:p w14:paraId="7261B1B0" w14:textId="77777777" w:rsidR="0017003A" w:rsidRDefault="0017003A" w:rsidP="001E558B">
      <w:pPr>
        <w:rPr>
          <w:lang w:eastAsia="en-GB"/>
        </w:rPr>
      </w:pPr>
    </w:p>
    <w:p w14:paraId="28EA94DD" w14:textId="77777777" w:rsidR="0017003A" w:rsidRDefault="0017003A" w:rsidP="001E558B">
      <w:pPr>
        <w:rPr>
          <w:lang w:eastAsia="en-GB"/>
        </w:rPr>
      </w:pPr>
    </w:p>
    <w:p w14:paraId="4A5DB9BA" w14:textId="77777777" w:rsidR="0017003A" w:rsidRPr="008C04C5" w:rsidRDefault="0017003A" w:rsidP="001E558B">
      <w:pPr>
        <w:rPr>
          <w:lang w:eastAsia="en-GB"/>
        </w:rPr>
      </w:pPr>
    </w:p>
    <w:p w14:paraId="08AAED70" w14:textId="77777777" w:rsidR="0017003A" w:rsidRDefault="0017003A" w:rsidP="001E558B">
      <w:pPr>
        <w:pStyle w:val="Undirritun1"/>
      </w:pPr>
      <w:r>
        <w:t>Svandís Svavarsdóttir</w:t>
      </w:r>
    </w:p>
    <w:p w14:paraId="2063A580" w14:textId="77777777" w:rsidR="0017003A" w:rsidRDefault="0017003A" w:rsidP="001E558B">
      <w:pPr>
        <w:pStyle w:val="Heading3"/>
      </w:pPr>
      <w:r>
        <w:t xml:space="preserve">innviðaráðherra. </w:t>
      </w:r>
    </w:p>
    <w:p w14:paraId="29D0E1BD" w14:textId="77777777" w:rsidR="0017003A" w:rsidRDefault="0017003A" w:rsidP="001E558B">
      <w:pPr>
        <w:ind w:firstLine="0"/>
        <w:rPr>
          <w:lang w:eastAsia="en-GB"/>
        </w:rPr>
      </w:pPr>
    </w:p>
    <w:p w14:paraId="4D70D904" w14:textId="77777777" w:rsidR="0017003A" w:rsidRDefault="0017003A" w:rsidP="001E558B">
      <w:pPr>
        <w:ind w:firstLine="0"/>
        <w:rPr>
          <w:lang w:eastAsia="en-GB"/>
        </w:rPr>
      </w:pPr>
    </w:p>
    <w:p w14:paraId="7D42419F" w14:textId="77777777" w:rsidR="0017003A" w:rsidRDefault="0017003A" w:rsidP="001E558B">
      <w:pPr>
        <w:ind w:firstLine="0"/>
        <w:rPr>
          <w:lang w:eastAsia="en-GB"/>
        </w:rPr>
      </w:pPr>
    </w:p>
    <w:p w14:paraId="71DC626D" w14:textId="77777777" w:rsidR="0017003A" w:rsidRDefault="0017003A" w:rsidP="001E558B">
      <w:pPr>
        <w:ind w:firstLine="0"/>
        <w:rPr>
          <w:lang w:eastAsia="en-GB"/>
        </w:rPr>
      </w:pPr>
    </w:p>
    <w:p w14:paraId="2EB8DE91" w14:textId="77777777" w:rsidR="0017003A" w:rsidRDefault="0017003A" w:rsidP="001E558B">
      <w:pPr>
        <w:ind w:firstLine="0"/>
        <w:rPr>
          <w:lang w:eastAsia="en-GB"/>
        </w:rPr>
      </w:pPr>
    </w:p>
    <w:p w14:paraId="053F3AF8" w14:textId="77777777" w:rsidR="0017003A" w:rsidRDefault="0017003A" w:rsidP="001E558B">
      <w:pPr>
        <w:ind w:firstLine="0"/>
        <w:rPr>
          <w:lang w:eastAsia="en-GB"/>
        </w:rPr>
      </w:pPr>
    </w:p>
    <w:p w14:paraId="65C5EAD9" w14:textId="77777777" w:rsidR="0017003A" w:rsidRDefault="0017003A" w:rsidP="001E558B">
      <w:pPr>
        <w:ind w:firstLine="0"/>
        <w:rPr>
          <w:lang w:eastAsia="en-GB"/>
        </w:rPr>
      </w:pPr>
    </w:p>
    <w:p w14:paraId="74CF6DDB" w14:textId="77777777" w:rsidR="0017003A" w:rsidRDefault="0017003A" w:rsidP="001E558B">
      <w:pPr>
        <w:ind w:firstLine="0"/>
        <w:jc w:val="right"/>
      </w:pPr>
      <w:r>
        <w:t>___________________________</w:t>
      </w:r>
    </w:p>
    <w:p w14:paraId="54B66165" w14:textId="33467B79" w:rsidR="0017003A" w:rsidRPr="00CE79CB" w:rsidRDefault="0017003A" w:rsidP="001E558B">
      <w:pPr>
        <w:ind w:firstLine="0"/>
        <w:jc w:val="right"/>
        <w:rPr>
          <w:i/>
          <w:lang w:eastAsia="en-GB"/>
        </w:rPr>
      </w:pPr>
      <w:r>
        <w:rPr>
          <w:i/>
          <w:lang w:eastAsia="en-GB"/>
        </w:rPr>
        <w:t>Ingilín Kristmannsdóttir</w:t>
      </w:r>
      <w:r w:rsidRPr="00CE79CB">
        <w:rPr>
          <w:i/>
          <w:lang w:eastAsia="en-GB"/>
        </w:rPr>
        <w:t>.</w:t>
      </w:r>
    </w:p>
    <w:p w14:paraId="73C33CD3" w14:textId="77777777" w:rsidR="0017003A" w:rsidRDefault="0017003A" w:rsidP="001E558B">
      <w:pPr>
        <w:rPr>
          <w:lang w:eastAsia="en-GB"/>
        </w:rPr>
      </w:pPr>
    </w:p>
    <w:p w14:paraId="24016264" w14:textId="77777777" w:rsidR="0017003A" w:rsidRPr="00A8788B" w:rsidRDefault="0017003A" w:rsidP="001E558B">
      <w:pPr>
        <w:rPr>
          <w:lang w:eastAsia="en-GB"/>
        </w:rPr>
      </w:pPr>
    </w:p>
    <w:p w14:paraId="642853FE" w14:textId="77777777" w:rsidR="0017003A" w:rsidRDefault="0017003A" w:rsidP="001E558B">
      <w:pPr>
        <w:pStyle w:val="fhundirskr"/>
      </w:pPr>
      <w:r>
        <w:t>__________</w:t>
      </w:r>
    </w:p>
    <w:p w14:paraId="7A2B23EB" w14:textId="77777777" w:rsidR="0017003A" w:rsidRDefault="0017003A" w:rsidP="001E558B">
      <w:r>
        <w:rPr>
          <w:noProof w:val="0"/>
          <w:szCs w:val="20"/>
          <w:lang w:eastAsia="en-GB"/>
        </w:rPr>
        <w:t xml:space="preserve">                </w:t>
      </w:r>
    </w:p>
    <w:p w14:paraId="2B1347ED" w14:textId="77777777" w:rsidR="0017003A" w:rsidRDefault="0017003A" w:rsidP="0017003A">
      <w:r>
        <w:rPr>
          <w:noProof w:val="0"/>
          <w:szCs w:val="20"/>
          <w:lang w:eastAsia="en-GB"/>
        </w:rPr>
        <w:t xml:space="preserve">                </w:t>
      </w:r>
    </w:p>
    <w:p w14:paraId="0DA1ECA4" w14:textId="77777777" w:rsidR="0028367D" w:rsidRDefault="0028367D" w:rsidP="0017003A">
      <w:pPr>
        <w:pStyle w:val="Heading3"/>
      </w:pPr>
    </w:p>
    <w:sectPr w:rsidR="0028367D" w:rsidSect="00840702">
      <w:headerReference w:type="default" r:id="rId7"/>
      <w:pgSz w:w="11907" w:h="16840" w:code="9"/>
      <w:pgMar w:top="2495" w:right="1758" w:bottom="1361" w:left="164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F7144" w14:textId="77777777" w:rsidR="00B67BB9" w:rsidRDefault="00B67BB9">
      <w:r>
        <w:separator/>
      </w:r>
    </w:p>
  </w:endnote>
  <w:endnote w:type="continuationSeparator" w:id="0">
    <w:p w14:paraId="65AEE644" w14:textId="77777777" w:rsidR="00B67BB9" w:rsidRDefault="00B6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B8A93" w14:textId="77777777" w:rsidR="00B67BB9" w:rsidRDefault="00B67BB9">
      <w:r>
        <w:separator/>
      </w:r>
    </w:p>
  </w:footnote>
  <w:footnote w:type="continuationSeparator" w:id="0">
    <w:p w14:paraId="0E83B9EC" w14:textId="77777777" w:rsidR="00B67BB9" w:rsidRDefault="00B67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00E25" w14:textId="77777777" w:rsidR="00C55AFA" w:rsidRDefault="00C55AFA" w:rsidP="006B4431">
    <w:pPr>
      <w:pStyle w:val="Header"/>
      <w:tabs>
        <w:tab w:val="clear" w:pos="4153"/>
        <w:tab w:val="clear" w:pos="8306"/>
        <w:tab w:val="right" w:pos="7938"/>
      </w:tabs>
      <w:ind w:firstLine="0"/>
    </w:pPr>
  </w:p>
  <w:p w14:paraId="552B6E9E" w14:textId="77777777" w:rsidR="00C55AFA" w:rsidRDefault="00C55AFA" w:rsidP="006B4431">
    <w:pPr>
      <w:pStyle w:val="Header"/>
      <w:tabs>
        <w:tab w:val="clear" w:pos="4153"/>
        <w:tab w:val="clear" w:pos="8306"/>
        <w:tab w:val="right" w:pos="7938"/>
      </w:tabs>
      <w:ind w:firstLine="0"/>
    </w:pPr>
  </w:p>
  <w:p w14:paraId="7E3F80AE" w14:textId="77777777" w:rsidR="00C55AFA" w:rsidRDefault="00C55AFA" w:rsidP="006B4431">
    <w:pPr>
      <w:pStyle w:val="Header"/>
      <w:tabs>
        <w:tab w:val="clear" w:pos="4153"/>
        <w:tab w:val="clear" w:pos="8306"/>
        <w:tab w:val="right" w:pos="7938"/>
      </w:tabs>
      <w:ind w:firstLine="0"/>
    </w:pPr>
  </w:p>
  <w:p w14:paraId="653898E2" w14:textId="77777777" w:rsidR="00C55AFA" w:rsidRDefault="00C55AFA" w:rsidP="006B4431">
    <w:pPr>
      <w:pStyle w:val="Header"/>
      <w:tabs>
        <w:tab w:val="clear" w:pos="4153"/>
        <w:tab w:val="clear" w:pos="8306"/>
        <w:tab w:val="right" w:pos="7938"/>
      </w:tabs>
      <w:ind w:firstLine="0"/>
    </w:pPr>
  </w:p>
  <w:p w14:paraId="474DF1BD" w14:textId="77777777" w:rsidR="00C55AFA" w:rsidRDefault="00C55AFA" w:rsidP="006B4431">
    <w:pPr>
      <w:pStyle w:val="Header"/>
      <w:tabs>
        <w:tab w:val="clear" w:pos="4153"/>
        <w:tab w:val="clear" w:pos="8306"/>
        <w:tab w:val="right" w:pos="7938"/>
      </w:tabs>
      <w:ind w:firstLine="0"/>
    </w:pPr>
  </w:p>
  <w:p w14:paraId="143FBF1F" w14:textId="0F61B787" w:rsidR="00C55AFA" w:rsidRDefault="001434CE" w:rsidP="00086235">
    <w:pPr>
      <w:pStyle w:val="Header"/>
      <w:tabs>
        <w:tab w:val="clear" w:pos="397"/>
        <w:tab w:val="clear" w:pos="709"/>
        <w:tab w:val="clear" w:pos="4153"/>
        <w:tab w:val="clear" w:pos="8306"/>
        <w:tab w:val="right" w:pos="8505"/>
      </w:tabs>
      <w:ind w:firstLine="0"/>
    </w:pPr>
    <w:r w:rsidRPr="003908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D25F3"/>
    <w:multiLevelType w:val="hybridMultilevel"/>
    <w:tmpl w:val="180E3E48"/>
    <w:lvl w:ilvl="0" w:tplc="41D4BFD8">
      <w:start w:val="5"/>
      <w:numFmt w:val="decimal"/>
      <w:lvlText w:val="%1."/>
      <w:lvlJc w:val="left"/>
      <w:pPr>
        <w:ind w:left="1072"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0DD79FB"/>
    <w:multiLevelType w:val="hybridMultilevel"/>
    <w:tmpl w:val="ACE66238"/>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217537D2"/>
    <w:multiLevelType w:val="hybridMultilevel"/>
    <w:tmpl w:val="81FAC7C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29683A19"/>
    <w:multiLevelType w:val="hybridMultilevel"/>
    <w:tmpl w:val="E0084602"/>
    <w:lvl w:ilvl="0" w:tplc="8DB6F80E">
      <w:start w:val="1"/>
      <w:numFmt w:val="lowerLetter"/>
      <w:lvlText w:val="%1."/>
      <w:lvlJc w:val="left"/>
      <w:pPr>
        <w:ind w:left="757" w:hanging="360"/>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4" w15:restartNumberingAfterBreak="0">
    <w:nsid w:val="53A07193"/>
    <w:multiLevelType w:val="hybridMultilevel"/>
    <w:tmpl w:val="B6D0F3FC"/>
    <w:lvl w:ilvl="0" w:tplc="36A24BBA">
      <w:start w:val="1"/>
      <w:numFmt w:val="lowerLetter"/>
      <w:lvlText w:val="%1."/>
      <w:lvlJc w:val="left"/>
      <w:pPr>
        <w:ind w:left="757" w:hanging="360"/>
      </w:pPr>
      <w:rPr>
        <w:rFonts w:hint="default"/>
      </w:rPr>
    </w:lvl>
    <w:lvl w:ilvl="1" w:tplc="040F0019" w:tentative="1">
      <w:start w:val="1"/>
      <w:numFmt w:val="lowerLetter"/>
      <w:lvlText w:val="%2."/>
      <w:lvlJc w:val="left"/>
      <w:pPr>
        <w:ind w:left="1477" w:hanging="360"/>
      </w:pPr>
    </w:lvl>
    <w:lvl w:ilvl="2" w:tplc="040F001B" w:tentative="1">
      <w:start w:val="1"/>
      <w:numFmt w:val="lowerRoman"/>
      <w:lvlText w:val="%3."/>
      <w:lvlJc w:val="right"/>
      <w:pPr>
        <w:ind w:left="2197" w:hanging="180"/>
      </w:pPr>
    </w:lvl>
    <w:lvl w:ilvl="3" w:tplc="040F000F" w:tentative="1">
      <w:start w:val="1"/>
      <w:numFmt w:val="decimal"/>
      <w:lvlText w:val="%4."/>
      <w:lvlJc w:val="left"/>
      <w:pPr>
        <w:ind w:left="2917" w:hanging="360"/>
      </w:pPr>
    </w:lvl>
    <w:lvl w:ilvl="4" w:tplc="040F0019" w:tentative="1">
      <w:start w:val="1"/>
      <w:numFmt w:val="lowerLetter"/>
      <w:lvlText w:val="%5."/>
      <w:lvlJc w:val="left"/>
      <w:pPr>
        <w:ind w:left="3637" w:hanging="360"/>
      </w:pPr>
    </w:lvl>
    <w:lvl w:ilvl="5" w:tplc="040F001B" w:tentative="1">
      <w:start w:val="1"/>
      <w:numFmt w:val="lowerRoman"/>
      <w:lvlText w:val="%6."/>
      <w:lvlJc w:val="right"/>
      <w:pPr>
        <w:ind w:left="4357" w:hanging="180"/>
      </w:pPr>
    </w:lvl>
    <w:lvl w:ilvl="6" w:tplc="040F000F" w:tentative="1">
      <w:start w:val="1"/>
      <w:numFmt w:val="decimal"/>
      <w:lvlText w:val="%7."/>
      <w:lvlJc w:val="left"/>
      <w:pPr>
        <w:ind w:left="5077" w:hanging="360"/>
      </w:pPr>
    </w:lvl>
    <w:lvl w:ilvl="7" w:tplc="040F0019" w:tentative="1">
      <w:start w:val="1"/>
      <w:numFmt w:val="lowerLetter"/>
      <w:lvlText w:val="%8."/>
      <w:lvlJc w:val="left"/>
      <w:pPr>
        <w:ind w:left="5797" w:hanging="360"/>
      </w:pPr>
    </w:lvl>
    <w:lvl w:ilvl="8" w:tplc="040F001B" w:tentative="1">
      <w:start w:val="1"/>
      <w:numFmt w:val="lowerRoman"/>
      <w:lvlText w:val="%9."/>
      <w:lvlJc w:val="right"/>
      <w:pPr>
        <w:ind w:left="6517" w:hanging="180"/>
      </w:pPr>
    </w:lvl>
  </w:abstractNum>
  <w:abstractNum w:abstractNumId="5" w15:restartNumberingAfterBreak="0">
    <w:nsid w:val="56332967"/>
    <w:multiLevelType w:val="hybridMultilevel"/>
    <w:tmpl w:val="96EE9AD4"/>
    <w:lvl w:ilvl="0" w:tplc="FD4CEEFA">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6" w15:restartNumberingAfterBreak="0">
    <w:nsid w:val="64167B49"/>
    <w:multiLevelType w:val="hybridMultilevel"/>
    <w:tmpl w:val="2B9A2586"/>
    <w:lvl w:ilvl="0" w:tplc="4BDCB876">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6B4214D"/>
    <w:multiLevelType w:val="hybridMultilevel"/>
    <w:tmpl w:val="23D649BE"/>
    <w:lvl w:ilvl="0" w:tplc="84B0BDC0">
      <w:start w:val="1"/>
      <w:numFmt w:val="decimal"/>
      <w:lvlText w:val="%1."/>
      <w:lvlJc w:val="left"/>
      <w:pPr>
        <w:ind w:left="1072" w:hanging="360"/>
      </w:pPr>
      <w:rPr>
        <w:rFonts w:hint="default"/>
      </w:rPr>
    </w:lvl>
    <w:lvl w:ilvl="1" w:tplc="10000019" w:tentative="1">
      <w:start w:val="1"/>
      <w:numFmt w:val="lowerLetter"/>
      <w:lvlText w:val="%2."/>
      <w:lvlJc w:val="left"/>
      <w:pPr>
        <w:ind w:left="1792" w:hanging="360"/>
      </w:pPr>
    </w:lvl>
    <w:lvl w:ilvl="2" w:tplc="1000001B" w:tentative="1">
      <w:start w:val="1"/>
      <w:numFmt w:val="lowerRoman"/>
      <w:lvlText w:val="%3."/>
      <w:lvlJc w:val="right"/>
      <w:pPr>
        <w:ind w:left="2512" w:hanging="180"/>
      </w:pPr>
    </w:lvl>
    <w:lvl w:ilvl="3" w:tplc="1000000F" w:tentative="1">
      <w:start w:val="1"/>
      <w:numFmt w:val="decimal"/>
      <w:lvlText w:val="%4."/>
      <w:lvlJc w:val="left"/>
      <w:pPr>
        <w:ind w:left="3232" w:hanging="360"/>
      </w:pPr>
    </w:lvl>
    <w:lvl w:ilvl="4" w:tplc="10000019" w:tentative="1">
      <w:start w:val="1"/>
      <w:numFmt w:val="lowerLetter"/>
      <w:lvlText w:val="%5."/>
      <w:lvlJc w:val="left"/>
      <w:pPr>
        <w:ind w:left="3952" w:hanging="360"/>
      </w:pPr>
    </w:lvl>
    <w:lvl w:ilvl="5" w:tplc="1000001B" w:tentative="1">
      <w:start w:val="1"/>
      <w:numFmt w:val="lowerRoman"/>
      <w:lvlText w:val="%6."/>
      <w:lvlJc w:val="right"/>
      <w:pPr>
        <w:ind w:left="4672" w:hanging="180"/>
      </w:pPr>
    </w:lvl>
    <w:lvl w:ilvl="6" w:tplc="1000000F" w:tentative="1">
      <w:start w:val="1"/>
      <w:numFmt w:val="decimal"/>
      <w:lvlText w:val="%7."/>
      <w:lvlJc w:val="left"/>
      <w:pPr>
        <w:ind w:left="5392" w:hanging="360"/>
      </w:pPr>
    </w:lvl>
    <w:lvl w:ilvl="7" w:tplc="10000019" w:tentative="1">
      <w:start w:val="1"/>
      <w:numFmt w:val="lowerLetter"/>
      <w:lvlText w:val="%8."/>
      <w:lvlJc w:val="left"/>
      <w:pPr>
        <w:ind w:left="6112" w:hanging="360"/>
      </w:pPr>
    </w:lvl>
    <w:lvl w:ilvl="8" w:tplc="1000001B" w:tentative="1">
      <w:start w:val="1"/>
      <w:numFmt w:val="lowerRoman"/>
      <w:lvlText w:val="%9."/>
      <w:lvlJc w:val="right"/>
      <w:pPr>
        <w:ind w:left="6832" w:hanging="180"/>
      </w:pPr>
    </w:lvl>
  </w:abstractNum>
  <w:abstractNum w:abstractNumId="8" w15:restartNumberingAfterBreak="0">
    <w:nsid w:val="7A724600"/>
    <w:multiLevelType w:val="hybridMultilevel"/>
    <w:tmpl w:val="51E299C0"/>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7AE74EDC"/>
    <w:multiLevelType w:val="hybridMultilevel"/>
    <w:tmpl w:val="2C5669E6"/>
    <w:lvl w:ilvl="0" w:tplc="19E6DE48">
      <w:start w:val="1"/>
      <w:numFmt w:val="decimal"/>
      <w:lvlText w:val="%1."/>
      <w:lvlJc w:val="left"/>
      <w:pPr>
        <w:ind w:left="757" w:hanging="360"/>
      </w:pPr>
      <w:rPr>
        <w:rFonts w:hint="default"/>
      </w:rPr>
    </w:lvl>
    <w:lvl w:ilvl="1" w:tplc="10000019" w:tentative="1">
      <w:start w:val="1"/>
      <w:numFmt w:val="lowerLetter"/>
      <w:lvlText w:val="%2."/>
      <w:lvlJc w:val="left"/>
      <w:pPr>
        <w:ind w:left="1477" w:hanging="360"/>
      </w:pPr>
    </w:lvl>
    <w:lvl w:ilvl="2" w:tplc="1000001B" w:tentative="1">
      <w:start w:val="1"/>
      <w:numFmt w:val="lowerRoman"/>
      <w:lvlText w:val="%3."/>
      <w:lvlJc w:val="right"/>
      <w:pPr>
        <w:ind w:left="2197" w:hanging="180"/>
      </w:pPr>
    </w:lvl>
    <w:lvl w:ilvl="3" w:tplc="1000000F" w:tentative="1">
      <w:start w:val="1"/>
      <w:numFmt w:val="decimal"/>
      <w:lvlText w:val="%4."/>
      <w:lvlJc w:val="left"/>
      <w:pPr>
        <w:ind w:left="2917" w:hanging="360"/>
      </w:pPr>
    </w:lvl>
    <w:lvl w:ilvl="4" w:tplc="10000019" w:tentative="1">
      <w:start w:val="1"/>
      <w:numFmt w:val="lowerLetter"/>
      <w:lvlText w:val="%5."/>
      <w:lvlJc w:val="left"/>
      <w:pPr>
        <w:ind w:left="3637" w:hanging="360"/>
      </w:pPr>
    </w:lvl>
    <w:lvl w:ilvl="5" w:tplc="1000001B" w:tentative="1">
      <w:start w:val="1"/>
      <w:numFmt w:val="lowerRoman"/>
      <w:lvlText w:val="%6."/>
      <w:lvlJc w:val="right"/>
      <w:pPr>
        <w:ind w:left="4357" w:hanging="180"/>
      </w:pPr>
    </w:lvl>
    <w:lvl w:ilvl="6" w:tplc="1000000F" w:tentative="1">
      <w:start w:val="1"/>
      <w:numFmt w:val="decimal"/>
      <w:lvlText w:val="%7."/>
      <w:lvlJc w:val="left"/>
      <w:pPr>
        <w:ind w:left="5077" w:hanging="360"/>
      </w:pPr>
    </w:lvl>
    <w:lvl w:ilvl="7" w:tplc="10000019" w:tentative="1">
      <w:start w:val="1"/>
      <w:numFmt w:val="lowerLetter"/>
      <w:lvlText w:val="%8."/>
      <w:lvlJc w:val="left"/>
      <w:pPr>
        <w:ind w:left="5797" w:hanging="360"/>
      </w:pPr>
    </w:lvl>
    <w:lvl w:ilvl="8" w:tplc="1000001B" w:tentative="1">
      <w:start w:val="1"/>
      <w:numFmt w:val="lowerRoman"/>
      <w:lvlText w:val="%9."/>
      <w:lvlJc w:val="right"/>
      <w:pPr>
        <w:ind w:left="6517" w:hanging="180"/>
      </w:pPr>
    </w:lvl>
  </w:abstractNum>
  <w:abstractNum w:abstractNumId="10" w15:restartNumberingAfterBreak="0">
    <w:nsid w:val="7CED5995"/>
    <w:multiLevelType w:val="hybridMultilevel"/>
    <w:tmpl w:val="0356654E"/>
    <w:lvl w:ilvl="0" w:tplc="040F0019">
      <w:start w:val="1"/>
      <w:numFmt w:val="lowerLetter"/>
      <w:lvlText w:val="%1."/>
      <w:lvlJc w:val="left"/>
      <w:pPr>
        <w:ind w:left="1117" w:hanging="360"/>
      </w:pPr>
    </w:lvl>
    <w:lvl w:ilvl="1" w:tplc="040F0019" w:tentative="1">
      <w:start w:val="1"/>
      <w:numFmt w:val="lowerLetter"/>
      <w:lvlText w:val="%2."/>
      <w:lvlJc w:val="left"/>
      <w:pPr>
        <w:ind w:left="1837" w:hanging="360"/>
      </w:pPr>
    </w:lvl>
    <w:lvl w:ilvl="2" w:tplc="040F001B" w:tentative="1">
      <w:start w:val="1"/>
      <w:numFmt w:val="lowerRoman"/>
      <w:lvlText w:val="%3."/>
      <w:lvlJc w:val="right"/>
      <w:pPr>
        <w:ind w:left="2557" w:hanging="180"/>
      </w:pPr>
    </w:lvl>
    <w:lvl w:ilvl="3" w:tplc="040F000F" w:tentative="1">
      <w:start w:val="1"/>
      <w:numFmt w:val="decimal"/>
      <w:lvlText w:val="%4."/>
      <w:lvlJc w:val="left"/>
      <w:pPr>
        <w:ind w:left="3277" w:hanging="360"/>
      </w:pPr>
    </w:lvl>
    <w:lvl w:ilvl="4" w:tplc="040F0019" w:tentative="1">
      <w:start w:val="1"/>
      <w:numFmt w:val="lowerLetter"/>
      <w:lvlText w:val="%5."/>
      <w:lvlJc w:val="left"/>
      <w:pPr>
        <w:ind w:left="3997" w:hanging="360"/>
      </w:pPr>
    </w:lvl>
    <w:lvl w:ilvl="5" w:tplc="040F001B" w:tentative="1">
      <w:start w:val="1"/>
      <w:numFmt w:val="lowerRoman"/>
      <w:lvlText w:val="%6."/>
      <w:lvlJc w:val="right"/>
      <w:pPr>
        <w:ind w:left="4717" w:hanging="180"/>
      </w:pPr>
    </w:lvl>
    <w:lvl w:ilvl="6" w:tplc="040F000F" w:tentative="1">
      <w:start w:val="1"/>
      <w:numFmt w:val="decimal"/>
      <w:lvlText w:val="%7."/>
      <w:lvlJc w:val="left"/>
      <w:pPr>
        <w:ind w:left="5437" w:hanging="360"/>
      </w:pPr>
    </w:lvl>
    <w:lvl w:ilvl="7" w:tplc="040F0019" w:tentative="1">
      <w:start w:val="1"/>
      <w:numFmt w:val="lowerLetter"/>
      <w:lvlText w:val="%8."/>
      <w:lvlJc w:val="left"/>
      <w:pPr>
        <w:ind w:left="6157" w:hanging="360"/>
      </w:pPr>
    </w:lvl>
    <w:lvl w:ilvl="8" w:tplc="040F001B" w:tentative="1">
      <w:start w:val="1"/>
      <w:numFmt w:val="lowerRoman"/>
      <w:lvlText w:val="%9."/>
      <w:lvlJc w:val="right"/>
      <w:pPr>
        <w:ind w:left="6877" w:hanging="180"/>
      </w:pPr>
    </w:lvl>
  </w:abstractNum>
  <w:num w:numId="1">
    <w:abstractNumId w:val="6"/>
  </w:num>
  <w:num w:numId="2">
    <w:abstractNumId w:val="9"/>
  </w:num>
  <w:num w:numId="3">
    <w:abstractNumId w:val="7"/>
  </w:num>
  <w:num w:numId="4">
    <w:abstractNumId w:val="0"/>
  </w:num>
  <w:num w:numId="5">
    <w:abstractNumId w:val="5"/>
  </w:num>
  <w:num w:numId="6">
    <w:abstractNumId w:val="4"/>
  </w:num>
  <w:num w:numId="7">
    <w:abstractNumId w:val="8"/>
  </w:num>
  <w:num w:numId="8">
    <w:abstractNumId w:val="1"/>
  </w:num>
  <w:num w:numId="9">
    <w:abstractNumId w:val="1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0F"/>
    <w:rsid w:val="00000D0F"/>
    <w:rsid w:val="00022BD6"/>
    <w:rsid w:val="0003269F"/>
    <w:rsid w:val="00051C43"/>
    <w:rsid w:val="00072CCA"/>
    <w:rsid w:val="000744B1"/>
    <w:rsid w:val="000E342D"/>
    <w:rsid w:val="000E5126"/>
    <w:rsid w:val="000F38B5"/>
    <w:rsid w:val="00110E64"/>
    <w:rsid w:val="001434CE"/>
    <w:rsid w:val="00150B81"/>
    <w:rsid w:val="0017003A"/>
    <w:rsid w:val="001963AA"/>
    <w:rsid w:val="001A3112"/>
    <w:rsid w:val="001A44F5"/>
    <w:rsid w:val="001E6922"/>
    <w:rsid w:val="002074AD"/>
    <w:rsid w:val="00214E82"/>
    <w:rsid w:val="00226D84"/>
    <w:rsid w:val="00243CA0"/>
    <w:rsid w:val="00264266"/>
    <w:rsid w:val="00266D82"/>
    <w:rsid w:val="002770A2"/>
    <w:rsid w:val="0028367D"/>
    <w:rsid w:val="0028617C"/>
    <w:rsid w:val="00292245"/>
    <w:rsid w:val="002A5D62"/>
    <w:rsid w:val="002C3C00"/>
    <w:rsid w:val="003239EC"/>
    <w:rsid w:val="00323FF5"/>
    <w:rsid w:val="003646EF"/>
    <w:rsid w:val="00374AA6"/>
    <w:rsid w:val="003908C4"/>
    <w:rsid w:val="003B21BB"/>
    <w:rsid w:val="003D5BDF"/>
    <w:rsid w:val="003D663F"/>
    <w:rsid w:val="003D6703"/>
    <w:rsid w:val="00461DE8"/>
    <w:rsid w:val="00483EC7"/>
    <w:rsid w:val="004870F3"/>
    <w:rsid w:val="004A2B08"/>
    <w:rsid w:val="004E7520"/>
    <w:rsid w:val="004F1834"/>
    <w:rsid w:val="00504699"/>
    <w:rsid w:val="0051324E"/>
    <w:rsid w:val="00535179"/>
    <w:rsid w:val="0055204C"/>
    <w:rsid w:val="00586084"/>
    <w:rsid w:val="005B06C6"/>
    <w:rsid w:val="005E40AF"/>
    <w:rsid w:val="005E6DC3"/>
    <w:rsid w:val="00606926"/>
    <w:rsid w:val="00624A39"/>
    <w:rsid w:val="00652F2D"/>
    <w:rsid w:val="00655002"/>
    <w:rsid w:val="006706BF"/>
    <w:rsid w:val="0068125C"/>
    <w:rsid w:val="006B21A7"/>
    <w:rsid w:val="006C78D2"/>
    <w:rsid w:val="0070074E"/>
    <w:rsid w:val="00704BF2"/>
    <w:rsid w:val="00714753"/>
    <w:rsid w:val="00727343"/>
    <w:rsid w:val="0073386C"/>
    <w:rsid w:val="00733D0B"/>
    <w:rsid w:val="00764770"/>
    <w:rsid w:val="00764C1E"/>
    <w:rsid w:val="00766DA8"/>
    <w:rsid w:val="00775E66"/>
    <w:rsid w:val="007B7703"/>
    <w:rsid w:val="007F1B3F"/>
    <w:rsid w:val="007F7556"/>
    <w:rsid w:val="00800A5F"/>
    <w:rsid w:val="008664D5"/>
    <w:rsid w:val="0087571F"/>
    <w:rsid w:val="008953E5"/>
    <w:rsid w:val="008D30BD"/>
    <w:rsid w:val="00907728"/>
    <w:rsid w:val="00943D69"/>
    <w:rsid w:val="00951969"/>
    <w:rsid w:val="00993A0E"/>
    <w:rsid w:val="009C2820"/>
    <w:rsid w:val="009D54E8"/>
    <w:rsid w:val="00A7358E"/>
    <w:rsid w:val="00AA0AB9"/>
    <w:rsid w:val="00AB49F5"/>
    <w:rsid w:val="00AF3DFF"/>
    <w:rsid w:val="00B178B5"/>
    <w:rsid w:val="00B553C6"/>
    <w:rsid w:val="00B67BB9"/>
    <w:rsid w:val="00BA39F2"/>
    <w:rsid w:val="00BA494B"/>
    <w:rsid w:val="00BB3931"/>
    <w:rsid w:val="00BB5FC9"/>
    <w:rsid w:val="00C064F8"/>
    <w:rsid w:val="00C55AFA"/>
    <w:rsid w:val="00C650AE"/>
    <w:rsid w:val="00C66D45"/>
    <w:rsid w:val="00C82886"/>
    <w:rsid w:val="00C91FB5"/>
    <w:rsid w:val="00CA0326"/>
    <w:rsid w:val="00CF7CD1"/>
    <w:rsid w:val="00D11786"/>
    <w:rsid w:val="00D32C5A"/>
    <w:rsid w:val="00D5554E"/>
    <w:rsid w:val="00D6333E"/>
    <w:rsid w:val="00D91E59"/>
    <w:rsid w:val="00DA2F9C"/>
    <w:rsid w:val="00DA3122"/>
    <w:rsid w:val="00DF3F71"/>
    <w:rsid w:val="00DF5E4B"/>
    <w:rsid w:val="00DF7D60"/>
    <w:rsid w:val="00E75E8F"/>
    <w:rsid w:val="00E85F62"/>
    <w:rsid w:val="00EB2327"/>
    <w:rsid w:val="00EF48C4"/>
    <w:rsid w:val="00F8419C"/>
    <w:rsid w:val="00F84368"/>
    <w:rsid w:val="00F9632C"/>
    <w:rsid w:val="00FA05DE"/>
    <w:rsid w:val="00FB39CB"/>
    <w:rsid w:val="00FD0420"/>
    <w:rsid w:val="00FE0A47"/>
  </w:rsids>
  <m:mathPr>
    <m:mathFont m:val="Cambria Math"/>
    <m:brkBin m:val="before"/>
    <m:brkBinSub m:val="--"/>
    <m:smallFrac m:val="0"/>
    <m:dispDef/>
    <m:lMargin m:val="0"/>
    <m:rMargin m:val="0"/>
    <m:defJc m:val="centerGroup"/>
    <m:wrapIndent m:val="1440"/>
    <m:intLim m:val="subSup"/>
    <m:naryLim m:val="undOvr"/>
  </m:mathPr>
  <w:themeFontLang w:val="is-I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92EE"/>
  <w15:chartTrackingRefBased/>
  <w15:docId w15:val="{B1052D42-9F2C-46FD-9C42-587FEA6A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4CE"/>
    <w:pPr>
      <w:tabs>
        <w:tab w:val="left" w:pos="397"/>
        <w:tab w:val="left" w:pos="709"/>
      </w:tabs>
      <w:spacing w:after="0" w:line="240" w:lineRule="auto"/>
      <w:ind w:firstLine="397"/>
      <w:jc w:val="both"/>
    </w:pPr>
    <w:rPr>
      <w:rFonts w:ascii="Times" w:eastAsia="Times New Roman" w:hAnsi="Times" w:cs="Times New Roman"/>
      <w:noProof/>
      <w:sz w:val="21"/>
      <w:szCs w:val="24"/>
    </w:rPr>
  </w:style>
  <w:style w:type="paragraph" w:styleId="Heading1">
    <w:name w:val="heading 1"/>
    <w:basedOn w:val="Normal"/>
    <w:next w:val="Normal"/>
    <w:link w:val="Heading1Char"/>
    <w:autoRedefine/>
    <w:qFormat/>
    <w:rsid w:val="001434CE"/>
    <w:pPr>
      <w:keepNext/>
      <w:tabs>
        <w:tab w:val="right" w:pos="7796"/>
      </w:tabs>
      <w:spacing w:before="240" w:after="60"/>
      <w:ind w:firstLine="0"/>
      <w:jc w:val="center"/>
      <w:outlineLvl w:val="0"/>
    </w:pPr>
    <w:rPr>
      <w:noProof w:val="0"/>
      <w:spacing w:val="32"/>
      <w:kern w:val="28"/>
      <w:sz w:val="32"/>
      <w:szCs w:val="20"/>
      <w:lang w:eastAsia="en-GB"/>
    </w:rPr>
  </w:style>
  <w:style w:type="paragraph" w:styleId="Heading2">
    <w:name w:val="heading 2"/>
    <w:basedOn w:val="Normal"/>
    <w:next w:val="Normal"/>
    <w:link w:val="Heading2Char"/>
    <w:autoRedefine/>
    <w:unhideWhenUsed/>
    <w:qFormat/>
    <w:rsid w:val="001434CE"/>
    <w:pPr>
      <w:keepNext/>
      <w:tabs>
        <w:tab w:val="right" w:pos="7796"/>
      </w:tabs>
      <w:ind w:firstLine="0"/>
      <w:jc w:val="center"/>
      <w:outlineLvl w:val="1"/>
    </w:pPr>
    <w:rPr>
      <w:b/>
      <w:noProof w:val="0"/>
      <w:szCs w:val="20"/>
      <w:lang w:eastAsia="en-GB"/>
    </w:rPr>
  </w:style>
  <w:style w:type="paragraph" w:styleId="Heading3">
    <w:name w:val="heading 3"/>
    <w:basedOn w:val="Normal"/>
    <w:next w:val="Normal"/>
    <w:link w:val="Heading3Char"/>
    <w:autoRedefine/>
    <w:qFormat/>
    <w:rsid w:val="003D5BDF"/>
    <w:pPr>
      <w:keepNext/>
      <w:tabs>
        <w:tab w:val="right" w:pos="7796"/>
      </w:tabs>
      <w:ind w:firstLine="0"/>
      <w:jc w:val="center"/>
      <w:outlineLvl w:val="2"/>
    </w:pPr>
    <w:rPr>
      <w:noProof w:val="0"/>
      <w:szCs w:val="20"/>
      <w:lang w:eastAsia="en-GB"/>
    </w:rPr>
  </w:style>
  <w:style w:type="paragraph" w:styleId="Heading4">
    <w:name w:val="heading 4"/>
    <w:basedOn w:val="Normal"/>
    <w:next w:val="Normal"/>
    <w:link w:val="Heading4Char"/>
    <w:autoRedefine/>
    <w:unhideWhenUsed/>
    <w:qFormat/>
    <w:rsid w:val="0017003A"/>
    <w:pPr>
      <w:keepNext/>
      <w:tabs>
        <w:tab w:val="right" w:pos="7796"/>
      </w:tabs>
      <w:ind w:firstLine="0"/>
      <w:jc w:val="center"/>
      <w:outlineLvl w:val="3"/>
    </w:pPr>
    <w:rPr>
      <w:bCs/>
      <w:i/>
      <w:noProof w:val="0"/>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4CE"/>
    <w:rPr>
      <w:rFonts w:ascii="Times" w:eastAsia="Times New Roman" w:hAnsi="Times" w:cs="Times New Roman"/>
      <w:spacing w:val="32"/>
      <w:kern w:val="28"/>
      <w:sz w:val="32"/>
      <w:szCs w:val="20"/>
      <w:lang w:val="is-IS" w:eastAsia="en-GB"/>
    </w:rPr>
  </w:style>
  <w:style w:type="character" w:customStyle="1" w:styleId="Heading2Char">
    <w:name w:val="Heading 2 Char"/>
    <w:basedOn w:val="DefaultParagraphFont"/>
    <w:link w:val="Heading2"/>
    <w:rsid w:val="001434CE"/>
    <w:rPr>
      <w:rFonts w:ascii="Times" w:eastAsia="Times New Roman" w:hAnsi="Times" w:cs="Times New Roman"/>
      <w:b/>
      <w:sz w:val="21"/>
      <w:szCs w:val="20"/>
      <w:lang w:val="is-IS" w:eastAsia="en-GB"/>
    </w:rPr>
  </w:style>
  <w:style w:type="character" w:customStyle="1" w:styleId="Heading3Char">
    <w:name w:val="Heading 3 Char"/>
    <w:basedOn w:val="DefaultParagraphFont"/>
    <w:link w:val="Heading3"/>
    <w:rsid w:val="003D5BDF"/>
    <w:rPr>
      <w:rFonts w:ascii="Times" w:eastAsia="Times New Roman" w:hAnsi="Times" w:cs="Times New Roman"/>
      <w:sz w:val="21"/>
      <w:szCs w:val="20"/>
      <w:lang w:eastAsia="en-GB"/>
    </w:rPr>
  </w:style>
  <w:style w:type="character" w:customStyle="1" w:styleId="Heading4Char">
    <w:name w:val="Heading 4 Char"/>
    <w:basedOn w:val="DefaultParagraphFont"/>
    <w:link w:val="Heading4"/>
    <w:rsid w:val="0017003A"/>
    <w:rPr>
      <w:rFonts w:ascii="Times" w:eastAsia="Times New Roman" w:hAnsi="Times" w:cs="Times New Roman"/>
      <w:bCs/>
      <w:i/>
      <w:sz w:val="21"/>
      <w:szCs w:val="28"/>
      <w:lang w:eastAsia="en-GB"/>
    </w:rPr>
  </w:style>
  <w:style w:type="paragraph" w:styleId="Header">
    <w:name w:val="header"/>
    <w:basedOn w:val="Normal"/>
    <w:link w:val="HeaderChar"/>
    <w:rsid w:val="001434CE"/>
    <w:pPr>
      <w:tabs>
        <w:tab w:val="center" w:pos="4153"/>
        <w:tab w:val="right" w:pos="8306"/>
      </w:tabs>
    </w:pPr>
    <w:rPr>
      <w:szCs w:val="20"/>
      <w:lang w:eastAsia="en-GB"/>
    </w:rPr>
  </w:style>
  <w:style w:type="character" w:customStyle="1" w:styleId="HeaderChar">
    <w:name w:val="Header Char"/>
    <w:basedOn w:val="DefaultParagraphFont"/>
    <w:link w:val="Header"/>
    <w:rsid w:val="001434CE"/>
    <w:rPr>
      <w:rFonts w:ascii="Times" w:eastAsia="Times New Roman" w:hAnsi="Times" w:cs="Times New Roman"/>
      <w:noProof/>
      <w:sz w:val="21"/>
      <w:szCs w:val="20"/>
      <w:lang w:val="is-IS" w:eastAsia="en-GB"/>
    </w:rPr>
  </w:style>
  <w:style w:type="paragraph" w:customStyle="1" w:styleId="fhundirskr">
    <w:name w:val="fhundirskr"/>
    <w:basedOn w:val="Heading3"/>
    <w:autoRedefine/>
    <w:qFormat/>
    <w:rsid w:val="001434CE"/>
    <w:pPr>
      <w:spacing w:before="80" w:after="80"/>
      <w:outlineLvl w:val="9"/>
    </w:pPr>
  </w:style>
  <w:style w:type="paragraph" w:customStyle="1" w:styleId="Undirritun1">
    <w:name w:val="Undirritun 1"/>
    <w:basedOn w:val="Normal"/>
    <w:autoRedefine/>
    <w:qFormat/>
    <w:rsid w:val="001434CE"/>
    <w:pPr>
      <w:tabs>
        <w:tab w:val="right" w:pos="7796"/>
      </w:tabs>
      <w:ind w:firstLine="0"/>
      <w:jc w:val="center"/>
    </w:pPr>
    <w:rPr>
      <w:b/>
      <w:szCs w:val="20"/>
      <w:lang w:eastAsia="en-GB"/>
    </w:rPr>
  </w:style>
  <w:style w:type="paragraph" w:styleId="BalloonText">
    <w:name w:val="Balloon Text"/>
    <w:basedOn w:val="Normal"/>
    <w:link w:val="BalloonTextChar"/>
    <w:uiPriority w:val="99"/>
    <w:semiHidden/>
    <w:unhideWhenUsed/>
    <w:rsid w:val="00110E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E64"/>
    <w:rPr>
      <w:rFonts w:ascii="Segoe UI" w:eastAsia="Times New Roman" w:hAnsi="Segoe UI" w:cs="Segoe UI"/>
      <w:noProof/>
      <w:sz w:val="18"/>
      <w:szCs w:val="18"/>
    </w:rPr>
  </w:style>
  <w:style w:type="paragraph" w:styleId="ListParagraph">
    <w:name w:val="List Paragraph"/>
    <w:basedOn w:val="Normal"/>
    <w:uiPriority w:val="34"/>
    <w:qFormat/>
    <w:rsid w:val="003D5BDF"/>
    <w:pPr>
      <w:ind w:left="720"/>
      <w:contextualSpacing/>
    </w:pPr>
  </w:style>
  <w:style w:type="character" w:styleId="CommentReference">
    <w:name w:val="annotation reference"/>
    <w:basedOn w:val="DefaultParagraphFont"/>
    <w:uiPriority w:val="99"/>
    <w:semiHidden/>
    <w:unhideWhenUsed/>
    <w:rsid w:val="000E5126"/>
    <w:rPr>
      <w:sz w:val="16"/>
      <w:szCs w:val="16"/>
    </w:rPr>
  </w:style>
  <w:style w:type="paragraph" w:styleId="CommentText">
    <w:name w:val="annotation text"/>
    <w:basedOn w:val="Normal"/>
    <w:link w:val="CommentTextChar"/>
    <w:uiPriority w:val="99"/>
    <w:unhideWhenUsed/>
    <w:rsid w:val="000E5126"/>
    <w:rPr>
      <w:sz w:val="20"/>
      <w:szCs w:val="20"/>
    </w:rPr>
  </w:style>
  <w:style w:type="character" w:customStyle="1" w:styleId="CommentTextChar">
    <w:name w:val="Comment Text Char"/>
    <w:basedOn w:val="DefaultParagraphFont"/>
    <w:link w:val="CommentText"/>
    <w:uiPriority w:val="99"/>
    <w:rsid w:val="000E5126"/>
    <w:rPr>
      <w:rFonts w:ascii="Times" w:eastAsia="Times New Roman" w:hAnsi="Times" w:cs="Times New Roman"/>
      <w:noProof/>
      <w:sz w:val="20"/>
      <w:szCs w:val="20"/>
    </w:rPr>
  </w:style>
  <w:style w:type="paragraph" w:styleId="CommentSubject">
    <w:name w:val="annotation subject"/>
    <w:basedOn w:val="CommentText"/>
    <w:next w:val="CommentText"/>
    <w:link w:val="CommentSubjectChar"/>
    <w:uiPriority w:val="99"/>
    <w:semiHidden/>
    <w:unhideWhenUsed/>
    <w:rsid w:val="000E5126"/>
    <w:rPr>
      <w:b/>
      <w:bCs/>
    </w:rPr>
  </w:style>
  <w:style w:type="character" w:customStyle="1" w:styleId="CommentSubjectChar">
    <w:name w:val="Comment Subject Char"/>
    <w:basedOn w:val="CommentTextChar"/>
    <w:link w:val="CommentSubject"/>
    <w:uiPriority w:val="99"/>
    <w:semiHidden/>
    <w:rsid w:val="000E5126"/>
    <w:rPr>
      <w:rFonts w:ascii="Times" w:eastAsia="Times New Roman" w:hAnsi="Times" w:cs="Times New Roman"/>
      <w:b/>
      <w:bCs/>
      <w:noProof/>
      <w:sz w:val="20"/>
      <w:szCs w:val="20"/>
    </w:rPr>
  </w:style>
  <w:style w:type="paragraph" w:styleId="Footer">
    <w:name w:val="footer"/>
    <w:basedOn w:val="Normal"/>
    <w:link w:val="FooterChar"/>
    <w:uiPriority w:val="99"/>
    <w:unhideWhenUsed/>
    <w:rsid w:val="001E6922"/>
    <w:pPr>
      <w:tabs>
        <w:tab w:val="clear" w:pos="397"/>
        <w:tab w:val="clear" w:pos="709"/>
        <w:tab w:val="center" w:pos="4513"/>
        <w:tab w:val="right" w:pos="9026"/>
      </w:tabs>
    </w:pPr>
  </w:style>
  <w:style w:type="character" w:customStyle="1" w:styleId="FooterChar">
    <w:name w:val="Footer Char"/>
    <w:basedOn w:val="DefaultParagraphFont"/>
    <w:link w:val="Footer"/>
    <w:uiPriority w:val="99"/>
    <w:rsid w:val="001E6922"/>
    <w:rPr>
      <w:rFonts w:ascii="Times" w:eastAsia="Times New Roman" w:hAnsi="Times" w:cs="Times New Roman"/>
      <w:noProof/>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884201">
      <w:bodyDiv w:val="1"/>
      <w:marLeft w:val="0"/>
      <w:marRight w:val="0"/>
      <w:marTop w:val="0"/>
      <w:marBottom w:val="0"/>
      <w:divBdr>
        <w:top w:val="none" w:sz="0" w:space="0" w:color="auto"/>
        <w:left w:val="none" w:sz="0" w:space="0" w:color="auto"/>
        <w:bottom w:val="none" w:sz="0" w:space="0" w:color="auto"/>
        <w:right w:val="none" w:sz="0" w:space="0" w:color="auto"/>
      </w:divBdr>
    </w:div>
    <w:div w:id="666202792">
      <w:bodyDiv w:val="1"/>
      <w:marLeft w:val="0"/>
      <w:marRight w:val="0"/>
      <w:marTop w:val="0"/>
      <w:marBottom w:val="0"/>
      <w:divBdr>
        <w:top w:val="none" w:sz="0" w:space="0" w:color="auto"/>
        <w:left w:val="none" w:sz="0" w:space="0" w:color="auto"/>
        <w:bottom w:val="none" w:sz="0" w:space="0" w:color="auto"/>
        <w:right w:val="none" w:sz="0" w:space="0" w:color="auto"/>
      </w:divBdr>
    </w:div>
    <w:div w:id="121846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08bjbi\Downloads\REGLUGER&#208;ARSNI&#208;M&#193;T_FR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REGLUGERÐARSNIÐMÁT_FRN</Template>
  <TotalTime>3</TotalTime>
  <Pages>3</Pages>
  <Words>1008</Words>
  <Characters>5750</Characters>
  <Application>Microsoft Office Word</Application>
  <DocSecurity>0</DocSecurity>
  <Lines>47</Lines>
  <Paragraphs>13</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Björk Birkisdóttir</dc:creator>
  <cp:keywords/>
  <dc:description/>
  <cp:lastModifiedBy>Lísa Margrét Sigurðardóttir</cp:lastModifiedBy>
  <cp:revision>3</cp:revision>
  <dcterms:created xsi:type="dcterms:W3CDTF">2024-10-09T09:56:00Z</dcterms:created>
  <dcterms:modified xsi:type="dcterms:W3CDTF">2024-10-09T15:37:00Z</dcterms:modified>
</cp:coreProperties>
</file>