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CB0CB5" w14:textId="77777777" w:rsidR="0085279D" w:rsidRPr="009E3C79" w:rsidRDefault="0085279D" w:rsidP="009E3C79">
      <w:pPr>
        <w:pStyle w:val="NoSpacing"/>
        <w:spacing w:line="360" w:lineRule="auto"/>
        <w:jc w:val="both"/>
        <w:rPr>
          <w:rFonts w:ascii="Times New Roman" w:hAnsi="Times New Roman" w:cs="Times New Roman"/>
          <w:sz w:val="24"/>
          <w:szCs w:val="24"/>
        </w:rPr>
      </w:pPr>
    </w:p>
    <w:p w14:paraId="7B007F40" w14:textId="77777777" w:rsidR="0085279D" w:rsidRPr="009E3C79" w:rsidRDefault="0085279D" w:rsidP="009E3C79">
      <w:pPr>
        <w:pStyle w:val="NoSpacing"/>
        <w:spacing w:line="360" w:lineRule="auto"/>
        <w:jc w:val="both"/>
        <w:rPr>
          <w:rFonts w:ascii="Times New Roman" w:hAnsi="Times New Roman" w:cs="Times New Roman"/>
          <w:sz w:val="24"/>
          <w:szCs w:val="24"/>
        </w:rPr>
      </w:pPr>
    </w:p>
    <w:p w14:paraId="7B714D83" w14:textId="77777777" w:rsidR="0085279D" w:rsidRPr="009E3C79" w:rsidRDefault="0085279D" w:rsidP="009E3C79">
      <w:pPr>
        <w:pStyle w:val="NoSpacing"/>
        <w:spacing w:line="360" w:lineRule="auto"/>
        <w:jc w:val="both"/>
        <w:rPr>
          <w:rFonts w:ascii="Times New Roman" w:hAnsi="Times New Roman" w:cs="Times New Roman"/>
          <w:sz w:val="24"/>
          <w:szCs w:val="24"/>
        </w:rPr>
      </w:pPr>
    </w:p>
    <w:p w14:paraId="61E2B0CD" w14:textId="5D1EA373" w:rsidR="0085279D" w:rsidRPr="009E3C79" w:rsidRDefault="0085279D" w:rsidP="009E3C79">
      <w:pPr>
        <w:pStyle w:val="NoSpacing"/>
        <w:spacing w:line="360" w:lineRule="auto"/>
        <w:ind w:left="4956" w:firstLine="708"/>
        <w:jc w:val="both"/>
        <w:rPr>
          <w:rFonts w:ascii="Times New Roman" w:hAnsi="Times New Roman" w:cs="Times New Roman"/>
          <w:sz w:val="24"/>
          <w:szCs w:val="24"/>
        </w:rPr>
      </w:pPr>
      <w:r w:rsidRPr="009E3C79">
        <w:rPr>
          <w:rFonts w:ascii="Times New Roman" w:hAnsi="Times New Roman" w:cs="Times New Roman"/>
          <w:sz w:val="24"/>
          <w:szCs w:val="24"/>
        </w:rPr>
        <w:t>22. mars 2021</w:t>
      </w:r>
    </w:p>
    <w:p w14:paraId="7D1CB3D6" w14:textId="77777777" w:rsidR="0085279D" w:rsidRPr="009E3C79" w:rsidRDefault="0085279D" w:rsidP="009E3C79">
      <w:pPr>
        <w:pStyle w:val="NoSpacing"/>
        <w:spacing w:line="360" w:lineRule="auto"/>
        <w:jc w:val="both"/>
        <w:rPr>
          <w:rFonts w:ascii="Times New Roman" w:hAnsi="Times New Roman" w:cs="Times New Roman"/>
          <w:sz w:val="24"/>
          <w:szCs w:val="24"/>
        </w:rPr>
      </w:pPr>
    </w:p>
    <w:p w14:paraId="24136A3F" w14:textId="77777777" w:rsidR="0085279D" w:rsidRPr="009E3C79" w:rsidRDefault="0085279D" w:rsidP="009E3C79">
      <w:pPr>
        <w:pStyle w:val="NoSpacing"/>
        <w:spacing w:line="360" w:lineRule="auto"/>
        <w:jc w:val="both"/>
        <w:rPr>
          <w:rFonts w:ascii="Times New Roman" w:hAnsi="Times New Roman" w:cs="Times New Roman"/>
          <w:sz w:val="24"/>
          <w:szCs w:val="24"/>
        </w:rPr>
      </w:pPr>
    </w:p>
    <w:p w14:paraId="13215D53" w14:textId="6601A480" w:rsidR="00F835CD" w:rsidRPr="009E3C79" w:rsidRDefault="0085279D" w:rsidP="009E3C79">
      <w:pPr>
        <w:pStyle w:val="NoSpacing"/>
        <w:jc w:val="both"/>
        <w:rPr>
          <w:rFonts w:ascii="Times New Roman" w:hAnsi="Times New Roman" w:cs="Times New Roman"/>
          <w:b/>
          <w:bCs/>
          <w:sz w:val="24"/>
          <w:szCs w:val="24"/>
        </w:rPr>
      </w:pPr>
      <w:r w:rsidRPr="009E3C79">
        <w:rPr>
          <w:rFonts w:ascii="Times New Roman" w:hAnsi="Times New Roman" w:cs="Times New Roman"/>
          <w:b/>
          <w:bCs/>
          <w:sz w:val="24"/>
          <w:szCs w:val="24"/>
        </w:rPr>
        <w:t xml:space="preserve">Umsögn </w:t>
      </w:r>
      <w:r w:rsidR="00F235A5" w:rsidRPr="009E3C79">
        <w:rPr>
          <w:rFonts w:ascii="Times New Roman" w:hAnsi="Times New Roman" w:cs="Times New Roman"/>
          <w:b/>
          <w:bCs/>
          <w:sz w:val="24"/>
          <w:szCs w:val="24"/>
        </w:rPr>
        <w:t xml:space="preserve">Hildar Fjólu Antonsdóttur </w:t>
      </w:r>
      <w:r w:rsidRPr="009E3C79">
        <w:rPr>
          <w:rFonts w:ascii="Times New Roman" w:hAnsi="Times New Roman" w:cs="Times New Roman"/>
          <w:b/>
          <w:bCs/>
          <w:sz w:val="24"/>
          <w:szCs w:val="24"/>
        </w:rPr>
        <w:t xml:space="preserve">um </w:t>
      </w:r>
      <w:r w:rsidR="00D02A80" w:rsidRPr="009E3C79">
        <w:rPr>
          <w:rFonts w:ascii="Times New Roman" w:hAnsi="Times New Roman" w:cs="Times New Roman"/>
          <w:b/>
          <w:bCs/>
          <w:sz w:val="24"/>
          <w:szCs w:val="24"/>
        </w:rPr>
        <w:t xml:space="preserve">drög að </w:t>
      </w:r>
      <w:r w:rsidRPr="009E3C79">
        <w:rPr>
          <w:rFonts w:ascii="Times New Roman" w:hAnsi="Times New Roman" w:cs="Times New Roman"/>
          <w:b/>
          <w:bCs/>
          <w:sz w:val="24"/>
          <w:szCs w:val="24"/>
        </w:rPr>
        <w:t>frumvarp</w:t>
      </w:r>
      <w:r w:rsidR="00D02A80" w:rsidRPr="009E3C79">
        <w:rPr>
          <w:rFonts w:ascii="Times New Roman" w:hAnsi="Times New Roman" w:cs="Times New Roman"/>
          <w:b/>
          <w:bCs/>
          <w:sz w:val="24"/>
          <w:szCs w:val="24"/>
        </w:rPr>
        <w:t>i</w:t>
      </w:r>
      <w:r w:rsidRPr="009E3C79">
        <w:rPr>
          <w:rFonts w:ascii="Times New Roman" w:hAnsi="Times New Roman" w:cs="Times New Roman"/>
          <w:b/>
          <w:bCs/>
          <w:sz w:val="24"/>
          <w:szCs w:val="24"/>
        </w:rPr>
        <w:t xml:space="preserve"> um breytingu á lögum um meðferð sakamála (réttarstaða brotaþola, fatlaðra og aðstandenda).</w:t>
      </w:r>
    </w:p>
    <w:p w14:paraId="528951C4" w14:textId="7912ACDC" w:rsidR="0085279D" w:rsidRPr="009E3C79" w:rsidRDefault="0085279D" w:rsidP="009E3C79">
      <w:pPr>
        <w:pStyle w:val="NoSpacing"/>
        <w:spacing w:line="360" w:lineRule="auto"/>
        <w:jc w:val="both"/>
        <w:rPr>
          <w:rFonts w:ascii="Times New Roman" w:hAnsi="Times New Roman" w:cs="Times New Roman"/>
          <w:sz w:val="24"/>
          <w:szCs w:val="24"/>
        </w:rPr>
      </w:pPr>
    </w:p>
    <w:p w14:paraId="5A84ECED" w14:textId="2039A2D8" w:rsidR="00BE298E" w:rsidRPr="00BE298E" w:rsidRDefault="00BE298E" w:rsidP="00BE298E">
      <w:pPr>
        <w:pStyle w:val="NoSpacing"/>
        <w:spacing w:line="360" w:lineRule="auto"/>
        <w:jc w:val="both"/>
        <w:rPr>
          <w:rFonts w:ascii="Times New Roman" w:hAnsi="Times New Roman" w:cs="Times New Roman"/>
          <w:sz w:val="24"/>
          <w:szCs w:val="24"/>
        </w:rPr>
      </w:pPr>
      <w:r w:rsidRPr="00BE298E">
        <w:rPr>
          <w:rFonts w:ascii="Times New Roman" w:hAnsi="Times New Roman" w:cs="Times New Roman"/>
          <w:sz w:val="24"/>
          <w:szCs w:val="24"/>
        </w:rPr>
        <w:t xml:space="preserve">Með frumvarpi því sem hér er lagt fram til samráðs er að finna tillögur til breytinga á réttarstöðu brotaþola með vísan í </w:t>
      </w:r>
      <w:r>
        <w:rPr>
          <w:rFonts w:ascii="Times New Roman" w:hAnsi="Times New Roman" w:cs="Times New Roman"/>
          <w:sz w:val="24"/>
          <w:szCs w:val="24"/>
        </w:rPr>
        <w:t>greinargerð</w:t>
      </w:r>
      <w:r w:rsidRPr="00BE298E">
        <w:rPr>
          <w:rFonts w:ascii="Times New Roman" w:hAnsi="Times New Roman" w:cs="Times New Roman"/>
          <w:sz w:val="24"/>
          <w:szCs w:val="24"/>
        </w:rPr>
        <w:t xml:space="preserve"> mína </w:t>
      </w:r>
      <w:r w:rsidRPr="00BE298E">
        <w:rPr>
          <w:rFonts w:ascii="Times New Roman" w:hAnsi="Times New Roman" w:cs="Times New Roman"/>
          <w:i/>
          <w:iCs/>
          <w:sz w:val="24"/>
          <w:szCs w:val="24"/>
        </w:rPr>
        <w:t>Réttlát málsmeðferð með tilliti til þolenda kynferðisbrota</w:t>
      </w:r>
      <w:r w:rsidRPr="00BE298E">
        <w:rPr>
          <w:rFonts w:ascii="Times New Roman" w:hAnsi="Times New Roman" w:cs="Times New Roman"/>
          <w:sz w:val="24"/>
          <w:szCs w:val="24"/>
        </w:rPr>
        <w:t>, sem unnin var fyrir stýrihóp forsætisráðherra um heildstæðar úrbætur að því er varðar kynferðislegt ofbeldi og kom út í maí 2019.</w:t>
      </w:r>
      <w:r w:rsidRPr="00BE298E">
        <w:rPr>
          <w:rStyle w:val="FootnoteReference"/>
          <w:rFonts w:ascii="Times New Roman" w:hAnsi="Times New Roman" w:cs="Times New Roman"/>
          <w:sz w:val="24"/>
          <w:szCs w:val="24"/>
        </w:rPr>
        <w:t xml:space="preserve"> </w:t>
      </w:r>
      <w:r w:rsidRPr="009E3C79">
        <w:rPr>
          <w:rStyle w:val="FootnoteReference"/>
          <w:rFonts w:ascii="Times New Roman" w:hAnsi="Times New Roman" w:cs="Times New Roman"/>
          <w:sz w:val="24"/>
          <w:szCs w:val="24"/>
        </w:rPr>
        <w:footnoteReference w:id="1"/>
      </w:r>
      <w:r w:rsidRPr="009E3C79">
        <w:rPr>
          <w:rFonts w:ascii="Times New Roman" w:hAnsi="Times New Roman" w:cs="Times New Roman"/>
          <w:sz w:val="24"/>
          <w:szCs w:val="24"/>
        </w:rPr>
        <w:t xml:space="preserve"> </w:t>
      </w:r>
      <w:r w:rsidRPr="00BE298E">
        <w:rPr>
          <w:rFonts w:ascii="Times New Roman" w:hAnsi="Times New Roman" w:cs="Times New Roman"/>
          <w:sz w:val="24"/>
          <w:szCs w:val="24"/>
        </w:rPr>
        <w:t xml:space="preserve"> Í frumvarpsdrögunum eru einnig lagðar til breytingar sem lúta að fötluðum brotaþolum og aðstandendum brotaþola. Í þeirri umsögn sem hér fer á eftir verður ekki fjallað sérstaklega um þær tillögur, heldur sjónum beint að þeim atriðum sem miða að því að styrkja réttarstöðu og bótarétt kynferðisbrota. Með hugtakinu „brotaþolar“ er vísað til brotaþola kynferðisbrota eða eftir atvikum brotaþola sem eiga rétt á réttargæslumanni.</w:t>
      </w:r>
    </w:p>
    <w:p w14:paraId="388229F9" w14:textId="77777777" w:rsidR="00BE298E" w:rsidRPr="00BE298E" w:rsidRDefault="00BE298E" w:rsidP="00BE298E">
      <w:pPr>
        <w:pStyle w:val="NoSpacing"/>
        <w:spacing w:line="360" w:lineRule="auto"/>
        <w:jc w:val="both"/>
        <w:rPr>
          <w:rFonts w:ascii="Times New Roman" w:hAnsi="Times New Roman" w:cs="Times New Roman"/>
          <w:sz w:val="24"/>
          <w:szCs w:val="24"/>
        </w:rPr>
      </w:pPr>
    </w:p>
    <w:p w14:paraId="7DD75338" w14:textId="60AFBB59" w:rsidR="00BE298E" w:rsidRDefault="00BE298E" w:rsidP="00BE298E">
      <w:pPr>
        <w:pStyle w:val="NoSpacing"/>
        <w:spacing w:line="360" w:lineRule="auto"/>
        <w:jc w:val="both"/>
        <w:rPr>
          <w:rFonts w:ascii="Times New Roman" w:hAnsi="Times New Roman" w:cs="Times New Roman"/>
          <w:sz w:val="24"/>
          <w:szCs w:val="24"/>
        </w:rPr>
      </w:pPr>
      <w:r w:rsidRPr="00BE298E">
        <w:rPr>
          <w:rFonts w:ascii="Times New Roman" w:hAnsi="Times New Roman" w:cs="Times New Roman"/>
          <w:sz w:val="24"/>
          <w:szCs w:val="24"/>
        </w:rPr>
        <w:t>Í framangreindri greinargerð eru gerðar tillögur í fimmtán liðum sem hafa það að augnamiði að styrkja réttarstöðu og bótarétt brotaþola kynferðisbrota</w:t>
      </w:r>
      <w:r>
        <w:rPr>
          <w:rFonts w:ascii="Times New Roman" w:hAnsi="Times New Roman" w:cs="Times New Roman"/>
          <w:sz w:val="24"/>
          <w:szCs w:val="24"/>
        </w:rPr>
        <w:t xml:space="preserve">. </w:t>
      </w:r>
      <w:r w:rsidRPr="00BE298E">
        <w:rPr>
          <w:rFonts w:ascii="Times New Roman" w:hAnsi="Times New Roman" w:cs="Times New Roman"/>
          <w:sz w:val="24"/>
          <w:szCs w:val="24"/>
        </w:rPr>
        <w:t>Við vinnslu greinargerðarinnar var liti</w:t>
      </w:r>
      <w:r>
        <w:rPr>
          <w:rFonts w:ascii="Times New Roman" w:hAnsi="Times New Roman" w:cs="Times New Roman"/>
          <w:sz w:val="24"/>
          <w:szCs w:val="24"/>
        </w:rPr>
        <w:t>ð</w:t>
      </w:r>
      <w:r w:rsidRPr="00BE298E">
        <w:rPr>
          <w:rFonts w:ascii="Times New Roman" w:hAnsi="Times New Roman" w:cs="Times New Roman"/>
          <w:sz w:val="24"/>
          <w:szCs w:val="24"/>
        </w:rPr>
        <w:t xml:space="preserve"> til löggjafar hinna Norðurlandanna og </w:t>
      </w:r>
      <w:r>
        <w:rPr>
          <w:rFonts w:ascii="Times New Roman" w:hAnsi="Times New Roman" w:cs="Times New Roman"/>
          <w:sz w:val="24"/>
          <w:szCs w:val="24"/>
        </w:rPr>
        <w:t xml:space="preserve">meðal annars </w:t>
      </w:r>
      <w:r w:rsidRPr="00BE298E">
        <w:rPr>
          <w:rFonts w:ascii="Times New Roman" w:hAnsi="Times New Roman" w:cs="Times New Roman"/>
          <w:sz w:val="24"/>
          <w:szCs w:val="24"/>
        </w:rPr>
        <w:t xml:space="preserve">haft víðtækt samráð við aðila innan réttarvörslukerfisins hér á landi. Auk þess byggir greinargerðin á rannsóknum mínum af upplifun brotaþola kynferðisofbeldis af því að leita réttar síns og af alþjóðlegum rannsóknum á því sama viðfangsefni. Í þeim frumvarpsdrögum sem hér eru lögð fram er aðeins brugðist við framangreindum </w:t>
      </w:r>
      <w:r>
        <w:rPr>
          <w:rFonts w:ascii="Times New Roman" w:hAnsi="Times New Roman" w:cs="Times New Roman"/>
          <w:sz w:val="24"/>
          <w:szCs w:val="24"/>
        </w:rPr>
        <w:t xml:space="preserve"> </w:t>
      </w:r>
      <w:r w:rsidRPr="00BE298E">
        <w:rPr>
          <w:rFonts w:ascii="Times New Roman" w:hAnsi="Times New Roman" w:cs="Times New Roman"/>
          <w:sz w:val="24"/>
          <w:szCs w:val="24"/>
        </w:rPr>
        <w:t>tillögum að mjög takmörkuðu leyti og ekki er að finna skýringar í greinargerð á því hvers vegna svo er.</w:t>
      </w:r>
    </w:p>
    <w:p w14:paraId="44CD0A63"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4939ECFB" w14:textId="782A4061" w:rsidR="000557D4" w:rsidRPr="009E3C79" w:rsidRDefault="00221604"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 xml:space="preserve">Víða í nágrannalöndum </w:t>
      </w:r>
      <w:r w:rsidR="00BE298E">
        <w:rPr>
          <w:rFonts w:ascii="Times New Roman" w:hAnsi="Times New Roman" w:cs="Times New Roman"/>
          <w:sz w:val="24"/>
          <w:szCs w:val="24"/>
        </w:rPr>
        <w:t>Íslands</w:t>
      </w:r>
      <w:r w:rsidRPr="009E3C79">
        <w:rPr>
          <w:rFonts w:ascii="Times New Roman" w:hAnsi="Times New Roman" w:cs="Times New Roman"/>
          <w:sz w:val="24"/>
          <w:szCs w:val="24"/>
        </w:rPr>
        <w:t xml:space="preserve"> </w:t>
      </w:r>
      <w:r w:rsidR="00A66A33" w:rsidRPr="009E3C79">
        <w:rPr>
          <w:rFonts w:ascii="Times New Roman" w:hAnsi="Times New Roman" w:cs="Times New Roman"/>
          <w:sz w:val="24"/>
          <w:szCs w:val="24"/>
        </w:rPr>
        <w:t xml:space="preserve">er gengið út frá því að brotaþolar hafi skýra og réttmæta hagsmuni í sakamáli sem lýtur bæði að lagalegum þætti málsins og þeim er varðar sönnunarþáttinn. Brotaþolar hafa þannig lögmæta hagsmuni af því að málið sé upplýst og að hinn seki sé látinn taka ábyrgð á brotinu sem felur þá í sér að brotaþolar hafi réttmæta þörf til </w:t>
      </w:r>
      <w:r w:rsidR="00A66A33" w:rsidRPr="009E3C79">
        <w:rPr>
          <w:rFonts w:ascii="Times New Roman" w:hAnsi="Times New Roman" w:cs="Times New Roman"/>
          <w:sz w:val="24"/>
          <w:szCs w:val="24"/>
        </w:rPr>
        <w:lastRenderedPageBreak/>
        <w:t xml:space="preserve">að gæta hagsmuna sinna á meðan á málsmeðferð stendur. </w:t>
      </w:r>
      <w:r w:rsidR="000557D4" w:rsidRPr="009E3C79">
        <w:rPr>
          <w:rFonts w:ascii="Times New Roman" w:hAnsi="Times New Roman" w:cs="Times New Roman"/>
          <w:sz w:val="24"/>
          <w:szCs w:val="24"/>
        </w:rPr>
        <w:t>Að mati undirritaðrar er e</w:t>
      </w:r>
      <w:r w:rsidR="00A66A33" w:rsidRPr="009E3C79">
        <w:rPr>
          <w:rFonts w:ascii="Times New Roman" w:hAnsi="Times New Roman" w:cs="Times New Roman"/>
          <w:sz w:val="24"/>
          <w:szCs w:val="24"/>
        </w:rPr>
        <w:t xml:space="preserve">kki er að sjá að drög frumvarpsins taki nægilega </w:t>
      </w:r>
      <w:r w:rsidR="00765E5E" w:rsidRPr="009E3C79">
        <w:rPr>
          <w:rFonts w:ascii="Times New Roman" w:hAnsi="Times New Roman" w:cs="Times New Roman"/>
          <w:sz w:val="24"/>
          <w:szCs w:val="24"/>
        </w:rPr>
        <w:t xml:space="preserve">vel </w:t>
      </w:r>
      <w:r w:rsidR="00A66A33" w:rsidRPr="009E3C79">
        <w:rPr>
          <w:rFonts w:ascii="Times New Roman" w:hAnsi="Times New Roman" w:cs="Times New Roman"/>
          <w:sz w:val="24"/>
          <w:szCs w:val="24"/>
        </w:rPr>
        <w:t>mið af þessum sjónarmiðum</w:t>
      </w:r>
      <w:r w:rsidR="000557D4" w:rsidRPr="009E3C79">
        <w:rPr>
          <w:rFonts w:ascii="Times New Roman" w:hAnsi="Times New Roman" w:cs="Times New Roman"/>
          <w:sz w:val="24"/>
          <w:szCs w:val="24"/>
        </w:rPr>
        <w:t xml:space="preserve">, hvorki í greinargerðinni sem fylgir drögunum né í tillögunum sjálfum. </w:t>
      </w:r>
      <w:r w:rsidR="00DB0547" w:rsidRPr="009E3C79">
        <w:rPr>
          <w:rFonts w:ascii="Times New Roman" w:hAnsi="Times New Roman" w:cs="Times New Roman"/>
          <w:sz w:val="24"/>
          <w:szCs w:val="24"/>
        </w:rPr>
        <w:t xml:space="preserve">Hér verða talin upp þau atriði sem undirrituð telur að megi ýmist skýra eða bæta. </w:t>
      </w:r>
    </w:p>
    <w:p w14:paraId="448C5C6B"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6BA17CDC" w14:textId="5586758B" w:rsidR="007450D5" w:rsidRPr="00FF03F8" w:rsidRDefault="008A7895" w:rsidP="009E3C79">
      <w:pPr>
        <w:pStyle w:val="NoSpacing"/>
        <w:spacing w:line="360" w:lineRule="auto"/>
        <w:jc w:val="both"/>
        <w:rPr>
          <w:rFonts w:ascii="Times New Roman" w:hAnsi="Times New Roman" w:cs="Times New Roman"/>
          <w:b/>
          <w:bCs/>
          <w:sz w:val="24"/>
          <w:szCs w:val="24"/>
        </w:rPr>
      </w:pPr>
      <w:r w:rsidRPr="009E3C79">
        <w:rPr>
          <w:rFonts w:ascii="Times New Roman" w:hAnsi="Times New Roman" w:cs="Times New Roman"/>
          <w:b/>
          <w:bCs/>
          <w:sz w:val="24"/>
          <w:szCs w:val="24"/>
        </w:rPr>
        <w:t>Réttur brotaþola til upplýsinga og þátttöku á rannsóknarstigi</w:t>
      </w:r>
    </w:p>
    <w:p w14:paraId="261FE593" w14:textId="4A17FADD" w:rsidR="00E04787" w:rsidRPr="009E3C79" w:rsidRDefault="00D608C9"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 xml:space="preserve">Í drögunum er </w:t>
      </w:r>
      <w:r w:rsidR="0003591A" w:rsidRPr="009E3C79">
        <w:rPr>
          <w:rFonts w:ascii="Times New Roman" w:hAnsi="Times New Roman" w:cs="Times New Roman"/>
          <w:sz w:val="24"/>
          <w:szCs w:val="24"/>
        </w:rPr>
        <w:t xml:space="preserve">lagt til að auka upplýsingagjöf til brotaþola um gang málsins á rannsóknarstigi og er það mjög til bóta. </w:t>
      </w:r>
      <w:r w:rsidR="00E04787" w:rsidRPr="009E3C79">
        <w:rPr>
          <w:rFonts w:ascii="Times New Roman" w:hAnsi="Times New Roman" w:cs="Times New Roman"/>
          <w:sz w:val="24"/>
          <w:szCs w:val="24"/>
        </w:rPr>
        <w:t xml:space="preserve">Ástæða er þó að gera athugasemd við </w:t>
      </w:r>
      <w:r w:rsidR="00DB0547" w:rsidRPr="009E3C79">
        <w:rPr>
          <w:rFonts w:ascii="Times New Roman" w:hAnsi="Times New Roman" w:cs="Times New Roman"/>
          <w:sz w:val="24"/>
          <w:szCs w:val="24"/>
        </w:rPr>
        <w:t>skort á skýrleika hvað varðar</w:t>
      </w:r>
      <w:r w:rsidR="00960730">
        <w:rPr>
          <w:rFonts w:ascii="Times New Roman" w:hAnsi="Times New Roman" w:cs="Times New Roman"/>
          <w:sz w:val="24"/>
          <w:szCs w:val="24"/>
        </w:rPr>
        <w:t xml:space="preserve"> aðgang brotaþola að gögnum máls</w:t>
      </w:r>
      <w:r w:rsidR="00BE298E">
        <w:rPr>
          <w:rFonts w:ascii="Times New Roman" w:hAnsi="Times New Roman" w:cs="Times New Roman"/>
          <w:sz w:val="24"/>
          <w:szCs w:val="24"/>
        </w:rPr>
        <w:t>.</w:t>
      </w:r>
      <w:r w:rsidR="003025AE">
        <w:rPr>
          <w:rFonts w:ascii="Times New Roman" w:hAnsi="Times New Roman" w:cs="Times New Roman"/>
          <w:sz w:val="24"/>
          <w:szCs w:val="24"/>
        </w:rPr>
        <w:t xml:space="preserve"> </w:t>
      </w:r>
      <w:r w:rsidR="00E04787" w:rsidRPr="009E3C79">
        <w:rPr>
          <w:rFonts w:ascii="Times New Roman" w:hAnsi="Times New Roman" w:cs="Times New Roman"/>
          <w:sz w:val="24"/>
          <w:szCs w:val="24"/>
        </w:rPr>
        <w:t>Með 7. gr. frumvarps</w:t>
      </w:r>
      <w:r w:rsidR="00960730">
        <w:rPr>
          <w:rFonts w:ascii="Times New Roman" w:hAnsi="Times New Roman" w:cs="Times New Roman"/>
          <w:sz w:val="24"/>
          <w:szCs w:val="24"/>
        </w:rPr>
        <w:t>dragana</w:t>
      </w:r>
      <w:r w:rsidR="00E04787" w:rsidRPr="009E3C79">
        <w:rPr>
          <w:rFonts w:ascii="Times New Roman" w:hAnsi="Times New Roman" w:cs="Times New Roman"/>
          <w:sz w:val="24"/>
          <w:szCs w:val="24"/>
        </w:rPr>
        <w:t xml:space="preserve"> er kveðið á um ríkari rétt réttargæslumanns til aðgangs að rannsóknargögnum en nú er gert. Fram kemur að skv. gildandi 1. mgr. 47. gr. laga um meðferð sakamála eigi réttargæslumaður einungis rétt á að fá aðgang að þeim gögnum sem varða þátt skjólstæðings hans í málinu og honum eru nauðsynleg til að gæta hagsmuna skjólstæðingsins, á meðan á lögreglurannsókn standi. Í stað þess leggur réttarfarsnefnd til eftirfarandi breytingu en í drögunum segir: </w:t>
      </w:r>
    </w:p>
    <w:p w14:paraId="5FCF1B07"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0E3DF521" w14:textId="6C23DC4C" w:rsidR="00E04787" w:rsidRPr="009E3C79" w:rsidRDefault="00E04787" w:rsidP="009E3C79">
      <w:pPr>
        <w:pStyle w:val="NoSpacing"/>
        <w:ind w:left="1134" w:right="1134"/>
        <w:jc w:val="both"/>
        <w:rPr>
          <w:rFonts w:ascii="Times New Roman" w:hAnsi="Times New Roman" w:cs="Times New Roman"/>
          <w:sz w:val="24"/>
          <w:szCs w:val="24"/>
        </w:rPr>
      </w:pPr>
      <w:r w:rsidRPr="009E3C79">
        <w:rPr>
          <w:rFonts w:ascii="Times New Roman" w:hAnsi="Times New Roman" w:cs="Times New Roman"/>
          <w:sz w:val="24"/>
          <w:szCs w:val="24"/>
        </w:rPr>
        <w:t xml:space="preserve">Lagt er til að í stað þess að takmarka þennan aðgang við gögn sem varða </w:t>
      </w:r>
      <w:r w:rsidRPr="009E3C79">
        <w:rPr>
          <w:rFonts w:ascii="Times New Roman" w:hAnsi="Times New Roman" w:cs="Times New Roman"/>
          <w:i/>
          <w:iCs/>
          <w:sz w:val="24"/>
          <w:szCs w:val="24"/>
        </w:rPr>
        <w:t>þátt</w:t>
      </w:r>
      <w:r w:rsidRPr="009E3C79">
        <w:rPr>
          <w:rFonts w:ascii="Times New Roman" w:hAnsi="Times New Roman" w:cs="Times New Roman"/>
          <w:sz w:val="24"/>
          <w:szCs w:val="24"/>
        </w:rPr>
        <w:t xml:space="preserve"> brotaþola, verði kveðið á um rétt réttargæslumanns að gögnum málsins sem </w:t>
      </w:r>
      <w:r w:rsidRPr="009E3C79">
        <w:rPr>
          <w:rFonts w:ascii="Times New Roman" w:hAnsi="Times New Roman" w:cs="Times New Roman"/>
          <w:i/>
          <w:iCs/>
          <w:sz w:val="24"/>
          <w:szCs w:val="24"/>
        </w:rPr>
        <w:t>varða</w:t>
      </w:r>
      <w:r w:rsidRPr="009E3C79">
        <w:rPr>
          <w:rFonts w:ascii="Times New Roman" w:hAnsi="Times New Roman" w:cs="Times New Roman"/>
          <w:sz w:val="24"/>
          <w:szCs w:val="24"/>
        </w:rPr>
        <w:t xml:space="preserve"> brotaþola, nema lögregla telji hættu á rannsókn torveldist við það.</w:t>
      </w:r>
    </w:p>
    <w:p w14:paraId="476984A8"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06E9DED4" w14:textId="20817832" w:rsidR="003C3B32" w:rsidRPr="009E3C79" w:rsidRDefault="000D00D0" w:rsidP="009E3C7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Ekki er fyllilega</w:t>
      </w:r>
      <w:r w:rsidR="00E04787" w:rsidRPr="009E3C79">
        <w:rPr>
          <w:rFonts w:ascii="Times New Roman" w:hAnsi="Times New Roman" w:cs="Times New Roman"/>
          <w:sz w:val="24"/>
          <w:szCs w:val="24"/>
        </w:rPr>
        <w:t xml:space="preserve"> ljóst hver munurinn á þessu tvennu er í </w:t>
      </w:r>
      <w:r w:rsidR="000557D4" w:rsidRPr="009E3C79">
        <w:rPr>
          <w:rFonts w:ascii="Times New Roman" w:hAnsi="Times New Roman" w:cs="Times New Roman"/>
          <w:sz w:val="24"/>
          <w:szCs w:val="24"/>
        </w:rPr>
        <w:t>raun</w:t>
      </w:r>
      <w:r w:rsidR="00E04787" w:rsidRPr="009E3C79">
        <w:rPr>
          <w:rFonts w:ascii="Times New Roman" w:hAnsi="Times New Roman" w:cs="Times New Roman"/>
          <w:sz w:val="24"/>
          <w:szCs w:val="24"/>
        </w:rPr>
        <w:t xml:space="preserve"> og ástæða er til að skýra þetta orðalag </w:t>
      </w:r>
      <w:r w:rsidR="000557D4" w:rsidRPr="009E3C79">
        <w:rPr>
          <w:rFonts w:ascii="Times New Roman" w:hAnsi="Times New Roman" w:cs="Times New Roman"/>
          <w:sz w:val="24"/>
          <w:szCs w:val="24"/>
        </w:rPr>
        <w:t>þannig að tryggt sé að brotaþolar hafi sambærilegan aðgang að gögnum máls og sakborning</w:t>
      </w:r>
      <w:r>
        <w:rPr>
          <w:rFonts w:ascii="Times New Roman" w:hAnsi="Times New Roman" w:cs="Times New Roman"/>
          <w:sz w:val="24"/>
          <w:szCs w:val="24"/>
        </w:rPr>
        <w:t>a</w:t>
      </w:r>
      <w:r w:rsidR="000557D4" w:rsidRPr="009E3C79">
        <w:rPr>
          <w:rFonts w:ascii="Times New Roman" w:hAnsi="Times New Roman" w:cs="Times New Roman"/>
          <w:sz w:val="24"/>
          <w:szCs w:val="24"/>
        </w:rPr>
        <w:t>r</w:t>
      </w:r>
      <w:r>
        <w:rPr>
          <w:rFonts w:ascii="Times New Roman" w:hAnsi="Times New Roman" w:cs="Times New Roman"/>
          <w:sz w:val="24"/>
          <w:szCs w:val="24"/>
        </w:rPr>
        <w:t>,</w:t>
      </w:r>
      <w:r w:rsidR="000557D4" w:rsidRPr="009E3C79">
        <w:rPr>
          <w:rFonts w:ascii="Times New Roman" w:hAnsi="Times New Roman" w:cs="Times New Roman"/>
          <w:sz w:val="24"/>
          <w:szCs w:val="24"/>
        </w:rPr>
        <w:t xml:space="preserve"> nema lögregla telji það toverlda rannsóknina.</w:t>
      </w:r>
    </w:p>
    <w:p w14:paraId="4F7F5835" w14:textId="77777777" w:rsidR="003C3B32" w:rsidRPr="009E3C79" w:rsidRDefault="003C3B32" w:rsidP="009E3C79">
      <w:pPr>
        <w:pStyle w:val="NoSpacing"/>
        <w:spacing w:line="360" w:lineRule="auto"/>
        <w:jc w:val="both"/>
        <w:rPr>
          <w:rFonts w:ascii="Times New Roman" w:hAnsi="Times New Roman" w:cs="Times New Roman"/>
          <w:sz w:val="24"/>
          <w:szCs w:val="24"/>
        </w:rPr>
      </w:pPr>
    </w:p>
    <w:p w14:paraId="3C2BAE04" w14:textId="20585A4C" w:rsidR="0091295F" w:rsidRPr="009E3C79" w:rsidRDefault="000557D4"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Einnig er ástæða til að</w:t>
      </w:r>
      <w:r w:rsidR="0003591A" w:rsidRPr="009E3C79">
        <w:rPr>
          <w:rFonts w:ascii="Times New Roman" w:hAnsi="Times New Roman" w:cs="Times New Roman"/>
          <w:sz w:val="24"/>
          <w:szCs w:val="24"/>
        </w:rPr>
        <w:t xml:space="preserve"> árétta mikilvægi þess að lögreglu beri skylda </w:t>
      </w:r>
      <w:r w:rsidR="000D00D0">
        <w:rPr>
          <w:rFonts w:ascii="Times New Roman" w:hAnsi="Times New Roman" w:cs="Times New Roman"/>
          <w:sz w:val="24"/>
          <w:szCs w:val="24"/>
        </w:rPr>
        <w:t xml:space="preserve">til </w:t>
      </w:r>
      <w:r w:rsidR="0003591A" w:rsidRPr="009E3C79">
        <w:rPr>
          <w:rFonts w:ascii="Times New Roman" w:hAnsi="Times New Roman" w:cs="Times New Roman"/>
          <w:sz w:val="24"/>
          <w:szCs w:val="24"/>
        </w:rPr>
        <w:t xml:space="preserve">að gefa </w:t>
      </w:r>
      <w:r w:rsidR="00D608C9" w:rsidRPr="009E3C79">
        <w:rPr>
          <w:rFonts w:ascii="Times New Roman" w:hAnsi="Times New Roman" w:cs="Times New Roman"/>
          <w:sz w:val="24"/>
          <w:szCs w:val="24"/>
        </w:rPr>
        <w:t>brotaþol</w:t>
      </w:r>
      <w:r w:rsidR="0003591A" w:rsidRPr="009E3C79">
        <w:rPr>
          <w:rFonts w:ascii="Times New Roman" w:hAnsi="Times New Roman" w:cs="Times New Roman"/>
          <w:sz w:val="24"/>
          <w:szCs w:val="24"/>
        </w:rPr>
        <w:t xml:space="preserve">a kost á að </w:t>
      </w:r>
      <w:r w:rsidR="00D608C9" w:rsidRPr="009E3C79">
        <w:rPr>
          <w:rFonts w:ascii="Times New Roman" w:hAnsi="Times New Roman" w:cs="Times New Roman"/>
          <w:sz w:val="24"/>
          <w:szCs w:val="24"/>
        </w:rPr>
        <w:t>gera athugasemdir við lögregluskýrslu hins kærða og önnur</w:t>
      </w:r>
      <w:r w:rsidR="0003591A" w:rsidRPr="009E3C79">
        <w:rPr>
          <w:rFonts w:ascii="Times New Roman" w:hAnsi="Times New Roman" w:cs="Times New Roman"/>
          <w:sz w:val="24"/>
          <w:szCs w:val="24"/>
        </w:rPr>
        <w:t xml:space="preserve"> </w:t>
      </w:r>
      <w:r w:rsidR="00D608C9" w:rsidRPr="009E3C79">
        <w:rPr>
          <w:rFonts w:ascii="Times New Roman" w:hAnsi="Times New Roman" w:cs="Times New Roman"/>
          <w:sz w:val="24"/>
          <w:szCs w:val="24"/>
        </w:rPr>
        <w:t>gögn sem lögregla aflar við rannsókn málsins áður en rannsókn lýkur, nema lögregla</w:t>
      </w:r>
      <w:r w:rsidR="0003591A" w:rsidRPr="009E3C79">
        <w:rPr>
          <w:rFonts w:ascii="Times New Roman" w:hAnsi="Times New Roman" w:cs="Times New Roman"/>
          <w:sz w:val="24"/>
          <w:szCs w:val="24"/>
        </w:rPr>
        <w:t xml:space="preserve"> </w:t>
      </w:r>
      <w:r w:rsidR="00D608C9" w:rsidRPr="009E3C79">
        <w:rPr>
          <w:rFonts w:ascii="Times New Roman" w:hAnsi="Times New Roman" w:cs="Times New Roman"/>
          <w:sz w:val="24"/>
          <w:szCs w:val="24"/>
        </w:rPr>
        <w:t>telji það geti skaðað rannsókn málsins</w:t>
      </w:r>
      <w:r w:rsidR="00154268" w:rsidRPr="009E3C79">
        <w:rPr>
          <w:rFonts w:ascii="Times New Roman" w:hAnsi="Times New Roman" w:cs="Times New Roman"/>
          <w:sz w:val="24"/>
          <w:szCs w:val="24"/>
        </w:rPr>
        <w:t xml:space="preserve">. </w:t>
      </w:r>
      <w:r w:rsidR="0003591A" w:rsidRPr="009E3C79">
        <w:rPr>
          <w:rFonts w:ascii="Times New Roman" w:hAnsi="Times New Roman" w:cs="Times New Roman"/>
          <w:sz w:val="24"/>
          <w:szCs w:val="24"/>
        </w:rPr>
        <w:t xml:space="preserve">Slíkt verklag er betur til þess fallið að tryggja að málið sé eins vel upplýst og hægt er enda brotaþoli oft sú manneskja sem veit mest um málið, getur </w:t>
      </w:r>
      <w:r w:rsidR="00D83D6D" w:rsidRPr="009E3C79">
        <w:rPr>
          <w:rFonts w:ascii="Times New Roman" w:hAnsi="Times New Roman" w:cs="Times New Roman"/>
          <w:sz w:val="24"/>
          <w:szCs w:val="24"/>
        </w:rPr>
        <w:t xml:space="preserve">mögulega </w:t>
      </w:r>
      <w:r w:rsidR="0003591A" w:rsidRPr="009E3C79">
        <w:rPr>
          <w:rFonts w:ascii="Times New Roman" w:hAnsi="Times New Roman" w:cs="Times New Roman"/>
          <w:sz w:val="24"/>
          <w:szCs w:val="24"/>
        </w:rPr>
        <w:t>leiðrétt rangfærslur</w:t>
      </w:r>
      <w:r w:rsidR="00D83D6D" w:rsidRPr="009E3C79">
        <w:rPr>
          <w:rFonts w:ascii="Times New Roman" w:hAnsi="Times New Roman" w:cs="Times New Roman"/>
          <w:sz w:val="24"/>
          <w:szCs w:val="24"/>
        </w:rPr>
        <w:t xml:space="preserve"> ef einhverjar eru</w:t>
      </w:r>
      <w:r w:rsidR="0003591A" w:rsidRPr="009E3C79">
        <w:rPr>
          <w:rFonts w:ascii="Times New Roman" w:hAnsi="Times New Roman" w:cs="Times New Roman"/>
          <w:sz w:val="24"/>
          <w:szCs w:val="24"/>
        </w:rPr>
        <w:t xml:space="preserve">, og getur mögulega bent á önnur sönnunargögn ef þau eru ekki fram komin. </w:t>
      </w:r>
      <w:r w:rsidR="00154268" w:rsidRPr="009E3C79">
        <w:rPr>
          <w:rFonts w:ascii="Times New Roman" w:hAnsi="Times New Roman" w:cs="Times New Roman"/>
          <w:sz w:val="24"/>
          <w:szCs w:val="24"/>
        </w:rPr>
        <w:t xml:space="preserve">Í þessu samhengi er einnig mikilvægt að árétta að brotaþolar hafa ríkra hagsmuna að gæta að málið sé eins vel rannsakað og upplýst og hægt er. </w:t>
      </w:r>
      <w:r w:rsidR="00D83D6D" w:rsidRPr="009E3C79">
        <w:rPr>
          <w:rFonts w:ascii="Times New Roman" w:hAnsi="Times New Roman" w:cs="Times New Roman"/>
          <w:sz w:val="24"/>
          <w:szCs w:val="24"/>
        </w:rPr>
        <w:t xml:space="preserve">Þó svo að brotaþoli hafi heimild til að kæra ákvörðun ákæranda um að fella mál niður, sem </w:t>
      </w:r>
      <w:r w:rsidR="00154268" w:rsidRPr="009E3C79">
        <w:rPr>
          <w:rFonts w:ascii="Times New Roman" w:hAnsi="Times New Roman" w:cs="Times New Roman"/>
          <w:sz w:val="24"/>
          <w:szCs w:val="24"/>
        </w:rPr>
        <w:t xml:space="preserve">í kynferðisbrotamálum </w:t>
      </w:r>
      <w:r w:rsidR="00D83D6D" w:rsidRPr="009E3C79">
        <w:rPr>
          <w:rFonts w:ascii="Times New Roman" w:hAnsi="Times New Roman" w:cs="Times New Roman"/>
          <w:sz w:val="24"/>
          <w:szCs w:val="24"/>
        </w:rPr>
        <w:t xml:space="preserve">er </w:t>
      </w:r>
      <w:r w:rsidR="00154268" w:rsidRPr="009E3C79">
        <w:rPr>
          <w:rFonts w:ascii="Times New Roman" w:hAnsi="Times New Roman" w:cs="Times New Roman"/>
          <w:sz w:val="24"/>
          <w:szCs w:val="24"/>
        </w:rPr>
        <w:t xml:space="preserve">þá </w:t>
      </w:r>
      <w:r w:rsidR="00D83D6D" w:rsidRPr="009E3C79">
        <w:rPr>
          <w:rFonts w:ascii="Times New Roman" w:hAnsi="Times New Roman" w:cs="Times New Roman"/>
          <w:sz w:val="24"/>
          <w:szCs w:val="24"/>
        </w:rPr>
        <w:t xml:space="preserve">iðulega gert á grundvelli ónógra sannana, þá er það ekki algengt. Rannsóknir undirritaðrar gefa það til kynna að við niðurfellingu máls fallast brotaþolum </w:t>
      </w:r>
      <w:r w:rsidR="000D00D0">
        <w:rPr>
          <w:rFonts w:ascii="Times New Roman" w:hAnsi="Times New Roman" w:cs="Times New Roman"/>
          <w:sz w:val="24"/>
          <w:szCs w:val="24"/>
        </w:rPr>
        <w:t>oft</w:t>
      </w:r>
      <w:r w:rsidR="00D83D6D" w:rsidRPr="009E3C79">
        <w:rPr>
          <w:rFonts w:ascii="Times New Roman" w:hAnsi="Times New Roman" w:cs="Times New Roman"/>
          <w:sz w:val="24"/>
          <w:szCs w:val="24"/>
        </w:rPr>
        <w:t xml:space="preserve"> hendur</w:t>
      </w:r>
      <w:r w:rsidR="0091295F" w:rsidRPr="009E3C79">
        <w:rPr>
          <w:rFonts w:ascii="Times New Roman" w:hAnsi="Times New Roman" w:cs="Times New Roman"/>
          <w:sz w:val="24"/>
          <w:szCs w:val="24"/>
        </w:rPr>
        <w:t xml:space="preserve">, upplifa að mál þeirra hafi ekki verið </w:t>
      </w:r>
      <w:r w:rsidR="0091295F" w:rsidRPr="009E3C79">
        <w:rPr>
          <w:rFonts w:ascii="Times New Roman" w:hAnsi="Times New Roman" w:cs="Times New Roman"/>
          <w:sz w:val="24"/>
          <w:szCs w:val="24"/>
        </w:rPr>
        <w:lastRenderedPageBreak/>
        <w:t xml:space="preserve">tekið alvarlega </w:t>
      </w:r>
      <w:r w:rsidR="00D83D6D" w:rsidRPr="009E3C79">
        <w:rPr>
          <w:rFonts w:ascii="Times New Roman" w:hAnsi="Times New Roman" w:cs="Times New Roman"/>
          <w:sz w:val="24"/>
          <w:szCs w:val="24"/>
        </w:rPr>
        <w:t xml:space="preserve">og </w:t>
      </w:r>
      <w:r w:rsidR="0091295F" w:rsidRPr="009E3C79">
        <w:rPr>
          <w:rFonts w:ascii="Times New Roman" w:hAnsi="Times New Roman" w:cs="Times New Roman"/>
          <w:sz w:val="24"/>
          <w:szCs w:val="24"/>
        </w:rPr>
        <w:t xml:space="preserve">telja það ekki hafa neitt upp á sig að nýta sér kæruheimildina. </w:t>
      </w:r>
      <w:r w:rsidR="00C21E60" w:rsidRPr="009E3C79">
        <w:rPr>
          <w:rFonts w:ascii="Times New Roman" w:hAnsi="Times New Roman" w:cs="Times New Roman"/>
          <w:sz w:val="24"/>
          <w:szCs w:val="24"/>
        </w:rPr>
        <w:t>Einnig skal hafa í huga að mikið þarf til að koma til þess að ríkissaksóknari snúi við ákvörðun um niðurfellingu enda þá búið að birta sakborningi niðurfellinguna.</w:t>
      </w:r>
    </w:p>
    <w:p w14:paraId="2ADCF225" w14:textId="77777777" w:rsidR="00E67CDE" w:rsidRPr="009E3C79" w:rsidRDefault="00E67CDE" w:rsidP="009E3C79">
      <w:pPr>
        <w:pStyle w:val="NoSpacing"/>
        <w:spacing w:line="360" w:lineRule="auto"/>
        <w:jc w:val="both"/>
        <w:rPr>
          <w:rFonts w:ascii="Times New Roman" w:hAnsi="Times New Roman" w:cs="Times New Roman"/>
          <w:sz w:val="24"/>
          <w:szCs w:val="24"/>
        </w:rPr>
      </w:pPr>
    </w:p>
    <w:p w14:paraId="4739FBD6" w14:textId="22583D46" w:rsidR="007450D5" w:rsidRPr="009E3C79" w:rsidRDefault="008A7895" w:rsidP="009E3C79">
      <w:pPr>
        <w:pStyle w:val="NoSpacing"/>
        <w:spacing w:line="360" w:lineRule="auto"/>
        <w:jc w:val="both"/>
        <w:rPr>
          <w:rFonts w:ascii="Times New Roman" w:hAnsi="Times New Roman" w:cs="Times New Roman"/>
          <w:b/>
          <w:bCs/>
          <w:sz w:val="24"/>
          <w:szCs w:val="24"/>
        </w:rPr>
      </w:pPr>
      <w:r w:rsidRPr="009E3C79">
        <w:rPr>
          <w:rFonts w:ascii="Times New Roman" w:hAnsi="Times New Roman" w:cs="Times New Roman"/>
          <w:b/>
          <w:bCs/>
          <w:sz w:val="24"/>
          <w:szCs w:val="24"/>
        </w:rPr>
        <w:t>Réttur brotaþola til upplýsinga og þátttöku á ákæru- og dómstigi</w:t>
      </w:r>
    </w:p>
    <w:p w14:paraId="6933632F" w14:textId="198D65B0" w:rsidR="00C21E60" w:rsidRPr="009E3C79" w:rsidRDefault="00304D97"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 xml:space="preserve">Að mati undirritaðrar þurfa frumvarpsdrögin að tryggja </w:t>
      </w:r>
      <w:r w:rsidR="00154268" w:rsidRPr="009E3C79">
        <w:rPr>
          <w:rFonts w:ascii="Times New Roman" w:hAnsi="Times New Roman" w:cs="Times New Roman"/>
          <w:sz w:val="24"/>
          <w:szCs w:val="24"/>
        </w:rPr>
        <w:t>betur hagsmuni brotaþola til upplýsinga og þátttöku á ákæru- og dómstigi. Eins og staðan er í dag hefur brotaþoli ekki rétt til að fylgjast með réttarhöldunum ef þinghald er lokað eins og iðulega er í kynferðisbrotamálum.</w:t>
      </w:r>
      <w:r w:rsidR="00C21E60" w:rsidRPr="009E3C79">
        <w:rPr>
          <w:rFonts w:ascii="Times New Roman" w:hAnsi="Times New Roman" w:cs="Times New Roman"/>
          <w:sz w:val="24"/>
          <w:szCs w:val="24"/>
        </w:rPr>
        <w:t xml:space="preserve"> </w:t>
      </w:r>
      <w:r w:rsidR="005F3E10" w:rsidRPr="009E3C79">
        <w:rPr>
          <w:rFonts w:ascii="Times New Roman" w:hAnsi="Times New Roman" w:cs="Times New Roman"/>
          <w:sz w:val="24"/>
          <w:szCs w:val="24"/>
        </w:rPr>
        <w:t xml:space="preserve">Eins hafa brotaþolar ekki rétt til þátttöku í réttarhöldunum nema til að gefa skýrslu sína fyrir dómi. </w:t>
      </w:r>
      <w:r w:rsidR="00A66A33" w:rsidRPr="009E3C79">
        <w:rPr>
          <w:rFonts w:ascii="Times New Roman" w:hAnsi="Times New Roman" w:cs="Times New Roman"/>
          <w:sz w:val="24"/>
          <w:szCs w:val="24"/>
        </w:rPr>
        <w:t xml:space="preserve">Drög frumvarpsins leggja ekki til neinar breytingar hvað þetta varðar. </w:t>
      </w:r>
      <w:r w:rsidR="000D00D0">
        <w:rPr>
          <w:rFonts w:ascii="Times New Roman" w:hAnsi="Times New Roman" w:cs="Times New Roman"/>
          <w:sz w:val="24"/>
          <w:szCs w:val="24"/>
        </w:rPr>
        <w:t>Brotaþolar hafa</w:t>
      </w:r>
      <w:r w:rsidR="005F3E10" w:rsidRPr="009E3C79">
        <w:rPr>
          <w:rFonts w:ascii="Times New Roman" w:hAnsi="Times New Roman" w:cs="Times New Roman"/>
          <w:sz w:val="24"/>
          <w:szCs w:val="24"/>
        </w:rPr>
        <w:t xml:space="preserve"> lögmæta hagsmuni af því að </w:t>
      </w:r>
      <w:r w:rsidR="00A66A33" w:rsidRPr="009E3C79">
        <w:rPr>
          <w:rFonts w:ascii="Times New Roman" w:hAnsi="Times New Roman" w:cs="Times New Roman"/>
          <w:sz w:val="24"/>
          <w:szCs w:val="24"/>
        </w:rPr>
        <w:t>hinn seki sé látinn taka ábyrgð á brotinu sem felur þá í sér að brotaþolar haf</w:t>
      </w:r>
      <w:r w:rsidR="000D00D0">
        <w:rPr>
          <w:rFonts w:ascii="Times New Roman" w:hAnsi="Times New Roman" w:cs="Times New Roman"/>
          <w:sz w:val="24"/>
          <w:szCs w:val="24"/>
        </w:rPr>
        <w:t>a</w:t>
      </w:r>
      <w:r w:rsidR="00A66A33" w:rsidRPr="009E3C79">
        <w:rPr>
          <w:rFonts w:ascii="Times New Roman" w:hAnsi="Times New Roman" w:cs="Times New Roman"/>
          <w:sz w:val="24"/>
          <w:szCs w:val="24"/>
        </w:rPr>
        <w:t xml:space="preserve"> réttmæta þörf til að gæta hagsmuna sinna á meðan á málsmeðferð stendur.</w:t>
      </w:r>
      <w:r w:rsidR="005F3E10" w:rsidRPr="009E3C79">
        <w:rPr>
          <w:rFonts w:ascii="Times New Roman" w:hAnsi="Times New Roman" w:cs="Times New Roman"/>
          <w:sz w:val="24"/>
          <w:szCs w:val="24"/>
        </w:rPr>
        <w:t xml:space="preserve"> </w:t>
      </w:r>
      <w:r w:rsidR="000D00D0">
        <w:rPr>
          <w:rFonts w:ascii="Times New Roman" w:hAnsi="Times New Roman" w:cs="Times New Roman"/>
          <w:sz w:val="24"/>
          <w:szCs w:val="24"/>
        </w:rPr>
        <w:t xml:space="preserve">Í greinargerð minni eru færð rök fyrir þessu og eftirfarandi tillögur lagðar fram: </w:t>
      </w:r>
    </w:p>
    <w:p w14:paraId="2F140E72" w14:textId="77777777" w:rsidR="00BB2B1F" w:rsidRPr="009E3C79" w:rsidRDefault="00BB2B1F" w:rsidP="009E3C79">
      <w:pPr>
        <w:pStyle w:val="NoSpacing"/>
        <w:spacing w:line="360" w:lineRule="auto"/>
        <w:jc w:val="both"/>
        <w:rPr>
          <w:rFonts w:ascii="Times New Roman" w:hAnsi="Times New Roman" w:cs="Times New Roman"/>
          <w:sz w:val="24"/>
          <w:szCs w:val="24"/>
        </w:rPr>
      </w:pPr>
    </w:p>
    <w:p w14:paraId="7DCEC702" w14:textId="77777777" w:rsidR="00E67CDE" w:rsidRDefault="005F3E10"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 xml:space="preserve">Lagt er til að brotaþoli beri vitni fyrir dómi á undan ákærða </w:t>
      </w:r>
      <w:r w:rsidR="00721439" w:rsidRPr="009E3C79">
        <w:rPr>
          <w:rFonts w:ascii="Times New Roman" w:hAnsi="Times New Roman" w:cs="Times New Roman"/>
          <w:sz w:val="24"/>
          <w:szCs w:val="24"/>
        </w:rPr>
        <w:t>og gert sé ráð fyrir að brotaþoli sitji</w:t>
      </w:r>
      <w:r w:rsidRPr="009E3C79">
        <w:rPr>
          <w:rFonts w:ascii="Times New Roman" w:hAnsi="Times New Roman" w:cs="Times New Roman"/>
          <w:sz w:val="24"/>
          <w:szCs w:val="24"/>
        </w:rPr>
        <w:t xml:space="preserve"> í </w:t>
      </w:r>
      <w:r w:rsidR="00721439" w:rsidRPr="009E3C79">
        <w:rPr>
          <w:rFonts w:ascii="Times New Roman" w:hAnsi="Times New Roman" w:cs="Times New Roman"/>
          <w:sz w:val="24"/>
          <w:szCs w:val="24"/>
        </w:rPr>
        <w:t>réttarsal í gegnum réttarhöldin ásamt réttargæslumanni sínum eða fylgist með</w:t>
      </w:r>
      <w:r w:rsidRPr="009E3C79">
        <w:rPr>
          <w:rFonts w:ascii="Times New Roman" w:hAnsi="Times New Roman" w:cs="Times New Roman"/>
          <w:sz w:val="24"/>
          <w:szCs w:val="24"/>
        </w:rPr>
        <w:t xml:space="preserve"> </w:t>
      </w:r>
      <w:r w:rsidR="00721439" w:rsidRPr="009E3C79">
        <w:rPr>
          <w:rFonts w:ascii="Times New Roman" w:hAnsi="Times New Roman" w:cs="Times New Roman"/>
          <w:sz w:val="24"/>
          <w:szCs w:val="24"/>
        </w:rPr>
        <w:t>réttarhöldunum í hljóði og mynd í gegnum fjarbúnað.</w:t>
      </w:r>
      <w:r w:rsidRPr="009E3C79">
        <w:rPr>
          <w:rFonts w:ascii="Times New Roman" w:hAnsi="Times New Roman" w:cs="Times New Roman"/>
          <w:sz w:val="24"/>
          <w:szCs w:val="24"/>
        </w:rPr>
        <w:t xml:space="preserve"> Sú gagnrýni hefur komið fram að það geti mögulega skaðað hagsmuni brotaþola að vera vitni á undan ákærða fyrir dómi, þar sem hann getur þá hlýtt á vitnisburðinn og hagað sínum vitnisburði eftir því. Ástæða er til að minna á að sakborningur hefur þegar fengið öll gögn málsins, þ.m.t. lögregluskýrslu brotaþola, og hefur því nokkuð góða hugmynd um hvað brotaþoli mun segja fyrir dómi. Þessi leið er farin í Noregi í málum þar sem brotaþolar </w:t>
      </w:r>
      <w:r w:rsidR="008A7895" w:rsidRPr="009E3C79">
        <w:rPr>
          <w:rFonts w:ascii="Times New Roman" w:hAnsi="Times New Roman" w:cs="Times New Roman"/>
          <w:sz w:val="24"/>
          <w:szCs w:val="24"/>
        </w:rPr>
        <w:t>hafa rétt á þjónustu réttargæslumanns á kostnað ríkisins</w:t>
      </w:r>
      <w:r w:rsidRPr="009E3C79">
        <w:rPr>
          <w:rFonts w:ascii="Times New Roman" w:hAnsi="Times New Roman" w:cs="Times New Roman"/>
          <w:sz w:val="24"/>
          <w:szCs w:val="24"/>
        </w:rPr>
        <w:t xml:space="preserve">, og í Svíþjóð </w:t>
      </w:r>
      <w:r w:rsidR="008A7895" w:rsidRPr="009E3C79">
        <w:rPr>
          <w:rFonts w:ascii="Times New Roman" w:hAnsi="Times New Roman" w:cs="Times New Roman"/>
          <w:sz w:val="24"/>
          <w:szCs w:val="24"/>
        </w:rPr>
        <w:t>ef brotaþoli hefur gerst aðili að máli, og í Finnlandi.</w:t>
      </w:r>
    </w:p>
    <w:p w14:paraId="07833A58" w14:textId="00B59AEE" w:rsidR="00710436" w:rsidRPr="009E3C79" w:rsidRDefault="00710436" w:rsidP="009E3C79">
      <w:pPr>
        <w:pStyle w:val="NoSpacing"/>
        <w:spacing w:line="360" w:lineRule="auto"/>
        <w:jc w:val="both"/>
        <w:rPr>
          <w:rFonts w:ascii="Times New Roman" w:hAnsi="Times New Roman" w:cs="Times New Roman"/>
          <w:sz w:val="24"/>
          <w:szCs w:val="24"/>
        </w:rPr>
      </w:pPr>
    </w:p>
    <w:p w14:paraId="3128F83E" w14:textId="77777777" w:rsidR="00E67CDE" w:rsidRDefault="005F3E10"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Lagt er til að</w:t>
      </w:r>
      <w:r w:rsidR="00721439" w:rsidRPr="009E3C79">
        <w:rPr>
          <w:rFonts w:ascii="Times New Roman" w:hAnsi="Times New Roman" w:cs="Times New Roman"/>
          <w:sz w:val="24"/>
          <w:szCs w:val="24"/>
        </w:rPr>
        <w:t xml:space="preserve"> brotaþoli eða réttargæslumaður hans hafi rétt til að leggja fram</w:t>
      </w:r>
      <w:r w:rsidRPr="009E3C79">
        <w:rPr>
          <w:rFonts w:ascii="Times New Roman" w:hAnsi="Times New Roman" w:cs="Times New Roman"/>
          <w:sz w:val="24"/>
          <w:szCs w:val="24"/>
        </w:rPr>
        <w:t xml:space="preserve"> </w:t>
      </w:r>
      <w:r w:rsidR="00721439" w:rsidRPr="009E3C79">
        <w:rPr>
          <w:rFonts w:ascii="Times New Roman" w:hAnsi="Times New Roman" w:cs="Times New Roman"/>
          <w:sz w:val="24"/>
          <w:szCs w:val="24"/>
        </w:rPr>
        <w:t>viðbótarsönnunargögn, spyrja ákærða og vitni viðbótarspurninga og koma með</w:t>
      </w:r>
      <w:r w:rsidRPr="009E3C79">
        <w:rPr>
          <w:rFonts w:ascii="Times New Roman" w:hAnsi="Times New Roman" w:cs="Times New Roman"/>
          <w:sz w:val="24"/>
          <w:szCs w:val="24"/>
        </w:rPr>
        <w:t xml:space="preserve"> </w:t>
      </w:r>
      <w:r w:rsidR="00721439" w:rsidRPr="009E3C79">
        <w:rPr>
          <w:rFonts w:ascii="Times New Roman" w:hAnsi="Times New Roman" w:cs="Times New Roman"/>
          <w:sz w:val="24"/>
          <w:szCs w:val="24"/>
        </w:rPr>
        <w:t>athugasemdir á eftir saksóknara og verjanda.</w:t>
      </w:r>
      <w:r w:rsidR="008A7895" w:rsidRPr="009E3C79">
        <w:rPr>
          <w:rFonts w:ascii="Times New Roman" w:hAnsi="Times New Roman" w:cs="Times New Roman"/>
          <w:sz w:val="24"/>
          <w:szCs w:val="24"/>
        </w:rPr>
        <w:t xml:space="preserve"> Þessi leið er farin í Noregi þar sem brotaþolar hafa rétt á þjónustu réttargæslumanns á kostnað ríkisins. Í Svíþjóð og Finnlandi geta brotaþolar gerst aðilar að sakamálinu og hafa því fullan þátttökurétt sem aðilar.</w:t>
      </w:r>
    </w:p>
    <w:p w14:paraId="1384327B" w14:textId="0BC820B8" w:rsidR="00975CFD" w:rsidRPr="009E3C79" w:rsidRDefault="00975CFD" w:rsidP="009E3C79">
      <w:pPr>
        <w:pStyle w:val="NoSpacing"/>
        <w:spacing w:line="360" w:lineRule="auto"/>
        <w:jc w:val="both"/>
        <w:rPr>
          <w:rFonts w:ascii="Times New Roman" w:hAnsi="Times New Roman" w:cs="Times New Roman"/>
          <w:sz w:val="24"/>
          <w:szCs w:val="24"/>
        </w:rPr>
      </w:pPr>
    </w:p>
    <w:p w14:paraId="35AA727E" w14:textId="5294DA4D" w:rsidR="009E3C79" w:rsidRDefault="005F3E10"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 xml:space="preserve">Lagt er til að </w:t>
      </w:r>
      <w:r w:rsidR="00721439" w:rsidRPr="009E3C79">
        <w:rPr>
          <w:rFonts w:ascii="Times New Roman" w:hAnsi="Times New Roman" w:cs="Times New Roman"/>
          <w:sz w:val="24"/>
          <w:szCs w:val="24"/>
        </w:rPr>
        <w:t xml:space="preserve">brotaþoli hafi rétt til að </w:t>
      </w:r>
      <w:r w:rsidR="008A7895" w:rsidRPr="009E3C79">
        <w:rPr>
          <w:rFonts w:ascii="Times New Roman" w:hAnsi="Times New Roman" w:cs="Times New Roman"/>
          <w:sz w:val="24"/>
          <w:szCs w:val="24"/>
        </w:rPr>
        <w:t>taka stuttlega til máls í lok aðalmeðferðar rétt eins og ákærði</w:t>
      </w:r>
      <w:r w:rsidR="00960730">
        <w:rPr>
          <w:rFonts w:ascii="Times New Roman" w:hAnsi="Times New Roman" w:cs="Times New Roman"/>
          <w:sz w:val="24"/>
          <w:szCs w:val="24"/>
        </w:rPr>
        <w:t xml:space="preserve"> (sbr. 3. mgr. 166. gr. laga nr. 88/2008).</w:t>
      </w:r>
      <w:r w:rsidR="008A7895" w:rsidRPr="009E3C79">
        <w:rPr>
          <w:rFonts w:ascii="Times New Roman" w:hAnsi="Times New Roman" w:cs="Times New Roman"/>
          <w:sz w:val="24"/>
          <w:szCs w:val="24"/>
        </w:rPr>
        <w:t xml:space="preserve"> Þessi leið er farin í Noregi þar sem brotaþolar </w:t>
      </w:r>
      <w:r w:rsidR="008A7895" w:rsidRPr="009E3C79">
        <w:rPr>
          <w:rFonts w:ascii="Times New Roman" w:hAnsi="Times New Roman" w:cs="Times New Roman"/>
          <w:sz w:val="24"/>
          <w:szCs w:val="24"/>
        </w:rPr>
        <w:lastRenderedPageBreak/>
        <w:t>hafa rétt á þjónustu réttargæslumanns á kostnað ríkisins. Í Svíþjóð og Finnlandi geta brotaþolar gerst aðilar að sakamálinu og hafa því fullan þátttökurétt sem aðilar.</w:t>
      </w:r>
    </w:p>
    <w:p w14:paraId="21F69D92" w14:textId="66F715A7" w:rsidR="00721439" w:rsidRPr="009E3C79" w:rsidRDefault="00710436"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br/>
      </w:r>
      <w:r w:rsidR="005F3E10" w:rsidRPr="009E3C79">
        <w:rPr>
          <w:rFonts w:ascii="Times New Roman" w:hAnsi="Times New Roman" w:cs="Times New Roman"/>
          <w:sz w:val="24"/>
          <w:szCs w:val="24"/>
        </w:rPr>
        <w:t>Lagt er til að</w:t>
      </w:r>
      <w:r w:rsidR="00721439" w:rsidRPr="009E3C79">
        <w:rPr>
          <w:rFonts w:ascii="Times New Roman" w:hAnsi="Times New Roman" w:cs="Times New Roman"/>
          <w:sz w:val="24"/>
          <w:szCs w:val="24"/>
        </w:rPr>
        <w:t xml:space="preserve"> brotaþoli hafi rétt til að áfrýja dómi.</w:t>
      </w:r>
      <w:r w:rsidR="008A7895" w:rsidRPr="009E3C79">
        <w:rPr>
          <w:rFonts w:ascii="Times New Roman" w:hAnsi="Times New Roman" w:cs="Times New Roman"/>
          <w:sz w:val="24"/>
          <w:szCs w:val="24"/>
        </w:rPr>
        <w:t xml:space="preserve"> Þennan rétt hafa brotaþolar í Svíþjóð og Finnlandi.</w:t>
      </w:r>
    </w:p>
    <w:p w14:paraId="5515E4FE"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1BFB088B" w14:textId="56A70743" w:rsidR="00FF03F8" w:rsidRDefault="00710436" w:rsidP="009E3C79">
      <w:pPr>
        <w:pStyle w:val="NoSpacing"/>
        <w:spacing w:line="360" w:lineRule="auto"/>
        <w:jc w:val="both"/>
        <w:rPr>
          <w:rFonts w:ascii="Times New Roman" w:hAnsi="Times New Roman" w:cs="Times New Roman"/>
          <w:b/>
          <w:bCs/>
          <w:sz w:val="24"/>
          <w:szCs w:val="24"/>
        </w:rPr>
      </w:pPr>
      <w:r w:rsidRPr="009E3C79">
        <w:rPr>
          <w:rFonts w:ascii="Times New Roman" w:hAnsi="Times New Roman" w:cs="Times New Roman"/>
          <w:b/>
          <w:bCs/>
          <w:sz w:val="24"/>
          <w:szCs w:val="24"/>
        </w:rPr>
        <w:t>Aukinn réttur</w:t>
      </w:r>
      <w:r w:rsidR="00960730">
        <w:rPr>
          <w:rFonts w:ascii="Times New Roman" w:hAnsi="Times New Roman" w:cs="Times New Roman"/>
          <w:b/>
          <w:bCs/>
          <w:sz w:val="24"/>
          <w:szCs w:val="24"/>
        </w:rPr>
        <w:t xml:space="preserve"> brotaþola</w:t>
      </w:r>
      <w:r w:rsidRPr="009E3C79">
        <w:rPr>
          <w:rFonts w:ascii="Times New Roman" w:hAnsi="Times New Roman" w:cs="Times New Roman"/>
          <w:b/>
          <w:bCs/>
          <w:sz w:val="24"/>
          <w:szCs w:val="24"/>
        </w:rPr>
        <w:t xml:space="preserve"> til upplýsinga að dómi loknum</w:t>
      </w:r>
    </w:p>
    <w:p w14:paraId="0B42DBA2" w14:textId="022013A6" w:rsidR="00D02A80" w:rsidRPr="009E3C79" w:rsidRDefault="00D02A80"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 xml:space="preserve">Sumar tillögurnar sem lagðar eru fram í </w:t>
      </w:r>
      <w:r w:rsidR="008626E7" w:rsidRPr="009E3C79">
        <w:rPr>
          <w:rFonts w:ascii="Times New Roman" w:hAnsi="Times New Roman" w:cs="Times New Roman"/>
          <w:sz w:val="24"/>
          <w:szCs w:val="24"/>
        </w:rPr>
        <w:t>greinargerðinni</w:t>
      </w:r>
      <w:r w:rsidRPr="009E3C79">
        <w:rPr>
          <w:rFonts w:ascii="Times New Roman" w:hAnsi="Times New Roman" w:cs="Times New Roman"/>
          <w:sz w:val="24"/>
          <w:szCs w:val="24"/>
        </w:rPr>
        <w:t xml:space="preserve"> varða önnur lög en lög um meðferð sakamála nr. 88/2008. Höfundi er því ekki ljóst hvort að réttarfarsnefnd hafi </w:t>
      </w:r>
      <w:r w:rsidR="00304D97" w:rsidRPr="009E3C79">
        <w:rPr>
          <w:rFonts w:ascii="Times New Roman" w:hAnsi="Times New Roman" w:cs="Times New Roman"/>
          <w:sz w:val="24"/>
          <w:szCs w:val="24"/>
        </w:rPr>
        <w:t>litið svo á að þær væru ekki innan hennar verkahrings</w:t>
      </w:r>
      <w:r w:rsidR="000D00D0">
        <w:rPr>
          <w:rFonts w:ascii="Times New Roman" w:hAnsi="Times New Roman" w:cs="Times New Roman"/>
          <w:sz w:val="24"/>
          <w:szCs w:val="24"/>
        </w:rPr>
        <w:t xml:space="preserve"> og dómsmálaráðuneytið því ekki talið þær eiga heima í þessum frumvarpsdrögum</w:t>
      </w:r>
      <w:r w:rsidR="00304D97" w:rsidRPr="009E3C79">
        <w:rPr>
          <w:rFonts w:ascii="Times New Roman" w:hAnsi="Times New Roman" w:cs="Times New Roman"/>
          <w:sz w:val="24"/>
          <w:szCs w:val="24"/>
        </w:rPr>
        <w:t xml:space="preserve"> eða hvort </w:t>
      </w:r>
      <w:r w:rsidRPr="009E3C79">
        <w:rPr>
          <w:rFonts w:ascii="Times New Roman" w:hAnsi="Times New Roman" w:cs="Times New Roman"/>
          <w:sz w:val="24"/>
          <w:szCs w:val="24"/>
        </w:rPr>
        <w:t xml:space="preserve">ákveðið </w:t>
      </w:r>
      <w:r w:rsidR="00304D97" w:rsidRPr="009E3C79">
        <w:rPr>
          <w:rFonts w:ascii="Times New Roman" w:hAnsi="Times New Roman" w:cs="Times New Roman"/>
          <w:sz w:val="24"/>
          <w:szCs w:val="24"/>
        </w:rPr>
        <w:t>hafi verið að</w:t>
      </w:r>
      <w:r w:rsidRPr="009E3C79">
        <w:rPr>
          <w:rFonts w:ascii="Times New Roman" w:hAnsi="Times New Roman" w:cs="Times New Roman"/>
          <w:sz w:val="24"/>
          <w:szCs w:val="24"/>
        </w:rPr>
        <w:t xml:space="preserve"> bregðast ekki við þeim tillögum. </w:t>
      </w:r>
      <w:r w:rsidR="008626E7" w:rsidRPr="009E3C79">
        <w:rPr>
          <w:rFonts w:ascii="Times New Roman" w:hAnsi="Times New Roman" w:cs="Times New Roman"/>
          <w:sz w:val="24"/>
          <w:szCs w:val="24"/>
        </w:rPr>
        <w:t xml:space="preserve">En mikilvægt er að frumvarp um bætta réttarstöðu brotaþola taki einnig til annarra laga þar sem réttindum brotaþola er ábótavant. </w:t>
      </w:r>
    </w:p>
    <w:p w14:paraId="22BE42F2"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6B81C536" w14:textId="02B2723B" w:rsidR="000557D4" w:rsidRPr="009E3C79" w:rsidRDefault="00960730" w:rsidP="009E3C7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Í greinargerðinni er einnig lagt </w:t>
      </w:r>
      <w:r w:rsidR="008626E7" w:rsidRPr="009E3C79">
        <w:rPr>
          <w:rFonts w:ascii="Times New Roman" w:hAnsi="Times New Roman" w:cs="Times New Roman"/>
          <w:sz w:val="24"/>
          <w:szCs w:val="24"/>
        </w:rPr>
        <w:t xml:space="preserve">til að auka rétt brotaþola til upplýsinga að dómi loknum þannig að fangelsisyfirvöldum beri skylda til að upplýsa brotaþola, ef hann svo kýs, þegar hinn dæmdi hefur afplánun refsingar, fær leyfi úr fangelsi, er fluttur í opið fangelsi, hlé er gert á afplánun hans, strýkur úr fangelsi, er færður á áfangaheimili, afplánar refsingu undir rafrænu eftirliti eða lýkur afplánun. Heimilt </w:t>
      </w:r>
      <w:r w:rsidR="000D00D0">
        <w:rPr>
          <w:rFonts w:ascii="Times New Roman" w:hAnsi="Times New Roman" w:cs="Times New Roman"/>
          <w:sz w:val="24"/>
          <w:szCs w:val="24"/>
        </w:rPr>
        <w:t>þarf að vera</w:t>
      </w:r>
      <w:r w:rsidR="008626E7" w:rsidRPr="009E3C79">
        <w:rPr>
          <w:rFonts w:ascii="Times New Roman" w:hAnsi="Times New Roman" w:cs="Times New Roman"/>
          <w:sz w:val="24"/>
          <w:szCs w:val="24"/>
        </w:rPr>
        <w:t xml:space="preserve"> að veita brotaþola frekari upplýsingar um afplánun fanga ef brýnir hagsmunir hans þykja mæla með því.</w:t>
      </w:r>
    </w:p>
    <w:p w14:paraId="49003E13" w14:textId="77777777" w:rsidR="00DD6091" w:rsidRPr="009E3C79" w:rsidRDefault="00DD6091" w:rsidP="009E3C79">
      <w:pPr>
        <w:pStyle w:val="NoSpacing"/>
        <w:spacing w:line="360" w:lineRule="auto"/>
        <w:jc w:val="both"/>
        <w:rPr>
          <w:rFonts w:ascii="Times New Roman" w:hAnsi="Times New Roman" w:cs="Times New Roman"/>
          <w:b/>
          <w:bCs/>
          <w:sz w:val="24"/>
          <w:szCs w:val="24"/>
        </w:rPr>
      </w:pPr>
    </w:p>
    <w:p w14:paraId="057EDFDB" w14:textId="77F90E07" w:rsidR="00DD6091" w:rsidRPr="009E3C79" w:rsidRDefault="00710436" w:rsidP="009E3C79">
      <w:pPr>
        <w:pStyle w:val="NoSpacing"/>
        <w:spacing w:line="360" w:lineRule="auto"/>
        <w:jc w:val="both"/>
        <w:rPr>
          <w:rFonts w:ascii="Times New Roman" w:hAnsi="Times New Roman" w:cs="Times New Roman"/>
          <w:b/>
          <w:bCs/>
          <w:sz w:val="24"/>
          <w:szCs w:val="24"/>
        </w:rPr>
      </w:pPr>
      <w:r w:rsidRPr="009E3C79">
        <w:rPr>
          <w:rFonts w:ascii="Times New Roman" w:hAnsi="Times New Roman" w:cs="Times New Roman"/>
          <w:b/>
          <w:bCs/>
          <w:sz w:val="24"/>
          <w:szCs w:val="24"/>
        </w:rPr>
        <w:t xml:space="preserve">Aukið aðgengi </w:t>
      </w:r>
      <w:r w:rsidR="00960730">
        <w:rPr>
          <w:rFonts w:ascii="Times New Roman" w:hAnsi="Times New Roman" w:cs="Times New Roman"/>
          <w:b/>
          <w:bCs/>
          <w:sz w:val="24"/>
          <w:szCs w:val="24"/>
        </w:rPr>
        <w:t xml:space="preserve">brotaþola </w:t>
      </w:r>
      <w:r w:rsidRPr="009E3C79">
        <w:rPr>
          <w:rFonts w:ascii="Times New Roman" w:hAnsi="Times New Roman" w:cs="Times New Roman"/>
          <w:b/>
          <w:bCs/>
          <w:sz w:val="24"/>
          <w:szCs w:val="24"/>
        </w:rPr>
        <w:t>að bótarétti</w:t>
      </w:r>
    </w:p>
    <w:p w14:paraId="3DBF02E0" w14:textId="2BE0BF26" w:rsidR="00710436" w:rsidRPr="009E3C79" w:rsidRDefault="00304D97"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 xml:space="preserve">Í drögum þessa frumvarps er tryggt að brotaþoli geti komið að einkaréttarkröfu á hendur ákærða áfrýjunarstigi. Ekki er fjallað nánar um aukið aðgengi brotaþola að bótarétti. </w:t>
      </w:r>
      <w:r w:rsidR="00AD1DBA" w:rsidRPr="009E3C79">
        <w:rPr>
          <w:rFonts w:ascii="Times New Roman" w:hAnsi="Times New Roman" w:cs="Times New Roman"/>
          <w:sz w:val="24"/>
          <w:szCs w:val="24"/>
        </w:rPr>
        <w:t xml:space="preserve">Þegar kemur að kynferðisbrotamálum er ljóst að fá þeirra enda með sakfellingu </w:t>
      </w:r>
      <w:r w:rsidR="000D00D0">
        <w:rPr>
          <w:rFonts w:ascii="Times New Roman" w:hAnsi="Times New Roman" w:cs="Times New Roman"/>
          <w:sz w:val="24"/>
          <w:szCs w:val="24"/>
        </w:rPr>
        <w:t xml:space="preserve">og </w:t>
      </w:r>
      <w:r w:rsidR="00AD1DBA" w:rsidRPr="009E3C79">
        <w:rPr>
          <w:rFonts w:ascii="Times New Roman" w:hAnsi="Times New Roman" w:cs="Times New Roman"/>
          <w:sz w:val="24"/>
          <w:szCs w:val="24"/>
        </w:rPr>
        <w:t xml:space="preserve">það er </w:t>
      </w:r>
      <w:r w:rsidR="000D00D0">
        <w:rPr>
          <w:rFonts w:ascii="Times New Roman" w:hAnsi="Times New Roman" w:cs="Times New Roman"/>
          <w:sz w:val="24"/>
          <w:szCs w:val="24"/>
        </w:rPr>
        <w:t>fáheyrt</w:t>
      </w:r>
      <w:r w:rsidR="00AD1DBA" w:rsidRPr="009E3C79">
        <w:rPr>
          <w:rFonts w:ascii="Times New Roman" w:hAnsi="Times New Roman" w:cs="Times New Roman"/>
          <w:sz w:val="24"/>
          <w:szCs w:val="24"/>
        </w:rPr>
        <w:t xml:space="preserve"> að brotaþolar stefni gerendum í einkamáli. Því er ljóst að aðeins örlítill hluti þolenda kynferðisbrota fær skaða- eða miskabætur vegna afleiðinga brots, en þær geta verið víðtækar og langvinnar. Þess vegna er mikilvægt að auka</w:t>
      </w:r>
      <w:r w:rsidR="008626E7" w:rsidRPr="009E3C79">
        <w:rPr>
          <w:rFonts w:ascii="Times New Roman" w:hAnsi="Times New Roman" w:cs="Times New Roman"/>
          <w:sz w:val="24"/>
          <w:szCs w:val="24"/>
        </w:rPr>
        <w:t xml:space="preserve"> aðgengi </w:t>
      </w:r>
      <w:r w:rsidR="00AD1DBA" w:rsidRPr="009E3C79">
        <w:rPr>
          <w:rFonts w:ascii="Times New Roman" w:hAnsi="Times New Roman" w:cs="Times New Roman"/>
          <w:sz w:val="24"/>
          <w:szCs w:val="24"/>
        </w:rPr>
        <w:t xml:space="preserve">þessara brotaþola, og mögulega annarra, </w:t>
      </w:r>
      <w:r w:rsidR="008626E7" w:rsidRPr="009E3C79">
        <w:rPr>
          <w:rFonts w:ascii="Times New Roman" w:hAnsi="Times New Roman" w:cs="Times New Roman"/>
          <w:sz w:val="24"/>
          <w:szCs w:val="24"/>
        </w:rPr>
        <w:t>að bótarétti</w:t>
      </w:r>
      <w:r w:rsidR="00AD1DBA" w:rsidRPr="009E3C79">
        <w:rPr>
          <w:rFonts w:ascii="Times New Roman" w:hAnsi="Times New Roman" w:cs="Times New Roman"/>
          <w:sz w:val="24"/>
          <w:szCs w:val="24"/>
        </w:rPr>
        <w:t xml:space="preserve">. </w:t>
      </w:r>
    </w:p>
    <w:p w14:paraId="3EEA4123"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10229413" w14:textId="77777777" w:rsidR="007C3DCD" w:rsidRDefault="00AD1DBA"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 xml:space="preserve">Lagt er til að í málum </w:t>
      </w:r>
      <w:r w:rsidR="00EF072C" w:rsidRPr="009E3C79">
        <w:rPr>
          <w:rFonts w:ascii="Times New Roman" w:hAnsi="Times New Roman" w:cs="Times New Roman"/>
          <w:sz w:val="24"/>
          <w:szCs w:val="24"/>
        </w:rPr>
        <w:t xml:space="preserve">þar sem einkaréttarlegar kröfur brotaþola hafa ekki náð fram að ganga, t.a.m. vegna þess að mál hefur verið fellt niður </w:t>
      </w:r>
      <w:r w:rsidRPr="009E3C79">
        <w:rPr>
          <w:rFonts w:ascii="Times New Roman" w:hAnsi="Times New Roman" w:cs="Times New Roman"/>
          <w:sz w:val="24"/>
          <w:szCs w:val="24"/>
        </w:rPr>
        <w:t>af ákæruvaldinu eða</w:t>
      </w:r>
      <w:r w:rsidR="00EF072C" w:rsidRPr="009E3C79">
        <w:rPr>
          <w:rFonts w:ascii="Times New Roman" w:hAnsi="Times New Roman" w:cs="Times New Roman"/>
          <w:sz w:val="24"/>
          <w:szCs w:val="24"/>
        </w:rPr>
        <w:t xml:space="preserve"> sakborningur hefur verið sýknaður, </w:t>
      </w:r>
      <w:r w:rsidRPr="009E3C79">
        <w:rPr>
          <w:rFonts w:ascii="Times New Roman" w:hAnsi="Times New Roman" w:cs="Times New Roman"/>
          <w:sz w:val="24"/>
          <w:szCs w:val="24"/>
        </w:rPr>
        <w:t xml:space="preserve">fái brotaþolar rétt á gjafsókn og ríkissjóður ábyrgist dæmdar bætur í einkamálum </w:t>
      </w:r>
      <w:r w:rsidRPr="009E3C79">
        <w:rPr>
          <w:rFonts w:ascii="Times New Roman" w:hAnsi="Times New Roman" w:cs="Times New Roman"/>
          <w:sz w:val="24"/>
          <w:szCs w:val="24"/>
        </w:rPr>
        <w:lastRenderedPageBreak/>
        <w:t xml:space="preserve">með sambærilegum hætti og kveðið er á um í lögum um greiðslu ríkissjóðs á bótum til þolenda afbrota, nr. 69/1995. </w:t>
      </w:r>
    </w:p>
    <w:p w14:paraId="5E4C5B64" w14:textId="77777777" w:rsidR="007C3DCD" w:rsidRDefault="007C3DCD" w:rsidP="009E3C79">
      <w:pPr>
        <w:pStyle w:val="NoSpacing"/>
        <w:spacing w:line="360" w:lineRule="auto"/>
        <w:jc w:val="both"/>
        <w:rPr>
          <w:rFonts w:ascii="Times New Roman" w:hAnsi="Times New Roman" w:cs="Times New Roman"/>
          <w:sz w:val="24"/>
          <w:szCs w:val="24"/>
        </w:rPr>
      </w:pPr>
    </w:p>
    <w:p w14:paraId="0A7EA353" w14:textId="289C0DC4" w:rsidR="00343899" w:rsidRPr="009E3C79" w:rsidRDefault="00765E5E"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 xml:space="preserve">Í þessu samhengi er </w:t>
      </w:r>
      <w:r w:rsidR="00304D97" w:rsidRPr="009E3C79">
        <w:rPr>
          <w:rFonts w:ascii="Times New Roman" w:hAnsi="Times New Roman" w:cs="Times New Roman"/>
          <w:sz w:val="24"/>
          <w:szCs w:val="24"/>
        </w:rPr>
        <w:t xml:space="preserve">einnig </w:t>
      </w:r>
      <w:r w:rsidRPr="009E3C79">
        <w:rPr>
          <w:rFonts w:ascii="Times New Roman" w:hAnsi="Times New Roman" w:cs="Times New Roman"/>
          <w:sz w:val="24"/>
          <w:szCs w:val="24"/>
        </w:rPr>
        <w:t>rétt að benda á þingsályktunartillögu um gjafsókn í heimilisofbeldis- og kynferðisbrotamálum (Þingskjal 153, 2018-19) sem lögð var fram á Alþingi 26. september 2018.</w:t>
      </w:r>
      <w:r w:rsidR="00311339" w:rsidRPr="009E3C79">
        <w:rPr>
          <w:rStyle w:val="FootnoteReference"/>
          <w:rFonts w:ascii="Times New Roman" w:hAnsi="Times New Roman" w:cs="Times New Roman"/>
          <w:sz w:val="24"/>
          <w:szCs w:val="24"/>
        </w:rPr>
        <w:footnoteReference w:id="2"/>
      </w:r>
      <w:r w:rsidRPr="009E3C79">
        <w:rPr>
          <w:rFonts w:ascii="Times New Roman" w:hAnsi="Times New Roman" w:cs="Times New Roman"/>
          <w:sz w:val="24"/>
          <w:szCs w:val="24"/>
        </w:rPr>
        <w:t xml:space="preserve"> Í tillögunni</w:t>
      </w:r>
      <w:r w:rsidR="00960730">
        <w:rPr>
          <w:rFonts w:ascii="Times New Roman" w:hAnsi="Times New Roman" w:cs="Times New Roman"/>
          <w:sz w:val="24"/>
          <w:szCs w:val="24"/>
        </w:rPr>
        <w:t>,</w:t>
      </w:r>
      <w:r w:rsidRPr="009E3C79">
        <w:rPr>
          <w:rFonts w:ascii="Times New Roman" w:hAnsi="Times New Roman" w:cs="Times New Roman"/>
          <w:sz w:val="24"/>
          <w:szCs w:val="24"/>
        </w:rPr>
        <w:t xml:space="preserve"> sem lögð er fram af 19 þingmönnum úr flestum stjórnmálaflokkum, er </w:t>
      </w:r>
      <w:r w:rsidR="000D00D0">
        <w:rPr>
          <w:rFonts w:ascii="Times New Roman" w:hAnsi="Times New Roman" w:cs="Times New Roman"/>
          <w:sz w:val="24"/>
          <w:szCs w:val="24"/>
        </w:rPr>
        <w:t xml:space="preserve">lagt til að </w:t>
      </w:r>
      <w:r w:rsidRPr="009E3C79">
        <w:rPr>
          <w:rFonts w:ascii="Times New Roman" w:hAnsi="Times New Roman" w:cs="Times New Roman"/>
          <w:sz w:val="24"/>
          <w:szCs w:val="24"/>
        </w:rPr>
        <w:t xml:space="preserve">dómsmálaráðherra </w:t>
      </w:r>
      <w:r w:rsidR="001D791B">
        <w:rPr>
          <w:rFonts w:ascii="Times New Roman" w:hAnsi="Times New Roman" w:cs="Times New Roman"/>
          <w:sz w:val="24"/>
          <w:szCs w:val="24"/>
        </w:rPr>
        <w:t>vinni</w:t>
      </w:r>
      <w:r w:rsidRPr="009E3C79">
        <w:rPr>
          <w:rFonts w:ascii="Times New Roman" w:hAnsi="Times New Roman" w:cs="Times New Roman"/>
          <w:sz w:val="24"/>
          <w:szCs w:val="24"/>
        </w:rPr>
        <w:t xml:space="preserve"> frumvarp um gjafsókn í heimilisofbeldis- og kynferðisbrotamálum þegar einkaréttarlegar kröfur brotaþola hafa ekki fengið framgang í sakamáli. </w:t>
      </w:r>
      <w:r w:rsidR="001D791B">
        <w:rPr>
          <w:rFonts w:ascii="Times New Roman" w:hAnsi="Times New Roman" w:cs="Times New Roman"/>
          <w:sz w:val="24"/>
          <w:szCs w:val="24"/>
        </w:rPr>
        <w:t xml:space="preserve">Þótt tillagan hafi ekki verið tekin til afgreiðslu á Alþingi má ráða af henni að </w:t>
      </w:r>
      <w:r w:rsidRPr="009E3C79">
        <w:rPr>
          <w:rFonts w:ascii="Times New Roman" w:hAnsi="Times New Roman" w:cs="Times New Roman"/>
          <w:sz w:val="24"/>
          <w:szCs w:val="24"/>
        </w:rPr>
        <w:t>þverpólitískur vilji</w:t>
      </w:r>
      <w:r w:rsidR="001D791B">
        <w:rPr>
          <w:rFonts w:ascii="Times New Roman" w:hAnsi="Times New Roman" w:cs="Times New Roman"/>
          <w:sz w:val="24"/>
          <w:szCs w:val="24"/>
        </w:rPr>
        <w:t xml:space="preserve"> sé</w:t>
      </w:r>
      <w:r w:rsidRPr="009E3C79">
        <w:rPr>
          <w:rFonts w:ascii="Times New Roman" w:hAnsi="Times New Roman" w:cs="Times New Roman"/>
          <w:sz w:val="24"/>
          <w:szCs w:val="24"/>
        </w:rPr>
        <w:t xml:space="preserve"> til þess að auka aðgengi brotaþola að bótarétti með þessum hætti.</w:t>
      </w:r>
      <w:r w:rsidR="00304D97" w:rsidRPr="009E3C79">
        <w:rPr>
          <w:rFonts w:ascii="Times New Roman" w:hAnsi="Times New Roman" w:cs="Times New Roman"/>
          <w:sz w:val="24"/>
          <w:szCs w:val="24"/>
        </w:rPr>
        <w:t xml:space="preserve"> </w:t>
      </w:r>
    </w:p>
    <w:p w14:paraId="745A7AD8"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701C6F3B" w14:textId="63901086" w:rsidR="00964F18" w:rsidRPr="009E3C79" w:rsidRDefault="00BB2B1F" w:rsidP="009E3C79">
      <w:pPr>
        <w:pStyle w:val="NoSpacing"/>
        <w:spacing w:line="360" w:lineRule="auto"/>
        <w:jc w:val="both"/>
        <w:rPr>
          <w:rFonts w:ascii="Times New Roman" w:hAnsi="Times New Roman" w:cs="Times New Roman"/>
          <w:sz w:val="24"/>
          <w:szCs w:val="24"/>
        </w:rPr>
      </w:pPr>
      <w:bookmarkStart w:id="0" w:name="_Hlk67328541"/>
      <w:r w:rsidRPr="009E3C79">
        <w:rPr>
          <w:rFonts w:ascii="Times New Roman" w:hAnsi="Times New Roman" w:cs="Times New Roman"/>
          <w:sz w:val="24"/>
          <w:szCs w:val="24"/>
        </w:rPr>
        <w:t xml:space="preserve">Einnig er ástæða til að </w:t>
      </w:r>
      <w:r w:rsidR="001D791B">
        <w:rPr>
          <w:rFonts w:ascii="Times New Roman" w:hAnsi="Times New Roman" w:cs="Times New Roman"/>
          <w:sz w:val="24"/>
          <w:szCs w:val="24"/>
        </w:rPr>
        <w:t>benda á</w:t>
      </w:r>
      <w:r w:rsidRPr="009E3C79">
        <w:rPr>
          <w:rFonts w:ascii="Times New Roman" w:hAnsi="Times New Roman" w:cs="Times New Roman"/>
          <w:sz w:val="24"/>
          <w:szCs w:val="24"/>
        </w:rPr>
        <w:t xml:space="preserve"> að b</w:t>
      </w:r>
      <w:r w:rsidR="00964F18" w:rsidRPr="009E3C79">
        <w:rPr>
          <w:rFonts w:ascii="Times New Roman" w:hAnsi="Times New Roman" w:cs="Times New Roman"/>
          <w:sz w:val="24"/>
          <w:szCs w:val="24"/>
        </w:rPr>
        <w:t xml:space="preserve">orið hefur á því að dómstólar hafi lækkað refsingar ákærðra vegna langs málsmeðferðartíma. Full </w:t>
      </w:r>
      <w:r w:rsidR="00343899" w:rsidRPr="009E3C79">
        <w:rPr>
          <w:rFonts w:ascii="Times New Roman" w:hAnsi="Times New Roman" w:cs="Times New Roman"/>
          <w:sz w:val="24"/>
          <w:szCs w:val="24"/>
        </w:rPr>
        <w:t xml:space="preserve">ástæða til að taka undir tillögu Kolbrúnar Garðarsdóttur lögmanns um að brotaþolar fái bætur ef </w:t>
      </w:r>
      <w:r w:rsidR="00964F18" w:rsidRPr="009E3C79">
        <w:rPr>
          <w:rFonts w:ascii="Times New Roman" w:hAnsi="Times New Roman" w:cs="Times New Roman"/>
          <w:sz w:val="24"/>
          <w:szCs w:val="24"/>
        </w:rPr>
        <w:t xml:space="preserve">refsing ákærða er lækkuð sökum þessa. </w:t>
      </w:r>
    </w:p>
    <w:bookmarkEnd w:id="0"/>
    <w:p w14:paraId="380493DB" w14:textId="77777777" w:rsidR="00DD6091" w:rsidRPr="009E3C79" w:rsidRDefault="00DD6091" w:rsidP="009E3C79">
      <w:pPr>
        <w:pStyle w:val="NoSpacing"/>
        <w:spacing w:line="360" w:lineRule="auto"/>
        <w:jc w:val="both"/>
        <w:rPr>
          <w:rFonts w:ascii="Times New Roman" w:hAnsi="Times New Roman" w:cs="Times New Roman"/>
          <w:sz w:val="24"/>
          <w:szCs w:val="24"/>
        </w:rPr>
      </w:pPr>
    </w:p>
    <w:p w14:paraId="253F8240" w14:textId="4E27B2EB" w:rsidR="00D02A80" w:rsidRPr="009E3C79" w:rsidRDefault="00131A4C" w:rsidP="009E3C79">
      <w:pPr>
        <w:pStyle w:val="NoSpacing"/>
        <w:spacing w:line="360" w:lineRule="auto"/>
        <w:jc w:val="both"/>
        <w:rPr>
          <w:rFonts w:ascii="Times New Roman" w:hAnsi="Times New Roman" w:cs="Times New Roman"/>
          <w:b/>
          <w:bCs/>
          <w:sz w:val="24"/>
          <w:szCs w:val="24"/>
        </w:rPr>
      </w:pPr>
      <w:r w:rsidRPr="009E3C79">
        <w:rPr>
          <w:rFonts w:ascii="Times New Roman" w:hAnsi="Times New Roman" w:cs="Times New Roman"/>
          <w:b/>
          <w:bCs/>
          <w:sz w:val="24"/>
          <w:szCs w:val="24"/>
        </w:rPr>
        <w:t>Mál níu brotaþola gegn íslenska ríkinu hjá Mannréttindadómstóli Evrópu</w:t>
      </w:r>
    </w:p>
    <w:p w14:paraId="620208FF" w14:textId="49EE40AC" w:rsidR="00EF072C" w:rsidRPr="009E3C79" w:rsidRDefault="00131A4C"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Þann 8. mars sl. stóð íslenska kvennahreyfingin að blaðamannafundi þar sem sagt var frá því að níu  konur hafi nú kært íslenska ríkið til Mannréttindadómstóls Evrópu fyrir að hafa brotið á rétti sínum til réttlátrar málsmeðferðar. Konurnar eiga það sammerkt að vera brotaþolar sem kærðu nauðganir, heimilisofbeldi og/eða kynferðislega áreitni til lögreglu en málin voru felld niður af ákæruvaldinu.</w:t>
      </w:r>
      <w:r w:rsidR="00DE25CD" w:rsidRPr="009E3C79">
        <w:rPr>
          <w:rFonts w:ascii="Times New Roman" w:hAnsi="Times New Roman" w:cs="Times New Roman"/>
          <w:sz w:val="24"/>
          <w:szCs w:val="24"/>
        </w:rPr>
        <w:t xml:space="preserve"> </w:t>
      </w:r>
      <w:r w:rsidR="00960730" w:rsidRPr="009E3C79">
        <w:rPr>
          <w:rFonts w:ascii="Times New Roman" w:hAnsi="Times New Roman" w:cs="Times New Roman"/>
          <w:sz w:val="24"/>
          <w:szCs w:val="24"/>
        </w:rPr>
        <w:t>Ætlunin með kærunum er að vekja athygli á kerfisbundnum vanda og láta</w:t>
      </w:r>
      <w:r w:rsidR="00960730">
        <w:rPr>
          <w:rFonts w:ascii="Times New Roman" w:hAnsi="Times New Roman" w:cs="Times New Roman"/>
          <w:sz w:val="24"/>
          <w:szCs w:val="24"/>
        </w:rPr>
        <w:t xml:space="preserve"> reyna á rétt </w:t>
      </w:r>
      <w:r w:rsidR="00960730" w:rsidRPr="009E3C79">
        <w:rPr>
          <w:rFonts w:ascii="Times New Roman" w:hAnsi="Times New Roman" w:cs="Times New Roman"/>
          <w:sz w:val="24"/>
          <w:szCs w:val="24"/>
        </w:rPr>
        <w:t>brotaþola í ofbeldisbrotum á Íslandi</w:t>
      </w:r>
      <w:r w:rsidR="00960730">
        <w:rPr>
          <w:rFonts w:ascii="Times New Roman" w:hAnsi="Times New Roman" w:cs="Times New Roman"/>
          <w:sz w:val="24"/>
          <w:szCs w:val="24"/>
        </w:rPr>
        <w:t>.</w:t>
      </w:r>
    </w:p>
    <w:p w14:paraId="5DF5DEEF"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6FBA1C9C" w14:textId="5236630E" w:rsidR="00975CFD" w:rsidRPr="009E3C79" w:rsidRDefault="001D791B" w:rsidP="009E3C7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Kærurnar lýsa</w:t>
      </w:r>
      <w:r w:rsidR="00C71D34" w:rsidRPr="009E3C79">
        <w:rPr>
          <w:rFonts w:ascii="Times New Roman" w:hAnsi="Times New Roman" w:cs="Times New Roman"/>
          <w:sz w:val="24"/>
          <w:szCs w:val="24"/>
        </w:rPr>
        <w:t xml:space="preserve"> </w:t>
      </w:r>
      <w:r w:rsidR="00DE25CD" w:rsidRPr="009E3C79">
        <w:rPr>
          <w:rFonts w:ascii="Times New Roman" w:hAnsi="Times New Roman" w:cs="Times New Roman"/>
          <w:sz w:val="24"/>
          <w:szCs w:val="24"/>
        </w:rPr>
        <w:t xml:space="preserve">alvarlegum annmörkum á rannsókn lögreglu, að </w:t>
      </w:r>
      <w:r w:rsidR="00C71D34" w:rsidRPr="009E3C79">
        <w:rPr>
          <w:rFonts w:ascii="Times New Roman" w:hAnsi="Times New Roman" w:cs="Times New Roman"/>
          <w:sz w:val="24"/>
          <w:szCs w:val="24"/>
        </w:rPr>
        <w:t xml:space="preserve">lítið sem ekkert sönnunargildi sé lagt í þau sönnunargögn sem til staðar eru í málunum, og að gengið sé gegn vilja löggjafans við túlkun laganna. </w:t>
      </w:r>
      <w:bookmarkStart w:id="1" w:name="_Hlk67326973"/>
      <w:r w:rsidR="00960730" w:rsidRPr="009E3C79">
        <w:rPr>
          <w:rFonts w:ascii="Times New Roman" w:hAnsi="Times New Roman" w:cs="Times New Roman"/>
          <w:sz w:val="24"/>
          <w:szCs w:val="24"/>
        </w:rPr>
        <w:t xml:space="preserve">Þrátt fyrir að Mannréttindadómstóllinn sé umsetinn og vísi langflestum málum frá, hefur hann nú tekið a.m.k. fjórar af kærunum til </w:t>
      </w:r>
      <w:r w:rsidR="00960730">
        <w:rPr>
          <w:rFonts w:ascii="Times New Roman" w:hAnsi="Times New Roman" w:cs="Times New Roman"/>
          <w:sz w:val="24"/>
          <w:szCs w:val="24"/>
        </w:rPr>
        <w:t xml:space="preserve">fyrstu </w:t>
      </w:r>
      <w:r w:rsidR="00960730" w:rsidRPr="009E3C79">
        <w:rPr>
          <w:rFonts w:ascii="Times New Roman" w:hAnsi="Times New Roman" w:cs="Times New Roman"/>
          <w:sz w:val="24"/>
          <w:szCs w:val="24"/>
        </w:rPr>
        <w:t>afgreiðslu.</w:t>
      </w:r>
      <w:bookmarkEnd w:id="1"/>
      <w:r w:rsidR="00960730">
        <w:rPr>
          <w:rFonts w:ascii="Times New Roman" w:hAnsi="Times New Roman" w:cs="Times New Roman"/>
          <w:sz w:val="24"/>
          <w:szCs w:val="24"/>
        </w:rPr>
        <w:t xml:space="preserve"> </w:t>
      </w:r>
    </w:p>
    <w:p w14:paraId="2BA1C35D"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645F1788" w14:textId="1B7FA3BB" w:rsidR="00343899" w:rsidRPr="009E3C79" w:rsidRDefault="00F235A5" w:rsidP="009E3C79">
      <w:pPr>
        <w:pStyle w:val="NoSpacing"/>
        <w:spacing w:line="360" w:lineRule="auto"/>
        <w:jc w:val="both"/>
        <w:rPr>
          <w:rFonts w:ascii="Times New Roman" w:hAnsi="Times New Roman" w:cs="Times New Roman"/>
          <w:sz w:val="24"/>
          <w:szCs w:val="24"/>
        </w:rPr>
      </w:pPr>
      <w:bookmarkStart w:id="2" w:name="_Hlk67328441"/>
      <w:r w:rsidRPr="009E3C79">
        <w:rPr>
          <w:rFonts w:ascii="Times New Roman" w:hAnsi="Times New Roman" w:cs="Times New Roman"/>
          <w:sz w:val="24"/>
          <w:szCs w:val="24"/>
        </w:rPr>
        <w:t>Eitt alvarlegasta kærða brotið snýr að því að mál fyrntist í höndum lögreglu á meðan það var til rannsóknar vegna þess hve lengi dróst að boða sakborning í skýrslutöku.</w:t>
      </w:r>
      <w:r w:rsidR="00975CFD" w:rsidRPr="009E3C79">
        <w:rPr>
          <w:rFonts w:ascii="Times New Roman" w:hAnsi="Times New Roman" w:cs="Times New Roman"/>
          <w:sz w:val="24"/>
          <w:szCs w:val="24"/>
        </w:rPr>
        <w:t xml:space="preserve"> Undirrituð tekur undir með Maríu Sjöfn Árnadóttur, brotaþolanum í málinu, en hún hefur fjallað um það </w:t>
      </w:r>
      <w:r w:rsidR="00AD6842">
        <w:rPr>
          <w:rFonts w:ascii="Times New Roman" w:hAnsi="Times New Roman" w:cs="Times New Roman"/>
          <w:sz w:val="24"/>
          <w:szCs w:val="24"/>
        </w:rPr>
        <w:t>á opinberum vettvangi</w:t>
      </w:r>
      <w:r w:rsidR="00975CFD" w:rsidRPr="009E3C79">
        <w:rPr>
          <w:rFonts w:ascii="Times New Roman" w:hAnsi="Times New Roman" w:cs="Times New Roman"/>
          <w:sz w:val="24"/>
          <w:szCs w:val="24"/>
        </w:rPr>
        <w:t xml:space="preserve"> að mikilvægt sé að </w:t>
      </w:r>
      <w:r w:rsidR="00343899" w:rsidRPr="009E3C79">
        <w:rPr>
          <w:rFonts w:ascii="Times New Roman" w:hAnsi="Times New Roman" w:cs="Times New Roman"/>
          <w:sz w:val="24"/>
          <w:szCs w:val="24"/>
        </w:rPr>
        <w:t xml:space="preserve">veita brotaþolum kæruheimild á rannsóknarstigi telji </w:t>
      </w:r>
      <w:r w:rsidR="00343899" w:rsidRPr="009E3C79">
        <w:rPr>
          <w:rFonts w:ascii="Times New Roman" w:hAnsi="Times New Roman" w:cs="Times New Roman"/>
          <w:sz w:val="24"/>
          <w:szCs w:val="24"/>
        </w:rPr>
        <w:lastRenderedPageBreak/>
        <w:t>brotaþoli að verið sé að fyrirgera rétti um réttláta málsmeðferð og að lögfesta eigi hlutlæga skaðabótaábyrgð þegar vinnubrögð lögreglu og ákæruvalds valda því að ekki er hægt að ákæra í máli.</w:t>
      </w:r>
      <w:r w:rsidR="00B836EF" w:rsidRPr="009E3C79">
        <w:rPr>
          <w:rFonts w:ascii="Times New Roman" w:hAnsi="Times New Roman" w:cs="Times New Roman"/>
          <w:sz w:val="24"/>
          <w:szCs w:val="24"/>
        </w:rPr>
        <w:t xml:space="preserve"> Jafnframt hefur hún vakið athygli á mikilvægi þess að brotaþolar njóti áfram aðstoðar réttargæslumanns þó svo mál, sem er samsett úr nokkrum kæruliðum, klofni.</w:t>
      </w:r>
      <w:r w:rsidR="00B836EF" w:rsidRPr="009E3C79">
        <w:rPr>
          <w:rStyle w:val="FootnoteReference"/>
          <w:rFonts w:ascii="Times New Roman" w:hAnsi="Times New Roman" w:cs="Times New Roman"/>
          <w:sz w:val="24"/>
          <w:szCs w:val="24"/>
        </w:rPr>
        <w:footnoteReference w:id="3"/>
      </w:r>
      <w:r w:rsidR="00B836EF" w:rsidRPr="009E3C79">
        <w:rPr>
          <w:rFonts w:ascii="Times New Roman" w:hAnsi="Times New Roman" w:cs="Times New Roman"/>
          <w:sz w:val="24"/>
          <w:szCs w:val="24"/>
        </w:rPr>
        <w:t xml:space="preserve"> </w:t>
      </w:r>
    </w:p>
    <w:bookmarkEnd w:id="2"/>
    <w:p w14:paraId="18E894B9"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5928312C" w14:textId="0B82E9C7" w:rsidR="00EF072C" w:rsidRPr="009E3C79" w:rsidRDefault="00975CFD"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Í ljósi þessa er</w:t>
      </w:r>
      <w:r w:rsidR="00EF072C" w:rsidRPr="009E3C79">
        <w:rPr>
          <w:rFonts w:ascii="Times New Roman" w:hAnsi="Times New Roman" w:cs="Times New Roman"/>
          <w:sz w:val="24"/>
          <w:szCs w:val="24"/>
        </w:rPr>
        <w:t xml:space="preserve"> ekki síst mikilvægt að styrkja réttarstöðu brotaþola gagnvart ríkinu. Það er best gert með því að veita brotaþola aðild að sakamáli, bæði til að veita lögreglu og ákæruvaldi aðhald við rannsókn og saksókn máls, og til að tryggja að fyrir hendi sé slíkt réttarlegt samband á milli ríkis og brotaþola að ríkið geti verið skaðabótaskylt ef brotið á rétti brotaþola til réttlátrar málsmeðferðar.</w:t>
      </w:r>
    </w:p>
    <w:p w14:paraId="19AF08B4" w14:textId="77777777" w:rsidR="00DD6091" w:rsidRPr="009E3C79" w:rsidRDefault="00DD6091" w:rsidP="009E3C79">
      <w:pPr>
        <w:pStyle w:val="NoSpacing"/>
        <w:spacing w:line="360" w:lineRule="auto"/>
        <w:jc w:val="both"/>
        <w:rPr>
          <w:rFonts w:ascii="Times New Roman" w:hAnsi="Times New Roman" w:cs="Times New Roman"/>
          <w:sz w:val="24"/>
          <w:szCs w:val="24"/>
        </w:rPr>
      </w:pPr>
    </w:p>
    <w:p w14:paraId="2C58D9FD" w14:textId="6F8A0290" w:rsidR="00B00875" w:rsidRPr="009E3C79" w:rsidRDefault="00B00875" w:rsidP="009E3C79">
      <w:pPr>
        <w:pStyle w:val="NoSpacing"/>
        <w:spacing w:line="360" w:lineRule="auto"/>
        <w:jc w:val="both"/>
        <w:rPr>
          <w:rFonts w:ascii="Times New Roman" w:hAnsi="Times New Roman" w:cs="Times New Roman"/>
          <w:b/>
          <w:bCs/>
          <w:sz w:val="24"/>
          <w:szCs w:val="24"/>
        </w:rPr>
      </w:pPr>
      <w:r w:rsidRPr="009E3C79">
        <w:rPr>
          <w:rFonts w:ascii="Times New Roman" w:hAnsi="Times New Roman" w:cs="Times New Roman"/>
          <w:b/>
          <w:bCs/>
          <w:sz w:val="24"/>
          <w:szCs w:val="24"/>
        </w:rPr>
        <w:t>Aðildarskortur brotaþola að sakamáli</w:t>
      </w:r>
    </w:p>
    <w:p w14:paraId="2AA90EB0" w14:textId="4C5960D0" w:rsidR="00B00875" w:rsidRPr="009E3C79" w:rsidRDefault="00272C27"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Á grundvelli dóms Hæstaréttar Íslands í máli nr. 178/2001</w:t>
      </w:r>
      <w:r w:rsidR="002176F2" w:rsidRPr="009E3C79">
        <w:rPr>
          <w:rFonts w:ascii="Times New Roman" w:hAnsi="Times New Roman" w:cs="Times New Roman"/>
          <w:sz w:val="24"/>
          <w:szCs w:val="24"/>
        </w:rPr>
        <w:t xml:space="preserve"> virðist l</w:t>
      </w:r>
      <w:r w:rsidRPr="009E3C79">
        <w:rPr>
          <w:rFonts w:ascii="Times New Roman" w:hAnsi="Times New Roman" w:cs="Times New Roman"/>
          <w:sz w:val="24"/>
          <w:szCs w:val="24"/>
        </w:rPr>
        <w:t>itið</w:t>
      </w:r>
      <w:r w:rsidR="002176F2" w:rsidRPr="009E3C79">
        <w:rPr>
          <w:rFonts w:ascii="Times New Roman" w:hAnsi="Times New Roman" w:cs="Times New Roman"/>
          <w:sz w:val="24"/>
          <w:szCs w:val="24"/>
        </w:rPr>
        <w:t xml:space="preserve"> svo á að brotaþolar hafi ekki réttarstöðu skv. íslenskum lögum til þess að krefjast bóta frá ríkinu vegna athafna eða athafnaleysis saksóknara í opinberu máli, þar sem </w:t>
      </w:r>
      <w:r w:rsidR="00D22737" w:rsidRPr="009E3C79">
        <w:rPr>
          <w:rFonts w:ascii="Times New Roman" w:hAnsi="Times New Roman" w:cs="Times New Roman"/>
          <w:sz w:val="24"/>
          <w:szCs w:val="24"/>
        </w:rPr>
        <w:t>saksóknari</w:t>
      </w:r>
      <w:r w:rsidR="002176F2" w:rsidRPr="009E3C79">
        <w:rPr>
          <w:rFonts w:ascii="Times New Roman" w:hAnsi="Times New Roman" w:cs="Times New Roman"/>
          <w:sz w:val="24"/>
          <w:szCs w:val="24"/>
        </w:rPr>
        <w:t xml:space="preserve"> n</w:t>
      </w:r>
      <w:r w:rsidR="00D22737" w:rsidRPr="009E3C79">
        <w:rPr>
          <w:rFonts w:ascii="Times New Roman" w:hAnsi="Times New Roman" w:cs="Times New Roman"/>
          <w:sz w:val="24"/>
          <w:szCs w:val="24"/>
        </w:rPr>
        <w:t>ýtur</w:t>
      </w:r>
      <w:r w:rsidR="002176F2" w:rsidRPr="009E3C79">
        <w:rPr>
          <w:rFonts w:ascii="Times New Roman" w:hAnsi="Times New Roman" w:cs="Times New Roman"/>
          <w:sz w:val="24"/>
          <w:szCs w:val="24"/>
        </w:rPr>
        <w:t xml:space="preserve"> óskoraðs sjálfstæðis í slíkum málum. </w:t>
      </w:r>
    </w:p>
    <w:p w14:paraId="6B342EC0"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5180F93D" w14:textId="77777777" w:rsidR="00E67CDE" w:rsidRDefault="00975CFD"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Komið var inn á þessa afstöðu íslenska ríkisins í</w:t>
      </w:r>
      <w:r w:rsidR="00272C27" w:rsidRPr="009E3C79">
        <w:rPr>
          <w:rFonts w:ascii="Times New Roman" w:hAnsi="Times New Roman" w:cs="Times New Roman"/>
          <w:sz w:val="24"/>
          <w:szCs w:val="24"/>
        </w:rPr>
        <w:t xml:space="preserve"> niðurstöðu Mannréttindadómstóls Evrópu </w:t>
      </w:r>
      <w:r w:rsidRPr="009E3C79">
        <w:rPr>
          <w:rFonts w:ascii="Times New Roman" w:hAnsi="Times New Roman" w:cs="Times New Roman"/>
          <w:sz w:val="24"/>
          <w:szCs w:val="24"/>
        </w:rPr>
        <w:t xml:space="preserve">(MDE) </w:t>
      </w:r>
      <w:r w:rsidR="00201689" w:rsidRPr="009E3C79">
        <w:rPr>
          <w:rFonts w:ascii="Times New Roman" w:hAnsi="Times New Roman" w:cs="Times New Roman"/>
          <w:sz w:val="24"/>
          <w:szCs w:val="24"/>
        </w:rPr>
        <w:t>vegna</w:t>
      </w:r>
      <w:r w:rsidR="00B00875" w:rsidRPr="009E3C79">
        <w:rPr>
          <w:rFonts w:ascii="Times New Roman" w:hAnsi="Times New Roman" w:cs="Times New Roman"/>
          <w:sz w:val="24"/>
          <w:szCs w:val="24"/>
        </w:rPr>
        <w:t xml:space="preserve"> kæru nr. </w:t>
      </w:r>
      <w:bookmarkStart w:id="3" w:name="_Hlk67336707"/>
      <w:r w:rsidR="00B00875" w:rsidRPr="009E3C79">
        <w:rPr>
          <w:rFonts w:ascii="Times New Roman" w:hAnsi="Times New Roman" w:cs="Times New Roman"/>
          <w:sz w:val="24"/>
          <w:szCs w:val="24"/>
        </w:rPr>
        <w:t xml:space="preserve">29785/07 til </w:t>
      </w:r>
      <w:r w:rsidRPr="009E3C79">
        <w:rPr>
          <w:rFonts w:ascii="Times New Roman" w:hAnsi="Times New Roman" w:cs="Times New Roman"/>
          <w:sz w:val="24"/>
          <w:szCs w:val="24"/>
        </w:rPr>
        <w:t>MDE</w:t>
      </w:r>
      <w:r w:rsidR="00B00875" w:rsidRPr="009E3C79">
        <w:rPr>
          <w:rFonts w:ascii="Times New Roman" w:hAnsi="Times New Roman" w:cs="Times New Roman"/>
          <w:sz w:val="24"/>
          <w:szCs w:val="24"/>
        </w:rPr>
        <w:t xml:space="preserve"> (H. gegn Íslandi) sem lögð var fram 26. júní 2007</w:t>
      </w:r>
      <w:bookmarkEnd w:id="3"/>
      <w:r w:rsidR="00201689" w:rsidRPr="009E3C79">
        <w:rPr>
          <w:rFonts w:ascii="Times New Roman" w:hAnsi="Times New Roman" w:cs="Times New Roman"/>
          <w:sz w:val="24"/>
          <w:szCs w:val="24"/>
        </w:rPr>
        <w:t>.</w:t>
      </w:r>
      <w:r w:rsidR="00427EC7" w:rsidRPr="009E3C79">
        <w:rPr>
          <w:rStyle w:val="FootnoteReference"/>
          <w:rFonts w:ascii="Times New Roman" w:hAnsi="Times New Roman" w:cs="Times New Roman"/>
          <w:sz w:val="24"/>
          <w:szCs w:val="24"/>
        </w:rPr>
        <w:footnoteReference w:id="4"/>
      </w:r>
      <w:r w:rsidR="00201689" w:rsidRPr="009E3C79">
        <w:rPr>
          <w:rFonts w:ascii="Times New Roman" w:hAnsi="Times New Roman" w:cs="Times New Roman"/>
          <w:sz w:val="24"/>
          <w:szCs w:val="24"/>
        </w:rPr>
        <w:t xml:space="preserve"> Kærandi í málinu t</w:t>
      </w:r>
      <w:r w:rsidR="00221604" w:rsidRPr="009E3C79">
        <w:rPr>
          <w:rFonts w:ascii="Times New Roman" w:hAnsi="Times New Roman" w:cs="Times New Roman"/>
          <w:sz w:val="24"/>
          <w:szCs w:val="24"/>
        </w:rPr>
        <w:t xml:space="preserve">aldi að annmarkar á rannsókn kynferðisbrots væru svo alvarlegir og að á lögunum og framkvæmd þeirra og beitingu í málinu væru svo verulegir ágallar að telja yrði að ríkisvaldið hefði brotið gegn jákvæðum skuldbindingum skv. 3., 8. og 13. gr. mannréttindasáttmálans. </w:t>
      </w:r>
      <w:r w:rsidR="00201689" w:rsidRPr="009E3C79">
        <w:rPr>
          <w:rFonts w:ascii="Times New Roman" w:hAnsi="Times New Roman" w:cs="Times New Roman"/>
          <w:sz w:val="24"/>
          <w:szCs w:val="24"/>
        </w:rPr>
        <w:t>MDE</w:t>
      </w:r>
      <w:r w:rsidR="00221604" w:rsidRPr="009E3C79">
        <w:rPr>
          <w:rFonts w:ascii="Times New Roman" w:hAnsi="Times New Roman" w:cs="Times New Roman"/>
          <w:sz w:val="24"/>
          <w:szCs w:val="24"/>
        </w:rPr>
        <w:t xml:space="preserve"> komst að þeirri niðurstöðu að kæran væri ótæk til meðferðar þar sem kærandi lagði fram kæru sína til </w:t>
      </w:r>
      <w:r w:rsidR="00201689" w:rsidRPr="009E3C79">
        <w:rPr>
          <w:rFonts w:ascii="Times New Roman" w:hAnsi="Times New Roman" w:cs="Times New Roman"/>
          <w:sz w:val="24"/>
          <w:szCs w:val="24"/>
        </w:rPr>
        <w:t>MDE</w:t>
      </w:r>
      <w:r w:rsidR="00221604" w:rsidRPr="009E3C79">
        <w:rPr>
          <w:rFonts w:ascii="Times New Roman" w:hAnsi="Times New Roman" w:cs="Times New Roman"/>
          <w:sz w:val="24"/>
          <w:szCs w:val="24"/>
        </w:rPr>
        <w:t xml:space="preserve"> meira en sex mánuðum eftir ákvörðun ríkissaksóknara um að hafna bæri beiðni kæranda um endurupptöku, og svar ráðuneytisins. Í niðurstöðu</w:t>
      </w:r>
      <w:r w:rsidR="00201689" w:rsidRPr="009E3C79">
        <w:rPr>
          <w:rFonts w:ascii="Times New Roman" w:hAnsi="Times New Roman" w:cs="Times New Roman"/>
          <w:sz w:val="24"/>
          <w:szCs w:val="24"/>
        </w:rPr>
        <w:t xml:space="preserve"> MDE</w:t>
      </w:r>
      <w:r w:rsidR="00221604" w:rsidRPr="009E3C79">
        <w:rPr>
          <w:rFonts w:ascii="Times New Roman" w:hAnsi="Times New Roman" w:cs="Times New Roman"/>
          <w:sz w:val="24"/>
          <w:szCs w:val="24"/>
        </w:rPr>
        <w:t xml:space="preserve"> segir </w:t>
      </w:r>
      <w:r w:rsidR="00C15AAA" w:rsidRPr="009E3C79">
        <w:rPr>
          <w:rFonts w:ascii="Times New Roman" w:hAnsi="Times New Roman" w:cs="Times New Roman"/>
          <w:sz w:val="24"/>
          <w:szCs w:val="24"/>
        </w:rPr>
        <w:t>hins vegar</w:t>
      </w:r>
      <w:r w:rsidR="00221604" w:rsidRPr="009E3C79">
        <w:rPr>
          <w:rFonts w:ascii="Times New Roman" w:hAnsi="Times New Roman" w:cs="Times New Roman"/>
          <w:sz w:val="24"/>
          <w:szCs w:val="24"/>
        </w:rPr>
        <w:t>:</w:t>
      </w:r>
    </w:p>
    <w:p w14:paraId="2A86EE25" w14:textId="5BE67698" w:rsidR="00221604" w:rsidRPr="009E3C79" w:rsidRDefault="00221604"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 xml:space="preserve"> </w:t>
      </w:r>
    </w:p>
    <w:p w14:paraId="511FF520" w14:textId="49CC981A" w:rsidR="00221604" w:rsidRPr="009E3C79" w:rsidRDefault="00221604" w:rsidP="009E3C79">
      <w:pPr>
        <w:pStyle w:val="NoSpacing"/>
        <w:ind w:left="1134" w:right="1134"/>
        <w:jc w:val="both"/>
        <w:rPr>
          <w:rFonts w:ascii="Times New Roman" w:hAnsi="Times New Roman" w:cs="Times New Roman"/>
          <w:sz w:val="24"/>
          <w:szCs w:val="24"/>
        </w:rPr>
      </w:pPr>
      <w:r w:rsidRPr="009E3C79">
        <w:rPr>
          <w:rFonts w:ascii="Times New Roman" w:hAnsi="Times New Roman" w:cs="Times New Roman"/>
          <w:sz w:val="24"/>
          <w:szCs w:val="24"/>
        </w:rPr>
        <w:t xml:space="preserve">Eina ákvörðunin í heimalandinu, sem tekin var minna en sex mánuðum fyrir framlagningu kærunnar, var ákvörðun ríkislögmanns dags. 29. desember 2006. </w:t>
      </w:r>
      <w:r w:rsidRPr="009E3C79">
        <w:rPr>
          <w:rFonts w:ascii="Times New Roman" w:hAnsi="Times New Roman" w:cs="Times New Roman"/>
          <w:i/>
          <w:iCs/>
          <w:sz w:val="24"/>
          <w:szCs w:val="24"/>
        </w:rPr>
        <w:t xml:space="preserve">Eins og sjá má af þeirri ákvörðun vitnaði ríkislögmaður hins vegar til ákvörðunar hæstaréttar frá 2001, þar fram </w:t>
      </w:r>
      <w:r w:rsidRPr="009E3C79">
        <w:rPr>
          <w:rFonts w:ascii="Times New Roman" w:hAnsi="Times New Roman" w:cs="Times New Roman"/>
          <w:i/>
          <w:iCs/>
          <w:sz w:val="24"/>
          <w:szCs w:val="24"/>
        </w:rPr>
        <w:lastRenderedPageBreak/>
        <w:t>kom að brotaþoli hefði ekki réttarstöðu skv. íslenskum lögum til þess að krefjast bóta frá ríkinu vegna athafna eða athafnaleysis saksóknara í opinberu máli, þar sem hinn síðarnefndi nyti óskoraðs sjálfstæðis í slíkum málum. Kærandi virðist ekki byggja á því að þetta hafi ekki verið réttur skilningur á íslenskum rétti, sem í gildi var á viðkomandi tíma.</w:t>
      </w:r>
      <w:r w:rsidRPr="009E3C79">
        <w:rPr>
          <w:rFonts w:ascii="Times New Roman" w:hAnsi="Times New Roman" w:cs="Times New Roman"/>
          <w:sz w:val="24"/>
          <w:szCs w:val="24"/>
        </w:rPr>
        <w:t xml:space="preserve"> Ákvörðunin um bótakröfu hennar leiddi þess vegna ekki af beitingu raunhæfs úrræðis og getur því ekki komið til álita við ákvörðun sex mánaða kærufrests.</w:t>
      </w:r>
      <w:r w:rsidR="006050B6" w:rsidRPr="009E3C79">
        <w:rPr>
          <w:rFonts w:ascii="Times New Roman" w:hAnsi="Times New Roman" w:cs="Times New Roman"/>
          <w:sz w:val="24"/>
          <w:szCs w:val="24"/>
        </w:rPr>
        <w:t xml:space="preserve"> (Skáletrun undirritaðrar).</w:t>
      </w:r>
    </w:p>
    <w:p w14:paraId="2925ED20" w14:textId="2F06B972" w:rsidR="00B00875" w:rsidRPr="009E3C79" w:rsidRDefault="00B00875" w:rsidP="009E3C79">
      <w:pPr>
        <w:pStyle w:val="NoSpacing"/>
        <w:spacing w:line="360" w:lineRule="auto"/>
        <w:jc w:val="both"/>
        <w:rPr>
          <w:rFonts w:ascii="Times New Roman" w:hAnsi="Times New Roman" w:cs="Times New Roman"/>
          <w:sz w:val="24"/>
          <w:szCs w:val="24"/>
        </w:rPr>
      </w:pPr>
    </w:p>
    <w:p w14:paraId="1C370712" w14:textId="6A823815" w:rsidR="0083488A" w:rsidRPr="009E3C79" w:rsidRDefault="006050B6"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Þessum orðum má taka sem vísbendingu um að þe</w:t>
      </w:r>
      <w:r w:rsidR="00C15AAA" w:rsidRPr="009E3C79">
        <w:rPr>
          <w:rFonts w:ascii="Times New Roman" w:hAnsi="Times New Roman" w:cs="Times New Roman"/>
          <w:sz w:val="24"/>
          <w:szCs w:val="24"/>
        </w:rPr>
        <w:t>ssi afstaða</w:t>
      </w:r>
      <w:r w:rsidRPr="009E3C79">
        <w:rPr>
          <w:rFonts w:ascii="Times New Roman" w:hAnsi="Times New Roman" w:cs="Times New Roman"/>
          <w:sz w:val="24"/>
          <w:szCs w:val="24"/>
        </w:rPr>
        <w:t xml:space="preserve"> íslenska ríkisins yrði ekki endilega í samræmi við </w:t>
      </w:r>
      <w:r w:rsidR="00D22737" w:rsidRPr="009E3C79">
        <w:rPr>
          <w:rFonts w:ascii="Times New Roman" w:hAnsi="Times New Roman" w:cs="Times New Roman"/>
          <w:sz w:val="24"/>
          <w:szCs w:val="24"/>
        </w:rPr>
        <w:t>niðurstöðu</w:t>
      </w:r>
      <w:r w:rsidRPr="009E3C79">
        <w:rPr>
          <w:rFonts w:ascii="Times New Roman" w:hAnsi="Times New Roman" w:cs="Times New Roman"/>
          <w:sz w:val="24"/>
          <w:szCs w:val="24"/>
        </w:rPr>
        <w:t xml:space="preserve"> </w:t>
      </w:r>
      <w:r w:rsidR="0049597F">
        <w:rPr>
          <w:rFonts w:ascii="Times New Roman" w:hAnsi="Times New Roman" w:cs="Times New Roman"/>
          <w:sz w:val="24"/>
          <w:szCs w:val="24"/>
        </w:rPr>
        <w:t>MDE</w:t>
      </w:r>
      <w:r w:rsidRPr="009E3C79">
        <w:rPr>
          <w:rFonts w:ascii="Times New Roman" w:hAnsi="Times New Roman" w:cs="Times New Roman"/>
          <w:sz w:val="24"/>
          <w:szCs w:val="24"/>
        </w:rPr>
        <w:t>. Efast má um að brotaþolar hafi ekki réttarstöðu skv. íslenskum lögum til þess að krefjast bóta frá ríkinu vegna athafna eða athafnaleysis saksóknara</w:t>
      </w:r>
      <w:r w:rsidR="00710436" w:rsidRPr="009E3C79">
        <w:rPr>
          <w:rFonts w:ascii="Times New Roman" w:hAnsi="Times New Roman" w:cs="Times New Roman"/>
          <w:sz w:val="24"/>
          <w:szCs w:val="24"/>
        </w:rPr>
        <w:t xml:space="preserve"> </w:t>
      </w:r>
      <w:r w:rsidR="0083488A" w:rsidRPr="009E3C79">
        <w:rPr>
          <w:rFonts w:ascii="Times New Roman" w:hAnsi="Times New Roman" w:cs="Times New Roman"/>
          <w:sz w:val="24"/>
          <w:szCs w:val="24"/>
        </w:rPr>
        <w:t xml:space="preserve">en til að fyrirbyggja þessa túlkun er ástæða til að gera brotaþola að aðilum sakamáls. </w:t>
      </w:r>
      <w:r w:rsidR="00975CFD" w:rsidRPr="009E3C79">
        <w:rPr>
          <w:rFonts w:ascii="Times New Roman" w:hAnsi="Times New Roman" w:cs="Times New Roman"/>
          <w:sz w:val="24"/>
          <w:szCs w:val="24"/>
        </w:rPr>
        <w:t>Ótækt er að ríkið geti ekki talist skaðabótaskylt ef brotið á rétti brotaþola til réttlátrar málsmeðferðar</w:t>
      </w:r>
      <w:r w:rsidR="00625364" w:rsidRPr="009E3C79">
        <w:rPr>
          <w:rFonts w:ascii="Times New Roman" w:hAnsi="Times New Roman" w:cs="Times New Roman"/>
          <w:sz w:val="24"/>
          <w:szCs w:val="24"/>
        </w:rPr>
        <w:t>.</w:t>
      </w:r>
    </w:p>
    <w:p w14:paraId="1D01CC98" w14:textId="77777777" w:rsidR="007450D5" w:rsidRPr="009E3C79" w:rsidRDefault="007450D5" w:rsidP="009E3C79">
      <w:pPr>
        <w:pStyle w:val="NoSpacing"/>
        <w:spacing w:line="360" w:lineRule="auto"/>
        <w:jc w:val="both"/>
        <w:rPr>
          <w:rFonts w:ascii="Times New Roman" w:hAnsi="Times New Roman" w:cs="Times New Roman"/>
          <w:sz w:val="24"/>
          <w:szCs w:val="24"/>
        </w:rPr>
      </w:pPr>
    </w:p>
    <w:p w14:paraId="09CFD4F8" w14:textId="7796213F" w:rsidR="007450D5" w:rsidRPr="00FF03F8" w:rsidRDefault="007450D5" w:rsidP="009E3C79">
      <w:pPr>
        <w:pStyle w:val="NoSpacing"/>
        <w:spacing w:line="360" w:lineRule="auto"/>
        <w:jc w:val="both"/>
        <w:rPr>
          <w:rFonts w:ascii="Times New Roman" w:hAnsi="Times New Roman" w:cs="Times New Roman"/>
          <w:b/>
          <w:bCs/>
          <w:sz w:val="24"/>
          <w:szCs w:val="24"/>
        </w:rPr>
      </w:pPr>
      <w:r w:rsidRPr="009E3C79">
        <w:rPr>
          <w:rFonts w:ascii="Times New Roman" w:hAnsi="Times New Roman" w:cs="Times New Roman"/>
          <w:b/>
          <w:bCs/>
          <w:sz w:val="24"/>
          <w:szCs w:val="24"/>
        </w:rPr>
        <w:t>Að lokum</w:t>
      </w:r>
    </w:p>
    <w:p w14:paraId="3AAD06AB" w14:textId="5A42FD54" w:rsidR="0083488A" w:rsidRPr="009E3C79" w:rsidRDefault="007450D5"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 xml:space="preserve">Það að styrkja réttarstöðu brotaþola snýst ekki einungis um að brotaþolar eigi lögmætra hagsmuna að gæta í sakamálinu heldur er þetta einnig spurning um að tryggja borgaraleg réttindi þeirra. Í nútímasamfélagi </w:t>
      </w:r>
      <w:r w:rsidR="00CC625D" w:rsidRPr="009E3C79">
        <w:rPr>
          <w:rFonts w:ascii="Times New Roman" w:hAnsi="Times New Roman" w:cs="Times New Roman"/>
          <w:sz w:val="24"/>
          <w:szCs w:val="24"/>
        </w:rPr>
        <w:t>er</w:t>
      </w:r>
      <w:r w:rsidRPr="009E3C79">
        <w:rPr>
          <w:rFonts w:ascii="Times New Roman" w:hAnsi="Times New Roman" w:cs="Times New Roman"/>
          <w:sz w:val="24"/>
          <w:szCs w:val="24"/>
        </w:rPr>
        <w:t xml:space="preserve"> það grunnskilyrði fyrir góðri og traustri málsmeðferð að einstaklingar fái</w:t>
      </w:r>
      <w:r w:rsidR="00E67CDE">
        <w:rPr>
          <w:rFonts w:ascii="Times New Roman" w:hAnsi="Times New Roman" w:cs="Times New Roman"/>
          <w:sz w:val="24"/>
          <w:szCs w:val="24"/>
        </w:rPr>
        <w:t xml:space="preserve"> </w:t>
      </w:r>
      <w:r w:rsidRPr="009E3C79">
        <w:rPr>
          <w:rFonts w:ascii="Times New Roman" w:hAnsi="Times New Roman" w:cs="Times New Roman"/>
          <w:sz w:val="24"/>
          <w:szCs w:val="24"/>
        </w:rPr>
        <w:t>upplýsingar um mál sem þá varða og fái að hafa eitthvað um þau að segja. Sakamál get</w:t>
      </w:r>
      <w:r w:rsidR="00DD6091" w:rsidRPr="009E3C79">
        <w:rPr>
          <w:rFonts w:ascii="Times New Roman" w:hAnsi="Times New Roman" w:cs="Times New Roman"/>
          <w:sz w:val="24"/>
          <w:szCs w:val="24"/>
        </w:rPr>
        <w:t>a</w:t>
      </w:r>
      <w:r w:rsidRPr="009E3C79">
        <w:rPr>
          <w:rFonts w:ascii="Times New Roman" w:hAnsi="Times New Roman" w:cs="Times New Roman"/>
          <w:sz w:val="24"/>
          <w:szCs w:val="24"/>
        </w:rPr>
        <w:t xml:space="preserve"> ekki</w:t>
      </w:r>
      <w:r w:rsidR="00E67CDE">
        <w:rPr>
          <w:rFonts w:ascii="Times New Roman" w:hAnsi="Times New Roman" w:cs="Times New Roman"/>
          <w:sz w:val="24"/>
          <w:szCs w:val="24"/>
        </w:rPr>
        <w:t xml:space="preserve"> </w:t>
      </w:r>
      <w:r w:rsidRPr="009E3C79">
        <w:rPr>
          <w:rFonts w:ascii="Times New Roman" w:hAnsi="Times New Roman" w:cs="Times New Roman"/>
          <w:sz w:val="24"/>
          <w:szCs w:val="24"/>
        </w:rPr>
        <w:t xml:space="preserve">verið undanskilin þeirri reglu. </w:t>
      </w:r>
      <w:r w:rsidR="00DD6091" w:rsidRPr="009E3C79">
        <w:rPr>
          <w:rFonts w:ascii="Times New Roman" w:hAnsi="Times New Roman" w:cs="Times New Roman"/>
          <w:sz w:val="24"/>
          <w:szCs w:val="24"/>
        </w:rPr>
        <w:t>Þ</w:t>
      </w:r>
      <w:r w:rsidRPr="009E3C79">
        <w:rPr>
          <w:rFonts w:ascii="Times New Roman" w:hAnsi="Times New Roman" w:cs="Times New Roman"/>
          <w:sz w:val="24"/>
          <w:szCs w:val="24"/>
        </w:rPr>
        <w:t>að að auka rétt brotaþola í</w:t>
      </w:r>
      <w:r w:rsidR="00DD6091" w:rsidRPr="009E3C79">
        <w:rPr>
          <w:rFonts w:ascii="Times New Roman" w:hAnsi="Times New Roman" w:cs="Times New Roman"/>
          <w:sz w:val="24"/>
          <w:szCs w:val="24"/>
        </w:rPr>
        <w:t xml:space="preserve"> </w:t>
      </w:r>
      <w:r w:rsidRPr="009E3C79">
        <w:rPr>
          <w:rFonts w:ascii="Times New Roman" w:hAnsi="Times New Roman" w:cs="Times New Roman"/>
          <w:sz w:val="24"/>
          <w:szCs w:val="24"/>
        </w:rPr>
        <w:t xml:space="preserve">málsmeðferðinni </w:t>
      </w:r>
      <w:r w:rsidR="00DD6091" w:rsidRPr="009E3C79">
        <w:rPr>
          <w:rFonts w:ascii="Times New Roman" w:hAnsi="Times New Roman" w:cs="Times New Roman"/>
          <w:sz w:val="24"/>
          <w:szCs w:val="24"/>
        </w:rPr>
        <w:t>snýst</w:t>
      </w:r>
      <w:r w:rsidRPr="009E3C79">
        <w:rPr>
          <w:rFonts w:ascii="Times New Roman" w:hAnsi="Times New Roman" w:cs="Times New Roman"/>
          <w:sz w:val="24"/>
          <w:szCs w:val="24"/>
        </w:rPr>
        <w:t xml:space="preserve"> um að veita þeim réttindi sem ákærði hefur nú þegar og því er ekki</w:t>
      </w:r>
      <w:r w:rsidR="00DD6091" w:rsidRPr="009E3C79">
        <w:rPr>
          <w:rFonts w:ascii="Times New Roman" w:hAnsi="Times New Roman" w:cs="Times New Roman"/>
          <w:sz w:val="24"/>
          <w:szCs w:val="24"/>
        </w:rPr>
        <w:t xml:space="preserve"> </w:t>
      </w:r>
      <w:r w:rsidRPr="009E3C79">
        <w:rPr>
          <w:rFonts w:ascii="Times New Roman" w:hAnsi="Times New Roman" w:cs="Times New Roman"/>
          <w:sz w:val="24"/>
          <w:szCs w:val="24"/>
        </w:rPr>
        <w:t xml:space="preserve">verið að veikja réttarstöðu sakborninga. </w:t>
      </w:r>
      <w:r w:rsidR="00DD6091" w:rsidRPr="009E3C79">
        <w:rPr>
          <w:rFonts w:ascii="Times New Roman" w:hAnsi="Times New Roman" w:cs="Times New Roman"/>
          <w:sz w:val="24"/>
          <w:szCs w:val="24"/>
        </w:rPr>
        <w:t xml:space="preserve">Einnig þarf að vera hægt að draga ríkið til ábyrgðar ef brotið á rétti brotaþola til réttlátrar málsmeðferðar. </w:t>
      </w:r>
      <w:r w:rsidR="00E60A25">
        <w:rPr>
          <w:rFonts w:ascii="Times New Roman" w:hAnsi="Times New Roman" w:cs="Times New Roman"/>
          <w:sz w:val="24"/>
          <w:szCs w:val="24"/>
        </w:rPr>
        <w:t xml:space="preserve">Jafnframt þarf að greiða aðgang brotaþola að </w:t>
      </w:r>
      <w:r w:rsidR="00987D05">
        <w:rPr>
          <w:rFonts w:ascii="Times New Roman" w:hAnsi="Times New Roman" w:cs="Times New Roman"/>
          <w:sz w:val="24"/>
          <w:szCs w:val="24"/>
        </w:rPr>
        <w:t xml:space="preserve">viðurkenningu og </w:t>
      </w:r>
      <w:r w:rsidR="00E60A25">
        <w:rPr>
          <w:rFonts w:ascii="Times New Roman" w:hAnsi="Times New Roman" w:cs="Times New Roman"/>
          <w:sz w:val="24"/>
          <w:szCs w:val="24"/>
        </w:rPr>
        <w:t>bótum</w:t>
      </w:r>
      <w:r w:rsidR="00987D05">
        <w:rPr>
          <w:rFonts w:ascii="Times New Roman" w:hAnsi="Times New Roman" w:cs="Times New Roman"/>
          <w:sz w:val="24"/>
          <w:szCs w:val="24"/>
        </w:rPr>
        <w:t xml:space="preserve"> í einkarétti</w:t>
      </w:r>
      <w:r w:rsidR="00E60A25">
        <w:rPr>
          <w:rFonts w:ascii="Times New Roman" w:hAnsi="Times New Roman" w:cs="Times New Roman"/>
          <w:sz w:val="24"/>
          <w:szCs w:val="24"/>
        </w:rPr>
        <w:t xml:space="preserve">. </w:t>
      </w:r>
      <w:r w:rsidR="00DD6091" w:rsidRPr="009E3C79">
        <w:rPr>
          <w:rFonts w:ascii="Times New Roman" w:hAnsi="Times New Roman" w:cs="Times New Roman"/>
          <w:sz w:val="24"/>
          <w:szCs w:val="24"/>
        </w:rPr>
        <w:t>E</w:t>
      </w:r>
      <w:r w:rsidRPr="009E3C79">
        <w:rPr>
          <w:rFonts w:ascii="Times New Roman" w:hAnsi="Times New Roman" w:cs="Times New Roman"/>
          <w:sz w:val="24"/>
          <w:szCs w:val="24"/>
        </w:rPr>
        <w:t>f ákallinu um aukin réttindi</w:t>
      </w:r>
      <w:r w:rsidR="00DD6091" w:rsidRPr="009E3C79">
        <w:rPr>
          <w:rFonts w:ascii="Times New Roman" w:hAnsi="Times New Roman" w:cs="Times New Roman"/>
          <w:sz w:val="24"/>
          <w:szCs w:val="24"/>
        </w:rPr>
        <w:t xml:space="preserve"> </w:t>
      </w:r>
      <w:r w:rsidRPr="009E3C79">
        <w:rPr>
          <w:rFonts w:ascii="Times New Roman" w:hAnsi="Times New Roman" w:cs="Times New Roman"/>
          <w:sz w:val="24"/>
          <w:szCs w:val="24"/>
        </w:rPr>
        <w:t xml:space="preserve">brotaþola </w:t>
      </w:r>
      <w:r w:rsidR="00DD6091" w:rsidRPr="009E3C79">
        <w:rPr>
          <w:rFonts w:ascii="Times New Roman" w:hAnsi="Times New Roman" w:cs="Times New Roman"/>
          <w:sz w:val="24"/>
          <w:szCs w:val="24"/>
        </w:rPr>
        <w:t>er</w:t>
      </w:r>
      <w:r w:rsidRPr="009E3C79">
        <w:rPr>
          <w:rFonts w:ascii="Times New Roman" w:hAnsi="Times New Roman" w:cs="Times New Roman"/>
          <w:sz w:val="24"/>
          <w:szCs w:val="24"/>
        </w:rPr>
        <w:t xml:space="preserve"> ekki svarað </w:t>
      </w:r>
      <w:r w:rsidR="00DD6091" w:rsidRPr="009E3C79">
        <w:rPr>
          <w:rFonts w:ascii="Times New Roman" w:hAnsi="Times New Roman" w:cs="Times New Roman"/>
          <w:sz w:val="24"/>
          <w:szCs w:val="24"/>
        </w:rPr>
        <w:t>með betri hætti en kveðið er á um í þessum frumvarpsdrögum er</w:t>
      </w:r>
      <w:r w:rsidRPr="009E3C79">
        <w:rPr>
          <w:rFonts w:ascii="Times New Roman" w:hAnsi="Times New Roman" w:cs="Times New Roman"/>
          <w:sz w:val="24"/>
          <w:szCs w:val="24"/>
        </w:rPr>
        <w:t xml:space="preserve"> hætta á að réttarkerfið detti úr takti við réttarvitund almennings sem</w:t>
      </w:r>
      <w:r w:rsidR="00DD6091" w:rsidRPr="009E3C79">
        <w:rPr>
          <w:rFonts w:ascii="Times New Roman" w:hAnsi="Times New Roman" w:cs="Times New Roman"/>
          <w:sz w:val="24"/>
          <w:szCs w:val="24"/>
        </w:rPr>
        <w:t xml:space="preserve"> </w:t>
      </w:r>
      <w:r w:rsidRPr="009E3C79">
        <w:rPr>
          <w:rFonts w:ascii="Times New Roman" w:hAnsi="Times New Roman" w:cs="Times New Roman"/>
          <w:sz w:val="24"/>
          <w:szCs w:val="24"/>
        </w:rPr>
        <w:t>get</w:t>
      </w:r>
      <w:r w:rsidR="00DD6091" w:rsidRPr="009E3C79">
        <w:rPr>
          <w:rFonts w:ascii="Times New Roman" w:hAnsi="Times New Roman" w:cs="Times New Roman"/>
          <w:sz w:val="24"/>
          <w:szCs w:val="24"/>
        </w:rPr>
        <w:t>ur</w:t>
      </w:r>
      <w:r w:rsidRPr="009E3C79">
        <w:rPr>
          <w:rFonts w:ascii="Times New Roman" w:hAnsi="Times New Roman" w:cs="Times New Roman"/>
          <w:sz w:val="24"/>
          <w:szCs w:val="24"/>
        </w:rPr>
        <w:t xml:space="preserve"> grafið undan trausti á réttarkerfinu</w:t>
      </w:r>
      <w:r w:rsidR="00DD6091" w:rsidRPr="009E3C79">
        <w:rPr>
          <w:rFonts w:ascii="Times New Roman" w:hAnsi="Times New Roman" w:cs="Times New Roman"/>
          <w:sz w:val="24"/>
          <w:szCs w:val="24"/>
        </w:rPr>
        <w:t>.</w:t>
      </w:r>
    </w:p>
    <w:p w14:paraId="438F2BEB" w14:textId="32BD2F44" w:rsidR="00DD6091" w:rsidRPr="009E3C79" w:rsidRDefault="00DD6091" w:rsidP="009E3C79">
      <w:pPr>
        <w:pStyle w:val="NoSpacing"/>
        <w:spacing w:line="360" w:lineRule="auto"/>
        <w:jc w:val="both"/>
        <w:rPr>
          <w:rFonts w:ascii="Times New Roman" w:hAnsi="Times New Roman" w:cs="Times New Roman"/>
          <w:sz w:val="24"/>
          <w:szCs w:val="24"/>
        </w:rPr>
      </w:pPr>
    </w:p>
    <w:p w14:paraId="1ECB124E" w14:textId="77777777" w:rsidR="00DD6091" w:rsidRPr="009E3C79" w:rsidRDefault="00DD6091" w:rsidP="009E3C79">
      <w:pPr>
        <w:pStyle w:val="NoSpacing"/>
        <w:spacing w:line="360" w:lineRule="auto"/>
        <w:jc w:val="both"/>
        <w:rPr>
          <w:rFonts w:ascii="Times New Roman" w:hAnsi="Times New Roman" w:cs="Times New Roman"/>
          <w:sz w:val="24"/>
          <w:szCs w:val="24"/>
        </w:rPr>
      </w:pPr>
    </w:p>
    <w:p w14:paraId="6F0292C4" w14:textId="56C849FB" w:rsidR="00DD6091" w:rsidRPr="009E3C79" w:rsidRDefault="00DD6091"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Virðingarfyllst.</w:t>
      </w:r>
    </w:p>
    <w:p w14:paraId="5CCAF3C7" w14:textId="70F71213" w:rsidR="00636F80" w:rsidRPr="009E3C79" w:rsidRDefault="00636F80" w:rsidP="009E3C79">
      <w:pPr>
        <w:pStyle w:val="NoSpacing"/>
        <w:spacing w:line="360" w:lineRule="auto"/>
        <w:jc w:val="both"/>
        <w:rPr>
          <w:rFonts w:ascii="Times New Roman" w:hAnsi="Times New Roman" w:cs="Times New Roman"/>
          <w:sz w:val="24"/>
          <w:szCs w:val="24"/>
        </w:rPr>
      </w:pPr>
    </w:p>
    <w:p w14:paraId="517D5B9C" w14:textId="120A383B" w:rsidR="00636F80" w:rsidRPr="009E3C79" w:rsidRDefault="00636F80"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Hildur Fjóla Antonsdóttir, Ph.D.</w:t>
      </w:r>
    </w:p>
    <w:p w14:paraId="2D1BE8E8" w14:textId="5D3A6030" w:rsidR="00636F80" w:rsidRPr="009E3C79" w:rsidRDefault="00636F80" w:rsidP="009E3C79">
      <w:pPr>
        <w:pStyle w:val="NoSpacing"/>
        <w:spacing w:line="360" w:lineRule="auto"/>
        <w:jc w:val="both"/>
        <w:rPr>
          <w:rFonts w:ascii="Times New Roman" w:hAnsi="Times New Roman" w:cs="Times New Roman"/>
          <w:sz w:val="24"/>
          <w:szCs w:val="24"/>
        </w:rPr>
      </w:pPr>
      <w:r w:rsidRPr="009E3C79">
        <w:rPr>
          <w:rFonts w:ascii="Times New Roman" w:hAnsi="Times New Roman" w:cs="Times New Roman"/>
          <w:sz w:val="24"/>
          <w:szCs w:val="24"/>
        </w:rPr>
        <w:t>Nýdoktor og aðjúnkt við Háskóla Íslands</w:t>
      </w:r>
    </w:p>
    <w:p w14:paraId="19407944" w14:textId="77777777" w:rsidR="00DE25CD" w:rsidRPr="009E3C79" w:rsidRDefault="00DE25CD" w:rsidP="009E3C79">
      <w:pPr>
        <w:pStyle w:val="NoSpacing"/>
        <w:spacing w:line="360" w:lineRule="auto"/>
        <w:jc w:val="both"/>
        <w:rPr>
          <w:rFonts w:ascii="Times New Roman" w:hAnsi="Times New Roman" w:cs="Times New Roman"/>
          <w:sz w:val="24"/>
          <w:szCs w:val="24"/>
        </w:rPr>
      </w:pPr>
    </w:p>
    <w:sectPr w:rsidR="00DE25CD" w:rsidRPr="009E3C7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78889D" w14:textId="77777777" w:rsidR="00463F1F" w:rsidRDefault="00463F1F" w:rsidP="00B836EF">
      <w:pPr>
        <w:spacing w:after="0" w:line="240" w:lineRule="auto"/>
      </w:pPr>
      <w:r>
        <w:separator/>
      </w:r>
    </w:p>
  </w:endnote>
  <w:endnote w:type="continuationSeparator" w:id="0">
    <w:p w14:paraId="12172F60" w14:textId="77777777" w:rsidR="00463F1F" w:rsidRDefault="00463F1F" w:rsidP="00B83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4A358F" w14:textId="77777777" w:rsidR="00463F1F" w:rsidRDefault="00463F1F" w:rsidP="00B836EF">
      <w:pPr>
        <w:spacing w:after="0" w:line="240" w:lineRule="auto"/>
      </w:pPr>
      <w:r>
        <w:separator/>
      </w:r>
    </w:p>
  </w:footnote>
  <w:footnote w:type="continuationSeparator" w:id="0">
    <w:p w14:paraId="26451FC2" w14:textId="77777777" w:rsidR="00463F1F" w:rsidRDefault="00463F1F" w:rsidP="00B836EF">
      <w:pPr>
        <w:spacing w:after="0" w:line="240" w:lineRule="auto"/>
      </w:pPr>
      <w:r>
        <w:continuationSeparator/>
      </w:r>
    </w:p>
  </w:footnote>
  <w:footnote w:id="1">
    <w:p w14:paraId="3C3C7426" w14:textId="77777777" w:rsidR="00BE298E" w:rsidRPr="00311339" w:rsidRDefault="00BE298E" w:rsidP="00BE298E">
      <w:pPr>
        <w:pStyle w:val="FootnoteText"/>
      </w:pPr>
      <w:r w:rsidRPr="00311339">
        <w:rPr>
          <w:rStyle w:val="FootnoteReference"/>
        </w:rPr>
        <w:footnoteRef/>
      </w:r>
      <w:r w:rsidRPr="00311339">
        <w:t xml:space="preserve"> Sjá hlekk á greinargerðina hér: </w:t>
      </w:r>
      <w:hyperlink r:id="rId1" w:history="1">
        <w:r w:rsidRPr="00311339">
          <w:rPr>
            <w:rStyle w:val="Hyperlink"/>
          </w:rPr>
          <w:t>https://www.stjornarradid.is/lisalib/getfile.aspx?itemid=c9ee2c0c-927f-11e9-9442-005056bc530c</w:t>
        </w:r>
      </w:hyperlink>
      <w:r w:rsidRPr="00311339">
        <w:t xml:space="preserve"> </w:t>
      </w:r>
    </w:p>
  </w:footnote>
  <w:footnote w:id="2">
    <w:p w14:paraId="5A2871DA" w14:textId="0A9BD262" w:rsidR="00311339" w:rsidRPr="00311339" w:rsidRDefault="00311339">
      <w:pPr>
        <w:pStyle w:val="FootnoteText"/>
      </w:pPr>
      <w:r w:rsidRPr="00311339">
        <w:rPr>
          <w:rStyle w:val="FootnoteReference"/>
        </w:rPr>
        <w:footnoteRef/>
      </w:r>
      <w:r w:rsidRPr="00311339">
        <w:t xml:space="preserve"> Sjá hlekk á þingsályktunartillöguna hér: </w:t>
      </w:r>
      <w:hyperlink r:id="rId2" w:history="1">
        <w:r w:rsidRPr="00311339">
          <w:rPr>
            <w:rStyle w:val="Hyperlink"/>
          </w:rPr>
          <w:t>https://www.althingi.is/altext/149/s/0153.html</w:t>
        </w:r>
      </w:hyperlink>
      <w:r w:rsidRPr="00311339">
        <w:t xml:space="preserve"> </w:t>
      </w:r>
    </w:p>
  </w:footnote>
  <w:footnote w:id="3">
    <w:p w14:paraId="6B84DAE7" w14:textId="75A14C74" w:rsidR="00B836EF" w:rsidRPr="00311339" w:rsidRDefault="00B836EF">
      <w:pPr>
        <w:pStyle w:val="FootnoteText"/>
      </w:pPr>
      <w:r w:rsidRPr="00311339">
        <w:rPr>
          <w:rStyle w:val="FootnoteReference"/>
        </w:rPr>
        <w:footnoteRef/>
      </w:r>
      <w:r w:rsidRPr="00311339">
        <w:t xml:space="preserve"> Í máli Maríu Sjafnar var gefin út ákæra í einum kærulið af þremur sem vörðuðu ofbeldi í nánu sambandi. En þar sem heimild til réttargæslumanns fylgdi einungis þeim kæruliðum sem taldir voru fyrndir missti hún rétt sinn til réttargæslulögmanns</w:t>
      </w:r>
      <w:r w:rsidR="003B3CF4" w:rsidRPr="00311339">
        <w:t>.</w:t>
      </w:r>
    </w:p>
  </w:footnote>
  <w:footnote w:id="4">
    <w:p w14:paraId="5C162F01" w14:textId="476A924D" w:rsidR="00427EC7" w:rsidRPr="00311339" w:rsidRDefault="00427EC7">
      <w:pPr>
        <w:pStyle w:val="FootnoteText"/>
      </w:pPr>
      <w:r w:rsidRPr="00311339">
        <w:rPr>
          <w:rStyle w:val="FootnoteReference"/>
        </w:rPr>
        <w:footnoteRef/>
      </w:r>
      <w:r w:rsidRPr="00311339">
        <w:t xml:space="preserve"> Sjá niðurstöðu MDE vegna kæru nr. 29785/07 til MDE (H. gegn Íslandi): </w:t>
      </w:r>
      <w:hyperlink r:id="rId3" w:history="1">
        <w:r w:rsidRPr="00311339">
          <w:rPr>
            <w:rStyle w:val="Hyperlink"/>
          </w:rPr>
          <w:t>https://www.stjornarradid.is/media/innanrikisraduneyti-media/media/frettir-2012/H-v-ICELAND-Decision.pdf</w:t>
        </w:r>
      </w:hyperlink>
      <w:r w:rsidRPr="00311339">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210B46"/>
    <w:multiLevelType w:val="hybridMultilevel"/>
    <w:tmpl w:val="62E459D4"/>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229D113F"/>
    <w:multiLevelType w:val="hybridMultilevel"/>
    <w:tmpl w:val="9ECC5EF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34765EA1"/>
    <w:multiLevelType w:val="hybridMultilevel"/>
    <w:tmpl w:val="C7BAB72C"/>
    <w:lvl w:ilvl="0" w:tplc="02582F00">
      <w:start w:val="6"/>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47FB3C12"/>
    <w:multiLevelType w:val="hybridMultilevel"/>
    <w:tmpl w:val="0A68A24E"/>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EE8"/>
    <w:rsid w:val="00034457"/>
    <w:rsid w:val="0003591A"/>
    <w:rsid w:val="000557D4"/>
    <w:rsid w:val="000D00D0"/>
    <w:rsid w:val="00131A4C"/>
    <w:rsid w:val="00144002"/>
    <w:rsid w:val="00154268"/>
    <w:rsid w:val="001A6157"/>
    <w:rsid w:val="001D791B"/>
    <w:rsid w:val="00201689"/>
    <w:rsid w:val="002176F2"/>
    <w:rsid w:val="00221604"/>
    <w:rsid w:val="00223E8F"/>
    <w:rsid w:val="00272C27"/>
    <w:rsid w:val="003025AE"/>
    <w:rsid w:val="00304D97"/>
    <w:rsid w:val="00311339"/>
    <w:rsid w:val="003217C1"/>
    <w:rsid w:val="00343899"/>
    <w:rsid w:val="003B3CF4"/>
    <w:rsid w:val="003C3B32"/>
    <w:rsid w:val="00400F87"/>
    <w:rsid w:val="00427EC7"/>
    <w:rsid w:val="004633C2"/>
    <w:rsid w:val="00463F1F"/>
    <w:rsid w:val="0049597F"/>
    <w:rsid w:val="00510A6C"/>
    <w:rsid w:val="00535FB4"/>
    <w:rsid w:val="005F3E10"/>
    <w:rsid w:val="006050B6"/>
    <w:rsid w:val="00625364"/>
    <w:rsid w:val="00636F80"/>
    <w:rsid w:val="006D2FC6"/>
    <w:rsid w:val="00710436"/>
    <w:rsid w:val="00721439"/>
    <w:rsid w:val="007450D5"/>
    <w:rsid w:val="007638ED"/>
    <w:rsid w:val="00765E5E"/>
    <w:rsid w:val="007A7144"/>
    <w:rsid w:val="007C3DCD"/>
    <w:rsid w:val="007E6EE8"/>
    <w:rsid w:val="0083488A"/>
    <w:rsid w:val="0085279D"/>
    <w:rsid w:val="008626E7"/>
    <w:rsid w:val="008A7895"/>
    <w:rsid w:val="0091295F"/>
    <w:rsid w:val="00925DE0"/>
    <w:rsid w:val="00960730"/>
    <w:rsid w:val="00964F18"/>
    <w:rsid w:val="00975CFD"/>
    <w:rsid w:val="00987D05"/>
    <w:rsid w:val="009E3C79"/>
    <w:rsid w:val="00A6635D"/>
    <w:rsid w:val="00A66A33"/>
    <w:rsid w:val="00AD1DBA"/>
    <w:rsid w:val="00AD6842"/>
    <w:rsid w:val="00B00875"/>
    <w:rsid w:val="00B836EF"/>
    <w:rsid w:val="00B8585B"/>
    <w:rsid w:val="00BB2B1F"/>
    <w:rsid w:val="00BE298E"/>
    <w:rsid w:val="00C15AAA"/>
    <w:rsid w:val="00C21E60"/>
    <w:rsid w:val="00C71D34"/>
    <w:rsid w:val="00CC625D"/>
    <w:rsid w:val="00D02A80"/>
    <w:rsid w:val="00D22737"/>
    <w:rsid w:val="00D608C9"/>
    <w:rsid w:val="00D83D6D"/>
    <w:rsid w:val="00DB0547"/>
    <w:rsid w:val="00DD6091"/>
    <w:rsid w:val="00DE25CD"/>
    <w:rsid w:val="00E04787"/>
    <w:rsid w:val="00E467ED"/>
    <w:rsid w:val="00E60A25"/>
    <w:rsid w:val="00E61BFD"/>
    <w:rsid w:val="00E67CDE"/>
    <w:rsid w:val="00EA2F3F"/>
    <w:rsid w:val="00EF072C"/>
    <w:rsid w:val="00F235A5"/>
    <w:rsid w:val="00F716EB"/>
    <w:rsid w:val="00FF03F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419FC"/>
  <w15:chartTrackingRefBased/>
  <w15:docId w15:val="{669B88E0-F46F-425B-8897-ED6696FEF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268"/>
    <w:pPr>
      <w:ind w:left="720"/>
      <w:contextualSpacing/>
    </w:pPr>
  </w:style>
  <w:style w:type="paragraph" w:styleId="NoSpacing">
    <w:name w:val="No Spacing"/>
    <w:uiPriority w:val="1"/>
    <w:qFormat/>
    <w:rsid w:val="007450D5"/>
    <w:pPr>
      <w:spacing w:after="0" w:line="240" w:lineRule="auto"/>
    </w:pPr>
  </w:style>
  <w:style w:type="paragraph" w:styleId="FootnoteText">
    <w:name w:val="footnote text"/>
    <w:basedOn w:val="Normal"/>
    <w:link w:val="FootnoteTextChar"/>
    <w:uiPriority w:val="99"/>
    <w:semiHidden/>
    <w:unhideWhenUsed/>
    <w:rsid w:val="00B836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36EF"/>
    <w:rPr>
      <w:sz w:val="20"/>
      <w:szCs w:val="20"/>
    </w:rPr>
  </w:style>
  <w:style w:type="character" w:styleId="FootnoteReference">
    <w:name w:val="footnote reference"/>
    <w:basedOn w:val="DefaultParagraphFont"/>
    <w:uiPriority w:val="99"/>
    <w:semiHidden/>
    <w:unhideWhenUsed/>
    <w:rsid w:val="00B836EF"/>
    <w:rPr>
      <w:vertAlign w:val="superscript"/>
    </w:rPr>
  </w:style>
  <w:style w:type="character" w:styleId="Hyperlink">
    <w:name w:val="Hyperlink"/>
    <w:basedOn w:val="DefaultParagraphFont"/>
    <w:uiPriority w:val="99"/>
    <w:unhideWhenUsed/>
    <w:rsid w:val="00427EC7"/>
    <w:rPr>
      <w:color w:val="0563C1" w:themeColor="hyperlink"/>
      <w:u w:val="single"/>
    </w:rPr>
  </w:style>
  <w:style w:type="character" w:styleId="UnresolvedMention">
    <w:name w:val="Unresolved Mention"/>
    <w:basedOn w:val="DefaultParagraphFont"/>
    <w:uiPriority w:val="99"/>
    <w:semiHidden/>
    <w:unhideWhenUsed/>
    <w:rsid w:val="00427EC7"/>
    <w:rPr>
      <w:color w:val="605E5C"/>
      <w:shd w:val="clear" w:color="auto" w:fill="E1DFDD"/>
    </w:rPr>
  </w:style>
  <w:style w:type="character" w:styleId="CommentReference">
    <w:name w:val="annotation reference"/>
    <w:basedOn w:val="DefaultParagraphFont"/>
    <w:uiPriority w:val="99"/>
    <w:semiHidden/>
    <w:unhideWhenUsed/>
    <w:rsid w:val="00F716EB"/>
    <w:rPr>
      <w:sz w:val="16"/>
      <w:szCs w:val="16"/>
    </w:rPr>
  </w:style>
  <w:style w:type="paragraph" w:styleId="CommentText">
    <w:name w:val="annotation text"/>
    <w:basedOn w:val="Normal"/>
    <w:link w:val="CommentTextChar"/>
    <w:uiPriority w:val="99"/>
    <w:semiHidden/>
    <w:unhideWhenUsed/>
    <w:rsid w:val="00F716EB"/>
    <w:pPr>
      <w:spacing w:line="240" w:lineRule="auto"/>
    </w:pPr>
    <w:rPr>
      <w:sz w:val="20"/>
      <w:szCs w:val="20"/>
    </w:rPr>
  </w:style>
  <w:style w:type="character" w:customStyle="1" w:styleId="CommentTextChar">
    <w:name w:val="Comment Text Char"/>
    <w:basedOn w:val="DefaultParagraphFont"/>
    <w:link w:val="CommentText"/>
    <w:uiPriority w:val="99"/>
    <w:semiHidden/>
    <w:rsid w:val="00F716EB"/>
    <w:rPr>
      <w:sz w:val="20"/>
      <w:szCs w:val="20"/>
    </w:rPr>
  </w:style>
  <w:style w:type="paragraph" w:styleId="CommentSubject">
    <w:name w:val="annotation subject"/>
    <w:basedOn w:val="CommentText"/>
    <w:next w:val="CommentText"/>
    <w:link w:val="CommentSubjectChar"/>
    <w:uiPriority w:val="99"/>
    <w:semiHidden/>
    <w:unhideWhenUsed/>
    <w:rsid w:val="00F716EB"/>
    <w:rPr>
      <w:b/>
      <w:bCs/>
    </w:rPr>
  </w:style>
  <w:style w:type="character" w:customStyle="1" w:styleId="CommentSubjectChar">
    <w:name w:val="Comment Subject Char"/>
    <w:basedOn w:val="CommentTextChar"/>
    <w:link w:val="CommentSubject"/>
    <w:uiPriority w:val="99"/>
    <w:semiHidden/>
    <w:rsid w:val="00F716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stjornarradid.is/media/innanrikisraduneyti-media/media/frettir-2012/H-v-ICELAND-Decision.pdf" TargetMode="External"/><Relationship Id="rId2" Type="http://schemas.openxmlformats.org/officeDocument/2006/relationships/hyperlink" Target="https://www.althingi.is/altext/149/s/0153.html" TargetMode="External"/><Relationship Id="rId1" Type="http://schemas.openxmlformats.org/officeDocument/2006/relationships/hyperlink" Target="https://www.stjornarradid.is/lisalib/getfile.aspx?itemid=c9ee2c0c-927f-11e9-9442-005056bc530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7D5DF-1FFE-4AFA-AB28-37711B2E0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7</Pages>
  <Words>2348</Words>
  <Characters>13385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Hildur Fjóla Antonsdóttir</dc:creator>
  <cp:keywords/>
  <dc:description/>
  <cp:lastModifiedBy>Hildur Fjóla Antonsdóttir</cp:lastModifiedBy>
  <cp:revision>49</cp:revision>
  <dcterms:created xsi:type="dcterms:W3CDTF">2021-03-21T22:39:00Z</dcterms:created>
  <dcterms:modified xsi:type="dcterms:W3CDTF">2021-03-23T15:50:00Z</dcterms:modified>
</cp:coreProperties>
</file>