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CA42C" w14:textId="77777777" w:rsidR="00732576" w:rsidRDefault="00732576" w:rsidP="00732576">
      <w:pPr>
        <w:jc w:val="both"/>
        <w:rPr>
          <w:rFonts w:ascii="Times New Roman" w:hAnsi="Times New Roman" w:cs="Times New Roman"/>
          <w:lang w:val="en-US"/>
        </w:rPr>
      </w:pPr>
    </w:p>
    <w:p w14:paraId="084F32C9" w14:textId="77777777" w:rsidR="00732576" w:rsidRDefault="00732576" w:rsidP="00732576">
      <w:pPr>
        <w:jc w:val="both"/>
        <w:rPr>
          <w:rFonts w:ascii="Times New Roman" w:hAnsi="Times New Roman" w:cs="Times New Roman"/>
          <w:lang w:val="en-US"/>
        </w:rPr>
      </w:pPr>
    </w:p>
    <w:p w14:paraId="23C3E55A" w14:textId="113D6146" w:rsidR="00732576" w:rsidRPr="00732576" w:rsidRDefault="00732576" w:rsidP="00732576">
      <w:pPr>
        <w:jc w:val="center"/>
        <w:rPr>
          <w:rFonts w:ascii="Times New Roman" w:hAnsi="Times New Roman" w:cs="Times New Roman"/>
          <w:b/>
          <w:bCs/>
          <w:sz w:val="32"/>
          <w:szCs w:val="32"/>
          <w:lang w:val="is-IS"/>
        </w:rPr>
      </w:pPr>
      <w:r w:rsidRPr="00732576">
        <w:rPr>
          <w:rFonts w:ascii="Times New Roman" w:hAnsi="Times New Roman" w:cs="Times New Roman"/>
          <w:b/>
          <w:bCs/>
          <w:sz w:val="32"/>
          <w:szCs w:val="32"/>
          <w:lang w:val="en-US"/>
        </w:rPr>
        <w:t>Ums</w:t>
      </w:r>
      <w:r w:rsidRPr="00732576">
        <w:rPr>
          <w:rFonts w:ascii="Times New Roman" w:hAnsi="Times New Roman" w:cs="Times New Roman"/>
          <w:b/>
          <w:bCs/>
          <w:sz w:val="32"/>
          <w:szCs w:val="32"/>
          <w:lang w:val="is-IS"/>
        </w:rPr>
        <w:t>ögn</w:t>
      </w:r>
    </w:p>
    <w:p w14:paraId="66BC04F9" w14:textId="77777777" w:rsidR="00732576" w:rsidRDefault="00732576" w:rsidP="00732576">
      <w:pPr>
        <w:jc w:val="both"/>
        <w:rPr>
          <w:rFonts w:ascii="Times New Roman" w:hAnsi="Times New Roman" w:cs="Times New Roman"/>
          <w:lang w:val="en-US"/>
        </w:rPr>
      </w:pPr>
    </w:p>
    <w:p w14:paraId="5BA24AF7" w14:textId="2D426226" w:rsidR="00732576" w:rsidRPr="00B70EBC" w:rsidRDefault="00732576" w:rsidP="00732576">
      <w:pPr>
        <w:jc w:val="both"/>
        <w:rPr>
          <w:rFonts w:ascii="Times New Roman" w:hAnsi="Times New Roman" w:cs="Times New Roman"/>
          <w:lang w:val="en-US"/>
        </w:rPr>
      </w:pPr>
      <w:r w:rsidRPr="00B70EBC">
        <w:rPr>
          <w:rFonts w:ascii="Times New Roman" w:hAnsi="Times New Roman" w:cs="Times New Roman"/>
          <w:lang w:val="en-US"/>
        </w:rPr>
        <w:t>EFNI: V</w:t>
      </w:r>
      <w:r>
        <w:rPr>
          <w:rFonts w:ascii="Times New Roman" w:hAnsi="Times New Roman" w:cs="Times New Roman"/>
          <w:lang w:val="en-US"/>
        </w:rPr>
        <w:t>arðandi</w:t>
      </w:r>
      <w:r w:rsidRPr="00B70EBC">
        <w:rPr>
          <w:rFonts w:ascii="Times New Roman" w:hAnsi="Times New Roman" w:cs="Times New Roman"/>
          <w:lang w:val="en-US"/>
        </w:rPr>
        <w:t xml:space="preserve"> lögmæti kyneinkennabreytinga á börnum</w:t>
      </w:r>
      <w:r>
        <w:rPr>
          <w:rFonts w:ascii="Times New Roman" w:hAnsi="Times New Roman" w:cs="Times New Roman"/>
          <w:lang w:val="en-US"/>
        </w:rPr>
        <w:t xml:space="preserve"> og tilheyrandi löggjöf og forsendur</w:t>
      </w:r>
    </w:p>
    <w:p w14:paraId="7C22CFC0" w14:textId="77777777" w:rsidR="00732576" w:rsidRPr="00B70EBC" w:rsidRDefault="00732576" w:rsidP="00732576">
      <w:pPr>
        <w:jc w:val="both"/>
        <w:rPr>
          <w:rFonts w:ascii="Times New Roman" w:hAnsi="Times New Roman" w:cs="Times New Roman"/>
          <w:lang w:val="en-US"/>
        </w:rPr>
      </w:pPr>
      <w:r w:rsidRPr="00B70EBC">
        <w:rPr>
          <w:rFonts w:ascii="Times New Roman" w:hAnsi="Times New Roman" w:cs="Times New Roman"/>
          <w:lang w:val="en-US"/>
        </w:rPr>
        <w:t>Vísað er til áform</w:t>
      </w:r>
      <w:r>
        <w:rPr>
          <w:rFonts w:ascii="Times New Roman" w:hAnsi="Times New Roman" w:cs="Times New Roman"/>
          <w:lang w:val="en-US"/>
        </w:rPr>
        <w:t xml:space="preserve">a </w:t>
      </w:r>
      <w:r w:rsidRPr="00B70EBC">
        <w:rPr>
          <w:rFonts w:ascii="Times New Roman" w:hAnsi="Times New Roman" w:cs="Times New Roman"/>
          <w:lang w:val="en-US"/>
        </w:rPr>
        <w:t>dómsmálaráðuneytisins</w:t>
      </w:r>
      <w:r>
        <w:rPr>
          <w:rFonts w:ascii="Times New Roman" w:hAnsi="Times New Roman" w:cs="Times New Roman"/>
          <w:lang w:val="en-US"/>
        </w:rPr>
        <w:t xml:space="preserve"> um</w:t>
      </w:r>
      <w:r w:rsidRPr="00B70EBC">
        <w:rPr>
          <w:rFonts w:ascii="Times New Roman" w:hAnsi="Times New Roman" w:cs="Times New Roman"/>
          <w:lang w:val="en-US"/>
        </w:rPr>
        <w:t xml:space="preserve"> þingsályktunartillögu viðvíkjandi málefnum hinseginfólks og tilheyrandi sjónarmiða sem nýlega voru birt í samráðsgátt stjórnvalda. </w:t>
      </w:r>
    </w:p>
    <w:p w14:paraId="5E88F9C6" w14:textId="77777777" w:rsidR="00732576" w:rsidRDefault="00732576" w:rsidP="00732576">
      <w:pPr>
        <w:jc w:val="both"/>
        <w:rPr>
          <w:rFonts w:ascii="Times New Roman" w:hAnsi="Times New Roman" w:cs="Times New Roman"/>
          <w:lang w:val="en-US"/>
        </w:rPr>
      </w:pPr>
      <w:r>
        <w:rPr>
          <w:rFonts w:ascii="Times New Roman" w:hAnsi="Times New Roman" w:cs="Times New Roman"/>
          <w:lang w:val="en-US"/>
        </w:rPr>
        <w:t>V</w:t>
      </w:r>
      <w:r w:rsidRPr="00B70EBC">
        <w:rPr>
          <w:rFonts w:ascii="Times New Roman" w:hAnsi="Times New Roman" w:cs="Times New Roman"/>
          <w:lang w:val="en-US"/>
        </w:rPr>
        <w:t xml:space="preserve">erður </w:t>
      </w:r>
      <w:r>
        <w:rPr>
          <w:rFonts w:ascii="Times New Roman" w:hAnsi="Times New Roman" w:cs="Times New Roman"/>
          <w:lang w:val="en-US"/>
        </w:rPr>
        <w:t>hér aðallega fjallað</w:t>
      </w:r>
      <w:r w:rsidRPr="00B70EBC">
        <w:rPr>
          <w:rFonts w:ascii="Times New Roman" w:hAnsi="Times New Roman" w:cs="Times New Roman"/>
          <w:lang w:val="en-US"/>
        </w:rPr>
        <w:t xml:space="preserve"> um réttarstöðu</w:t>
      </w:r>
      <w:r>
        <w:rPr>
          <w:rFonts w:ascii="Times New Roman" w:hAnsi="Times New Roman" w:cs="Times New Roman"/>
          <w:lang w:val="en-US"/>
        </w:rPr>
        <w:t xml:space="preserve"> barna sem ólögráða einstaklinga</w:t>
      </w:r>
      <w:r w:rsidRPr="00B70EBC">
        <w:rPr>
          <w:rFonts w:ascii="Times New Roman" w:hAnsi="Times New Roman" w:cs="Times New Roman"/>
          <w:lang w:val="en-US"/>
        </w:rPr>
        <w:t xml:space="preserve"> í tengslum við svonefnda kyneinkennabreytingu og þar að lútandi inngrip eins og hormónabælandi meðferð og kynfæraskurðaðgerðir</w:t>
      </w:r>
      <w:r>
        <w:rPr>
          <w:rFonts w:ascii="Times New Roman" w:hAnsi="Times New Roman" w:cs="Times New Roman"/>
          <w:lang w:val="en-US"/>
        </w:rPr>
        <w:t xml:space="preserve"> og lögmæti slíkra aðgerða í ljósi gildandi laga</w:t>
      </w:r>
      <w:r w:rsidRPr="00B70EBC">
        <w:rPr>
          <w:rFonts w:ascii="Times New Roman" w:hAnsi="Times New Roman" w:cs="Times New Roman"/>
          <w:lang w:val="en-US"/>
        </w:rPr>
        <w:t xml:space="preserve">. Verður sérstök áhersla lögð </w:t>
      </w:r>
      <w:r>
        <w:rPr>
          <w:rFonts w:ascii="Times New Roman" w:hAnsi="Times New Roman" w:cs="Times New Roman"/>
          <w:lang w:val="en-US"/>
        </w:rPr>
        <w:t xml:space="preserve">á </w:t>
      </w:r>
      <w:r w:rsidRPr="00B70EBC">
        <w:rPr>
          <w:rFonts w:ascii="Times New Roman" w:hAnsi="Times New Roman" w:cs="Times New Roman"/>
          <w:lang w:val="en-US"/>
        </w:rPr>
        <w:t xml:space="preserve">samþykkisáskilnað m.a. </w:t>
      </w:r>
      <w:r>
        <w:rPr>
          <w:rFonts w:ascii="Times New Roman" w:hAnsi="Times New Roman" w:cs="Times New Roman"/>
          <w:lang w:val="en-US"/>
        </w:rPr>
        <w:t xml:space="preserve">laga um kynrænt sjálfræði nr. 80/2019 </w:t>
      </w:r>
      <w:r w:rsidRPr="00B70EBC">
        <w:rPr>
          <w:rFonts w:ascii="Times New Roman" w:hAnsi="Times New Roman" w:cs="Times New Roman"/>
          <w:lang w:val="en-US"/>
        </w:rPr>
        <w:t xml:space="preserve">í því sambandi og </w:t>
      </w:r>
      <w:r>
        <w:rPr>
          <w:rFonts w:ascii="Times New Roman" w:hAnsi="Times New Roman" w:cs="Times New Roman"/>
          <w:lang w:val="en-US"/>
        </w:rPr>
        <w:t>réttarleg úrlausnaratriði sem því tengjast</w:t>
      </w:r>
      <w:r w:rsidRPr="00B70EBC">
        <w:rPr>
          <w:rFonts w:ascii="Times New Roman" w:hAnsi="Times New Roman" w:cs="Times New Roman"/>
          <w:lang w:val="en-US"/>
        </w:rPr>
        <w:t xml:space="preserve">. </w:t>
      </w:r>
      <w:r>
        <w:rPr>
          <w:rFonts w:ascii="Times New Roman" w:hAnsi="Times New Roman" w:cs="Times New Roman"/>
          <w:lang w:val="en-US"/>
        </w:rPr>
        <w:t>Umsagnarsendandi aflaði lögfræðiálita við vinnslu þessa erindis og markar þau verulegan hluta af því sem hér á eftir verður reifað og rökstutt.</w:t>
      </w:r>
    </w:p>
    <w:p w14:paraId="362414F9" w14:textId="1609D48D" w:rsidR="00497600" w:rsidRPr="00732576" w:rsidRDefault="00497600">
      <w:pPr>
        <w:rPr>
          <w:rFonts w:ascii="Times New Roman" w:hAnsi="Times New Roman" w:cs="Times New Roman"/>
          <w:lang w:val="is-IS"/>
        </w:rPr>
      </w:pPr>
      <w:r w:rsidRPr="00732576">
        <w:rPr>
          <w:rFonts w:ascii="Times New Roman" w:hAnsi="Times New Roman" w:cs="Times New Roman"/>
          <w:lang w:val="is-IS"/>
        </w:rPr>
        <w:t>Samtökin 22 – Hagsmunasamtök samkynhneigðra líta svo á að ný aðgerðaráætlun í málefnum svokallaðs „hinsegin fólks“ mun hafa þver</w:t>
      </w:r>
      <w:r w:rsidR="000104B4" w:rsidRPr="00732576">
        <w:rPr>
          <w:rFonts w:ascii="Times New Roman" w:hAnsi="Times New Roman" w:cs="Times New Roman"/>
          <w:lang w:val="is-IS"/>
        </w:rPr>
        <w:t>ö</w:t>
      </w:r>
      <w:r w:rsidRPr="00732576">
        <w:rPr>
          <w:rFonts w:ascii="Times New Roman" w:hAnsi="Times New Roman" w:cs="Times New Roman"/>
          <w:lang w:val="is-IS"/>
        </w:rPr>
        <w:t xml:space="preserve">fug áhrif en henni er ætlað. </w:t>
      </w:r>
      <w:r w:rsidR="00732576">
        <w:rPr>
          <w:rFonts w:ascii="Times New Roman" w:hAnsi="Times New Roman" w:cs="Times New Roman"/>
          <w:lang w:val="is-IS"/>
        </w:rPr>
        <w:t xml:space="preserve"> </w:t>
      </w:r>
      <w:r w:rsidRPr="00732576">
        <w:rPr>
          <w:rFonts w:ascii="Times New Roman" w:hAnsi="Times New Roman" w:cs="Times New Roman"/>
          <w:lang w:val="is-IS"/>
        </w:rPr>
        <w:t>Það hefur ekki ríkt neinn friður í málaflokknum til fjölda ára, og sérstaklega vegna þess að rótgróin samtök eins og t.d.Samtökin ´78 og fleiri gera allt sem í þeirra valdi stendur til þess að umræða eigi sér stað á eðlilegan hátt.</w:t>
      </w:r>
      <w:r w:rsidR="00732576">
        <w:rPr>
          <w:rFonts w:ascii="Times New Roman" w:hAnsi="Times New Roman" w:cs="Times New Roman"/>
          <w:lang w:val="is-IS"/>
        </w:rPr>
        <w:t xml:space="preserve"> </w:t>
      </w:r>
      <w:r w:rsidRPr="00732576">
        <w:rPr>
          <w:rFonts w:ascii="Times New Roman" w:hAnsi="Times New Roman" w:cs="Times New Roman"/>
          <w:lang w:val="is-IS"/>
        </w:rPr>
        <w:t xml:space="preserve">Samtökin 22 verða einnig að hreyfa við andmælum að ekki vera boðin þáttaka í umsagnarferli á vegum Alþingis. </w:t>
      </w:r>
    </w:p>
    <w:p w14:paraId="6DD68647" w14:textId="122BD6D4" w:rsidR="00497600" w:rsidRPr="00732576" w:rsidRDefault="00497600">
      <w:pPr>
        <w:rPr>
          <w:rFonts w:ascii="Times New Roman" w:hAnsi="Times New Roman" w:cs="Times New Roman"/>
          <w:lang w:val="is-IS"/>
        </w:rPr>
      </w:pPr>
      <w:r w:rsidRPr="00732576">
        <w:rPr>
          <w:rFonts w:ascii="Times New Roman" w:hAnsi="Times New Roman" w:cs="Times New Roman"/>
          <w:lang w:val="is-IS"/>
        </w:rPr>
        <w:t xml:space="preserve">Aðferðaráætlun sem er nú til umsagnar er til þess fallin að ganga á rétt foreldra barna í skólakerfinu, á frelsi einstaklingsins í atvinnulífinu og jafnvel á persónufrelsi einstaklinga til tjáningar skoðana sinna. Þegar samtök eru farin að misnota aðstöðu sína gegn gagnrýnendum sínum, og beita ríkisvaldinu, þá er komið í óefni. </w:t>
      </w:r>
    </w:p>
    <w:p w14:paraId="7796947A" w14:textId="54E70AE4" w:rsidR="00497600" w:rsidRPr="00732576" w:rsidRDefault="00497600">
      <w:pPr>
        <w:rPr>
          <w:rFonts w:ascii="Times New Roman" w:hAnsi="Times New Roman" w:cs="Times New Roman"/>
          <w:lang w:val="is-IS"/>
        </w:rPr>
      </w:pPr>
      <w:r w:rsidRPr="00732576">
        <w:rPr>
          <w:rFonts w:ascii="Times New Roman" w:hAnsi="Times New Roman" w:cs="Times New Roman"/>
          <w:lang w:val="is-IS"/>
        </w:rPr>
        <w:t>Samtökin 22 hvetja dómsmálaráðherra og þingheim</w:t>
      </w:r>
      <w:r w:rsidR="000104B4" w:rsidRPr="00732576">
        <w:rPr>
          <w:rFonts w:ascii="Times New Roman" w:hAnsi="Times New Roman" w:cs="Times New Roman"/>
          <w:lang w:val="is-IS"/>
        </w:rPr>
        <w:t xml:space="preserve"> </w:t>
      </w:r>
      <w:r w:rsidRPr="00732576">
        <w:rPr>
          <w:rFonts w:ascii="Times New Roman" w:hAnsi="Times New Roman" w:cs="Times New Roman"/>
          <w:lang w:val="is-IS"/>
        </w:rPr>
        <w:t xml:space="preserve">allan til þess að endurskoða núverandi lagaumhverfi og bæta úr því í stað þess að ganga lengra og þrengja að </w:t>
      </w:r>
      <w:r w:rsidR="000104B4" w:rsidRPr="00732576">
        <w:rPr>
          <w:rFonts w:ascii="Times New Roman" w:hAnsi="Times New Roman" w:cs="Times New Roman"/>
          <w:lang w:val="is-IS"/>
        </w:rPr>
        <w:t xml:space="preserve">borgaralegum réttinum almennra borgara.  </w:t>
      </w:r>
    </w:p>
    <w:p w14:paraId="25CF0213" w14:textId="79685E30" w:rsidR="000104B4" w:rsidRPr="00732576" w:rsidRDefault="000104B4">
      <w:pPr>
        <w:rPr>
          <w:rFonts w:ascii="Times New Roman" w:hAnsi="Times New Roman" w:cs="Times New Roman"/>
          <w:lang w:val="is-IS"/>
        </w:rPr>
      </w:pPr>
      <w:r w:rsidRPr="00732576">
        <w:rPr>
          <w:rFonts w:ascii="Times New Roman" w:hAnsi="Times New Roman" w:cs="Times New Roman"/>
          <w:lang w:val="is-IS"/>
        </w:rPr>
        <w:t xml:space="preserve">Við mótmælum því að umdeildar kenningar úr hinseginfræðum og kynjafræði almennt séu kennd börnum sem um staðreyndir séu að ræða. </w:t>
      </w:r>
    </w:p>
    <w:p w14:paraId="3A4CB600" w14:textId="0BB8470F" w:rsidR="000104B4" w:rsidRPr="00732576" w:rsidRDefault="000104B4">
      <w:pPr>
        <w:rPr>
          <w:rFonts w:ascii="Times New Roman" w:hAnsi="Times New Roman" w:cs="Times New Roman"/>
          <w:lang w:val="is-IS"/>
        </w:rPr>
      </w:pPr>
      <w:r w:rsidRPr="00732576">
        <w:rPr>
          <w:rFonts w:ascii="Times New Roman" w:hAnsi="Times New Roman" w:cs="Times New Roman"/>
          <w:lang w:val="is-IS"/>
        </w:rPr>
        <w:t xml:space="preserve">Kyn mannfólks eru tvö. Karlkyn og kvenkyn. Kynhneigðirnar eru þrjár. Fólk er annaðhvort samkynhneigt, gagnkynhneigt eðatvíkynhneigt. </w:t>
      </w:r>
    </w:p>
    <w:p w14:paraId="74131525" w14:textId="63C13C3B" w:rsidR="000104B4" w:rsidRPr="00732576" w:rsidRDefault="000104B4">
      <w:pPr>
        <w:rPr>
          <w:rFonts w:ascii="Times New Roman" w:hAnsi="Times New Roman" w:cs="Times New Roman"/>
          <w:lang w:val="is-IS"/>
        </w:rPr>
      </w:pPr>
      <w:r w:rsidRPr="00732576">
        <w:rPr>
          <w:rFonts w:ascii="Times New Roman" w:hAnsi="Times New Roman" w:cs="Times New Roman"/>
          <w:lang w:val="is-IS"/>
        </w:rPr>
        <w:t>Við mótmælum því einnig að óskilgreind og frumspekileg hugtök hafa nú ratað inn í ýmisleg lög og úr því þarf að bæta. Lög</w:t>
      </w:r>
      <w:r w:rsidR="00732576" w:rsidRPr="00732576">
        <w:rPr>
          <w:rFonts w:ascii="Times New Roman" w:hAnsi="Times New Roman" w:cs="Times New Roman"/>
          <w:lang w:val="is-IS"/>
        </w:rPr>
        <w:t xml:space="preserve"> þurfa að endurspegla raunveruleikann.</w:t>
      </w:r>
    </w:p>
    <w:p w14:paraId="305CCAFD" w14:textId="77C8BBB8" w:rsidR="000104B4" w:rsidRPr="00732576" w:rsidRDefault="000104B4">
      <w:pPr>
        <w:rPr>
          <w:rFonts w:ascii="Times New Roman" w:hAnsi="Times New Roman" w:cs="Times New Roman"/>
          <w:lang w:val="is-IS"/>
        </w:rPr>
      </w:pPr>
      <w:r w:rsidRPr="00732576">
        <w:rPr>
          <w:rFonts w:ascii="Times New Roman" w:hAnsi="Times New Roman" w:cs="Times New Roman"/>
          <w:lang w:val="is-IS"/>
        </w:rPr>
        <w:t>Við viljum vekja athygli yfirvalda á því að enginn þekkingarfræðilegur grundvöllur er t.d.fyrir transferli barna. Þetta staðfesti embætti landlæknis við Samtökin 22 í tölvupósti þann 21. mars 2024</w:t>
      </w:r>
    </w:p>
    <w:p w14:paraId="3EA1A236" w14:textId="3549F30B" w:rsidR="000104B4" w:rsidRPr="00732576" w:rsidRDefault="000104B4">
      <w:pPr>
        <w:rPr>
          <w:rFonts w:ascii="Times New Roman" w:hAnsi="Times New Roman" w:cs="Times New Roman"/>
          <w:lang w:val="is-IS"/>
        </w:rPr>
      </w:pPr>
      <w:r w:rsidRPr="00732576">
        <w:rPr>
          <w:rFonts w:ascii="Times New Roman" w:hAnsi="Times New Roman" w:cs="Times New Roman"/>
          <w:lang w:val="is-IS"/>
        </w:rPr>
        <w:lastRenderedPageBreak/>
        <w:t xml:space="preserve">Aðeins lög nr 80/2019 er til grundvallar starfsemi transteymisins á Barna og unglingageðdeild Landspítala. Lög sem voru skrifuð á sínum tíma af aðgerðasinnum á vettvangi Samtakanna ´78. </w:t>
      </w:r>
    </w:p>
    <w:p w14:paraId="6A5F76CE" w14:textId="77777777" w:rsidR="00732576" w:rsidRPr="00732576" w:rsidRDefault="00732576">
      <w:pPr>
        <w:rPr>
          <w:rFonts w:ascii="Times New Roman" w:hAnsi="Times New Roman" w:cs="Times New Roman"/>
          <w:lang w:val="is-IS"/>
        </w:rPr>
      </w:pPr>
    </w:p>
    <w:p w14:paraId="0B78E8CA" w14:textId="77777777" w:rsidR="00732576" w:rsidRPr="00732576" w:rsidRDefault="00732576" w:rsidP="00732576">
      <w:pPr>
        <w:ind w:left="3600" w:firstLine="720"/>
        <w:jc w:val="both"/>
        <w:rPr>
          <w:rFonts w:ascii="Times New Roman" w:hAnsi="Times New Roman" w:cs="Times New Roman"/>
          <w:b/>
          <w:bCs/>
          <w:lang w:val="is-IS"/>
        </w:rPr>
      </w:pPr>
      <w:r w:rsidRPr="00732576">
        <w:rPr>
          <w:rFonts w:ascii="Times New Roman" w:hAnsi="Times New Roman" w:cs="Times New Roman"/>
          <w:b/>
          <w:bCs/>
          <w:lang w:val="is-IS"/>
        </w:rPr>
        <w:t>I.</w:t>
      </w:r>
    </w:p>
    <w:p w14:paraId="38873CBD" w14:textId="77777777" w:rsidR="00732576" w:rsidRPr="00732576" w:rsidRDefault="00732576" w:rsidP="00732576">
      <w:pPr>
        <w:jc w:val="both"/>
        <w:rPr>
          <w:rFonts w:ascii="Times New Roman" w:hAnsi="Times New Roman" w:cs="Times New Roman"/>
          <w:b/>
          <w:bCs/>
          <w:lang w:val="is-IS"/>
        </w:rPr>
      </w:pPr>
      <w:r w:rsidRPr="00732576">
        <w:rPr>
          <w:rFonts w:ascii="Times New Roman" w:hAnsi="Times New Roman" w:cs="Times New Roman"/>
          <w:b/>
          <w:bCs/>
          <w:lang w:val="is-IS"/>
        </w:rPr>
        <w:t xml:space="preserve">    Almennt um börn sem sérstaklega viðkvæma og mikilvæga verndarhagsmuni að lögum</w:t>
      </w:r>
    </w:p>
    <w:p w14:paraId="3731F0B5" w14:textId="77777777" w:rsidR="00732576" w:rsidRPr="00732576" w:rsidRDefault="00732576" w:rsidP="00732576">
      <w:pPr>
        <w:jc w:val="both"/>
        <w:rPr>
          <w:rFonts w:ascii="Times New Roman" w:hAnsi="Times New Roman" w:cs="Times New Roman"/>
          <w:lang w:val="is-IS"/>
        </w:rPr>
      </w:pPr>
      <w:r w:rsidRPr="00732576">
        <w:rPr>
          <w:rFonts w:ascii="Times New Roman" w:hAnsi="Times New Roman" w:cs="Times New Roman"/>
          <w:lang w:val="is-IS"/>
        </w:rPr>
        <w:t>Börnum hefur löngum verið veitt sérstök og aukin vernd að lögum í samræmi viðkvæmni og mikilvægi þeirra sem einna verðmætustu verndarhagsmuna vestrænna samfélaga, líkamlega virt sem og andlega að öllu leyti. Birtist þessi aukna vernd í m.a. mannréttindaákvæðum stjórnarskrárinnar og barnasáttmála Sameinuðu Þjóðanna auk vitanlega barnalaga nr. 76/2003 og barnaverndarlaga nr. 80/2002 og sömuleiðis tilteknum refsiheimildum almennra hegningarlaga nr. 19/1940. Lögum samkvæmt eru það svo eins og kunnugt er foreldrar eða aðrir forsjármenn sem fara með lögráð og fyrirsvar barna en með barni er að lögum átt við einstakling undir18 ára aldri. Foreldrarétturinn er m.a. talinn njóta verndar 8. gr. mannréttindasáttmála Evrópu sbr. lög nr. 62/1994,</w:t>
      </w:r>
      <w:r>
        <w:rPr>
          <w:rStyle w:val="FootnoteReference"/>
          <w:rFonts w:ascii="Times New Roman" w:hAnsi="Times New Roman" w:cs="Times New Roman"/>
          <w:lang w:val="en-US"/>
        </w:rPr>
        <w:footnoteReference w:id="1"/>
      </w:r>
      <w:r w:rsidRPr="00732576">
        <w:rPr>
          <w:rFonts w:ascii="Times New Roman" w:hAnsi="Times New Roman" w:cs="Times New Roman"/>
          <w:lang w:val="is-IS"/>
        </w:rPr>
        <w:t xml:space="preserve"> svo og sambærilegt ákvæði í 71. gr. stjórnarskrár lýðveldisins Íslands. Fram að tilgreindu aldursmarki ráða börn því ekki persónulegum högum sínum og geta ein og sér sem slík almennt ekki veitt gilt samþykki fyrir ráðstöfunum eða inngripum sem hafa einhver teljandi áhrif á hagi þeirra og þar með talið heilsu og þá líkamlegt ásigkomulag, hvort sem er í bráð eða lengd, þótt hafa beri ávallt samráð við barn eftir því sem unnt er og aldur og þroski þess leyfa. Vísast í þessu samhengi til einkum 28. gr. barnalaga nr. 76/2003 og 1. sbr. 51. gr. lögræðislaga nr. 97/1997, svo og m.a. 1. gr. barnaverndarlaga nr. 80/2002, sjá nánar um þessi ákvæði hér á eftir.</w:t>
      </w:r>
    </w:p>
    <w:p w14:paraId="11EC25A0" w14:textId="77777777" w:rsidR="00732576" w:rsidRPr="00732576" w:rsidRDefault="00732576" w:rsidP="00732576">
      <w:pPr>
        <w:jc w:val="both"/>
        <w:rPr>
          <w:rFonts w:ascii="Times New Roman" w:hAnsi="Times New Roman" w:cs="Times New Roman"/>
          <w:lang w:val="is-IS"/>
        </w:rPr>
      </w:pPr>
    </w:p>
    <w:p w14:paraId="2B6C24BF" w14:textId="77777777" w:rsidR="00732576" w:rsidRPr="00732576" w:rsidRDefault="00732576" w:rsidP="00732576">
      <w:pPr>
        <w:jc w:val="both"/>
        <w:rPr>
          <w:rFonts w:ascii="Times New Roman" w:hAnsi="Times New Roman" w:cs="Times New Roman"/>
          <w:b/>
          <w:bCs/>
          <w:lang w:val="is-IS"/>
        </w:rPr>
      </w:pPr>
      <w:r w:rsidRPr="00732576">
        <w:rPr>
          <w:rFonts w:ascii="Times New Roman" w:hAnsi="Times New Roman" w:cs="Times New Roman"/>
          <w:lang w:val="is-IS"/>
        </w:rPr>
        <w:tab/>
      </w:r>
      <w:r w:rsidRPr="00732576">
        <w:rPr>
          <w:rFonts w:ascii="Times New Roman" w:hAnsi="Times New Roman" w:cs="Times New Roman"/>
          <w:lang w:val="is-IS"/>
        </w:rPr>
        <w:tab/>
      </w:r>
      <w:r w:rsidRPr="00732576">
        <w:rPr>
          <w:rFonts w:ascii="Times New Roman" w:hAnsi="Times New Roman" w:cs="Times New Roman"/>
          <w:lang w:val="is-IS"/>
        </w:rPr>
        <w:tab/>
      </w:r>
      <w:r w:rsidRPr="00732576">
        <w:rPr>
          <w:rFonts w:ascii="Times New Roman" w:hAnsi="Times New Roman" w:cs="Times New Roman"/>
          <w:lang w:val="is-IS"/>
        </w:rPr>
        <w:tab/>
      </w:r>
      <w:r w:rsidRPr="00732576">
        <w:rPr>
          <w:rFonts w:ascii="Times New Roman" w:hAnsi="Times New Roman" w:cs="Times New Roman"/>
          <w:lang w:val="is-IS"/>
        </w:rPr>
        <w:tab/>
      </w:r>
      <w:r w:rsidRPr="00732576">
        <w:rPr>
          <w:rFonts w:ascii="Times New Roman" w:hAnsi="Times New Roman" w:cs="Times New Roman"/>
          <w:lang w:val="is-IS"/>
        </w:rPr>
        <w:tab/>
      </w:r>
      <w:r w:rsidRPr="00732576">
        <w:rPr>
          <w:rFonts w:ascii="Times New Roman" w:hAnsi="Times New Roman" w:cs="Times New Roman"/>
          <w:b/>
          <w:bCs/>
          <w:lang w:val="is-IS"/>
        </w:rPr>
        <w:t>II.</w:t>
      </w:r>
    </w:p>
    <w:p w14:paraId="6ECA8103" w14:textId="77777777" w:rsidR="00732576" w:rsidRPr="00732576" w:rsidRDefault="00732576" w:rsidP="00732576">
      <w:pPr>
        <w:jc w:val="both"/>
        <w:rPr>
          <w:rFonts w:ascii="Times New Roman" w:hAnsi="Times New Roman" w:cs="Times New Roman"/>
          <w:b/>
          <w:bCs/>
          <w:lang w:val="is-IS"/>
        </w:rPr>
      </w:pPr>
      <w:r w:rsidRPr="00732576">
        <w:rPr>
          <w:rFonts w:ascii="Times New Roman" w:hAnsi="Times New Roman" w:cs="Times New Roman"/>
          <w:b/>
          <w:bCs/>
          <w:lang w:val="is-IS"/>
        </w:rPr>
        <w:t xml:space="preserve"> </w:t>
      </w:r>
      <w:r w:rsidRPr="00732576">
        <w:rPr>
          <w:rFonts w:ascii="Times New Roman" w:hAnsi="Times New Roman" w:cs="Times New Roman"/>
          <w:b/>
          <w:bCs/>
          <w:lang w:val="is-IS"/>
        </w:rPr>
        <w:tab/>
        <w:t>Varðandi réttarleg tengsl við  heilbrigðis- og sjúklingaréttindalöggjöfina o.fl.</w:t>
      </w:r>
    </w:p>
    <w:p w14:paraId="69C430D2" w14:textId="77777777" w:rsidR="00732576" w:rsidRPr="00732576" w:rsidRDefault="00732576" w:rsidP="00732576">
      <w:pPr>
        <w:jc w:val="both"/>
        <w:rPr>
          <w:rFonts w:ascii="Times New Roman" w:hAnsi="Times New Roman" w:cs="Times New Roman"/>
          <w:lang w:val="is-IS"/>
        </w:rPr>
      </w:pPr>
      <w:r w:rsidRPr="00732576">
        <w:rPr>
          <w:rFonts w:ascii="Times New Roman" w:hAnsi="Times New Roman" w:cs="Times New Roman"/>
          <w:lang w:val="is-IS"/>
        </w:rPr>
        <w:t xml:space="preserve">Áður en lengra verður haldið hér skiptir máli að árétta í samhengi við lög um kynrænt sjálfræði nr. 80/2019 að samkvæmt 1. gr. laga um réttindi sjúklinga nr. 74/1997 telst sérhver notandi heilbrigðisþjónustu sjúklingur í merkingu 2. gr. fyrrnefndra laga. Þá er til þess að líta hugtakið meðferð er skilgreint í sömu lagagrein sem rannsókn, aðgerð eða önnur heilbrigðisþjónusta sem læknir eða annar heilbrigðisstarfsmaður veitir til að greina, lækna, endurhæfa, hjúkra eða annast sjúkling. Með heilbrigðisþjónustu er að lögum átt við hvers kyns heilsugæslu, lækningar, hjúkrun, almenna eða sérhæfða sjúkrahúsþjónustu, sjúkraflutninga, hjálpartækjaþjónusta og þjónustu heilbrigðisstarfsmanna innan og utan heilbrigðisstofnana sem veitt er í því skyni að efla heilbrigði, fyrirbyggja, greina eða meðhöndla sjúkdóma eða endurhæfa sjúklinga sbr. einkum 3. gr. laga um landlækni og lýðheilsu. </w:t>
      </w:r>
    </w:p>
    <w:p w14:paraId="2691D550" w14:textId="77777777" w:rsidR="00732576" w:rsidRPr="00732576" w:rsidRDefault="00732576" w:rsidP="00732576">
      <w:pPr>
        <w:jc w:val="both"/>
        <w:rPr>
          <w:rFonts w:ascii="Times New Roman" w:hAnsi="Times New Roman" w:cs="Times New Roman"/>
          <w:lang w:val="is-IS"/>
        </w:rPr>
      </w:pPr>
      <w:r w:rsidRPr="00732576">
        <w:rPr>
          <w:rFonts w:ascii="Times New Roman" w:hAnsi="Times New Roman" w:cs="Times New Roman"/>
          <w:lang w:val="is-IS"/>
        </w:rPr>
        <w:t xml:space="preserve">Vegna framangreindra lagafyrirmæla og réttarreglna má ljóst vera að hvers konar kynbreytingaraðgerð á barni sem veitt er á vegum heilbrigðisstofnunar eða slíkrar </w:t>
      </w:r>
      <w:r w:rsidRPr="00732576">
        <w:rPr>
          <w:rFonts w:ascii="Times New Roman" w:hAnsi="Times New Roman" w:cs="Times New Roman"/>
          <w:lang w:val="is-IS"/>
        </w:rPr>
        <w:lastRenderedPageBreak/>
        <w:t>einkaréttarlegrar starfsstofu á grundvelli laga um kynrænt sjálfræði, lýtur fyrirvörum eða takmörkunum þeim er af heilbrigðislöggjöfinni leiðir sem og eftir því sem við getur átt meginreglum stjórnsýsluréttar svo og stjórnsýslulögum nr. 37/1993. Um leið má augljóslega ætla að mati umsagnarsendanda að sérstaklega skerpist á öllum varúðarskyldum og verndarforsendum þegar um börn ræðir í þessu samhengi og er það raunar beinlínis og berum orðum áréttað í 13. gr. laga um heilbrigðisstarfsmenn.</w:t>
      </w:r>
    </w:p>
    <w:p w14:paraId="43B11C8E" w14:textId="77777777" w:rsidR="00732576" w:rsidRPr="00732576" w:rsidRDefault="00732576" w:rsidP="00732576">
      <w:pPr>
        <w:jc w:val="both"/>
        <w:rPr>
          <w:rFonts w:ascii="Times New Roman" w:hAnsi="Times New Roman" w:cs="Times New Roman"/>
          <w:lang w:val="is-IS"/>
        </w:rPr>
      </w:pPr>
      <w:r w:rsidRPr="00732576">
        <w:rPr>
          <w:rFonts w:ascii="Times New Roman" w:hAnsi="Times New Roman" w:cs="Times New Roman"/>
          <w:lang w:val="is-IS"/>
        </w:rPr>
        <w:t>Þess er hér og að geta að veitendur heilbrigðisþjónustu skulu byggja starfsemi sína á gagnreyndri þekkingu á fagsviðinu, sbr. til að mynda 44. gr. laga um sjúkratryggingar. Samkvæmt 2. gr. laga um réttindi sjúklinga ber að veita sérhverjum notanda fullkomnustu heilbrigðisþjónustu sem völ er á í ljósi þeirrar faglegu og heilbrigðisfræðilegu þekkingar sem fyrir liggur þar og þá. Að virtum m.a. þessum síðastgreindu lagafyrirmælum má það augljóst teljast að ríkar kröfur hljóta að vera gerðar til öryggis og áreiðanleika sem og faglegrar viðurkenningar þeirrar meðferðar sem beitt er hverju sinni af starfsmönnum heilbrigðisstofa eða sjúkrastofnana; því afdrifaríkari og atkvæðameiri aðgerð því ríkari kröfur hlýtur að bera gera í þessu sambandi.</w:t>
      </w:r>
      <w:r>
        <w:rPr>
          <w:rStyle w:val="FootnoteReference"/>
          <w:rFonts w:ascii="Times New Roman" w:hAnsi="Times New Roman" w:cs="Times New Roman"/>
        </w:rPr>
        <w:footnoteReference w:id="2"/>
      </w:r>
      <w:r w:rsidRPr="00732576">
        <w:rPr>
          <w:rFonts w:ascii="Times New Roman" w:hAnsi="Times New Roman" w:cs="Times New Roman"/>
          <w:lang w:val="is-IS"/>
        </w:rPr>
        <w:t xml:space="preserve"> </w:t>
      </w:r>
    </w:p>
    <w:p w14:paraId="7CA139CA" w14:textId="77777777" w:rsidR="00732576" w:rsidRPr="00732576" w:rsidRDefault="00732576" w:rsidP="00732576">
      <w:pPr>
        <w:jc w:val="both"/>
        <w:rPr>
          <w:rFonts w:ascii="Times New Roman" w:hAnsi="Times New Roman" w:cs="Times New Roman"/>
          <w:lang w:val="is-IS"/>
        </w:rPr>
      </w:pPr>
      <w:r w:rsidRPr="00732576">
        <w:rPr>
          <w:rFonts w:ascii="Times New Roman" w:hAnsi="Times New Roman" w:cs="Times New Roman"/>
          <w:lang w:val="is-IS"/>
        </w:rPr>
        <w:t xml:space="preserve">Að framangreindu gættu er þá næst hér til þess að líta að verulegur vafi virðist leika á því hvort að svonefndar kynskiptiaðgerðir og hormónabælandi meðferðir hafi hlotið faglega viðurkenningu eða stöðu sem gagnreyndar aðferðir á sviði heilbrigðisþjónustu, í það minnsta í þeim tilvikum þegar um ræðir barn. Þvert á móti hefur mjög svo verið efast um inngrip eða meðferð af tilgreindum toga og þær jafnvel verið bannaðar vegna sífellt aukinna upplýsinga um hættueiginleika og skaðsemi þeirra og óafturkræf áhrif og aukaverkanir af alvarlegum meiði líkt og vart þarf að koma að óvörum. </w:t>
      </w:r>
    </w:p>
    <w:p w14:paraId="50330227" w14:textId="77777777" w:rsidR="00732576" w:rsidRPr="00732576" w:rsidRDefault="00732576" w:rsidP="00732576">
      <w:pPr>
        <w:jc w:val="both"/>
        <w:rPr>
          <w:rFonts w:ascii="Times New Roman" w:hAnsi="Times New Roman" w:cs="Times New Roman"/>
          <w:lang w:val="is-IS"/>
        </w:rPr>
      </w:pPr>
      <w:r w:rsidRPr="00732576">
        <w:rPr>
          <w:rFonts w:ascii="Times New Roman" w:hAnsi="Times New Roman" w:cs="Times New Roman"/>
          <w:lang w:val="is-IS"/>
        </w:rPr>
        <w:t>Eins og að líkum lætur telst það grundvallarregla á sviði heilbrigðisréttar að afla samþykkis sjúklings (heilbrigðisþjónustunotanda) fyrir sérhverri meðferð eða aðgerð eftir sem því við verður komið, sbr. svo sem 7. gr. fyrrgreindra laga um réttindi sjúklinga. Með tilliti til þess að ólögráða einstaklingar ráða ekki persónulegum högum sínum má ljóst vera að börn hafa ein og sér enga heimild til þess að samþykkja fyrrnefndar meðferðir eða aðgerðir þar sem slíkt er á valdi forsjármanna þeirra, þótt afstöðu barns beri að sjálfsögðu að afla og virða vægi hennar meira eftir því sem aldur og þroski aukast. Þá verður ekki undan því litið hér að áðurnefnd inngrip, það er hormónabæling og kynskipti með m.a. skurðaaðgerð með tilheyrandi umbreytingum á líkama og líkamlegri virkni og ástandi öllu hjá hlutaðeigandi, hljóta að teljast meira en lítið vafasöm að gættum meginreglum laga um að ávallt beri að taka ákvarðanir í samræmi við það sem ætla má barni fyrir bestu svo og lagaskylduna til þess að veita fullkomnustu heilbrigðisþjónustu eða meðferð sem völ er á með tilliti fyrirliggjandi heilsumarkmiðs í sérhverju úrlausnartilviki.</w:t>
      </w:r>
    </w:p>
    <w:p w14:paraId="4FE6711A" w14:textId="77777777" w:rsidR="00732576" w:rsidRPr="00732576" w:rsidRDefault="00732576" w:rsidP="00732576">
      <w:pPr>
        <w:jc w:val="both"/>
        <w:rPr>
          <w:rFonts w:ascii="Times New Roman" w:hAnsi="Times New Roman" w:cs="Times New Roman"/>
          <w:lang w:val="is-IS"/>
        </w:rPr>
      </w:pPr>
      <w:r w:rsidRPr="00732576">
        <w:rPr>
          <w:rFonts w:ascii="Times New Roman" w:hAnsi="Times New Roman" w:cs="Times New Roman"/>
          <w:lang w:val="is-IS"/>
        </w:rPr>
        <w:t xml:space="preserve">Sjá í samhengi við framangreint til að mynda 3. tl. 1. mgr. 16. gr. þar sem undirstrikaður er alvarleiki þess ef ætla má að barn stofni heilsu sinni og þroska í alvarlega hættu og tilteknar almennar og sérstakar viðbragðsskyldur og verndarráðstafanir ef svo háttar til. Þegar litið er til síðastgreindra verndarreglna svo og þess að umræddar kynbreytingameðferðir teljast tæplega </w:t>
      </w:r>
      <w:r w:rsidRPr="00732576">
        <w:rPr>
          <w:rFonts w:ascii="Times New Roman" w:hAnsi="Times New Roman" w:cs="Times New Roman"/>
          <w:lang w:val="is-IS"/>
        </w:rPr>
        <w:lastRenderedPageBreak/>
        <w:t>gagnreyndar og að öðru leyti að því virtu að álíta verður að oft að um sé að ræða alvarleg inngrip og raunar útilokun náttúrulegra þroskamöguleika sé umgetnum aðgerðum beint að barni, hlýtur jafnan einnig að mega efast um það að foreldri geti yfirleitt samþykkt slíkar atlögur.</w:t>
      </w:r>
    </w:p>
    <w:p w14:paraId="568DD19A" w14:textId="77777777" w:rsidR="00732576" w:rsidRPr="00732576" w:rsidRDefault="00732576" w:rsidP="00732576">
      <w:pPr>
        <w:jc w:val="both"/>
        <w:rPr>
          <w:rFonts w:ascii="Times New Roman" w:hAnsi="Times New Roman" w:cs="Times New Roman"/>
          <w:lang w:val="is-IS"/>
        </w:rPr>
      </w:pPr>
      <w:r w:rsidRPr="00732576">
        <w:rPr>
          <w:rFonts w:ascii="Times New Roman" w:hAnsi="Times New Roman" w:cs="Times New Roman"/>
          <w:lang w:val="is-IS"/>
        </w:rPr>
        <w:t xml:space="preserve">Næst er það að nefna að til þess að meðferðir eða þannig inngrip af tilgreindum toga geti yfir höfuð komið til álita hlýtur </w:t>
      </w:r>
      <w:r w:rsidRPr="00732576">
        <w:rPr>
          <w:rFonts w:ascii="Times New Roman" w:hAnsi="Times New Roman" w:cs="Times New Roman"/>
          <w:i/>
          <w:iCs/>
          <w:lang w:val="is-IS"/>
        </w:rPr>
        <w:t xml:space="preserve">í fyrir það fyrsta </w:t>
      </w:r>
      <w:r w:rsidRPr="00732576">
        <w:rPr>
          <w:rFonts w:ascii="Times New Roman" w:hAnsi="Times New Roman" w:cs="Times New Roman"/>
          <w:lang w:val="is-IS"/>
        </w:rPr>
        <w:t xml:space="preserve">tiltekin og þar að lútandi sjúkdóms- eða veikindagreining að vera fyrirliggjandi líkt og ráð er fyrir gert samkvæmt tilvitnaðri kynræðis- og sjúklingalöggjöf. Þá er í </w:t>
      </w:r>
      <w:r w:rsidRPr="00732576">
        <w:rPr>
          <w:rFonts w:ascii="Times New Roman" w:hAnsi="Times New Roman" w:cs="Times New Roman"/>
          <w:i/>
          <w:iCs/>
          <w:lang w:val="is-IS"/>
        </w:rPr>
        <w:t>annan stað</w:t>
      </w:r>
      <w:r w:rsidRPr="00732576">
        <w:rPr>
          <w:rFonts w:ascii="Times New Roman" w:hAnsi="Times New Roman" w:cs="Times New Roman"/>
          <w:lang w:val="is-IS"/>
        </w:rPr>
        <w:t xml:space="preserve"> til þess að líta að í ljósi ákvæða og forsendna heilbrigðislöggjafar um faglega heilbrigðisþjónustu og þá bestu sem völ er á hverju sinnni, hlýtur að ávallt að teljast brýnt að markmið með sérhverri heilbrigðisréttarlegri meðferð eða aðgerð sé skýrlega skilgreint. Eðli málsins hljóta slík heilbrigðismarkmið að hverfast um bata eða þannig heilsufarslegar umbætur hlutaðeigandi og þannig betri heilsu, bæði í bráð og lengd. Þessu til viðbótar og þannig </w:t>
      </w:r>
      <w:r w:rsidRPr="00732576">
        <w:rPr>
          <w:rFonts w:ascii="Times New Roman" w:hAnsi="Times New Roman" w:cs="Times New Roman"/>
          <w:i/>
          <w:iCs/>
          <w:lang w:val="is-IS"/>
        </w:rPr>
        <w:t>í þriðja lagi</w:t>
      </w:r>
      <w:r w:rsidRPr="00732576">
        <w:rPr>
          <w:rFonts w:ascii="Times New Roman" w:hAnsi="Times New Roman" w:cs="Times New Roman"/>
          <w:lang w:val="is-IS"/>
        </w:rPr>
        <w:t xml:space="preserve"> má ætla það grundvallaratriði í sambandi við tilgreindar meðferðartegundir að þær teljist þá áreiðanlegar og öruggar leiðir að skilgreindu batamarkmiði, það er til þess hæfandi og þannig lagaðar að leiða til bata eða þannig heilsufarslega umbóta hlutaðeigandi barns. Leiðir þessi markmið glögglega af tilvitnuðum lögum um réttindi sjúklinga svo og umræddri kynræðislöggjöf (lög nr. 80/2019 sem fyrr greinir).</w:t>
      </w:r>
    </w:p>
    <w:p w14:paraId="19AEF503" w14:textId="77777777" w:rsidR="00732576" w:rsidRPr="00732576" w:rsidRDefault="00732576" w:rsidP="00732576">
      <w:pPr>
        <w:jc w:val="both"/>
        <w:rPr>
          <w:rFonts w:ascii="Times New Roman" w:hAnsi="Times New Roman" w:cs="Times New Roman"/>
          <w:lang w:val="is-IS"/>
        </w:rPr>
      </w:pPr>
      <w:r w:rsidRPr="00732576">
        <w:rPr>
          <w:rFonts w:ascii="Times New Roman" w:hAnsi="Times New Roman" w:cs="Times New Roman"/>
          <w:lang w:val="is-IS"/>
        </w:rPr>
        <w:t>Í ljósi þess að ekkert liggur fyrir svo kunnugt sé um að fyrrnefndar meðferðir/aðgerðir áðurnefndrar kynræðislöggjafar teljist faglega gagnreyndar og þannig viðurkenndar, heldur hafi allt eins þvert á móti víða verið álitnar afdrifaríkar og um leið hættulegar í ljósi þeirrar óafturkræfni og varanlegu afleiðinga fyrir líkama og heilsu hlutaðeigandi á margvíslegan hátt, má að mati umsagnarsendanda efast mjög um lögmæti þeirra viðvíkjandi börnum sbr. nánar hér á eftir.</w:t>
      </w:r>
    </w:p>
    <w:p w14:paraId="67FA356D" w14:textId="77777777" w:rsidR="00732576" w:rsidRPr="00732576" w:rsidRDefault="00732576" w:rsidP="00732576">
      <w:pPr>
        <w:jc w:val="both"/>
        <w:rPr>
          <w:rFonts w:ascii="Times New Roman" w:hAnsi="Times New Roman" w:cs="Times New Roman"/>
          <w:lang w:val="is-IS"/>
        </w:rPr>
      </w:pPr>
      <w:r w:rsidRPr="00732576">
        <w:rPr>
          <w:rFonts w:ascii="Times New Roman" w:hAnsi="Times New Roman" w:cs="Times New Roman"/>
          <w:lang w:val="is-IS"/>
        </w:rPr>
        <w:t xml:space="preserve">Eins og svo til alkunna má teljast þá valda umræddar aðgerðir sem fyrr greinir óafturkræfum áhrifum og mjög oft aukaverkunum af alvarlegum toga og kunna þá að draga jafnvel úr lífslíkum og lífsgæðum svo og heilsufarslegri framtíðarvelferð hlutaðeigandi. Árétta má einnig að líkamlega virt samræmast aðgerðir af tilgreindum toga verknaðarlýsingum refsilöggjafar sbr. svo sem 225. gr. HGL og 217. gr. – 218. gr. HGL um ólögmæta nauðung og líkamsárás, þótt samþykki sjúklings eða annarra þar til bærra einstaklinga svo og opinbert stofnanahlutverki sé hugsað þar til réttlætingar og lögmætisgrundvallar. </w:t>
      </w:r>
    </w:p>
    <w:p w14:paraId="04E07F6D" w14:textId="77777777" w:rsidR="00732576" w:rsidRPr="009F2F81" w:rsidRDefault="00732576" w:rsidP="00732576">
      <w:pPr>
        <w:jc w:val="both"/>
        <w:rPr>
          <w:rFonts w:ascii="Times New Roman" w:hAnsi="Times New Roman" w:cs="Times New Roman"/>
          <w:lang w:val="is-IS"/>
        </w:rPr>
      </w:pPr>
      <w:r w:rsidRPr="009F2F81">
        <w:rPr>
          <w:rFonts w:ascii="Times New Roman" w:hAnsi="Times New Roman" w:cs="Times New Roman"/>
          <w:lang w:val="is-IS"/>
        </w:rPr>
        <w:t xml:space="preserve">Að framangreindum lagaákvæðum gættum og öðrum tilvitnuðum verndarsjónarmiðum og varúðarforsendum gildandi laga virtum má að mati umsagnarsendanda yfirleitt álíta verulegan vafa leika á því að aðgerðir af tilgreindum toga teljist heimilar gagnvart börnum þótt samþykki foreldra eða tilheyrandi afstaða barns liggi fyrir  Í því sambandi ber að athuga að líf og líkami barns nýtur verndar m.a. 71. gr. stjórnarskrárinnar og 8. gr. mannréttindasáttmála Evrópu sbr. lög nr. 62/1994 svo og barnasáttmála Sameinuðu þjóðanna og um er að ræða þá viðkvæmustu og mikilvægustu verndarhagsmuni sem lög og landsréttur ná yfir nú á dögum sem endranær. Á bernskuskeiðinu er hugarstarfsemi barna jafnframt sérstaklega viðkvæm og móttækileg fyrir utanaðkomandi áreiti og áhrifum, þannig að oft má segja að unnt sé að móta huga þeirra eins og leir þar til að náttúrulegum kynþroska telst sem varla er hægt að halda fram að geti orðið </w:t>
      </w:r>
      <w:r w:rsidRPr="009F2F81">
        <w:rPr>
          <w:rFonts w:ascii="Times New Roman" w:hAnsi="Times New Roman" w:cs="Times New Roman"/>
          <w:lang w:val="is-IS"/>
        </w:rPr>
        <w:lastRenderedPageBreak/>
        <w:t xml:space="preserve">eftir aðgerðir eins og umræddar hafa verið hér. Að sjálfsögðu má einnig gæta þess að skilgreina ekki eðlilega og frá fornu fari venjulega andlega vaxtaverki eða tímabundna kynræna togstreitu barns á mótunarskeiði sem einhvern varanlegan kynáttunarvanda er réttlæti slík líkamleg inngrip sem umræddar aðgerðir til kyneinkennabreytinga eru eðli sínu og þekktum afleiðingum samkvæmt. </w:t>
      </w:r>
    </w:p>
    <w:p w14:paraId="3385307F" w14:textId="77777777" w:rsidR="00732576" w:rsidRPr="009F2F81" w:rsidRDefault="00732576" w:rsidP="00732576">
      <w:pPr>
        <w:jc w:val="both"/>
        <w:rPr>
          <w:rFonts w:ascii="Times New Roman" w:hAnsi="Times New Roman" w:cs="Times New Roman"/>
          <w:lang w:val="is-IS"/>
        </w:rPr>
      </w:pPr>
    </w:p>
    <w:p w14:paraId="17A23EF2" w14:textId="77777777" w:rsidR="00732576" w:rsidRPr="007579C7" w:rsidRDefault="00732576" w:rsidP="00732576">
      <w:pPr>
        <w:jc w:val="both"/>
        <w:rPr>
          <w:rFonts w:ascii="Times New Roman" w:hAnsi="Times New Roman" w:cs="Times New Roman"/>
          <w:b/>
          <w:bCs/>
        </w:rPr>
      </w:pPr>
      <w:r w:rsidRPr="009F2F81">
        <w:rPr>
          <w:rFonts w:ascii="Times New Roman" w:hAnsi="Times New Roman" w:cs="Times New Roman"/>
          <w:lang w:val="is-IS"/>
        </w:rPr>
        <w:tab/>
      </w:r>
      <w:r w:rsidRPr="009F2F81">
        <w:rPr>
          <w:rFonts w:ascii="Times New Roman" w:hAnsi="Times New Roman" w:cs="Times New Roman"/>
          <w:lang w:val="is-IS"/>
        </w:rPr>
        <w:tab/>
      </w:r>
      <w:r w:rsidRPr="009F2F81">
        <w:rPr>
          <w:rFonts w:ascii="Times New Roman" w:hAnsi="Times New Roman" w:cs="Times New Roman"/>
          <w:lang w:val="is-IS"/>
        </w:rPr>
        <w:tab/>
      </w:r>
      <w:r w:rsidRPr="009F2F81">
        <w:rPr>
          <w:rFonts w:ascii="Times New Roman" w:hAnsi="Times New Roman" w:cs="Times New Roman"/>
          <w:lang w:val="is-IS"/>
        </w:rPr>
        <w:tab/>
      </w:r>
      <w:r w:rsidRPr="009F2F81">
        <w:rPr>
          <w:rFonts w:ascii="Times New Roman" w:hAnsi="Times New Roman" w:cs="Times New Roman"/>
          <w:lang w:val="is-IS"/>
        </w:rPr>
        <w:tab/>
      </w:r>
      <w:r w:rsidRPr="009F2F81">
        <w:rPr>
          <w:rFonts w:ascii="Times New Roman" w:hAnsi="Times New Roman" w:cs="Times New Roman"/>
          <w:lang w:val="is-IS"/>
        </w:rPr>
        <w:tab/>
      </w:r>
      <w:r w:rsidRPr="007579C7">
        <w:rPr>
          <w:rFonts w:ascii="Times New Roman" w:hAnsi="Times New Roman" w:cs="Times New Roman"/>
          <w:b/>
          <w:bCs/>
        </w:rPr>
        <w:t>III.</w:t>
      </w:r>
    </w:p>
    <w:p w14:paraId="46559657" w14:textId="77777777" w:rsidR="00732576" w:rsidRPr="007579C7" w:rsidRDefault="00732576" w:rsidP="00732576">
      <w:pPr>
        <w:jc w:val="both"/>
        <w:rPr>
          <w:rFonts w:ascii="Times New Roman" w:hAnsi="Times New Roman" w:cs="Times New Roman"/>
          <w:b/>
          <w:bCs/>
        </w:rPr>
      </w:pPr>
      <w:r w:rsidRPr="007579C7">
        <w:rPr>
          <w:rFonts w:ascii="Times New Roman" w:hAnsi="Times New Roman" w:cs="Times New Roman"/>
          <w:b/>
          <w:bCs/>
        </w:rPr>
        <w:tab/>
      </w:r>
      <w:r w:rsidRPr="007579C7">
        <w:rPr>
          <w:rFonts w:ascii="Times New Roman" w:hAnsi="Times New Roman" w:cs="Times New Roman"/>
          <w:b/>
          <w:bCs/>
        </w:rPr>
        <w:tab/>
        <w:t>Sérstaklega um samþykki barns viðvíkjandi kynbreytandi aðgerðum</w:t>
      </w:r>
    </w:p>
    <w:p w14:paraId="5C756BEF" w14:textId="77777777" w:rsidR="00732576" w:rsidRDefault="00732576" w:rsidP="00732576">
      <w:pPr>
        <w:jc w:val="both"/>
        <w:rPr>
          <w:rFonts w:ascii="Times New Roman" w:hAnsi="Times New Roman" w:cs="Times New Roman"/>
        </w:rPr>
      </w:pPr>
      <w:r w:rsidRPr="00B70EBC">
        <w:rPr>
          <w:rFonts w:ascii="Times New Roman" w:hAnsi="Times New Roman" w:cs="Times New Roman"/>
        </w:rPr>
        <w:t>Í III. kafla laga um kynrænt sjálfræði nr. 80/2019 er fjallað um m.a. líkamlega friðhelgi manns sem og kyneinkennabreytandi aðgerðir.</w:t>
      </w:r>
      <w:r>
        <w:rPr>
          <w:rFonts w:ascii="Times New Roman" w:hAnsi="Times New Roman" w:cs="Times New Roman"/>
        </w:rPr>
        <w:t xml:space="preserve"> </w:t>
      </w:r>
      <w:r w:rsidRPr="00B70EBC">
        <w:rPr>
          <w:rFonts w:ascii="Times New Roman" w:hAnsi="Times New Roman" w:cs="Times New Roman"/>
        </w:rPr>
        <w:t xml:space="preserve">Þá er þar sömuleiðis áréttuð sú </w:t>
      </w:r>
      <w:r>
        <w:rPr>
          <w:rFonts w:ascii="Times New Roman" w:hAnsi="Times New Roman" w:cs="Times New Roman"/>
        </w:rPr>
        <w:t>undirstöðu</w:t>
      </w:r>
      <w:r w:rsidRPr="00B70EBC">
        <w:rPr>
          <w:rFonts w:ascii="Times New Roman" w:hAnsi="Times New Roman" w:cs="Times New Roman"/>
        </w:rPr>
        <w:t xml:space="preserve">regla heilbrigðislöggjafarinnar að hlutaðeigandi skuli njóta fullkomnustu heilbrigðisþjónustu sem völ er á að veita hverju sinni. Að því </w:t>
      </w:r>
      <w:r>
        <w:rPr>
          <w:rFonts w:ascii="Times New Roman" w:hAnsi="Times New Roman" w:cs="Times New Roman"/>
        </w:rPr>
        <w:t xml:space="preserve">og öðrum framangreindum lagaatriðum </w:t>
      </w:r>
      <w:r w:rsidRPr="00B70EBC">
        <w:rPr>
          <w:rFonts w:ascii="Times New Roman" w:hAnsi="Times New Roman" w:cs="Times New Roman"/>
        </w:rPr>
        <w:t>gættu</w:t>
      </w:r>
      <w:r>
        <w:rPr>
          <w:rFonts w:ascii="Times New Roman" w:hAnsi="Times New Roman" w:cs="Times New Roman"/>
        </w:rPr>
        <w:t>m</w:t>
      </w:r>
      <w:r w:rsidRPr="00B70EBC">
        <w:rPr>
          <w:rFonts w:ascii="Times New Roman" w:hAnsi="Times New Roman" w:cs="Times New Roman"/>
        </w:rPr>
        <w:t xml:space="preserve"> </w:t>
      </w:r>
      <w:r>
        <w:rPr>
          <w:rFonts w:ascii="Times New Roman" w:hAnsi="Times New Roman" w:cs="Times New Roman"/>
        </w:rPr>
        <w:t xml:space="preserve">sem </w:t>
      </w:r>
      <w:r w:rsidRPr="00B70EBC">
        <w:rPr>
          <w:rFonts w:ascii="Times New Roman" w:hAnsi="Times New Roman" w:cs="Times New Roman"/>
        </w:rPr>
        <w:t>o</w:t>
      </w:r>
      <w:r>
        <w:rPr>
          <w:rFonts w:ascii="Times New Roman" w:hAnsi="Times New Roman" w:cs="Times New Roman"/>
        </w:rPr>
        <w:t xml:space="preserve">g öðrum gögnum málinu tengdu virtum, þá ekki síst varðandi viðurkenningu eða gagnreynslu meðferðar, má að mati umsagnarsendanda greinilega til grundvallar leggja að verulegur vafi teljist fyrir hendi m.a. viðvíkjandi því hvort um gagnreynda og þannig læknisfræðilega viðurkennda meðferð af tilgreindum toga sé að tefla þegar þeim er beint að börnum. Er þá ekki síst til að líta hinna stórfelldu og óafturkræfu afleiðingar sem og oft ófyrirsjáanlegra aukaverkana og jafnvel heilsufarslega hættulegar samkvæmt því sem fram hefur komið, þar með talið að virtu því frárofi eða útilokun á upprunalegum og þannig náttúrulega upprunalegum þroskamöguleikum hlutaðeigandi. </w:t>
      </w:r>
    </w:p>
    <w:p w14:paraId="1FBA91FC" w14:textId="77777777" w:rsidR="00732576" w:rsidRDefault="00732576" w:rsidP="00732576">
      <w:pPr>
        <w:jc w:val="both"/>
        <w:rPr>
          <w:rFonts w:ascii="Times New Roman" w:hAnsi="Times New Roman" w:cs="Times New Roman"/>
        </w:rPr>
      </w:pPr>
      <w:r>
        <w:rPr>
          <w:rFonts w:ascii="Times New Roman" w:hAnsi="Times New Roman" w:cs="Times New Roman"/>
        </w:rPr>
        <w:t>Í ljósi alls þess sem að framan hefur verið rakið er vandséð að viðhlítandi samþykki í merkingu laga um kynrænt sjálfræði o.fl. lagabálka viðvíkjandi heilbrigðismálefnum geti yfirleitt talist fyrir hendi þegar um er að ræða kynbreytandi aðgerð sem beint er að barni, hvort sem um er að tefla hormónameðferð eða kynfæraskurðaaðgerð þótt sú síðarnefnda hljóti vissulega að teljast enn varhugaverðari í margvíslegu tilliti. Skal í því sambandi áréttað að því veigameiri og viðkvæmari verndarhagsmunir sem í húfi eru því ríkari kröfur ber að gera til þess að samþykki sé ótvírætt m.a. í ljósi fyrrgreindrar meginreglu um að veita beri fullkomnustu heilbrigðisþjónustu sem völ er á hverju sinni, þá jafnframt með tilliti til afleiðinga aðgerðar svo og aukaverkana bæði í bráð og lengd.</w:t>
      </w:r>
      <w:r>
        <w:rPr>
          <w:rStyle w:val="FootnoteReference"/>
          <w:rFonts w:ascii="Times New Roman" w:hAnsi="Times New Roman" w:cs="Times New Roman"/>
        </w:rPr>
        <w:footnoteReference w:id="3"/>
      </w:r>
      <w:r>
        <w:rPr>
          <w:rFonts w:ascii="Times New Roman" w:hAnsi="Times New Roman" w:cs="Times New Roman"/>
        </w:rPr>
        <w:t xml:space="preserve"> Sjá hér að til mynda samþykkishugtaksskilgreiningu þá sem birtist í 3. gr. laga um persónuvernd og vinnslu persónuupplýsinga nr. 90/2018 um </w:t>
      </w:r>
      <w:r w:rsidRPr="0094497A">
        <w:rPr>
          <w:rFonts w:ascii="Times New Roman" w:hAnsi="Times New Roman" w:cs="Times New Roman"/>
          <w:i/>
          <w:iCs/>
        </w:rPr>
        <w:t>óþvingaða, sértæka, upplýsta og ótvíræða viljayfirlýsing</w:t>
      </w:r>
      <w:r>
        <w:rPr>
          <w:rFonts w:ascii="Times New Roman" w:hAnsi="Times New Roman" w:cs="Times New Roman"/>
          <w:i/>
          <w:iCs/>
        </w:rPr>
        <w:t>u</w:t>
      </w:r>
      <w:r w:rsidRPr="0094497A">
        <w:rPr>
          <w:rFonts w:ascii="Times New Roman" w:hAnsi="Times New Roman" w:cs="Times New Roman"/>
          <w:i/>
          <w:iCs/>
        </w:rPr>
        <w:t xml:space="preserve"> hlutaðeigandi </w:t>
      </w:r>
      <w:r>
        <w:rPr>
          <w:rFonts w:ascii="Times New Roman" w:hAnsi="Times New Roman" w:cs="Times New Roman"/>
          <w:i/>
          <w:iCs/>
        </w:rPr>
        <w:t xml:space="preserve">um </w:t>
      </w:r>
      <w:r w:rsidRPr="0094497A">
        <w:rPr>
          <w:rFonts w:ascii="Times New Roman" w:hAnsi="Times New Roman" w:cs="Times New Roman"/>
          <w:i/>
          <w:iCs/>
        </w:rPr>
        <w:t>að hann samþykki með yfirlýsingu eða ótvíræðri staðfestingu tiltekin atriði</w:t>
      </w:r>
      <w:r>
        <w:rPr>
          <w:rFonts w:ascii="Times New Roman" w:hAnsi="Times New Roman" w:cs="Times New Roman"/>
        </w:rPr>
        <w:t xml:space="preserve"> og miða má hér einnig við. Hér hlýtur einnig að verða að líta til þeirrar upplýsingaskyldu sem á heilbrigðisstarfsmönnum hvílir gagnvart hlutaðeigandi barni og/eða forsjármanni og álíta má í órofa samhengi við ótvírætt og upplýst samþykki að lögum.</w:t>
      </w:r>
    </w:p>
    <w:p w14:paraId="20126CAF" w14:textId="77777777" w:rsidR="00732576" w:rsidRDefault="00732576" w:rsidP="00732576">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DA77179" w14:textId="77777777" w:rsidR="00732576" w:rsidRDefault="00732576" w:rsidP="00732576">
      <w:pPr>
        <w:jc w:val="both"/>
        <w:rPr>
          <w:rFonts w:ascii="Times New Roman" w:hAnsi="Times New Roman" w:cs="Times New Roman"/>
        </w:rPr>
      </w:pPr>
    </w:p>
    <w:p w14:paraId="3F80063D" w14:textId="77777777" w:rsidR="00732576" w:rsidRDefault="00732576" w:rsidP="00732576">
      <w:pPr>
        <w:ind w:left="3600" w:firstLine="720"/>
        <w:jc w:val="both"/>
        <w:rPr>
          <w:rFonts w:ascii="Times New Roman" w:hAnsi="Times New Roman" w:cs="Times New Roman"/>
        </w:rPr>
      </w:pPr>
    </w:p>
    <w:p w14:paraId="537F2213" w14:textId="3BB8E6EE" w:rsidR="00732576" w:rsidRPr="006156BE" w:rsidRDefault="00732576" w:rsidP="00732576">
      <w:pPr>
        <w:ind w:left="3600" w:firstLine="720"/>
        <w:jc w:val="both"/>
        <w:rPr>
          <w:rFonts w:ascii="Times New Roman" w:hAnsi="Times New Roman" w:cs="Times New Roman"/>
          <w:b/>
          <w:bCs/>
        </w:rPr>
      </w:pPr>
      <w:r w:rsidRPr="006156BE">
        <w:rPr>
          <w:rFonts w:ascii="Times New Roman" w:hAnsi="Times New Roman" w:cs="Times New Roman"/>
          <w:b/>
          <w:bCs/>
        </w:rPr>
        <w:t>IV.</w:t>
      </w:r>
    </w:p>
    <w:p w14:paraId="4F4B0F37" w14:textId="77777777" w:rsidR="00732576" w:rsidRPr="006156BE" w:rsidRDefault="00732576" w:rsidP="00732576">
      <w:pPr>
        <w:ind w:left="2160" w:firstLine="720"/>
        <w:jc w:val="both"/>
        <w:rPr>
          <w:rFonts w:ascii="Times New Roman" w:hAnsi="Times New Roman" w:cs="Times New Roman"/>
          <w:b/>
          <w:bCs/>
        </w:rPr>
      </w:pPr>
      <w:r w:rsidRPr="006156BE">
        <w:rPr>
          <w:rFonts w:ascii="Times New Roman" w:hAnsi="Times New Roman" w:cs="Times New Roman"/>
          <w:b/>
          <w:bCs/>
        </w:rPr>
        <w:t>Niðurlag og nánari kröfugerð</w:t>
      </w:r>
    </w:p>
    <w:p w14:paraId="0D93826E" w14:textId="77777777" w:rsidR="00732576" w:rsidRDefault="00732576" w:rsidP="00732576">
      <w:pPr>
        <w:jc w:val="both"/>
        <w:rPr>
          <w:rFonts w:ascii="Times New Roman" w:hAnsi="Times New Roman" w:cs="Times New Roman"/>
        </w:rPr>
      </w:pPr>
      <w:r>
        <w:rPr>
          <w:rFonts w:ascii="Times New Roman" w:hAnsi="Times New Roman" w:cs="Times New Roman"/>
        </w:rPr>
        <w:t xml:space="preserve">Að öllu framangreindu gættu má ætla að verulegur vafi hljóti jafnan að leika á því að áðurrakinn samþykkisáskilnaður fyrrnefndra kynbreytingaraðgerðaheimilda 10. gr. -. 11. gr. laga um kynrænt sjálfræði geti talist uppfylltur í þeim tilvikum þegar um börn ræðir. Má raunar einnig telja það umtalsvert álitamál teljast hvort tilvitnaður inngripagrundvöllur og aðgerðaheimild umgetinna laga um kynrænt sjálfræði standist mannréttindaákvæði 71. gr. sbr. 76. gr. stjórnarskrárinnar og 8. gr. mannréttindasáttmála Evrópu sbr. lög nr. 62/1994. Þessar verndarreglur gera ekki síst kröfur um skýrleika og ótvíræðni laga varðandi inngrip eða aðgerðir vegna svo mikilvægra verndarhagsmuna sem börn og þeirra líkamlega friðhelgi telst og fjallað hefur verið um hér að framan. </w:t>
      </w:r>
    </w:p>
    <w:p w14:paraId="6EFF7A71" w14:textId="77777777" w:rsidR="00732576" w:rsidRDefault="00732576" w:rsidP="00732576">
      <w:pPr>
        <w:jc w:val="both"/>
        <w:rPr>
          <w:rFonts w:ascii="Times New Roman" w:hAnsi="Times New Roman" w:cs="Times New Roman"/>
        </w:rPr>
      </w:pPr>
      <w:r>
        <w:rPr>
          <w:rFonts w:ascii="Times New Roman" w:hAnsi="Times New Roman" w:cs="Times New Roman"/>
        </w:rPr>
        <w:t xml:space="preserve">Af hálfu umsagnarsendanda er hér og farið fram á það að litið verði til röksemda þeirra og sjónarmiða sem rakin hafa verið hér að framan viðvíkjandi mótun og framvindu umræddrar aðgerðaráætlunar og þá undirbúning og útfærslu áðurnefndrar þingsályktunartillögu.  </w:t>
      </w:r>
    </w:p>
    <w:p w14:paraId="56F7036F" w14:textId="77777777" w:rsidR="00732576" w:rsidRDefault="00732576" w:rsidP="00732576">
      <w:pPr>
        <w:jc w:val="both"/>
        <w:rPr>
          <w:rFonts w:ascii="Times New Roman" w:hAnsi="Times New Roman" w:cs="Times New Roman"/>
        </w:rPr>
      </w:pPr>
    </w:p>
    <w:p w14:paraId="554C2028" w14:textId="4910DD1C" w:rsidR="00732576" w:rsidRDefault="00732576" w:rsidP="00732576">
      <w:pPr>
        <w:jc w:val="both"/>
        <w:rPr>
          <w:rFonts w:ascii="Times New Roman" w:hAnsi="Times New Roman" w:cs="Times New Roman"/>
        </w:rPr>
      </w:pPr>
      <w:r>
        <w:rPr>
          <w:rFonts w:ascii="Times New Roman" w:hAnsi="Times New Roman" w:cs="Times New Roman"/>
        </w:rPr>
        <w:t xml:space="preserve"> Reykjavík hinn 1. </w:t>
      </w:r>
      <w:r w:rsidR="009F2F81">
        <w:rPr>
          <w:rFonts w:ascii="Times New Roman" w:hAnsi="Times New Roman" w:cs="Times New Roman"/>
        </w:rPr>
        <w:t>m</w:t>
      </w:r>
      <w:r>
        <w:rPr>
          <w:rFonts w:ascii="Times New Roman" w:hAnsi="Times New Roman" w:cs="Times New Roman"/>
        </w:rPr>
        <w:t>aí 2025</w:t>
      </w:r>
    </w:p>
    <w:p w14:paraId="095E087F" w14:textId="77777777" w:rsidR="00732576" w:rsidRDefault="00732576" w:rsidP="00732576">
      <w:pPr>
        <w:jc w:val="both"/>
        <w:rPr>
          <w:rFonts w:ascii="Times New Roman" w:hAnsi="Times New Roman" w:cs="Times New Roman"/>
        </w:rPr>
      </w:pPr>
    </w:p>
    <w:p w14:paraId="686923E1" w14:textId="77777777" w:rsidR="00732576" w:rsidRDefault="00732576" w:rsidP="00732576">
      <w:pPr>
        <w:jc w:val="both"/>
        <w:rPr>
          <w:rFonts w:ascii="Times New Roman" w:hAnsi="Times New Roman" w:cs="Times New Roman"/>
        </w:rPr>
      </w:pPr>
    </w:p>
    <w:p w14:paraId="1F46F5C7" w14:textId="45E68A9E" w:rsidR="00732576" w:rsidRDefault="00732576" w:rsidP="00732576">
      <w:pPr>
        <w:jc w:val="both"/>
        <w:rPr>
          <w:rFonts w:ascii="Times New Roman" w:hAnsi="Times New Roman" w:cs="Times New Roman"/>
        </w:rPr>
      </w:pPr>
      <w:r>
        <w:rPr>
          <w:rFonts w:ascii="Times New Roman" w:hAnsi="Times New Roman" w:cs="Times New Roman"/>
        </w:rPr>
        <w:t xml:space="preserve">Eldur Smári Kristinsson, </w:t>
      </w:r>
    </w:p>
    <w:p w14:paraId="6E242805" w14:textId="62B49166" w:rsidR="00732576" w:rsidRDefault="00732576" w:rsidP="00732576">
      <w:pPr>
        <w:jc w:val="both"/>
        <w:rPr>
          <w:rFonts w:ascii="Times New Roman" w:hAnsi="Times New Roman" w:cs="Times New Roman"/>
        </w:rPr>
      </w:pPr>
      <w:r>
        <w:rPr>
          <w:rFonts w:ascii="Times New Roman" w:hAnsi="Times New Roman" w:cs="Times New Roman"/>
        </w:rPr>
        <w:t>formaður</w:t>
      </w:r>
    </w:p>
    <w:p w14:paraId="7998FFA9" w14:textId="77777777" w:rsidR="00732576" w:rsidRDefault="00732576" w:rsidP="00732576">
      <w:pPr>
        <w:jc w:val="both"/>
        <w:rPr>
          <w:rFonts w:ascii="Times New Roman" w:hAnsi="Times New Roman" w:cs="Times New Roman"/>
        </w:rPr>
      </w:pPr>
    </w:p>
    <w:p w14:paraId="5732586A" w14:textId="7A9A73AB" w:rsidR="00732576" w:rsidRPr="00B70EBC" w:rsidRDefault="00732576" w:rsidP="00732576">
      <w:pPr>
        <w:jc w:val="both"/>
        <w:rPr>
          <w:rFonts w:ascii="Times New Roman" w:hAnsi="Times New Roman" w:cs="Times New Roman"/>
        </w:rPr>
      </w:pPr>
      <w:r>
        <w:rPr>
          <w:rFonts w:ascii="Times New Roman" w:hAnsi="Times New Roman" w:cs="Times New Roman"/>
        </w:rPr>
        <w:t>Lögfræðilegt álit unnið af Loga Kjartanssyni, cand.jur.</w:t>
      </w:r>
    </w:p>
    <w:p w14:paraId="5A094200" w14:textId="77777777" w:rsidR="00732576" w:rsidRPr="00B70EBC" w:rsidRDefault="00732576" w:rsidP="00732576">
      <w:pPr>
        <w:rPr>
          <w:rFonts w:ascii="Times New Roman" w:hAnsi="Times New Roman" w:cs="Times New Roman"/>
        </w:rPr>
      </w:pPr>
    </w:p>
    <w:p w14:paraId="3035EB11" w14:textId="77777777" w:rsidR="00732576" w:rsidRPr="005877D0" w:rsidRDefault="00732576" w:rsidP="00732576">
      <w:pPr>
        <w:rPr>
          <w:lang w:val="is-IS"/>
        </w:rPr>
      </w:pPr>
    </w:p>
    <w:p w14:paraId="05AB8000" w14:textId="77777777" w:rsidR="00732576" w:rsidRPr="00497600" w:rsidRDefault="00732576">
      <w:pPr>
        <w:rPr>
          <w:lang w:val="is-IS"/>
        </w:rPr>
      </w:pPr>
    </w:p>
    <w:sectPr w:rsidR="00732576" w:rsidRPr="00497600" w:rsidSect="0073257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C3E4E" w14:textId="77777777" w:rsidR="00636426" w:rsidRDefault="00636426" w:rsidP="00732576">
      <w:pPr>
        <w:spacing w:after="0" w:line="240" w:lineRule="auto"/>
      </w:pPr>
      <w:r>
        <w:separator/>
      </w:r>
    </w:p>
  </w:endnote>
  <w:endnote w:type="continuationSeparator" w:id="0">
    <w:p w14:paraId="2245CCF5" w14:textId="77777777" w:rsidR="00636426" w:rsidRDefault="00636426" w:rsidP="00732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962B" w14:textId="77777777" w:rsidR="00732576" w:rsidRDefault="00732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1593" w14:textId="0855FBAA" w:rsidR="00732576" w:rsidRPr="00732576" w:rsidRDefault="009F2F81">
    <w:pPr>
      <w:pStyle w:val="Footer"/>
      <w:rPr>
        <w:lang w:val="en-US"/>
      </w:rPr>
    </w:pPr>
    <w:sdt>
      <w:sdtPr>
        <w:rPr>
          <w:lang w:val="en-US"/>
        </w:rPr>
        <w:id w:val="969400743"/>
        <w:placeholder>
          <w:docPart w:val="85C7F5C69FC84F40A17C985FE05A1C20"/>
        </w:placeholder>
        <w:temporary/>
        <w15:appearance w15:val="hidden"/>
      </w:sdtPr>
      <w:sdtEndPr/>
      <w:sdtContent>
        <w:r w:rsidR="00732576">
          <w:rPr>
            <w:lang w:val="en-US"/>
          </w:rPr>
          <w:t>www.samtokin22.is</w:t>
        </w:r>
      </w:sdtContent>
    </w:sdt>
    <w:r w:rsidR="00732576" w:rsidRPr="00732576">
      <w:rPr>
        <w:lang w:val="en-US"/>
      </w:rPr>
      <w:ptab w:relativeTo="margin" w:alignment="center" w:leader="none"/>
    </w:r>
    <w:sdt>
      <w:sdtPr>
        <w:rPr>
          <w:lang w:val="en-US"/>
        </w:rPr>
        <w:id w:val="969400748"/>
        <w:placeholder>
          <w:docPart w:val="85C7F5C69FC84F40A17C985FE05A1C20"/>
        </w:placeholder>
        <w:temporary/>
        <w15:appearance w15:val="hidden"/>
      </w:sdtPr>
      <w:sdtEndPr/>
      <w:sdtContent>
        <w:r w:rsidR="00732576">
          <w:rPr>
            <w:lang w:val="en-US"/>
          </w:rPr>
          <w:t>Kt. 640123-0440</w:t>
        </w:r>
      </w:sdtContent>
    </w:sdt>
    <w:r w:rsidR="00732576" w:rsidRPr="00732576">
      <w:rPr>
        <w:lang w:val="en-US"/>
      </w:rPr>
      <w:ptab w:relativeTo="margin" w:alignment="right" w:leader="none"/>
    </w:r>
    <w:sdt>
      <w:sdtPr>
        <w:rPr>
          <w:lang w:val="en-US"/>
        </w:rPr>
        <w:id w:val="969400753"/>
        <w:placeholder>
          <w:docPart w:val="85C7F5C69FC84F40A17C985FE05A1C20"/>
        </w:placeholder>
        <w:temporary/>
        <w15:appearance w15:val="hidden"/>
      </w:sdtPr>
      <w:sdtEndPr/>
      <w:sdtContent>
        <w:r w:rsidR="00732576">
          <w:rPr>
            <w:lang w:val="en-US"/>
          </w:rPr>
          <w:t>info@samtokin22.is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B6DA" w14:textId="77777777" w:rsidR="00732576" w:rsidRDefault="00732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E8FF9" w14:textId="77777777" w:rsidR="00636426" w:rsidRDefault="00636426" w:rsidP="00732576">
      <w:pPr>
        <w:spacing w:after="0" w:line="240" w:lineRule="auto"/>
      </w:pPr>
      <w:r>
        <w:separator/>
      </w:r>
    </w:p>
  </w:footnote>
  <w:footnote w:type="continuationSeparator" w:id="0">
    <w:p w14:paraId="58A4B3EF" w14:textId="77777777" w:rsidR="00636426" w:rsidRDefault="00636426" w:rsidP="00732576">
      <w:pPr>
        <w:spacing w:after="0" w:line="240" w:lineRule="auto"/>
      </w:pPr>
      <w:r>
        <w:continuationSeparator/>
      </w:r>
    </w:p>
  </w:footnote>
  <w:footnote w:id="1">
    <w:p w14:paraId="1F87C8B0" w14:textId="77777777" w:rsidR="00732576" w:rsidRPr="00827F84" w:rsidRDefault="00732576" w:rsidP="00732576">
      <w:pPr>
        <w:pStyle w:val="FootnoteText"/>
        <w:rPr>
          <w:lang w:val="en-US"/>
        </w:rPr>
      </w:pPr>
      <w:r>
        <w:rPr>
          <w:rStyle w:val="FootnoteReference"/>
        </w:rPr>
        <w:footnoteRef/>
      </w:r>
      <w:r>
        <w:t xml:space="preserve"> </w:t>
      </w:r>
      <w:r>
        <w:rPr>
          <w:lang w:val="en-US"/>
        </w:rPr>
        <w:t xml:space="preserve">Sbr. t.d. Páll Hreinsson: </w:t>
      </w:r>
      <w:r w:rsidRPr="003861F7">
        <w:rPr>
          <w:i/>
          <w:iCs/>
          <w:lang w:val="en-US"/>
        </w:rPr>
        <w:t>Stjórnsýsluréttur – málsmeðferð</w:t>
      </w:r>
      <w:r>
        <w:rPr>
          <w:lang w:val="en-US"/>
        </w:rPr>
        <w:t>. Codex. Reykjavík 2013, bls. 78-79 og 593-594.</w:t>
      </w:r>
    </w:p>
  </w:footnote>
  <w:footnote w:id="2">
    <w:p w14:paraId="372AD5CA" w14:textId="77777777" w:rsidR="00732576" w:rsidRPr="009578D7" w:rsidRDefault="00732576" w:rsidP="00732576">
      <w:pPr>
        <w:pStyle w:val="FootnoteText"/>
        <w:rPr>
          <w:lang w:val="en-US"/>
        </w:rPr>
      </w:pPr>
      <w:r>
        <w:rPr>
          <w:rStyle w:val="FootnoteReference"/>
        </w:rPr>
        <w:footnoteRef/>
      </w:r>
      <w:r>
        <w:t xml:space="preserve"> </w:t>
      </w:r>
      <w:r>
        <w:rPr>
          <w:lang w:val="en-US"/>
        </w:rPr>
        <w:t xml:space="preserve">Sbr. til að mynda Skýrsla um starfsskilyrði stjórnvalda. </w:t>
      </w:r>
      <w:r w:rsidRPr="00577DAD">
        <w:rPr>
          <w:i/>
          <w:iCs/>
          <w:lang w:val="en-US"/>
        </w:rPr>
        <w:t>Forsætisráðuneytið 2001</w:t>
      </w:r>
      <w:r>
        <w:rPr>
          <w:lang w:val="en-US"/>
        </w:rPr>
        <w:t>, einkum bls. 18-22.</w:t>
      </w:r>
    </w:p>
  </w:footnote>
  <w:footnote w:id="3">
    <w:p w14:paraId="015875A9" w14:textId="77777777" w:rsidR="00732576" w:rsidRPr="009F6847" w:rsidRDefault="00732576" w:rsidP="00732576">
      <w:pPr>
        <w:pStyle w:val="FootnoteText"/>
        <w:rPr>
          <w:lang w:val="en-US"/>
        </w:rPr>
      </w:pPr>
      <w:r>
        <w:rPr>
          <w:rStyle w:val="FootnoteReference"/>
        </w:rPr>
        <w:footnoteRef/>
      </w:r>
      <w:r>
        <w:t xml:space="preserve"> Sbr. til hliðsjónar t.d. Páll Hreinsson: Stjórnsýsluréttur, bls. 686 og áfram (varðandi samþykkishugtakið o.fl.)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99FB" w14:textId="77777777" w:rsidR="00732576" w:rsidRDefault="0073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2DB8" w14:textId="38DB6606" w:rsidR="00732576" w:rsidRDefault="00732576" w:rsidP="00732576">
    <w:pPr>
      <w:pStyle w:val="Header"/>
      <w:ind w:left="720"/>
    </w:pPr>
    <w:r>
      <w:t xml:space="preserve">                                                                                             </w:t>
    </w:r>
    <w:r>
      <w:rPr>
        <w:noProof/>
      </w:rPr>
      <w:drawing>
        <wp:inline distT="0" distB="0" distL="0" distR="0" wp14:anchorId="79166511" wp14:editId="771951B4">
          <wp:extent cx="2373630" cy="196553"/>
          <wp:effectExtent l="0" t="0" r="1270" b="0"/>
          <wp:docPr id="3019785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978515" name="Picture 301978515"/>
                  <pic:cNvPicPr/>
                </pic:nvPicPr>
                <pic:blipFill>
                  <a:blip r:embed="rId1">
                    <a:extLst>
                      <a:ext uri="{28A0092B-C50C-407E-A947-70E740481C1C}">
                        <a14:useLocalDpi xmlns:a14="http://schemas.microsoft.com/office/drawing/2010/main" val="0"/>
                      </a:ext>
                    </a:extLst>
                  </a:blip>
                  <a:stretch>
                    <a:fillRect/>
                  </a:stretch>
                </pic:blipFill>
                <pic:spPr>
                  <a:xfrm>
                    <a:off x="0" y="0"/>
                    <a:ext cx="2693731" cy="223060"/>
                  </a:xfrm>
                  <a:prstGeom prst="rect">
                    <a:avLst/>
                  </a:prstGeom>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81C4" w14:textId="77777777" w:rsidR="00732576" w:rsidRDefault="007325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00"/>
    <w:rsid w:val="000104B4"/>
    <w:rsid w:val="0020500E"/>
    <w:rsid w:val="00405FB5"/>
    <w:rsid w:val="00497600"/>
    <w:rsid w:val="00636426"/>
    <w:rsid w:val="00732576"/>
    <w:rsid w:val="0089738B"/>
    <w:rsid w:val="009F2F81"/>
    <w:rsid w:val="00B872A5"/>
    <w:rsid w:val="00D97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42E65"/>
  <w15:chartTrackingRefBased/>
  <w15:docId w15:val="{C1E212BF-4DCB-1D4C-A4A7-0FA5E5EA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6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6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6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6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6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6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6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6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6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6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6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6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6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6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600"/>
    <w:rPr>
      <w:rFonts w:eastAsiaTheme="majorEastAsia" w:cstheme="majorBidi"/>
      <w:color w:val="272727" w:themeColor="text1" w:themeTint="D8"/>
    </w:rPr>
  </w:style>
  <w:style w:type="paragraph" w:styleId="Title">
    <w:name w:val="Title"/>
    <w:basedOn w:val="Normal"/>
    <w:next w:val="Normal"/>
    <w:link w:val="TitleChar"/>
    <w:uiPriority w:val="10"/>
    <w:qFormat/>
    <w:rsid w:val="00497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6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600"/>
    <w:pPr>
      <w:spacing w:before="160"/>
      <w:jc w:val="center"/>
    </w:pPr>
    <w:rPr>
      <w:i/>
      <w:iCs/>
      <w:color w:val="404040" w:themeColor="text1" w:themeTint="BF"/>
    </w:rPr>
  </w:style>
  <w:style w:type="character" w:customStyle="1" w:styleId="QuoteChar">
    <w:name w:val="Quote Char"/>
    <w:basedOn w:val="DefaultParagraphFont"/>
    <w:link w:val="Quote"/>
    <w:uiPriority w:val="29"/>
    <w:rsid w:val="00497600"/>
    <w:rPr>
      <w:i/>
      <w:iCs/>
      <w:color w:val="404040" w:themeColor="text1" w:themeTint="BF"/>
    </w:rPr>
  </w:style>
  <w:style w:type="paragraph" w:styleId="ListParagraph">
    <w:name w:val="List Paragraph"/>
    <w:basedOn w:val="Normal"/>
    <w:uiPriority w:val="34"/>
    <w:qFormat/>
    <w:rsid w:val="00497600"/>
    <w:pPr>
      <w:ind w:left="720"/>
      <w:contextualSpacing/>
    </w:pPr>
  </w:style>
  <w:style w:type="character" w:styleId="IntenseEmphasis">
    <w:name w:val="Intense Emphasis"/>
    <w:basedOn w:val="DefaultParagraphFont"/>
    <w:uiPriority w:val="21"/>
    <w:qFormat/>
    <w:rsid w:val="00497600"/>
    <w:rPr>
      <w:i/>
      <w:iCs/>
      <w:color w:val="0F4761" w:themeColor="accent1" w:themeShade="BF"/>
    </w:rPr>
  </w:style>
  <w:style w:type="paragraph" w:styleId="IntenseQuote">
    <w:name w:val="Intense Quote"/>
    <w:basedOn w:val="Normal"/>
    <w:next w:val="Normal"/>
    <w:link w:val="IntenseQuoteChar"/>
    <w:uiPriority w:val="30"/>
    <w:qFormat/>
    <w:rsid w:val="004976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600"/>
    <w:rPr>
      <w:i/>
      <w:iCs/>
      <w:color w:val="0F4761" w:themeColor="accent1" w:themeShade="BF"/>
    </w:rPr>
  </w:style>
  <w:style w:type="character" w:styleId="IntenseReference">
    <w:name w:val="Intense Reference"/>
    <w:basedOn w:val="DefaultParagraphFont"/>
    <w:uiPriority w:val="32"/>
    <w:qFormat/>
    <w:rsid w:val="00497600"/>
    <w:rPr>
      <w:b/>
      <w:bCs/>
      <w:smallCaps/>
      <w:color w:val="0F4761" w:themeColor="accent1" w:themeShade="BF"/>
      <w:spacing w:val="5"/>
    </w:rPr>
  </w:style>
  <w:style w:type="paragraph" w:styleId="FootnoteText">
    <w:name w:val="footnote text"/>
    <w:basedOn w:val="Normal"/>
    <w:link w:val="FootnoteTextChar"/>
    <w:uiPriority w:val="99"/>
    <w:semiHidden/>
    <w:unhideWhenUsed/>
    <w:rsid w:val="00732576"/>
    <w:pPr>
      <w:spacing w:after="0" w:line="240" w:lineRule="auto"/>
    </w:pPr>
    <w:rPr>
      <w:sz w:val="20"/>
      <w:szCs w:val="20"/>
      <w:lang w:val="is-IS"/>
    </w:rPr>
  </w:style>
  <w:style w:type="character" w:customStyle="1" w:styleId="FootnoteTextChar">
    <w:name w:val="Footnote Text Char"/>
    <w:basedOn w:val="DefaultParagraphFont"/>
    <w:link w:val="FootnoteText"/>
    <w:uiPriority w:val="99"/>
    <w:semiHidden/>
    <w:rsid w:val="00732576"/>
    <w:rPr>
      <w:sz w:val="20"/>
      <w:szCs w:val="20"/>
      <w:lang w:val="is-IS"/>
    </w:rPr>
  </w:style>
  <w:style w:type="character" w:styleId="FootnoteReference">
    <w:name w:val="footnote reference"/>
    <w:basedOn w:val="DefaultParagraphFont"/>
    <w:uiPriority w:val="99"/>
    <w:semiHidden/>
    <w:unhideWhenUsed/>
    <w:rsid w:val="00732576"/>
    <w:rPr>
      <w:vertAlign w:val="superscript"/>
    </w:rPr>
  </w:style>
  <w:style w:type="paragraph" w:styleId="Header">
    <w:name w:val="header"/>
    <w:basedOn w:val="Normal"/>
    <w:link w:val="HeaderChar"/>
    <w:uiPriority w:val="99"/>
    <w:unhideWhenUsed/>
    <w:rsid w:val="007325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576"/>
  </w:style>
  <w:style w:type="paragraph" w:styleId="Footer">
    <w:name w:val="footer"/>
    <w:basedOn w:val="Normal"/>
    <w:link w:val="FooterChar"/>
    <w:uiPriority w:val="99"/>
    <w:unhideWhenUsed/>
    <w:rsid w:val="007325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576"/>
  </w:style>
  <w:style w:type="character" w:styleId="Hyperlink">
    <w:name w:val="Hyperlink"/>
    <w:basedOn w:val="DefaultParagraphFont"/>
    <w:uiPriority w:val="99"/>
    <w:unhideWhenUsed/>
    <w:rsid w:val="00732576"/>
    <w:rPr>
      <w:color w:val="467886" w:themeColor="hyperlink"/>
      <w:u w:val="single"/>
    </w:rPr>
  </w:style>
  <w:style w:type="character" w:styleId="UnresolvedMention">
    <w:name w:val="Unresolved Mention"/>
    <w:basedOn w:val="DefaultParagraphFont"/>
    <w:uiPriority w:val="99"/>
    <w:semiHidden/>
    <w:unhideWhenUsed/>
    <w:rsid w:val="00732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C7F5C69FC84F40A17C985FE05A1C20"/>
        <w:category>
          <w:name w:val="General"/>
          <w:gallery w:val="placeholder"/>
        </w:category>
        <w:types>
          <w:type w:val="bbPlcHdr"/>
        </w:types>
        <w:behaviors>
          <w:behavior w:val="content"/>
        </w:behaviors>
        <w:guid w:val="{7FE9C1E1-F85B-E641-82B7-6D5E36BC85CD}"/>
      </w:docPartPr>
      <w:docPartBody>
        <w:p w:rsidR="003E0856" w:rsidRDefault="000D52DA" w:rsidP="000D52DA">
          <w:pPr>
            <w:pStyle w:val="85C7F5C69FC84F40A17C985FE05A1C20"/>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DA"/>
    <w:rsid w:val="000D52DA"/>
    <w:rsid w:val="003E0856"/>
    <w:rsid w:val="0089738B"/>
    <w:rsid w:val="00FA5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C7F5C69FC84F40A17C985FE05A1C20">
    <w:name w:val="85C7F5C69FC84F40A17C985FE05A1C20"/>
    <w:rsid w:val="000D52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2404</Words>
  <Characters>13707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Eldur Ísidór</dc:creator>
  <cp:keywords/>
  <dc:description/>
  <cp:lastModifiedBy>Eldur Ísidór</cp:lastModifiedBy>
  <cp:revision>2</cp:revision>
  <dcterms:created xsi:type="dcterms:W3CDTF">2025-05-01T13:42:00Z</dcterms:created>
  <dcterms:modified xsi:type="dcterms:W3CDTF">2025-05-01T14:31:00Z</dcterms:modified>
</cp:coreProperties>
</file>