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BC74D9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C74D9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372995F6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D675B">
                  <w:rPr>
                    <w:rFonts w:ascii="Times New Roman" w:hAnsi="Times New Roman" w:cs="Times New Roman"/>
                    <w:lang w:val="is-IS"/>
                  </w:rPr>
                  <w:t>Frumvarp til laga um breytingu á lögum um Schengen-upplýsingakerfið nr. 51/2021</w:t>
                </w:r>
                <w:r w:rsidR="000C4105">
                  <w:rPr>
                    <w:rFonts w:ascii="Times New Roman" w:hAnsi="Times New Roman" w:cs="Times New Roman"/>
                    <w:lang w:val="is-IS"/>
                  </w:rPr>
                  <w:t xml:space="preserve">(skráning </w:t>
                </w:r>
                <w:r w:rsidR="00962F98">
                  <w:rPr>
                    <w:rFonts w:ascii="Times New Roman" w:hAnsi="Times New Roman" w:cs="Times New Roman"/>
                    <w:lang w:val="is-IS"/>
                  </w:rPr>
                  <w:t>að</w:t>
                </w:r>
                <w:r w:rsidR="00BC74D9">
                  <w:rPr>
                    <w:rFonts w:ascii="Times New Roman" w:hAnsi="Times New Roman" w:cs="Times New Roman"/>
                    <w:lang w:val="is-IS"/>
                  </w:rPr>
                  <w:t xml:space="preserve"> beiðni</w:t>
                </w:r>
                <w:r w:rsidR="000C4105">
                  <w:rPr>
                    <w:rFonts w:ascii="Times New Roman" w:hAnsi="Times New Roman" w:cs="Times New Roman"/>
                    <w:lang w:val="is-IS"/>
                  </w:rPr>
                  <w:t xml:space="preserve"> Löggæslusamvinnustofnun</w:t>
                </w:r>
                <w:r w:rsidR="00BC74D9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0C4105">
                  <w:rPr>
                    <w:rFonts w:ascii="Times New Roman" w:hAnsi="Times New Roman" w:cs="Times New Roman"/>
                    <w:lang w:val="is-IS"/>
                  </w:rPr>
                  <w:t xml:space="preserve"> Evrópu</w:t>
                </w:r>
                <w:r w:rsidR="00BC74D9">
                  <w:rPr>
                    <w:rFonts w:ascii="Times New Roman" w:hAnsi="Times New Roman" w:cs="Times New Roman"/>
                    <w:lang w:val="is-IS"/>
                  </w:rPr>
                  <w:t>)</w:t>
                </w:r>
                <w:r w:rsidR="00AD675B">
                  <w:rPr>
                    <w:rFonts w:ascii="Times New Roman" w:hAnsi="Times New Roman" w:cs="Times New Roman"/>
                    <w:lang w:val="is-IS"/>
                  </w:rPr>
                  <w:t xml:space="preserve"> [DMR25050213]</w:t>
                </w:r>
              </w:p>
            </w:tc>
          </w:sdtContent>
        </w:sdt>
      </w:tr>
      <w:tr w:rsidR="00135B40" w:rsidRPr="00BC74D9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378318F0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D675B">
                  <w:rPr>
                    <w:rFonts w:ascii="Times New Roman" w:hAnsi="Times New Roman" w:cs="Times New Roman"/>
                    <w:lang w:val="is-IS"/>
                  </w:rPr>
                  <w:t>Dómsmálaráðuneytið /</w:t>
                </w:r>
                <w:r w:rsidR="00BC74D9">
                  <w:rPr>
                    <w:rFonts w:ascii="Times New Roman" w:hAnsi="Times New Roman" w:cs="Times New Roman"/>
                    <w:lang w:val="is-IS"/>
                  </w:rPr>
                  <w:t>skrifstofa almanna- og réttaröryggis</w:t>
                </w:r>
              </w:p>
            </w:tc>
          </w:sdtContent>
        </w:sdt>
      </w:tr>
      <w:tr w:rsidR="00135B40" w:rsidRPr="00BC74D9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1F908466" w:rsidR="00135B40" w:rsidRPr="004E0E11" w:rsidRDefault="00B71ADF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5B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B71ADF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7C297BC0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14E28">
                  <w:rPr>
                    <w:rFonts w:ascii="Times New Roman" w:hAnsi="Times New Roman" w:cs="Times New Roman"/>
                    <w:lang w:val="is-IS"/>
                  </w:rPr>
                  <w:t>24. júní 2025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C74D9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1E7B89FB" w:rsidR="00D96089" w:rsidRPr="00414E28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14E28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 w:rsidRPr="00414E28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42DB6C9" w14:textId="3D8EED2E" w:rsidR="00D96089" w:rsidRPr="00414E28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14E28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 w:rsidRPr="00414E28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414E28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5680B4CF" w14:textId="063147D9" w:rsidR="00AD675B" w:rsidRPr="00414E28" w:rsidRDefault="00D96089" w:rsidP="00AD675B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14E28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 w:rsidRPr="00414E28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5DB58A8" w14:textId="60C003D4" w:rsidR="00D96089" w:rsidRPr="000900C0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strike/>
                    <w:lang w:val="is-IS"/>
                  </w:rPr>
                </w:pPr>
                <w:r w:rsidRPr="00414E28">
                  <w:rPr>
                    <w:rFonts w:ascii="Times New Roman" w:hAnsi="Times New Roman" w:cs="Times New Roman"/>
                    <w:lang w:val="is-IS"/>
                  </w:rPr>
                  <w:t>Skorður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4C00391" w14:textId="3F36C9A6" w:rsidR="00D96089" w:rsidRPr="00A72ECC" w:rsidRDefault="00D96089" w:rsidP="00D96089">
                <w:pPr>
                  <w:pStyle w:val="ListParagraph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Aðskilin umfjöllun um brúttóáhrif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EF314C9" w14:textId="5667D6C5" w:rsidR="00FD2097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BB7CC88" w14:textId="4CDBF9E7" w:rsidR="00BD03E4" w:rsidRPr="00A72ECC" w:rsidRDefault="000942AF" w:rsidP="00237053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Ekki er búist við neinum tekjubreytingum til ríkissjóðs vegna frumvarpsins.</w:t>
                </w:r>
              </w:p>
              <w:p w14:paraId="011C60D4" w14:textId="68A73561" w:rsidR="000212D2" w:rsidRPr="00EE7DC8" w:rsidRDefault="00AD6D06" w:rsidP="00EE7DC8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6E256DD2" w14:textId="270D592A" w:rsidR="00BD03E4" w:rsidRPr="000942AF" w:rsidRDefault="000900C0" w:rsidP="00414E28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 w:rsidRPr="000900C0">
                  <w:rPr>
                    <w:rFonts w:ascii="Times New Roman" w:hAnsi="Times New Roman" w:cs="Times New Roman"/>
                    <w:lang w:val="is-IS"/>
                  </w:rPr>
                  <w:t xml:space="preserve">Áætlaður kostnaður vegna frumvarpsins er tvíþættur. Annars vegar kostnaður vegna tæknilegrar þróunar á upplýsingakerfinu hér á landi og hins vegar kostnaður við þjálfun og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gerð </w:t>
                </w:r>
                <w:r w:rsidRPr="000900C0">
                  <w:rPr>
                    <w:rFonts w:ascii="Times New Roman" w:hAnsi="Times New Roman" w:cs="Times New Roman"/>
                    <w:lang w:val="is-IS"/>
                  </w:rPr>
                  <w:t>upplýsinga</w:t>
                </w:r>
                <w:r>
                  <w:rPr>
                    <w:rFonts w:ascii="Times New Roman" w:hAnsi="Times New Roman" w:cs="Times New Roman"/>
                    <w:lang w:val="is-IS"/>
                  </w:rPr>
                  <w:t>efnis</w:t>
                </w:r>
                <w:r w:rsidRPr="000900C0">
                  <w:rPr>
                    <w:rFonts w:ascii="Times New Roman" w:hAnsi="Times New Roman" w:cs="Times New Roman"/>
                    <w:lang w:val="is-IS"/>
                  </w:rPr>
                  <w:t xml:space="preserve"> til starfsfólks um nýja tegund skráninga í kerfið. Fyrrgreindur kostnaður verður að stærstu leyti greiddur af innri öryggissjóð</w:t>
                </w:r>
                <w:r w:rsidR="000C4105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Pr="000900C0">
                  <w:rPr>
                    <w:rFonts w:ascii="Times New Roman" w:hAnsi="Times New Roman" w:cs="Times New Roman"/>
                    <w:lang w:val="is-IS"/>
                  </w:rPr>
                  <w:t xml:space="preserve"> um landamæri sem Ísland tekur þátt í sem samstarfsríki Schengen.</w:t>
                </w:r>
                <w:r w:rsidR="00C47855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942AF">
                  <w:rPr>
                    <w:rFonts w:ascii="Times New Roman" w:hAnsi="Times New Roman" w:cs="Times New Roman"/>
                    <w:lang w:val="is-IS"/>
                  </w:rPr>
                  <w:t xml:space="preserve">Minniháttar kostnaður </w:t>
                </w:r>
                <w:r w:rsidR="00C47855">
                  <w:rPr>
                    <w:rFonts w:ascii="Times New Roman" w:hAnsi="Times New Roman" w:cs="Times New Roman"/>
                    <w:lang w:val="is-IS"/>
                  </w:rPr>
                  <w:t xml:space="preserve">fellur til </w:t>
                </w:r>
                <w:r w:rsidR="000942AF">
                  <w:rPr>
                    <w:rFonts w:ascii="Times New Roman" w:hAnsi="Times New Roman" w:cs="Times New Roman"/>
                    <w:lang w:val="is-IS"/>
                  </w:rPr>
                  <w:t>vegna tæknilegrar þróunar á kerfinu</w:t>
                </w:r>
                <w:r w:rsidR="00414E28">
                  <w:rPr>
                    <w:rFonts w:ascii="Times New Roman" w:hAnsi="Times New Roman" w:cs="Times New Roman"/>
                    <w:lang w:val="is-IS"/>
                  </w:rPr>
                  <w:t xml:space="preserve"> og </w:t>
                </w:r>
                <w:r w:rsidR="000942AF">
                  <w:rPr>
                    <w:rFonts w:ascii="Times New Roman" w:hAnsi="Times New Roman" w:cs="Times New Roman"/>
                    <w:lang w:val="is-IS"/>
                  </w:rPr>
                  <w:t xml:space="preserve"> vegna fræðslu, kynningar og þjálfunar starfsfólks á kerfið eftir uppfærslu. </w:t>
                </w:r>
              </w:p>
              <w:p w14:paraId="3AECE235" w14:textId="71B7C711" w:rsidR="00D96089" w:rsidRDefault="00AD6D06" w:rsidP="00AD6D06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3CF6A88" w14:textId="02528429" w:rsidR="00BD03E4" w:rsidRPr="00A72ECC" w:rsidRDefault="000942AF" w:rsidP="00D9608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Breytingar á Schengen-upplýsingakerfinu sjálfu, hugbúnaðar og tölvuvinnsla. Kostnaður að mestu greiddur af innri öryggissjóði um landamæri, sbr. framangreint. </w:t>
                </w:r>
              </w:p>
              <w:p w14:paraId="4286C444" w14:textId="325CC88B" w:rsidR="00813003" w:rsidRDefault="00AD6D06" w:rsidP="00813003">
                <w:pPr>
                  <w:pStyle w:val="ListParagraph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518D0BF5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5D6883BD" w14:textId="34BEAAE7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6F32AA89" w14:textId="0705FEA8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D090F52" w14:textId="0A2C1197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F03EC8D" w14:textId="6B031ABC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4105743" w14:textId="674DFBF4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E248B52" w14:textId="4626CC0B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5609FB39" w14:textId="68955BF5" w:rsidR="00813003" w:rsidRPr="00A72ECC" w:rsidRDefault="00813003" w:rsidP="00813003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A5DE4B8" w14:textId="3F005BC9" w:rsidR="00CA3381" w:rsidRPr="00E648AA" w:rsidRDefault="00813003" w:rsidP="00BD69E0">
                <w:pPr>
                  <w:pStyle w:val="ListParagraph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559F7969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91F1F9C" w14:textId="7BCDE08B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3514BF9B" w14:textId="242C41AA" w:rsidR="00237053" w:rsidRPr="00A72ECC" w:rsidRDefault="00237053" w:rsidP="00237053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71F700FB" w14:textId="51D50A38" w:rsidR="00FD2097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77777777" w:rsidR="00BD03E4" w:rsidRPr="00BD03E4" w:rsidRDefault="00BD03E4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59743E5F" w14:textId="77777777" w:rsidR="00BD03E4" w:rsidRDefault="00237053" w:rsidP="00237053">
                <w:pPr>
                  <w:pStyle w:val="ListParagraph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5BC28B4C" w:rsidR="00CA3381" w:rsidRPr="00BD03E4" w:rsidRDefault="000942AF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BC74D9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120CE840" w:rsidR="00FD2097" w:rsidRPr="00BD03E4" w:rsidRDefault="000942AF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40049170" w14:textId="715A97DA" w:rsidR="001B69DD" w:rsidRPr="004E0E11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58E5BA7D" w:rsidR="00FD2097" w:rsidRPr="00BD03E4" w:rsidRDefault="000942AF" w:rsidP="001B69DD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8431DFF" w14:textId="00304347" w:rsidR="00A410EA" w:rsidRDefault="00A410EA" w:rsidP="00A410EA">
                <w:pPr>
                  <w:pStyle w:val="ListParagraph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691A38E" w14:textId="134DE602" w:rsidR="000942AF" w:rsidRPr="000942AF" w:rsidRDefault="000942AF" w:rsidP="000942AF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1262E75D" w14:textId="4DA1850B" w:rsidR="00A410EA" w:rsidRPr="004433F4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05C73860" w14:textId="03170163" w:rsidR="00301FF8" w:rsidRPr="00A72ECC" w:rsidRDefault="00301FF8" w:rsidP="00301FF8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lastRenderedPageBreak/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11012B77" w14:textId="5732561A" w:rsid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  <w:p w14:paraId="23A35C1E" w14:textId="5C03E351" w:rsidR="00CA3381" w:rsidRPr="003F530A" w:rsidRDefault="00301FF8" w:rsidP="003F530A">
                <w:pPr>
                  <w:pStyle w:val="ListParagraph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17D33AA6" w:rsidR="00C16C66" w:rsidRPr="004E0E11" w:rsidRDefault="000942AF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Frumvarpið hefur ekki áhrif á fjárhag sveitarfélaganna.</w:t>
                </w:r>
              </w:p>
              <w:p w14:paraId="1145B43A" w14:textId="62EF2A18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1D7DBF8F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C2A8ED6" w14:textId="09CB7845" w:rsidR="000942AF" w:rsidRPr="004E0E11" w:rsidRDefault="000942AF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F933ABF" w14:textId="76A0C5D1" w:rsidR="00CE06FC" w:rsidRPr="00C16C66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tæknilegar reglur um vöru og fjarþjónustu,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2C5AABC0" w:rsidR="00C16C66" w:rsidRPr="004E0E11" w:rsidRDefault="000942AF" w:rsidP="00CE06F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2D0533F4" w14:textId="059FA65B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4806CA40" w:rsidR="00C16C66" w:rsidRPr="00C16C66" w:rsidRDefault="000942AF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3CFDCD51" w14:textId="13CC5C4F" w:rsidR="00AC19E3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644FFFD1" w:rsidR="00C16C66" w:rsidRPr="00C16C66" w:rsidRDefault="000942AF" w:rsidP="00C16C66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3E1BBD6F" w14:textId="54C76E82" w:rsidR="003C66CA" w:rsidRPr="004E0E11" w:rsidRDefault="00AC19E3" w:rsidP="00AC19E3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A7B7CE" w14:textId="45CDE203" w:rsidR="00C16C66" w:rsidRPr="000942AF" w:rsidRDefault="000942AF" w:rsidP="000942AF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F</w:t>
                </w:r>
                <w:r w:rsidRPr="00436F38">
                  <w:rPr>
                    <w:rFonts w:ascii="Times New Roman" w:hAnsi="Times New Roman" w:cs="Times New Roman"/>
                    <w:lang w:val="is-IS"/>
                  </w:rPr>
                  <w:t>rumvarpið h</w:t>
                </w:r>
                <w:r>
                  <w:rPr>
                    <w:rFonts w:ascii="Times New Roman" w:hAnsi="Times New Roman" w:cs="Times New Roman"/>
                    <w:lang w:val="is-IS"/>
                  </w:rPr>
                  <w:t>efur ekki</w:t>
                </w:r>
                <w:r w:rsidRPr="00436F38">
                  <w:rPr>
                    <w:rFonts w:ascii="Times New Roman" w:hAnsi="Times New Roman" w:cs="Times New Roman"/>
                    <w:lang w:val="is-IS"/>
                  </w:rPr>
                  <w:t xml:space="preserve"> mismunandi áhrif á einstaklinga eftir kyni og mun því hvorki hafa áhrif á jafnrétti eða stöðu kynjanna.</w:t>
                </w:r>
              </w:p>
              <w:p w14:paraId="788DA598" w14:textId="5DEB42B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50FA57FD" w:rsidR="00193979" w:rsidRPr="00193979" w:rsidRDefault="000942AF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4732EDF5" w14:textId="00FF440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419E458D" w:rsidR="00193979" w:rsidRPr="00193979" w:rsidRDefault="000942AF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76338615" w14:textId="18004EBC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3CB6C5C9" w:rsidR="00193979" w:rsidRPr="00193979" w:rsidRDefault="005F32B8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1EAB7D34" w14:textId="78E05B20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6902FA76" w:rsidR="00193979" w:rsidRPr="00193979" w:rsidRDefault="005F32B8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Stjórnsýslan og stofnanir ættu að vera vel í stakk búin til að taka við verkefninu. Hlutaðeigandi aðilar verða upplýstir um fyrirhugaðar breytingar og tilkomu nýrrar skráningar í upplýsingakerfið</w:t>
                </w:r>
                <w:r w:rsidR="00CE0B6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SIRENE- skrifstofan hefur það hlutverk að upplýsa og þjálfa starfsfólk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 Tölvudeild ríkislögreglustjóra verður tilbúin þegar breytingarnar koma til framkvæmda enda þarf að gera prófanir á Schengen-upplýsingakerfinu áður en það getur gerst.</w:t>
                </w:r>
              </w:p>
              <w:p w14:paraId="52F604BA" w14:textId="65A6A3D1" w:rsidR="00346619" w:rsidRDefault="00346619" w:rsidP="00346619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013618B4" w:rsidR="00193979" w:rsidRPr="00193979" w:rsidRDefault="00CE0B6C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10635864" w14:textId="77777777" w:rsidR="00193979" w:rsidRDefault="00346619" w:rsidP="008831B4">
                <w:pPr>
                  <w:pStyle w:val="ListParagraph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1F578F43" w:rsidR="000D6E33" w:rsidRPr="00193979" w:rsidRDefault="00CE0B6C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4622589B" w:rsidR="00193979" w:rsidRPr="00CE0B6C" w:rsidRDefault="00CE0B6C" w:rsidP="00CE0B6C">
                <w:pPr>
                  <w:pStyle w:val="ListParagraph"/>
                  <w:spacing w:before="60" w:after="60"/>
                  <w:contextualSpacing w:val="0"/>
                  <w:jc w:val="both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Breytingar þær sem lagðar verða til í frumvarpinu eru talin hafa óveruleg fjárhagsáhrif á ríkissjóð. Stærstu útgjöldin sem falla til eru vegna tæknilegrar þróunar upplýsingakerfisins sem eru greidd af innri öryggis</w:t>
                </w:r>
                <w:r w:rsidR="000C4105">
                  <w:rPr>
                    <w:rFonts w:ascii="Times New Roman" w:hAnsi="Times New Roman" w:cs="Times New Roman"/>
                    <w:lang w:val="is-IS"/>
                  </w:rPr>
                  <w:t>s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jóði um landamæri. </w:t>
                </w:r>
              </w:p>
              <w:p w14:paraId="6C7C3DC8" w14:textId="040E1813" w:rsidR="000073F7" w:rsidRDefault="000073F7" w:rsidP="000073F7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77777777" w:rsidR="00193979" w:rsidRPr="00193979" w:rsidRDefault="0019397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7980F45" w14:textId="069DF456" w:rsidR="00193979" w:rsidRDefault="00346619" w:rsidP="00F33A33">
                <w:pPr>
                  <w:pStyle w:val="ListParagraph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4B33DB6" w14:textId="112E1874" w:rsidR="00CE0B6C" w:rsidRDefault="00CE0B6C" w:rsidP="00CE0B6C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Markmið frumvarpsins er að uppfylla alþjóðlegar skuldbindingar Íslands sem þátttakandi í Schengen-samstarfinu. Schengen-upplýsingakerfið er eitt mikilvægasta verkfæri samstarfsins og til þess fallið að auka öryggi almennra borgara og Schengen-svæðisins í heild</w:t>
                </w:r>
              </w:p>
              <w:p w14:paraId="6B09DAA3" w14:textId="63FEF8B4" w:rsidR="00CA3381" w:rsidRPr="00193979" w:rsidRDefault="00B71ADF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964699272" w:displacedByCustomXml="next"/>
            </w:sdtContent>
          </w:sdt>
        </w:tc>
      </w:tr>
      <w:tr w:rsidR="00EB6651" w:rsidRPr="00BC74D9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ListParagraph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89FD0DE" w:rsidR="00193979" w:rsidRPr="00193979" w:rsidRDefault="00CE0B6C" w:rsidP="00193979">
                <w:pPr>
                  <w:pStyle w:val="ListParagraph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2C706323" w14:textId="7AF4301D" w:rsidR="00EB6651" w:rsidRDefault="00D64A3D" w:rsidP="00D64A3D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ListParagraph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ListParagraph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F0753" w14:textId="77777777" w:rsidR="00B71ADF" w:rsidRDefault="00B71ADF" w:rsidP="007478E0">
      <w:pPr>
        <w:spacing w:after="0" w:line="240" w:lineRule="auto"/>
      </w:pPr>
      <w:r>
        <w:separator/>
      </w:r>
    </w:p>
  </w:endnote>
  <w:endnote w:type="continuationSeparator" w:id="0">
    <w:p w14:paraId="4A67D784" w14:textId="77777777" w:rsidR="00B71ADF" w:rsidRDefault="00B71ADF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B7CE5" w14:textId="77777777" w:rsidR="00B71ADF" w:rsidRDefault="00B71ADF" w:rsidP="007478E0">
      <w:pPr>
        <w:spacing w:after="0" w:line="240" w:lineRule="auto"/>
      </w:pPr>
      <w:r>
        <w:separator/>
      </w:r>
    </w:p>
  </w:footnote>
  <w:footnote w:type="continuationSeparator" w:id="0">
    <w:p w14:paraId="0945EBC1" w14:textId="77777777" w:rsidR="00B71ADF" w:rsidRDefault="00B71ADF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00C0"/>
    <w:rsid w:val="000942AF"/>
    <w:rsid w:val="00096B1D"/>
    <w:rsid w:val="000A7176"/>
    <w:rsid w:val="000B043D"/>
    <w:rsid w:val="000B3C73"/>
    <w:rsid w:val="000C4105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6A84"/>
    <w:rsid w:val="0013710B"/>
    <w:rsid w:val="00143B7A"/>
    <w:rsid w:val="001716F6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78F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1515"/>
    <w:rsid w:val="003E611E"/>
    <w:rsid w:val="003F530A"/>
    <w:rsid w:val="00403139"/>
    <w:rsid w:val="00414E28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92E19"/>
    <w:rsid w:val="005A2A30"/>
    <w:rsid w:val="005B46C8"/>
    <w:rsid w:val="005C123A"/>
    <w:rsid w:val="005C1678"/>
    <w:rsid w:val="005E44E3"/>
    <w:rsid w:val="005F32B8"/>
    <w:rsid w:val="00607A25"/>
    <w:rsid w:val="00613815"/>
    <w:rsid w:val="00614FAD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6F7BEA"/>
    <w:rsid w:val="00700AB1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C4248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62F98"/>
    <w:rsid w:val="00986DC2"/>
    <w:rsid w:val="00993115"/>
    <w:rsid w:val="00994012"/>
    <w:rsid w:val="009941D2"/>
    <w:rsid w:val="009B7A52"/>
    <w:rsid w:val="009C2DA3"/>
    <w:rsid w:val="009C3565"/>
    <w:rsid w:val="009F43E8"/>
    <w:rsid w:val="009F64EA"/>
    <w:rsid w:val="00A01DD4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75B"/>
    <w:rsid w:val="00AD6D06"/>
    <w:rsid w:val="00AE50E5"/>
    <w:rsid w:val="00B339AF"/>
    <w:rsid w:val="00B65214"/>
    <w:rsid w:val="00B677F5"/>
    <w:rsid w:val="00B71ADF"/>
    <w:rsid w:val="00B863E2"/>
    <w:rsid w:val="00BA4BB1"/>
    <w:rsid w:val="00BA5089"/>
    <w:rsid w:val="00BA5B20"/>
    <w:rsid w:val="00BB2B30"/>
    <w:rsid w:val="00BC74D9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47855"/>
    <w:rsid w:val="00C5037E"/>
    <w:rsid w:val="00C55589"/>
    <w:rsid w:val="00C67F5E"/>
    <w:rsid w:val="00C7397C"/>
    <w:rsid w:val="00CA3381"/>
    <w:rsid w:val="00CC343A"/>
    <w:rsid w:val="00CC774F"/>
    <w:rsid w:val="00CD60E4"/>
    <w:rsid w:val="00CE06FC"/>
    <w:rsid w:val="00CE0B6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0B57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F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6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Revision">
    <w:name w:val="Revision"/>
    <w:hidden/>
    <w:uiPriority w:val="99"/>
    <w:semiHidden/>
    <w:rsid w:val="00C412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E0"/>
  </w:style>
  <w:style w:type="paragraph" w:styleId="Footer">
    <w:name w:val="footer"/>
    <w:basedOn w:val="Normal"/>
    <w:link w:val="FooterChar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E0"/>
  </w:style>
  <w:style w:type="character" w:styleId="PlaceholderText">
    <w:name w:val="Placeholder Text"/>
    <w:basedOn w:val="DefaultParagraphFont"/>
    <w:uiPriority w:val="99"/>
    <w:semiHidden/>
    <w:rsid w:val="002A47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3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6095C"/>
    <w:rsid w:val="001A3FD6"/>
    <w:rsid w:val="001C5BB7"/>
    <w:rsid w:val="00261A33"/>
    <w:rsid w:val="002A3015"/>
    <w:rsid w:val="002C7EC4"/>
    <w:rsid w:val="002F7912"/>
    <w:rsid w:val="003044D5"/>
    <w:rsid w:val="0062144B"/>
    <w:rsid w:val="006B17C6"/>
    <w:rsid w:val="006D157A"/>
    <w:rsid w:val="006F1B63"/>
    <w:rsid w:val="007053DD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C34E9D"/>
    <w:rsid w:val="00D5050E"/>
    <w:rsid w:val="00D524AA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HBR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Tanja Ýr Jóhannsdóttir</cp:lastModifiedBy>
  <cp:revision>6</cp:revision>
  <cp:lastPrinted>2017-01-12T13:13:00Z</cp:lastPrinted>
  <dcterms:created xsi:type="dcterms:W3CDTF">2025-07-08T13:46:00Z</dcterms:created>
  <dcterms:modified xsi:type="dcterms:W3CDTF">2025-07-08T14:07:00Z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