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0C3FE" w14:textId="32ED58C9" w:rsidR="00E71F27" w:rsidRDefault="00A40911" w:rsidP="00E71F27">
      <w:pPr>
        <w:pStyle w:val="Nmeringsskjalsmls"/>
      </w:pPr>
      <w:bookmarkStart w:id="0" w:name="_Toc303616026"/>
      <w:bookmarkStart w:id="1" w:name="_Toc303616027"/>
      <w:r>
        <w:t>151</w:t>
      </w:r>
      <w:r w:rsidR="00E71F27">
        <w:t xml:space="preserve">. löggjafarþing </w:t>
      </w:r>
      <w:bookmarkEnd w:id="0"/>
      <w:r w:rsidR="00801DF8">
        <w:t>20</w:t>
      </w:r>
      <w:r w:rsidR="00982005">
        <w:t>20</w:t>
      </w:r>
      <w:r w:rsidR="00E71F27">
        <w:t>–</w:t>
      </w:r>
      <w:r w:rsidR="00801DF8">
        <w:t>202</w:t>
      </w:r>
      <w:r w:rsidR="00982005">
        <w:t>1</w:t>
      </w:r>
      <w:r w:rsidR="00E71F27">
        <w:t xml:space="preserve">. </w:t>
      </w:r>
    </w:p>
    <w:p w14:paraId="514BA4B7" w14:textId="77777777" w:rsidR="00E71F27" w:rsidRDefault="00E71F27" w:rsidP="00E71F27">
      <w:pPr>
        <w:pStyle w:val="Nmeringsskjalsmls"/>
      </w:pPr>
      <w:r>
        <w:t>Þingskjal x — x. mál</w:t>
      </w:r>
      <w:bookmarkEnd w:id="1"/>
      <w:r>
        <w:t>.</w:t>
      </w:r>
    </w:p>
    <w:p w14:paraId="7B45D114" w14:textId="77777777" w:rsidR="00E71F27" w:rsidRPr="002675EE" w:rsidRDefault="00E71F27" w:rsidP="002675EE">
      <w:pPr>
        <w:pStyle w:val="Fyrirsgn-skjalategund"/>
      </w:pPr>
      <w:r w:rsidRPr="002675EE">
        <w:t xml:space="preserve">Frumvarp til </w:t>
      </w:r>
      <w:r w:rsidR="00801DF8">
        <w:t>stjórnarskipunar</w:t>
      </w:r>
      <w:r w:rsidRPr="002675EE">
        <w:t>laga</w:t>
      </w:r>
    </w:p>
    <w:p w14:paraId="4072EC52" w14:textId="74611C0C" w:rsidR="00E71F27" w:rsidRPr="00E55426" w:rsidRDefault="00E71F27" w:rsidP="00A74AA6">
      <w:pPr>
        <w:pStyle w:val="Fyrirsgn-undirfyrirsgn"/>
        <w:rPr>
          <w:rFonts w:cs="Times New Roman"/>
          <w:szCs w:val="21"/>
          <w:lang w:val="nb-NO"/>
        </w:rPr>
      </w:pPr>
      <w:r w:rsidRPr="002675EE">
        <w:t xml:space="preserve">um </w:t>
      </w:r>
      <w:r w:rsidR="00801DF8" w:rsidRPr="00E55426">
        <w:rPr>
          <w:rFonts w:cs="Times New Roman"/>
          <w:szCs w:val="21"/>
          <w:lang w:val="nb-NO"/>
        </w:rPr>
        <w:t>breyting</w:t>
      </w:r>
      <w:r w:rsidR="00F6091A" w:rsidRPr="00E55426">
        <w:rPr>
          <w:rFonts w:cs="Times New Roman"/>
          <w:szCs w:val="21"/>
          <w:lang w:val="nb-NO"/>
        </w:rPr>
        <w:t>u</w:t>
      </w:r>
      <w:r w:rsidR="00801DF8" w:rsidRPr="00E55426">
        <w:rPr>
          <w:rFonts w:cs="Times New Roman"/>
          <w:szCs w:val="21"/>
          <w:lang w:val="nb-NO"/>
        </w:rPr>
        <w:t xml:space="preserve"> á stjórnarskrá lýðveldisins Íslands nr. 33/1944</w:t>
      </w:r>
      <w:r w:rsidR="00E23541" w:rsidRPr="00E55426">
        <w:rPr>
          <w:rFonts w:cs="Times New Roman"/>
          <w:szCs w:val="21"/>
          <w:lang w:val="nb-NO"/>
        </w:rPr>
        <w:t xml:space="preserve"> (</w:t>
      </w:r>
      <w:r w:rsidR="00A74AA6" w:rsidRPr="00E55426">
        <w:rPr>
          <w:rFonts w:cs="Times New Roman"/>
          <w:szCs w:val="21"/>
          <w:lang w:val="nb-NO"/>
        </w:rPr>
        <w:t>forseti Íslands, ríkisstjórn</w:t>
      </w:r>
      <w:r w:rsidR="0005572E" w:rsidRPr="00E55426">
        <w:rPr>
          <w:rFonts w:cs="Times New Roman"/>
          <w:szCs w:val="21"/>
          <w:lang w:val="nb-NO"/>
        </w:rPr>
        <w:t xml:space="preserve">, </w:t>
      </w:r>
      <w:r w:rsidR="00A74AA6" w:rsidRPr="00E55426">
        <w:rPr>
          <w:rFonts w:cs="Times New Roman"/>
          <w:szCs w:val="21"/>
          <w:lang w:val="nb-NO"/>
        </w:rPr>
        <w:t>verkefni framkvæmdarvalds</w:t>
      </w:r>
      <w:r w:rsidR="0005572E" w:rsidRPr="00E55426">
        <w:rPr>
          <w:rFonts w:cs="Times New Roman"/>
          <w:szCs w:val="21"/>
          <w:lang w:val="nb-NO"/>
        </w:rPr>
        <w:t xml:space="preserve"> o.fl.</w:t>
      </w:r>
      <w:r w:rsidR="00A74AA6" w:rsidRPr="00E55426">
        <w:rPr>
          <w:rFonts w:cs="Times New Roman"/>
          <w:szCs w:val="21"/>
          <w:lang w:val="nb-NO"/>
        </w:rPr>
        <w:t>)</w:t>
      </w:r>
      <w:r w:rsidR="00A40911" w:rsidRPr="00E55426">
        <w:rPr>
          <w:rFonts w:cs="Times New Roman"/>
          <w:szCs w:val="21"/>
          <w:lang w:val="nb-NO"/>
        </w:rPr>
        <w:t>.</w:t>
      </w:r>
    </w:p>
    <w:p w14:paraId="13E0C99A" w14:textId="77777777" w:rsidR="005D5AEE" w:rsidRPr="005D5AEE" w:rsidRDefault="005D5AEE" w:rsidP="005D5AEE"/>
    <w:p w14:paraId="31A2DB2F" w14:textId="71F4D103" w:rsidR="00E71F27" w:rsidRDefault="003F5CEE" w:rsidP="00E71F27">
      <w:pPr>
        <w:pStyle w:val="Frrherra"/>
      </w:pPr>
      <w:proofErr w:type="spellStart"/>
      <w:r w:rsidRPr="003F5CEE">
        <w:rPr>
          <w:highlight w:val="yellow"/>
        </w:rPr>
        <w:t>Flm</w:t>
      </w:r>
      <w:proofErr w:type="spellEnd"/>
      <w:r w:rsidRPr="003F5CEE">
        <w:rPr>
          <w:highlight w:val="yellow"/>
        </w:rPr>
        <w:t>.</w:t>
      </w:r>
      <w:r>
        <w:rPr>
          <w:highlight w:val="yellow"/>
        </w:rPr>
        <w:t>:</w:t>
      </w:r>
      <w:r w:rsidRPr="003F5CEE">
        <w:rPr>
          <w:highlight w:val="yellow"/>
        </w:rPr>
        <w:t xml:space="preserve"> </w:t>
      </w:r>
      <w:proofErr w:type="spellStart"/>
      <w:r w:rsidRPr="003F5CEE">
        <w:rPr>
          <w:highlight w:val="yellow"/>
        </w:rPr>
        <w:t>xxxx</w:t>
      </w:r>
      <w:proofErr w:type="spellEnd"/>
    </w:p>
    <w:p w14:paraId="7C564621" w14:textId="2F9DC0AB" w:rsidR="00E71F27" w:rsidRDefault="00E71F27" w:rsidP="0082016A">
      <w:pPr>
        <w:ind w:firstLine="0"/>
      </w:pPr>
    </w:p>
    <w:p w14:paraId="51F51E89" w14:textId="77777777" w:rsidR="00047200" w:rsidRDefault="00047200" w:rsidP="0082016A">
      <w:pPr>
        <w:ind w:firstLine="0"/>
      </w:pPr>
    </w:p>
    <w:p w14:paraId="41D11BC2" w14:textId="77777777" w:rsidR="00E653CD" w:rsidRDefault="00E653CD" w:rsidP="00E653CD">
      <w:pPr>
        <w:pStyle w:val="Greinarnmer"/>
      </w:pPr>
      <w:r>
        <w:t>1. gr.</w:t>
      </w:r>
    </w:p>
    <w:p w14:paraId="0E22B746" w14:textId="77777777" w:rsidR="00E653CD" w:rsidRPr="00484FE4" w:rsidRDefault="00E653CD" w:rsidP="00E653CD">
      <w:r w:rsidRPr="00484FE4">
        <w:t xml:space="preserve">2. og 3. málsliður 2. gr. </w:t>
      </w:r>
      <w:r>
        <w:t xml:space="preserve">stjórnarskrárinnar </w:t>
      </w:r>
      <w:r w:rsidRPr="00484FE4">
        <w:t>orð</w:t>
      </w:r>
      <w:r>
        <w:t>a</w:t>
      </w:r>
      <w:r w:rsidRPr="00484FE4">
        <w:t>st svo:</w:t>
      </w:r>
    </w:p>
    <w:p w14:paraId="64DDAB14" w14:textId="77777777" w:rsidR="00E653CD" w:rsidRPr="00484FE4" w:rsidRDefault="00E653CD" w:rsidP="00E653CD">
      <w:r w:rsidRPr="00484FE4">
        <w:t>Forseti, ráðherrar</w:t>
      </w:r>
      <w:r>
        <w:t xml:space="preserve"> í ríkisstjórn Íslands</w:t>
      </w:r>
      <w:r w:rsidRPr="00484FE4">
        <w:t xml:space="preserve"> og önnur stjórnvöld samkvæmt stjórnarskrá þessari og öðrum landslögum fara með framkvæmdarvaldið. Hæstiréttur Íslands og aðrir dómstólar fara með dómsvaldið.</w:t>
      </w:r>
    </w:p>
    <w:p w14:paraId="26F91661" w14:textId="77777777" w:rsidR="00E653CD" w:rsidRDefault="00E653CD" w:rsidP="00E653CD"/>
    <w:p w14:paraId="3CDC413C" w14:textId="77777777" w:rsidR="00E653CD" w:rsidRDefault="00E653CD" w:rsidP="00E653CD">
      <w:pPr>
        <w:pStyle w:val="Greinarnmer"/>
      </w:pPr>
      <w:r>
        <w:t>2. gr.</w:t>
      </w:r>
    </w:p>
    <w:p w14:paraId="68BF64E6" w14:textId="77777777" w:rsidR="00E653CD" w:rsidRDefault="00E653CD" w:rsidP="00E653CD">
      <w:r>
        <w:t>5</w:t>
      </w:r>
      <w:r w:rsidRPr="00484FE4">
        <w:t xml:space="preserve">. gr. </w:t>
      </w:r>
      <w:r>
        <w:t xml:space="preserve">stjórnarskrárinnar </w:t>
      </w:r>
      <w:r w:rsidRPr="00484FE4">
        <w:t>orð</w:t>
      </w:r>
      <w:r>
        <w:t>a</w:t>
      </w:r>
      <w:r w:rsidRPr="00484FE4">
        <w:t>st svo:</w:t>
      </w:r>
    </w:p>
    <w:p w14:paraId="118EBE0C" w14:textId="1D7A16E5" w:rsidR="00E653CD" w:rsidRPr="00731B17" w:rsidRDefault="00E653CD" w:rsidP="00E653CD">
      <w:r w:rsidRPr="00731B17">
        <w:t xml:space="preserve">Forseti skal kjörinn beinum, leynilegum og almennum kosningum af þeim er kosningarétt  hafa til Alþingis. Forsetaefni skal hafa meðmæli minnst </w:t>
      </w:r>
      <w:r>
        <w:t xml:space="preserve">2,5% </w:t>
      </w:r>
      <w:r w:rsidRPr="00731B17">
        <w:t xml:space="preserve">kosningabærra manna og mest </w:t>
      </w:r>
      <w:r>
        <w:t>5%</w:t>
      </w:r>
      <w:r w:rsidRPr="00731B17">
        <w:t>. Sá sem flest fær atkvæði, ef fleiri en einn eru í kjöri, er rétt kjörinn forseti. Ef aðeins einn maður er í kjöri er hann rétt kjörinn án atkvæðagreiðslu.</w:t>
      </w:r>
    </w:p>
    <w:p w14:paraId="2C1D9AD1" w14:textId="77777777" w:rsidR="00E653CD" w:rsidRPr="00731B17" w:rsidRDefault="00E653CD" w:rsidP="00E653CD">
      <w:r w:rsidRPr="00731B17">
        <w:t xml:space="preserve">Að öðru leyti skal ákveða með lögum um framboð og kjör forseta og má þar ákveða að tiltekin tala </w:t>
      </w:r>
      <w:proofErr w:type="spellStart"/>
      <w:r w:rsidRPr="00731B17">
        <w:t>meðmælenda</w:t>
      </w:r>
      <w:proofErr w:type="spellEnd"/>
      <w:r w:rsidRPr="00731B17">
        <w:t xml:space="preserve"> skuli vera úr hverju kjördæmi í hlutfalli við kjósendatölu þar.</w:t>
      </w:r>
    </w:p>
    <w:p w14:paraId="06C91035" w14:textId="77777777" w:rsidR="00E653CD" w:rsidRDefault="00E653CD" w:rsidP="00E653CD">
      <w:pPr>
        <w:ind w:firstLine="0"/>
      </w:pPr>
    </w:p>
    <w:p w14:paraId="6A7F7148" w14:textId="77777777" w:rsidR="00E653CD" w:rsidRDefault="00E653CD" w:rsidP="00E653CD">
      <w:pPr>
        <w:pStyle w:val="Greinarnmer"/>
      </w:pPr>
      <w:r>
        <w:t>3. gr.</w:t>
      </w:r>
    </w:p>
    <w:p w14:paraId="3629C18E" w14:textId="77777777" w:rsidR="00E653CD" w:rsidRDefault="00E653CD" w:rsidP="00E653CD">
      <w:r>
        <w:t>6</w:t>
      </w:r>
      <w:r w:rsidRPr="00484FE4">
        <w:t xml:space="preserve">. gr. </w:t>
      </w:r>
      <w:r>
        <w:t xml:space="preserve">stjórnarskrárinnar </w:t>
      </w:r>
      <w:r w:rsidRPr="00484FE4">
        <w:t>orð</w:t>
      </w:r>
      <w:r>
        <w:t>a</w:t>
      </w:r>
      <w:r w:rsidRPr="00484FE4">
        <w:t>st svo:</w:t>
      </w:r>
    </w:p>
    <w:p w14:paraId="7AF33BB9" w14:textId="77777777" w:rsidR="00E653CD" w:rsidRDefault="00E653CD" w:rsidP="00E653CD">
      <w:r w:rsidRPr="000D0451">
        <w:t xml:space="preserve">Kjörtímabil forseta hefst 1. </w:t>
      </w:r>
      <w:r>
        <w:t>júlí</w:t>
      </w:r>
      <w:r w:rsidRPr="000D0451">
        <w:t xml:space="preserve"> og endar </w:t>
      </w:r>
      <w:r>
        <w:t>30</w:t>
      </w:r>
      <w:r w:rsidRPr="000D0451">
        <w:t xml:space="preserve">. </w:t>
      </w:r>
      <w:r>
        <w:t>júní</w:t>
      </w:r>
      <w:r w:rsidRPr="000D0451">
        <w:t xml:space="preserve"> að sex árum liðnum. Forsetakjör fer fram í </w:t>
      </w:r>
      <w:r>
        <w:t>maí</w:t>
      </w:r>
      <w:r w:rsidRPr="000D0451">
        <w:t>- eða jú</w:t>
      </w:r>
      <w:r>
        <w:t>n</w:t>
      </w:r>
      <w:r w:rsidRPr="000D0451">
        <w:t>ímánuði það ár er kjörtímabil endar</w:t>
      </w:r>
      <w:r>
        <w:t xml:space="preserve">. </w:t>
      </w:r>
      <w:r w:rsidRPr="00126D93">
        <w:t>Forseti skal ekki sitja lengur en tvö kjörtímabil</w:t>
      </w:r>
      <w:r>
        <w:t xml:space="preserve"> samfellt</w:t>
      </w:r>
      <w:r w:rsidRPr="00126D93">
        <w:t>.</w:t>
      </w:r>
    </w:p>
    <w:p w14:paraId="604731EC" w14:textId="77777777" w:rsidR="00E653CD" w:rsidRPr="00484FE4" w:rsidRDefault="00E653CD" w:rsidP="00E653CD"/>
    <w:p w14:paraId="2653258B" w14:textId="77777777" w:rsidR="00E653CD" w:rsidRDefault="00E653CD" w:rsidP="00E653CD">
      <w:pPr>
        <w:pStyle w:val="Greinarnmer"/>
      </w:pPr>
      <w:r>
        <w:t>4. gr.</w:t>
      </w:r>
    </w:p>
    <w:p w14:paraId="5ED4142B" w14:textId="77777777" w:rsidR="00E653CD" w:rsidRDefault="00E653CD" w:rsidP="00E653CD">
      <w:r>
        <w:t>7</w:t>
      </w:r>
      <w:r w:rsidRPr="00484FE4">
        <w:t xml:space="preserve">. gr. </w:t>
      </w:r>
      <w:r>
        <w:t xml:space="preserve">stjórnarskrárinnar </w:t>
      </w:r>
      <w:r w:rsidRPr="00484FE4">
        <w:t>orð</w:t>
      </w:r>
      <w:r>
        <w:t>a</w:t>
      </w:r>
      <w:r w:rsidRPr="00484FE4">
        <w:t>st svo:</w:t>
      </w:r>
    </w:p>
    <w:p w14:paraId="0916AB30" w14:textId="77777777" w:rsidR="00E653CD" w:rsidRPr="00126D93" w:rsidRDefault="00E653CD" w:rsidP="00E653CD">
      <w:r w:rsidRPr="00126D93">
        <w:t xml:space="preserve">Nú deyr forseti eða lætur af störfum, áður en kjörtíma hans er lokið, og skal þá kjósa nýjan forseta til </w:t>
      </w:r>
      <w:r>
        <w:t>30</w:t>
      </w:r>
      <w:r w:rsidRPr="00126D93">
        <w:t xml:space="preserve">. </w:t>
      </w:r>
      <w:r>
        <w:t>júní</w:t>
      </w:r>
      <w:r w:rsidRPr="00126D93">
        <w:t xml:space="preserve"> á sjötta ári frá kosningu. </w:t>
      </w:r>
    </w:p>
    <w:p w14:paraId="45B203B0" w14:textId="77777777" w:rsidR="00E653CD" w:rsidRPr="00484FE4" w:rsidRDefault="00E653CD" w:rsidP="00E653CD">
      <w:pPr>
        <w:ind w:firstLine="0"/>
      </w:pPr>
    </w:p>
    <w:p w14:paraId="59445A11" w14:textId="77777777" w:rsidR="00E653CD" w:rsidRDefault="00E653CD" w:rsidP="00E653CD">
      <w:pPr>
        <w:pStyle w:val="Greinarnmer"/>
      </w:pPr>
      <w:r>
        <w:t>5. gr.</w:t>
      </w:r>
    </w:p>
    <w:p w14:paraId="2E4023EE" w14:textId="77777777" w:rsidR="00E653CD" w:rsidRPr="004017AB" w:rsidRDefault="00E653CD" w:rsidP="00E653CD">
      <w:r w:rsidRPr="004017AB">
        <w:t xml:space="preserve">Við </w:t>
      </w:r>
      <w:r>
        <w:t xml:space="preserve">fyrri </w:t>
      </w:r>
      <w:r w:rsidRPr="004017AB">
        <w:t xml:space="preserve">málslið 1. mgr. 11. gr. </w:t>
      </w:r>
      <w:r>
        <w:t xml:space="preserve">stjórnarskrárinnar </w:t>
      </w:r>
      <w:r w:rsidRPr="004017AB">
        <w:t>bæt</w:t>
      </w:r>
      <w:r>
        <w:t>a</w:t>
      </w:r>
      <w:r w:rsidRPr="004017AB">
        <w:t>st orðin</w:t>
      </w:r>
      <w:r>
        <w:t>:</w:t>
      </w:r>
      <w:r w:rsidRPr="004017AB">
        <w:t xml:space="preserve"> „sem </w:t>
      </w:r>
      <w:r>
        <w:t>ráðherra undirritar með honum</w:t>
      </w:r>
      <w:r w:rsidRPr="004017AB">
        <w:t xml:space="preserve">“. </w:t>
      </w:r>
    </w:p>
    <w:p w14:paraId="6DAF2E8F" w14:textId="77777777" w:rsidR="00E653CD" w:rsidRDefault="00E653CD" w:rsidP="00E653CD">
      <w:pPr>
        <w:ind w:firstLine="0"/>
      </w:pPr>
    </w:p>
    <w:p w14:paraId="749A20A1" w14:textId="77777777" w:rsidR="00E653CD" w:rsidRDefault="00E653CD" w:rsidP="00E653CD">
      <w:pPr>
        <w:pStyle w:val="Greinarnmer"/>
      </w:pPr>
      <w:r>
        <w:t>6. gr.</w:t>
      </w:r>
    </w:p>
    <w:p w14:paraId="57E2A3EB" w14:textId="77777777" w:rsidR="00E653CD" w:rsidRPr="004017AB" w:rsidRDefault="00E653CD" w:rsidP="00E653CD">
      <w:r w:rsidRPr="004017AB">
        <w:t xml:space="preserve">Í stað orðsins „Ráðuneytið“ í upphafi 2. mgr. 13. gr. </w:t>
      </w:r>
      <w:r>
        <w:t xml:space="preserve">stjórnarskrárinnar </w:t>
      </w:r>
      <w:r w:rsidRPr="004017AB">
        <w:t>k</w:t>
      </w:r>
      <w:r>
        <w:t xml:space="preserve">emur: </w:t>
      </w:r>
      <w:r w:rsidRPr="004017AB">
        <w:t>„</w:t>
      </w:r>
      <w:r>
        <w:t>Stjórnarráð Íslands</w:t>
      </w:r>
      <w:r w:rsidRPr="004017AB">
        <w:t>“</w:t>
      </w:r>
      <w:r>
        <w:t>.</w:t>
      </w:r>
    </w:p>
    <w:p w14:paraId="2CB749B6" w14:textId="77777777" w:rsidR="00E653CD" w:rsidRPr="00484FE4" w:rsidRDefault="00E653CD" w:rsidP="00E653CD">
      <w:pPr>
        <w:ind w:firstLine="0"/>
      </w:pPr>
    </w:p>
    <w:p w14:paraId="0E938EB5" w14:textId="77777777" w:rsidR="00E653CD" w:rsidRDefault="00E653CD" w:rsidP="00E653CD">
      <w:pPr>
        <w:pStyle w:val="Greinarnmer"/>
      </w:pPr>
      <w:r>
        <w:lastRenderedPageBreak/>
        <w:t>7. gr.</w:t>
      </w:r>
    </w:p>
    <w:p w14:paraId="4DD66316" w14:textId="77777777" w:rsidR="00E653CD" w:rsidRPr="00B2695B" w:rsidRDefault="00E653CD" w:rsidP="00E653CD">
      <w:r w:rsidRPr="00B2695B">
        <w:t xml:space="preserve">Í stað 2. til 4. málsliðar </w:t>
      </w:r>
      <w:r>
        <w:t>14. gr.</w:t>
      </w:r>
      <w:r w:rsidRPr="00B2695B">
        <w:t xml:space="preserve"> </w:t>
      </w:r>
      <w:r>
        <w:t>stjórnarskrárinnar koma tveir nýir málsliðir, svohljóðandi</w:t>
      </w:r>
      <w:r w:rsidRPr="00B2695B">
        <w:t xml:space="preserve">: </w:t>
      </w:r>
    </w:p>
    <w:p w14:paraId="34A418B6" w14:textId="77777777" w:rsidR="00E653CD" w:rsidRPr="003D75EC" w:rsidRDefault="00E653CD" w:rsidP="00E653CD">
      <w:r w:rsidRPr="003D75EC">
        <w:t>Alþingi getur ákært ráðherra fyrir embættisrekstur þeirra eða falið ríkissaksóknara að fara með ákæruvaldið. Um ráðherraábyrgð, svo og rannsókn mála, útgáfu ákæru og meðferð mála fyrir dómi vegna ætlaðra embættisbrota ráðherra, skal kveðið á í lögum.</w:t>
      </w:r>
    </w:p>
    <w:p w14:paraId="1654D02B" w14:textId="77777777" w:rsidR="00E653CD" w:rsidRDefault="00E653CD" w:rsidP="00E653CD"/>
    <w:p w14:paraId="4EC2B120" w14:textId="77777777" w:rsidR="00E653CD" w:rsidRPr="00484FE4" w:rsidRDefault="00E653CD" w:rsidP="00E653CD">
      <w:pPr>
        <w:ind w:firstLine="0"/>
      </w:pPr>
    </w:p>
    <w:p w14:paraId="1E11F89C" w14:textId="77777777" w:rsidR="00E653CD" w:rsidRDefault="00E653CD" w:rsidP="00E653CD">
      <w:pPr>
        <w:pStyle w:val="Greinarnmer"/>
      </w:pPr>
      <w:r>
        <w:t>8. gr.</w:t>
      </w:r>
    </w:p>
    <w:p w14:paraId="327B464C" w14:textId="77777777" w:rsidR="00E653CD" w:rsidRDefault="00E653CD" w:rsidP="00E653CD">
      <w:r>
        <w:t>15</w:t>
      </w:r>
      <w:r w:rsidRPr="00484FE4">
        <w:t xml:space="preserve">. gr. </w:t>
      </w:r>
      <w:r>
        <w:t xml:space="preserve">stjórnarskrárinnar </w:t>
      </w:r>
      <w:r w:rsidRPr="00484FE4">
        <w:t>orð</w:t>
      </w:r>
      <w:r>
        <w:t>a</w:t>
      </w:r>
      <w:r w:rsidRPr="00484FE4">
        <w:t>st svo:</w:t>
      </w:r>
    </w:p>
    <w:p w14:paraId="3E44B258" w14:textId="77777777" w:rsidR="00E653CD" w:rsidRPr="00674489" w:rsidRDefault="00E653CD" w:rsidP="00E653CD">
      <w:r w:rsidRPr="00674489">
        <w:t>Forseti ákveður, án tillögu ráðherra, hverjum hann felur að mynda ríkisstjórn. Hann skipar forsætisráðherra og aðra ráðherra í ríkisstjórn og veitir þeim lausn. Hann ákveður tölu þeirra og skiptir störfum með þeim.</w:t>
      </w:r>
    </w:p>
    <w:p w14:paraId="6C7AA08C" w14:textId="77777777" w:rsidR="00E653CD" w:rsidRDefault="00E653CD" w:rsidP="00E653CD">
      <w:r w:rsidRPr="00674489">
        <w:t>Ríkisstjórn, svo og einstakir ráðherrar, skulu njóta stuðnings meirihluta Alþingis eða hlutleysis. Forseta er heimilt að óska eftir yfirlýsingu Alþingis um stuðning eða hlutleysi áður en ný ríkisstjórn er skipuð.</w:t>
      </w:r>
    </w:p>
    <w:p w14:paraId="376E1F1C" w14:textId="77777777" w:rsidR="00E653CD" w:rsidRPr="00484FE4" w:rsidRDefault="00E653CD" w:rsidP="00E653CD"/>
    <w:p w14:paraId="16AC3F94" w14:textId="77777777" w:rsidR="00E653CD" w:rsidRDefault="00E653CD" w:rsidP="00E653CD">
      <w:pPr>
        <w:pStyle w:val="Greinarnmer"/>
      </w:pPr>
      <w:r>
        <w:t>9. gr.</w:t>
      </w:r>
    </w:p>
    <w:p w14:paraId="690FD267" w14:textId="1471039F" w:rsidR="00E653CD" w:rsidRPr="00672394" w:rsidRDefault="00E653CD" w:rsidP="00E653CD">
      <w:r w:rsidRPr="00672394">
        <w:t xml:space="preserve">2. mgr. 16. gr. </w:t>
      </w:r>
      <w:r>
        <w:t xml:space="preserve">stjórnarskrárinnar </w:t>
      </w:r>
      <w:r w:rsidRPr="00672394">
        <w:t>orð</w:t>
      </w:r>
      <w:r>
        <w:t>a</w:t>
      </w:r>
      <w:r w:rsidRPr="00672394">
        <w:t>st svo:</w:t>
      </w:r>
      <w:r>
        <w:t xml:space="preserve"> </w:t>
      </w:r>
      <w:r w:rsidRPr="00672394">
        <w:t xml:space="preserve">Lög og mikilvægar stjórnarráðstafanir, </w:t>
      </w:r>
      <w:r>
        <w:t>þ</w:t>
      </w:r>
      <w:r w:rsidR="004E3E58">
        <w:t>ar á meðal</w:t>
      </w:r>
      <w:r w:rsidRPr="00672394">
        <w:t xml:space="preserve"> þjóðréttarsamninga sem horfa til breytinga á landslögum eða eru af öðrum ástæðum mikilvægir, skal bera upp fyrir forseta í ríkisráði. </w:t>
      </w:r>
    </w:p>
    <w:p w14:paraId="1F0797C1" w14:textId="77777777" w:rsidR="00E653CD" w:rsidRPr="00484FE4" w:rsidRDefault="00E653CD" w:rsidP="00E653CD">
      <w:pPr>
        <w:ind w:firstLine="0"/>
      </w:pPr>
    </w:p>
    <w:p w14:paraId="015594E5" w14:textId="77777777" w:rsidR="00E653CD" w:rsidRDefault="00E653CD" w:rsidP="00E653CD">
      <w:pPr>
        <w:pStyle w:val="Greinarnmer"/>
      </w:pPr>
      <w:r>
        <w:t>10. gr.</w:t>
      </w:r>
    </w:p>
    <w:p w14:paraId="4B3DB722" w14:textId="77777777" w:rsidR="00E653CD" w:rsidRDefault="00E653CD" w:rsidP="00E653CD">
      <w:r>
        <w:t>17</w:t>
      </w:r>
      <w:r w:rsidRPr="00484FE4">
        <w:t xml:space="preserve">. gr. </w:t>
      </w:r>
      <w:r>
        <w:t xml:space="preserve">stjórnarskrárinnar </w:t>
      </w:r>
      <w:r w:rsidRPr="00484FE4">
        <w:t>orð</w:t>
      </w:r>
      <w:r>
        <w:t>a</w:t>
      </w:r>
      <w:r w:rsidRPr="00484FE4">
        <w:t>st svo:</w:t>
      </w:r>
      <w:r>
        <w:t xml:space="preserve"> </w:t>
      </w:r>
    </w:p>
    <w:p w14:paraId="19A7780F" w14:textId="78EDCFBD" w:rsidR="00E653CD" w:rsidRDefault="00E653CD" w:rsidP="00E653CD">
      <w:r w:rsidRPr="00672394">
        <w:t>Ríkisstjórnarfundi skal halda um nýmæli í lögum, tillögur til Alþingis, önnur mikilvæg stjórnarmálefni og til samráðs um stefnumál ríki</w:t>
      </w:r>
      <w:r w:rsidR="00840765">
        <w:t>s</w:t>
      </w:r>
      <w:r w:rsidRPr="00672394">
        <w:t>stjórnarinnar. Svo skal og ríkisstjórnarfund halda, ef einhver ráðherra óskar að bera þar upp mál. Fundunum stjórnar forsætisráðherra</w:t>
      </w:r>
      <w:r>
        <w:t>. Hann hefur umsjón með störfum og stefnu ríkisstjórnar og</w:t>
      </w:r>
      <w:r w:rsidRPr="00672394">
        <w:t xml:space="preserve"> </w:t>
      </w:r>
      <w:r>
        <w:t>samhæfir aðgerðir ráðherra ef á þarf að halda.</w:t>
      </w:r>
    </w:p>
    <w:p w14:paraId="48B59B2F" w14:textId="77777777" w:rsidR="00E653CD" w:rsidRPr="00484FE4" w:rsidRDefault="00E653CD" w:rsidP="00E653CD"/>
    <w:p w14:paraId="7A0F3BB4" w14:textId="77777777" w:rsidR="00E653CD" w:rsidRDefault="00E653CD" w:rsidP="00E653CD">
      <w:pPr>
        <w:pStyle w:val="Greinarnmer"/>
      </w:pPr>
      <w:r>
        <w:t>11. gr.</w:t>
      </w:r>
    </w:p>
    <w:p w14:paraId="35725C3B" w14:textId="77777777" w:rsidR="00E653CD" w:rsidRDefault="00E653CD" w:rsidP="00E653CD">
      <w:r>
        <w:t>20</w:t>
      </w:r>
      <w:r w:rsidRPr="00484FE4">
        <w:t>. gr.</w:t>
      </w:r>
      <w:r>
        <w:t xml:space="preserve"> stjórnarskrárinnar</w:t>
      </w:r>
      <w:r w:rsidRPr="00484FE4">
        <w:t xml:space="preserve"> orð</w:t>
      </w:r>
      <w:r>
        <w:t>a</w:t>
      </w:r>
      <w:r w:rsidRPr="00484FE4">
        <w:t>st svo:</w:t>
      </w:r>
    </w:p>
    <w:p w14:paraId="7F491660" w14:textId="77777777" w:rsidR="00E653CD" w:rsidRPr="003B0016" w:rsidRDefault="00E653CD" w:rsidP="00E653CD">
      <w:r w:rsidRPr="003B0016">
        <w:t>Forseti Íslands, ráðherrar og önnur stjórnvöld veita þau embætti er lög mæla.</w:t>
      </w:r>
    </w:p>
    <w:p w14:paraId="31EC6400" w14:textId="77777777" w:rsidR="00E653CD" w:rsidRPr="006E6E28" w:rsidRDefault="00E653CD" w:rsidP="00E653CD">
      <w:r w:rsidRPr="003B0016">
        <w:t xml:space="preserve">Engan má skipa embættismann, nema hann hafi íslenskan ríkisborgararétt. Krefja má </w:t>
      </w:r>
      <w:r w:rsidRPr="006E6E28">
        <w:t>embættismann um eið eða drengskaparheit við stjórnarskrána.</w:t>
      </w:r>
      <w:r>
        <w:t xml:space="preserve"> </w:t>
      </w:r>
    </w:p>
    <w:p w14:paraId="54C5290B" w14:textId="77777777" w:rsidR="00E653CD" w:rsidRPr="003D75EC" w:rsidRDefault="00E653CD" w:rsidP="00E653CD">
      <w:r w:rsidRPr="003D75EC">
        <w:t>Með lögum skal að öðru leyti mæla fyrir um réttindi og skyldur embættismanna ríkisins og starfsgengisskilyrði þeirra. Þar skal komið á skipan sem tryggir að hæfni og málefnaleg sjónarmið ráði við veitingu embætta og starfslok embættismanna.</w:t>
      </w:r>
    </w:p>
    <w:p w14:paraId="2AC46B0E" w14:textId="77777777" w:rsidR="00E653CD" w:rsidRPr="003B0016" w:rsidRDefault="00E653CD" w:rsidP="00E653CD">
      <w:r w:rsidRPr="003B0016">
        <w:t>Með lögum má undanskilja ákveðna embættismannaflokka auk embættismanna þeirra, sem taldir eru í 61. gr. </w:t>
      </w:r>
    </w:p>
    <w:p w14:paraId="4C4BCCAE" w14:textId="77777777" w:rsidR="00E653CD" w:rsidRPr="00484FE4" w:rsidRDefault="00E653CD" w:rsidP="00E653CD">
      <w:pPr>
        <w:ind w:firstLine="0"/>
      </w:pPr>
    </w:p>
    <w:p w14:paraId="12F80BD3" w14:textId="77777777" w:rsidR="00E653CD" w:rsidRDefault="00E653CD" w:rsidP="00E653CD">
      <w:pPr>
        <w:pStyle w:val="Greinarnmer"/>
      </w:pPr>
      <w:r>
        <w:t>12. gr.</w:t>
      </w:r>
    </w:p>
    <w:p w14:paraId="50EA649C" w14:textId="76CDB546" w:rsidR="00E653CD" w:rsidRDefault="00E653CD" w:rsidP="00E653CD">
      <w:r>
        <w:t>22</w:t>
      </w:r>
      <w:r w:rsidRPr="00484FE4">
        <w:t xml:space="preserve">. gr. </w:t>
      </w:r>
      <w:r>
        <w:t xml:space="preserve">stjórnarskrárinnar, sbr. 3. gr. stjórnarskipunarlaga nr. 56/1991, </w:t>
      </w:r>
      <w:r w:rsidRPr="00484FE4">
        <w:t>orð</w:t>
      </w:r>
      <w:r>
        <w:t>a</w:t>
      </w:r>
      <w:r w:rsidRPr="00484FE4">
        <w:t>st svo:</w:t>
      </w:r>
    </w:p>
    <w:p w14:paraId="4B228F09" w14:textId="77777777" w:rsidR="00E653CD" w:rsidRDefault="00E653CD" w:rsidP="00E653CD">
      <w:r w:rsidRPr="003B0016">
        <w:t xml:space="preserve">Forseti </w:t>
      </w:r>
      <w:r>
        <w:t xml:space="preserve">Íslands </w:t>
      </w:r>
      <w:r w:rsidRPr="003B0016">
        <w:t xml:space="preserve">setur Alþingi þegar það kemur saman að nýju eftir </w:t>
      </w:r>
      <w:r>
        <w:t xml:space="preserve">almennar </w:t>
      </w:r>
      <w:r w:rsidRPr="003B0016">
        <w:t>alþingiskosningar.</w:t>
      </w:r>
    </w:p>
    <w:p w14:paraId="07D6285C" w14:textId="77777777" w:rsidR="00E653CD" w:rsidRDefault="00E653CD" w:rsidP="00E653CD">
      <w:pPr>
        <w:ind w:firstLine="0"/>
      </w:pPr>
    </w:p>
    <w:p w14:paraId="3DD70DF7" w14:textId="77777777" w:rsidR="00E653CD" w:rsidRDefault="00E653CD" w:rsidP="00E653CD">
      <w:pPr>
        <w:ind w:firstLine="0"/>
        <w:jc w:val="center"/>
      </w:pPr>
      <w:r>
        <w:t>13. gr.</w:t>
      </w:r>
    </w:p>
    <w:p w14:paraId="7E3F8D93" w14:textId="1F442F9C" w:rsidR="00E653CD" w:rsidRDefault="00E653CD" w:rsidP="00E653CD">
      <w:r>
        <w:t>23</w:t>
      </w:r>
      <w:r w:rsidRPr="00484FE4">
        <w:t xml:space="preserve">. gr. </w:t>
      </w:r>
      <w:r>
        <w:t xml:space="preserve">stjórnarskrárinnar, sbr. 4. gr. stjórnarskipunarlaga nr. 56/1991, </w:t>
      </w:r>
      <w:r w:rsidRPr="00484FE4">
        <w:t>orð</w:t>
      </w:r>
      <w:r>
        <w:t>a</w:t>
      </w:r>
      <w:r w:rsidRPr="00484FE4">
        <w:t>st svo:</w:t>
      </w:r>
    </w:p>
    <w:p w14:paraId="6727403A" w14:textId="77777777" w:rsidR="00E653CD" w:rsidRPr="003B0016" w:rsidRDefault="00E653CD" w:rsidP="00E653CD">
      <w:r w:rsidRPr="003B0016">
        <w:lastRenderedPageBreak/>
        <w:t xml:space="preserve">Enginn ráðherra getur setið í embætti eftir að Alþingi hefur samþykkt tillögu um vantraust. </w:t>
      </w:r>
    </w:p>
    <w:p w14:paraId="67D7ECC6" w14:textId="77777777" w:rsidR="00E653CD" w:rsidRDefault="00E653CD" w:rsidP="00E653CD">
      <w:r w:rsidRPr="003B0016">
        <w:t xml:space="preserve">Samþykki Alþingi vantraust á forsætisráðherra skal hann biðjast lausnar fyrir sig og ríkisstjórn sína. </w:t>
      </w:r>
    </w:p>
    <w:p w14:paraId="61A363DC" w14:textId="77777777" w:rsidR="00E653CD" w:rsidRDefault="00E653CD" w:rsidP="00E653CD">
      <w:r w:rsidRPr="003B0016">
        <w:t xml:space="preserve">Forsætisráðherra, sem beðist </w:t>
      </w:r>
      <w:r>
        <w:t>hefur</w:t>
      </w:r>
      <w:r w:rsidRPr="003B0016">
        <w:t xml:space="preserve"> lausnar, </w:t>
      </w:r>
      <w:r>
        <w:t xml:space="preserve">og ríkisstjórn hans </w:t>
      </w:r>
      <w:r w:rsidRPr="003B0016">
        <w:t xml:space="preserve">skulu sitja áfram </w:t>
      </w:r>
      <w:r>
        <w:t xml:space="preserve">sem starfsstjórn </w:t>
      </w:r>
      <w:r w:rsidRPr="003B0016">
        <w:t xml:space="preserve">þar til ný stjórn hefur verið skipuð, en ráðherrar </w:t>
      </w:r>
      <w:r>
        <w:t xml:space="preserve">í starfsstjórn skulu </w:t>
      </w:r>
      <w:r w:rsidRPr="003B0016">
        <w:t xml:space="preserve">aðeins taka þær ákvarðanir sem nauðsynlegar </w:t>
      </w:r>
      <w:r>
        <w:t>eru</w:t>
      </w:r>
      <w:r w:rsidRPr="003B0016">
        <w:t xml:space="preserve">. </w:t>
      </w:r>
    </w:p>
    <w:p w14:paraId="543AD965" w14:textId="77777777" w:rsidR="00E653CD" w:rsidRPr="00484FE4" w:rsidRDefault="00E653CD" w:rsidP="00E653CD"/>
    <w:p w14:paraId="70B2D5CC" w14:textId="77777777" w:rsidR="00E653CD" w:rsidRDefault="00E653CD" w:rsidP="00E653CD">
      <w:pPr>
        <w:pStyle w:val="Greinarnmer"/>
      </w:pPr>
      <w:r>
        <w:t>14. gr.</w:t>
      </w:r>
    </w:p>
    <w:p w14:paraId="17C0F8B6" w14:textId="40F0B3CB" w:rsidR="00E653CD" w:rsidRDefault="00E653CD" w:rsidP="00E653CD">
      <w:r>
        <w:t>Á 24. gr. stjórnarskrárinnar, sbr. 5. gr. stjórnarskipunarlaga nr. 56/1991, verði eftirfarandi breytingar:</w:t>
      </w:r>
    </w:p>
    <w:p w14:paraId="61120C7F" w14:textId="77777777" w:rsidR="00E653CD" w:rsidRDefault="00E653CD" w:rsidP="00E653CD">
      <w:pPr>
        <w:pStyle w:val="Mlsgreinlista"/>
        <w:numPr>
          <w:ilvl w:val="0"/>
          <w:numId w:val="20"/>
        </w:numPr>
      </w:pPr>
      <w:r>
        <w:t>Orðin „enda komi Alþingi saman eigi síðar en tíu vikum eftir að það var rofið“ í fyrri málslið falla á brott.</w:t>
      </w:r>
    </w:p>
    <w:p w14:paraId="0C764EB0" w14:textId="1DC46B69" w:rsidR="00E653CD" w:rsidRDefault="00DA3D98" w:rsidP="00E653CD">
      <w:pPr>
        <w:pStyle w:val="Mlsgreinlista"/>
        <w:numPr>
          <w:ilvl w:val="0"/>
          <w:numId w:val="20"/>
        </w:numPr>
      </w:pPr>
      <w:r>
        <w:t>Á e</w:t>
      </w:r>
      <w:r w:rsidR="00E653CD" w:rsidRPr="003B0016">
        <w:t xml:space="preserve">ftir </w:t>
      </w:r>
      <w:r w:rsidR="00E653CD">
        <w:t>fyrri</w:t>
      </w:r>
      <w:r w:rsidR="00E653CD" w:rsidRPr="003B0016">
        <w:t xml:space="preserve"> málslið k</w:t>
      </w:r>
      <w:r w:rsidR="00E653CD">
        <w:t>emur</w:t>
      </w:r>
      <w:r w:rsidR="00E653CD" w:rsidRPr="003B0016">
        <w:t xml:space="preserve"> nýr málsliður, svohljóðandi:</w:t>
      </w:r>
      <w:r w:rsidR="00E653CD">
        <w:t xml:space="preserve"> </w:t>
      </w:r>
      <w:r w:rsidR="00E653CD" w:rsidRPr="003B0016">
        <w:t xml:space="preserve">Áður en forseti tekur afstöðu til tillögu forsætisráðherra um þingrof skal hann leita eftir áliti forseta Alþingis og formanna þingflokka. </w:t>
      </w:r>
    </w:p>
    <w:p w14:paraId="31B574A7" w14:textId="77777777" w:rsidR="00E653CD" w:rsidRPr="00484FE4" w:rsidRDefault="00E653CD" w:rsidP="00E653CD">
      <w:pPr>
        <w:ind w:firstLine="0"/>
      </w:pPr>
    </w:p>
    <w:p w14:paraId="194905C9" w14:textId="77777777" w:rsidR="00E653CD" w:rsidRDefault="00E653CD" w:rsidP="00E653CD">
      <w:pPr>
        <w:pStyle w:val="Greinarnmer"/>
      </w:pPr>
      <w:r>
        <w:t>15. gr.</w:t>
      </w:r>
    </w:p>
    <w:p w14:paraId="216F9EB4" w14:textId="77777777" w:rsidR="00E653CD" w:rsidRDefault="00E653CD" w:rsidP="00E653CD">
      <w:r>
        <w:t>Við 26</w:t>
      </w:r>
      <w:r w:rsidRPr="00484FE4">
        <w:t xml:space="preserve">. gr. </w:t>
      </w:r>
      <w:r>
        <w:t>stjórnarskrárinnar bætist nýr málsliður, svohljóðandi: Atkvæðagreiðsla fer þó ekki fram felli Alþingi lögin úr gildi innan fimm daga frá synjun forseta.</w:t>
      </w:r>
    </w:p>
    <w:p w14:paraId="52281916" w14:textId="77777777" w:rsidR="00E653CD" w:rsidRPr="00484FE4" w:rsidRDefault="00E653CD" w:rsidP="00E653CD">
      <w:pPr>
        <w:ind w:firstLine="0"/>
      </w:pPr>
    </w:p>
    <w:p w14:paraId="67573596" w14:textId="77777777" w:rsidR="00E653CD" w:rsidRDefault="00E653CD" w:rsidP="00E653CD">
      <w:pPr>
        <w:pStyle w:val="Greinarnmer"/>
      </w:pPr>
      <w:r>
        <w:t>16. gr.</w:t>
      </w:r>
    </w:p>
    <w:p w14:paraId="17AF981B" w14:textId="77777777" w:rsidR="00E653CD" w:rsidRDefault="00E653CD" w:rsidP="00E653CD">
      <w:r>
        <w:t>27</w:t>
      </w:r>
      <w:r w:rsidRPr="00484FE4">
        <w:t xml:space="preserve">. gr. </w:t>
      </w:r>
      <w:r>
        <w:t xml:space="preserve">stjórnarskrárinnar </w:t>
      </w:r>
      <w:r w:rsidRPr="00484FE4">
        <w:t>orð</w:t>
      </w:r>
      <w:r>
        <w:t>a</w:t>
      </w:r>
      <w:r w:rsidRPr="00484FE4">
        <w:t>st svo:</w:t>
      </w:r>
    </w:p>
    <w:p w14:paraId="466B0AC4" w14:textId="77777777" w:rsidR="00E653CD" w:rsidRDefault="00E653CD" w:rsidP="00E653CD">
      <w:r w:rsidRPr="00FF6170">
        <w:t xml:space="preserve">Birta skal lög, </w:t>
      </w:r>
      <w:r>
        <w:t xml:space="preserve">almenn </w:t>
      </w:r>
      <w:r w:rsidRPr="00FF6170">
        <w:t xml:space="preserve">stjórnvaldsfyrirmæli og þjóðréttarsamninga sem ríkið hefur fullgilt. Um </w:t>
      </w:r>
      <w:proofErr w:type="spellStart"/>
      <w:r w:rsidRPr="00FF6170">
        <w:t>birtingarháttu</w:t>
      </w:r>
      <w:proofErr w:type="spellEnd"/>
      <w:r w:rsidRPr="00FF6170">
        <w:t xml:space="preserve"> og gildistöku fer að landslögum. </w:t>
      </w:r>
    </w:p>
    <w:p w14:paraId="1388DB92" w14:textId="77777777" w:rsidR="00E653CD" w:rsidRPr="00484FE4" w:rsidRDefault="00E653CD" w:rsidP="00E653CD"/>
    <w:p w14:paraId="045C25C4" w14:textId="77777777" w:rsidR="00E653CD" w:rsidRDefault="00E653CD" w:rsidP="00E653CD">
      <w:pPr>
        <w:pStyle w:val="Greinarnmer"/>
      </w:pPr>
      <w:r>
        <w:t>17. gr.</w:t>
      </w:r>
    </w:p>
    <w:p w14:paraId="5E218CBE" w14:textId="77777777" w:rsidR="00E653CD" w:rsidRPr="00FF6170" w:rsidRDefault="00E653CD" w:rsidP="00E653CD">
      <w:r>
        <w:t>Eftirfarandi breytingar verða á</w:t>
      </w:r>
      <w:r w:rsidRPr="00FF6170">
        <w:t xml:space="preserve"> 29. gr. </w:t>
      </w:r>
      <w:r>
        <w:t>stjórnarskrárinnar</w:t>
      </w:r>
      <w:r w:rsidRPr="00FF6170">
        <w:t>:</w:t>
      </w:r>
    </w:p>
    <w:p w14:paraId="48214C3C" w14:textId="77777777" w:rsidR="00E653CD" w:rsidRPr="00FF6170" w:rsidRDefault="00E653CD" w:rsidP="00E653CD">
      <w:r w:rsidRPr="00FF6170">
        <w:t xml:space="preserve">a. 1. málsliður </w:t>
      </w:r>
      <w:r>
        <w:t>fellur</w:t>
      </w:r>
      <w:r w:rsidRPr="00FF6170">
        <w:t xml:space="preserve"> </w:t>
      </w:r>
      <w:r>
        <w:t>brott</w:t>
      </w:r>
      <w:r w:rsidRPr="00FF6170">
        <w:t>.</w:t>
      </w:r>
    </w:p>
    <w:p w14:paraId="40767343" w14:textId="77777777" w:rsidR="00E653CD" w:rsidRDefault="00E653CD" w:rsidP="00E653CD">
      <w:r w:rsidRPr="00FF6170">
        <w:t>b. Í stað orðsins „Hann“ í upphafi 2. málsliðar k</w:t>
      </w:r>
      <w:r>
        <w:t xml:space="preserve">emur: </w:t>
      </w:r>
      <w:r w:rsidRPr="00FF6170">
        <w:t>„Forseti“.</w:t>
      </w:r>
    </w:p>
    <w:p w14:paraId="1B30A689" w14:textId="77777777" w:rsidR="00E653CD" w:rsidRDefault="00E653CD" w:rsidP="00E653CD">
      <w:r>
        <w:t xml:space="preserve">c. Orðin „saksókn né“ og „sem </w:t>
      </w:r>
      <w:proofErr w:type="spellStart"/>
      <w:r>
        <w:t>landsdómur</w:t>
      </w:r>
      <w:proofErr w:type="spellEnd"/>
      <w:r>
        <w:t xml:space="preserve"> hefur dæmt“ í 3. málslið falla brott.</w:t>
      </w:r>
    </w:p>
    <w:p w14:paraId="34719D67" w14:textId="77777777" w:rsidR="00E653CD" w:rsidRPr="00484FE4" w:rsidRDefault="00E653CD" w:rsidP="00E653CD">
      <w:pPr>
        <w:ind w:firstLine="0"/>
      </w:pPr>
    </w:p>
    <w:p w14:paraId="05B044C6" w14:textId="77777777" w:rsidR="00E653CD" w:rsidRDefault="00E653CD" w:rsidP="00E653CD">
      <w:pPr>
        <w:pStyle w:val="Greinarnmer"/>
      </w:pPr>
      <w:r>
        <w:t>18. gr.</w:t>
      </w:r>
    </w:p>
    <w:p w14:paraId="564B16ED" w14:textId="77777777" w:rsidR="00E653CD" w:rsidRDefault="00E653CD" w:rsidP="00E653CD">
      <w:r>
        <w:t>30</w:t>
      </w:r>
      <w:r w:rsidRPr="00484FE4">
        <w:t>. gr.</w:t>
      </w:r>
      <w:r>
        <w:t xml:space="preserve"> stjórnarskrárinnar</w:t>
      </w:r>
      <w:r w:rsidRPr="00484FE4">
        <w:t xml:space="preserve"> orð</w:t>
      </w:r>
      <w:r>
        <w:t>a</w:t>
      </w:r>
      <w:r w:rsidRPr="00484FE4">
        <w:t>st svo:</w:t>
      </w:r>
    </w:p>
    <w:p w14:paraId="19BB6861" w14:textId="77777777" w:rsidR="00E653CD" w:rsidRDefault="00E653CD" w:rsidP="00E653CD">
      <w:pPr>
        <w:rPr>
          <w:color w:val="242424"/>
          <w:shd w:val="clear" w:color="auto" w:fill="FFFFFF"/>
        </w:rPr>
      </w:pPr>
      <w:r w:rsidRPr="00FF6170">
        <w:t xml:space="preserve">Ríkissaksóknari er æðsti handhafi ákæruvaldsins. Hann </w:t>
      </w:r>
      <w:r>
        <w:t xml:space="preserve">skal </w:t>
      </w:r>
      <w:r>
        <w:rPr>
          <w:color w:val="242424"/>
          <w:shd w:val="clear" w:color="auto" w:fill="FFFFFF"/>
        </w:rPr>
        <w:t>í embættisverkum sínum fara einungis eftir lögunum.</w:t>
      </w:r>
    </w:p>
    <w:p w14:paraId="45A00264" w14:textId="77777777" w:rsidR="00E653CD" w:rsidRDefault="00E653CD" w:rsidP="00E653CD">
      <w:r w:rsidRPr="00746F82">
        <w:t>Forseti Íslands skipar ríkissaksóknara</w:t>
      </w:r>
      <w:r w:rsidRPr="00FF6170">
        <w:t xml:space="preserve"> og veitir honum lausn. Ríkissaksóknari skal njóta sömu verndar í starfi og dómarar.</w:t>
      </w:r>
    </w:p>
    <w:p w14:paraId="2688962A" w14:textId="77777777" w:rsidR="00E653CD" w:rsidRPr="00FF6170" w:rsidRDefault="00E653CD" w:rsidP="00E653CD">
      <w:r>
        <w:t>Að öðru leyti skal skipan ákæruvaldsins ákveðin með lögum.</w:t>
      </w:r>
    </w:p>
    <w:p w14:paraId="60F588F2" w14:textId="77777777" w:rsidR="00E653CD" w:rsidRDefault="00E653CD" w:rsidP="00E653CD">
      <w:pPr>
        <w:ind w:firstLine="0"/>
      </w:pPr>
    </w:p>
    <w:p w14:paraId="469394E3" w14:textId="77777777" w:rsidR="00E653CD" w:rsidRDefault="00E653CD" w:rsidP="00E653CD">
      <w:pPr>
        <w:pStyle w:val="Greinarnmer"/>
      </w:pPr>
      <w:r>
        <w:t>19. gr.</w:t>
      </w:r>
    </w:p>
    <w:p w14:paraId="26C3B4AA" w14:textId="2F302959" w:rsidR="00E653CD" w:rsidRPr="00564661" w:rsidRDefault="00E653CD" w:rsidP="00E653CD">
      <w:r>
        <w:t>35</w:t>
      </w:r>
      <w:r w:rsidRPr="00484FE4">
        <w:t xml:space="preserve">. gr. </w:t>
      </w:r>
      <w:r>
        <w:t xml:space="preserve">stjórnarskrárinnar, sbr. 9. gr. </w:t>
      </w:r>
      <w:r w:rsidRPr="00564661">
        <w:t>stjórnarskipunarlaga nr. 56/1991, orðast svo:</w:t>
      </w:r>
    </w:p>
    <w:p w14:paraId="3CF69C53" w14:textId="77777777" w:rsidR="00E653CD" w:rsidRPr="00564661" w:rsidRDefault="00E653CD" w:rsidP="00E653CD">
      <w:r w:rsidRPr="00564661">
        <w:t xml:space="preserve">Nýtt Alþingi skal koma saman eigi síðar en fjórða þriðjudag eftir almennar alþingiskosningar. </w:t>
      </w:r>
    </w:p>
    <w:p w14:paraId="5BD7E954" w14:textId="77777777" w:rsidR="00E653CD" w:rsidRPr="00564661" w:rsidRDefault="00E653CD" w:rsidP="00E653CD">
      <w:r w:rsidRPr="00564661">
        <w:t>Í lögum skal kveðið á um samkomudag reglulegs Alþingis ár hvert og skiptingu starfstíma þess í löggjafarþing.</w:t>
      </w:r>
    </w:p>
    <w:p w14:paraId="051F18CE" w14:textId="77777777" w:rsidR="00E653CD" w:rsidRDefault="00E653CD" w:rsidP="00E653CD">
      <w:r w:rsidRPr="00564661">
        <w:lastRenderedPageBreak/>
        <w:t>Alþingi getur frestað fundum sínum um tiltekinn tíma. Hafi fundum Alþingis verið frestað getur forseti Alþingis eigi að síður kvatt þingið saman til funda ef nauðsyn</w:t>
      </w:r>
      <w:r w:rsidRPr="00CD7253">
        <w:t xml:space="preserve"> ber til. Forseta Alþingis er </w:t>
      </w:r>
      <w:r>
        <w:t xml:space="preserve">það </w:t>
      </w:r>
      <w:r w:rsidRPr="00CD7253">
        <w:t xml:space="preserve">og skylt ef um það berst ósk frá meirihluta þingmanna eða ríkisstjórn. </w:t>
      </w:r>
    </w:p>
    <w:p w14:paraId="15074FC9" w14:textId="77777777" w:rsidR="00E653CD" w:rsidRDefault="00E653CD" w:rsidP="00E653CD"/>
    <w:p w14:paraId="548C874B" w14:textId="77777777" w:rsidR="00E653CD" w:rsidRDefault="00E653CD" w:rsidP="00E653CD">
      <w:pPr>
        <w:pStyle w:val="Greinarnmer"/>
      </w:pPr>
      <w:r>
        <w:t>20. gr.</w:t>
      </w:r>
    </w:p>
    <w:p w14:paraId="2E2F27B5" w14:textId="77777777" w:rsidR="00E653CD" w:rsidRPr="00CD7253" w:rsidRDefault="00E653CD" w:rsidP="00E653CD">
      <w:r>
        <w:t>Við</w:t>
      </w:r>
      <w:r w:rsidRPr="003B0016">
        <w:t xml:space="preserve"> </w:t>
      </w:r>
      <w:r>
        <w:t>44</w:t>
      </w:r>
      <w:r w:rsidRPr="003B0016">
        <w:t xml:space="preserve">. gr. </w:t>
      </w:r>
      <w:r>
        <w:t>stjórnarskrárinnar, sbr. 14. gr. stjórnarskipunarlaga nr. 56/1991, bætist</w:t>
      </w:r>
      <w:r w:rsidRPr="003B0016">
        <w:t xml:space="preserve"> nýr málsliður, svohljóðandi:</w:t>
      </w:r>
      <w:r>
        <w:t xml:space="preserve"> Frumvarp fellur sjálfkrafa niður í lok kjörtímabils nema kveðið sé á um annað í þingskaparlögum.</w:t>
      </w:r>
      <w:r w:rsidRPr="00CD7253">
        <w:t xml:space="preserve"> </w:t>
      </w:r>
    </w:p>
    <w:p w14:paraId="62130DF6" w14:textId="77777777" w:rsidR="00E653CD" w:rsidRDefault="00E653CD" w:rsidP="00E653CD">
      <w:pPr>
        <w:ind w:firstLine="0"/>
      </w:pPr>
    </w:p>
    <w:p w14:paraId="100B93F3" w14:textId="77777777" w:rsidR="00E653CD" w:rsidRDefault="00E653CD" w:rsidP="00E653CD">
      <w:pPr>
        <w:pStyle w:val="Greinarnmer"/>
      </w:pPr>
      <w:r>
        <w:t>21. gr.</w:t>
      </w:r>
    </w:p>
    <w:p w14:paraId="42E04490" w14:textId="77777777" w:rsidR="00E653CD" w:rsidRDefault="00E653CD" w:rsidP="00E653CD">
      <w:r>
        <w:t xml:space="preserve">Lög þessi öðlast þegar gildi. </w:t>
      </w:r>
    </w:p>
    <w:p w14:paraId="618509D1" w14:textId="6626C48A" w:rsidR="00E653CD" w:rsidRDefault="00E653CD" w:rsidP="00E55426">
      <w:r>
        <w:t>Þrátt fyrir 1. mgr. skal beita ákvæðum 3. og 4. gr. í fyrsta sinn er forseti Íslands er kjörinn eftir gildistöku laga þessara, þó þannig að næstu forsetakosningar skal halda í maí eða júní í lok kjörtímabils sitjandi forseta.</w:t>
      </w:r>
    </w:p>
    <w:p w14:paraId="5F0FF405" w14:textId="77777777" w:rsidR="00E653CD" w:rsidRPr="00E653CD" w:rsidRDefault="00E653CD" w:rsidP="00E55426"/>
    <w:p w14:paraId="61408F75" w14:textId="77777777" w:rsidR="001E7119" w:rsidRDefault="001E7119" w:rsidP="00E55426">
      <w:pPr>
        <w:ind w:firstLine="0"/>
      </w:pPr>
    </w:p>
    <w:p w14:paraId="7C2167C6" w14:textId="013BF531" w:rsidR="00C35574" w:rsidRDefault="00E71F27" w:rsidP="003F5CEE">
      <w:pPr>
        <w:pStyle w:val="Fyrirsgn-greinarger"/>
      </w:pPr>
      <w:r w:rsidRPr="001B6AC6">
        <w:t>Greinargerð</w:t>
      </w:r>
      <w:r>
        <w:t>.</w:t>
      </w:r>
    </w:p>
    <w:p w14:paraId="2897175C" w14:textId="77777777" w:rsidR="00D0740D" w:rsidRDefault="00E71F27" w:rsidP="00D0740D">
      <w:pPr>
        <w:pStyle w:val="Millifyrirsgn1"/>
      </w:pPr>
      <w:r>
        <w:t>1</w:t>
      </w:r>
      <w:r w:rsidR="00D0740D">
        <w:t xml:space="preserve">. Inngangur. </w:t>
      </w:r>
    </w:p>
    <w:p w14:paraId="4767E4C9" w14:textId="5263F39D" w:rsidR="00D0740D" w:rsidRDefault="00754139" w:rsidP="00D0740D">
      <w:pPr>
        <w:rPr>
          <w:color w:val="000000"/>
        </w:rPr>
      </w:pPr>
      <w:r w:rsidRPr="00B2695B">
        <w:rPr>
          <w:rFonts w:hint="eastAsia"/>
          <w:color w:val="000000"/>
        </w:rPr>
        <w:t>Í</w:t>
      </w:r>
      <w:r w:rsidRPr="00B2695B">
        <w:rPr>
          <w:color w:val="000000"/>
        </w:rPr>
        <w:t xml:space="preserve"> s</w:t>
      </w:r>
      <w:r w:rsidRPr="00B2695B">
        <w:rPr>
          <w:rFonts w:hint="eastAsia"/>
          <w:color w:val="000000"/>
        </w:rPr>
        <w:t>á</w:t>
      </w:r>
      <w:r w:rsidRPr="00B2695B">
        <w:rPr>
          <w:color w:val="000000"/>
        </w:rPr>
        <w:t>ttm</w:t>
      </w:r>
      <w:r w:rsidRPr="00B2695B">
        <w:rPr>
          <w:rFonts w:hint="eastAsia"/>
          <w:color w:val="000000"/>
        </w:rPr>
        <w:t>á</w:t>
      </w:r>
      <w:r w:rsidRPr="00B2695B">
        <w:rPr>
          <w:color w:val="000000"/>
        </w:rPr>
        <w:t>la Frams</w:t>
      </w:r>
      <w:r w:rsidRPr="00B2695B">
        <w:rPr>
          <w:rFonts w:hint="eastAsia"/>
          <w:color w:val="000000"/>
        </w:rPr>
        <w:t>ó</w:t>
      </w:r>
      <w:r w:rsidRPr="00B2695B">
        <w:rPr>
          <w:color w:val="000000"/>
        </w:rPr>
        <w:t>knarflokks, Sj</w:t>
      </w:r>
      <w:r w:rsidRPr="00B2695B">
        <w:rPr>
          <w:rFonts w:hint="eastAsia"/>
          <w:color w:val="000000"/>
        </w:rPr>
        <w:t>á</w:t>
      </w:r>
      <w:r w:rsidRPr="00B2695B">
        <w:rPr>
          <w:color w:val="000000"/>
        </w:rPr>
        <w:t>lfst</w:t>
      </w:r>
      <w:r w:rsidRPr="00B2695B">
        <w:rPr>
          <w:rFonts w:hint="eastAsia"/>
          <w:color w:val="000000"/>
        </w:rPr>
        <w:t>æð</w:t>
      </w:r>
      <w:r w:rsidRPr="00B2695B">
        <w:rPr>
          <w:color w:val="000000"/>
        </w:rPr>
        <w:t xml:space="preserve">isflokks og Vinstrihreyfingarinnar </w:t>
      </w:r>
      <w:r w:rsidR="00126FFB">
        <w:rPr>
          <w:color w:val="000000"/>
        </w:rPr>
        <w:t>–</w:t>
      </w:r>
      <w:r w:rsidRPr="00B2695B">
        <w:rPr>
          <w:color w:val="000000"/>
        </w:rPr>
        <w:t xml:space="preserve"> gr</w:t>
      </w:r>
      <w:r w:rsidRPr="00B2695B">
        <w:rPr>
          <w:rFonts w:hint="eastAsia"/>
          <w:color w:val="000000"/>
        </w:rPr>
        <w:t>æ</w:t>
      </w:r>
      <w:r w:rsidRPr="00B2695B">
        <w:rPr>
          <w:color w:val="000000"/>
        </w:rPr>
        <w:t>ns frambo</w:t>
      </w:r>
      <w:r w:rsidRPr="00B2695B">
        <w:rPr>
          <w:rFonts w:hint="eastAsia"/>
          <w:color w:val="000000"/>
        </w:rPr>
        <w:t>ð</w:t>
      </w:r>
      <w:r w:rsidRPr="00B2695B">
        <w:rPr>
          <w:color w:val="000000"/>
        </w:rPr>
        <w:t>s um r</w:t>
      </w:r>
      <w:r w:rsidRPr="00B2695B">
        <w:rPr>
          <w:rFonts w:hint="eastAsia"/>
          <w:color w:val="000000"/>
        </w:rPr>
        <w:t>í</w:t>
      </w:r>
      <w:r w:rsidRPr="00B2695B">
        <w:rPr>
          <w:color w:val="000000"/>
        </w:rPr>
        <w:t>kisstj</w:t>
      </w:r>
      <w:r w:rsidRPr="00B2695B">
        <w:rPr>
          <w:rFonts w:hint="eastAsia"/>
          <w:color w:val="000000"/>
        </w:rPr>
        <w:t>ó</w:t>
      </w:r>
      <w:r w:rsidRPr="00B2695B">
        <w:rPr>
          <w:color w:val="000000"/>
        </w:rPr>
        <w:t>rnarsamstarf og eflingu Al</w:t>
      </w:r>
      <w:r w:rsidRPr="00B2695B">
        <w:rPr>
          <w:rFonts w:hint="eastAsia"/>
          <w:color w:val="000000"/>
        </w:rPr>
        <w:t>þ</w:t>
      </w:r>
      <w:r w:rsidRPr="00B2695B">
        <w:rPr>
          <w:color w:val="000000"/>
        </w:rPr>
        <w:t>ingis fr</w:t>
      </w:r>
      <w:r w:rsidRPr="00B2695B">
        <w:rPr>
          <w:rFonts w:hint="eastAsia"/>
          <w:color w:val="000000"/>
        </w:rPr>
        <w:t>á</w:t>
      </w:r>
      <w:r w:rsidRPr="00B2695B">
        <w:rPr>
          <w:color w:val="000000"/>
        </w:rPr>
        <w:t xml:space="preserve"> </w:t>
      </w:r>
      <w:r w:rsidR="00126FFB">
        <w:rPr>
          <w:color w:val="000000"/>
        </w:rPr>
        <w:t>30. nóvember</w:t>
      </w:r>
      <w:r w:rsidR="00126FFB" w:rsidRPr="00B2695B">
        <w:rPr>
          <w:color w:val="000000"/>
        </w:rPr>
        <w:t xml:space="preserve"> </w:t>
      </w:r>
      <w:r w:rsidRPr="00B2695B">
        <w:rPr>
          <w:color w:val="000000"/>
        </w:rPr>
        <w:t>2017 segir a</w:t>
      </w:r>
      <w:r w:rsidRPr="00B2695B">
        <w:rPr>
          <w:rFonts w:hint="eastAsia"/>
          <w:color w:val="000000"/>
        </w:rPr>
        <w:t>ð</w:t>
      </w:r>
      <w:r w:rsidRPr="00B2695B">
        <w:rPr>
          <w:color w:val="000000"/>
        </w:rPr>
        <w:t xml:space="preserve"> halda eigi </w:t>
      </w:r>
      <w:r w:rsidRPr="00B2695B">
        <w:rPr>
          <w:rFonts w:hint="eastAsia"/>
          <w:color w:val="000000"/>
        </w:rPr>
        <w:t>á</w:t>
      </w:r>
      <w:r w:rsidRPr="00B2695B">
        <w:rPr>
          <w:color w:val="000000"/>
        </w:rPr>
        <w:t>fram heildarendursko</w:t>
      </w:r>
      <w:r w:rsidRPr="00B2695B">
        <w:rPr>
          <w:rFonts w:hint="eastAsia"/>
          <w:color w:val="000000"/>
        </w:rPr>
        <w:t>ð</w:t>
      </w:r>
      <w:r w:rsidRPr="00B2695B">
        <w:rPr>
          <w:color w:val="000000"/>
        </w:rPr>
        <w:t>un stj</w:t>
      </w:r>
      <w:r w:rsidRPr="00B2695B">
        <w:rPr>
          <w:rFonts w:hint="eastAsia"/>
          <w:color w:val="000000"/>
        </w:rPr>
        <w:t>ó</w:t>
      </w:r>
      <w:r w:rsidRPr="00B2695B">
        <w:rPr>
          <w:color w:val="000000"/>
        </w:rPr>
        <w:t>rnarskr</w:t>
      </w:r>
      <w:r w:rsidRPr="00B2695B">
        <w:rPr>
          <w:rFonts w:hint="eastAsia"/>
          <w:color w:val="000000"/>
        </w:rPr>
        <w:t>á</w:t>
      </w:r>
      <w:r w:rsidRPr="00B2695B">
        <w:rPr>
          <w:color w:val="000000"/>
        </w:rPr>
        <w:t xml:space="preserve">rinnar </w:t>
      </w:r>
      <w:r w:rsidRPr="00B2695B">
        <w:rPr>
          <w:rFonts w:hint="eastAsia"/>
          <w:color w:val="000000"/>
        </w:rPr>
        <w:t>í</w:t>
      </w:r>
      <w:r w:rsidRPr="00B2695B">
        <w:rPr>
          <w:color w:val="000000"/>
        </w:rPr>
        <w:t xml:space="preserve"> </w:t>
      </w:r>
      <w:r w:rsidRPr="00B2695B">
        <w:rPr>
          <w:rFonts w:hint="eastAsia"/>
          <w:color w:val="000000"/>
        </w:rPr>
        <w:t>þ</w:t>
      </w:r>
      <w:r w:rsidRPr="00B2695B">
        <w:rPr>
          <w:color w:val="000000"/>
        </w:rPr>
        <w:t>verp</w:t>
      </w:r>
      <w:r w:rsidRPr="00B2695B">
        <w:rPr>
          <w:rFonts w:hint="eastAsia"/>
          <w:color w:val="000000"/>
        </w:rPr>
        <w:t>ó</w:t>
      </w:r>
      <w:r w:rsidRPr="00B2695B">
        <w:rPr>
          <w:color w:val="000000"/>
        </w:rPr>
        <w:t>lit</w:t>
      </w:r>
      <w:r w:rsidRPr="00B2695B">
        <w:rPr>
          <w:rFonts w:hint="eastAsia"/>
          <w:color w:val="000000"/>
        </w:rPr>
        <w:t>í</w:t>
      </w:r>
      <w:r w:rsidRPr="00B2695B">
        <w:rPr>
          <w:color w:val="000000"/>
        </w:rPr>
        <w:t>sku samstarfi me</w:t>
      </w:r>
      <w:r w:rsidRPr="00B2695B">
        <w:rPr>
          <w:rFonts w:hint="eastAsia"/>
          <w:color w:val="000000"/>
        </w:rPr>
        <w:t>ð</w:t>
      </w:r>
      <w:r w:rsidRPr="00B2695B">
        <w:rPr>
          <w:color w:val="000000"/>
        </w:rPr>
        <w:t xml:space="preserve"> a</w:t>
      </w:r>
      <w:r w:rsidRPr="00B2695B">
        <w:rPr>
          <w:rFonts w:hint="eastAsia"/>
          <w:color w:val="000000"/>
        </w:rPr>
        <w:t>ð</w:t>
      </w:r>
      <w:r w:rsidRPr="00B2695B">
        <w:rPr>
          <w:color w:val="000000"/>
        </w:rPr>
        <w:t xml:space="preserve">komu </w:t>
      </w:r>
      <w:r w:rsidRPr="00B2695B">
        <w:rPr>
          <w:rFonts w:hint="eastAsia"/>
          <w:color w:val="000000"/>
        </w:rPr>
        <w:t>þ</w:t>
      </w:r>
      <w:r w:rsidRPr="00B2695B">
        <w:rPr>
          <w:color w:val="000000"/>
        </w:rPr>
        <w:t>j</w:t>
      </w:r>
      <w:r w:rsidRPr="00B2695B">
        <w:rPr>
          <w:rFonts w:hint="eastAsia"/>
          <w:color w:val="000000"/>
        </w:rPr>
        <w:t>óð</w:t>
      </w:r>
      <w:r w:rsidRPr="00B2695B">
        <w:rPr>
          <w:color w:val="000000"/>
        </w:rPr>
        <w:t xml:space="preserve">arinnar. </w:t>
      </w:r>
      <w:r>
        <w:rPr>
          <w:color w:val="000000"/>
        </w:rPr>
        <w:t xml:space="preserve">Formenn þeirra stjórnmálaflokka sem sæti eiga á Alþingi hafa hist reglulega á kjörtímabilinu. </w:t>
      </w:r>
      <w:r w:rsidR="00C41FE1">
        <w:rPr>
          <w:color w:val="000000"/>
        </w:rPr>
        <w:t>Miðað er</w:t>
      </w:r>
      <w:r>
        <w:rPr>
          <w:color w:val="000000"/>
        </w:rPr>
        <w:t xml:space="preserve"> við að </w:t>
      </w:r>
      <w:r w:rsidRPr="00B2695B">
        <w:rPr>
          <w:color w:val="000000"/>
        </w:rPr>
        <w:t>stj</w:t>
      </w:r>
      <w:r w:rsidRPr="00B2695B">
        <w:rPr>
          <w:rFonts w:hint="eastAsia"/>
          <w:color w:val="000000"/>
        </w:rPr>
        <w:t>ó</w:t>
      </w:r>
      <w:r w:rsidRPr="00B2695B">
        <w:rPr>
          <w:color w:val="000000"/>
        </w:rPr>
        <w:t>rnarskr</w:t>
      </w:r>
      <w:r w:rsidRPr="00B2695B">
        <w:rPr>
          <w:rFonts w:hint="eastAsia"/>
          <w:color w:val="000000"/>
        </w:rPr>
        <w:t>á</w:t>
      </w:r>
      <w:r w:rsidR="004B2E2A">
        <w:rPr>
          <w:color w:val="000000"/>
        </w:rPr>
        <w:t>in</w:t>
      </w:r>
      <w:r w:rsidRPr="00B2695B">
        <w:rPr>
          <w:color w:val="000000"/>
        </w:rPr>
        <w:t xml:space="preserve"> ver</w:t>
      </w:r>
      <w:r w:rsidRPr="00B2695B">
        <w:rPr>
          <w:rFonts w:hint="eastAsia"/>
          <w:color w:val="000000"/>
        </w:rPr>
        <w:t>ð</w:t>
      </w:r>
      <w:r w:rsidRPr="00B2695B">
        <w:rPr>
          <w:color w:val="000000"/>
        </w:rPr>
        <w:t>i endursko</w:t>
      </w:r>
      <w:r w:rsidRPr="00B2695B">
        <w:rPr>
          <w:rFonts w:hint="eastAsia"/>
          <w:color w:val="000000"/>
        </w:rPr>
        <w:t>ð</w:t>
      </w:r>
      <w:r w:rsidRPr="00B2695B">
        <w:rPr>
          <w:color w:val="000000"/>
        </w:rPr>
        <w:t>u</w:t>
      </w:r>
      <w:r w:rsidRPr="00B2695B">
        <w:rPr>
          <w:rFonts w:hint="eastAsia"/>
          <w:color w:val="000000"/>
        </w:rPr>
        <w:t>ð</w:t>
      </w:r>
      <w:r w:rsidRPr="00B2695B">
        <w:rPr>
          <w:color w:val="000000"/>
        </w:rPr>
        <w:t xml:space="preserve"> </w:t>
      </w:r>
      <w:r w:rsidRPr="00B2695B">
        <w:rPr>
          <w:rFonts w:hint="eastAsia"/>
          <w:color w:val="000000"/>
        </w:rPr>
        <w:t>í</w:t>
      </w:r>
      <w:r w:rsidRPr="00B2695B">
        <w:rPr>
          <w:color w:val="000000"/>
        </w:rPr>
        <w:t xml:space="preserve"> heild </w:t>
      </w:r>
      <w:r w:rsidRPr="00B2695B">
        <w:rPr>
          <w:rFonts w:hint="eastAsia"/>
          <w:color w:val="000000"/>
        </w:rPr>
        <w:t>á</w:t>
      </w:r>
      <w:r w:rsidRPr="00B2695B">
        <w:rPr>
          <w:color w:val="000000"/>
        </w:rPr>
        <w:t xml:space="preserve"> </w:t>
      </w:r>
      <w:r w:rsidRPr="00B2695B">
        <w:rPr>
          <w:rFonts w:hint="eastAsia"/>
          <w:color w:val="000000"/>
        </w:rPr>
        <w:t>þ</w:t>
      </w:r>
      <w:r w:rsidRPr="00B2695B">
        <w:rPr>
          <w:color w:val="000000"/>
        </w:rPr>
        <w:t xml:space="preserve">essu </w:t>
      </w:r>
      <w:r w:rsidR="00C41FE1" w:rsidRPr="00B2695B">
        <w:rPr>
          <w:color w:val="000000"/>
        </w:rPr>
        <w:t>kj</w:t>
      </w:r>
      <w:r w:rsidR="00C41FE1" w:rsidRPr="00B2695B">
        <w:rPr>
          <w:rFonts w:hint="eastAsia"/>
          <w:color w:val="000000"/>
        </w:rPr>
        <w:t>ö</w:t>
      </w:r>
      <w:r w:rsidR="00C41FE1" w:rsidRPr="00B2695B">
        <w:rPr>
          <w:color w:val="000000"/>
        </w:rPr>
        <w:t>rt</w:t>
      </w:r>
      <w:r w:rsidR="00C41FE1" w:rsidRPr="00B2695B">
        <w:rPr>
          <w:rFonts w:hint="eastAsia"/>
          <w:color w:val="000000"/>
        </w:rPr>
        <w:t>í</w:t>
      </w:r>
      <w:r w:rsidR="00C41FE1" w:rsidRPr="00B2695B">
        <w:rPr>
          <w:color w:val="000000"/>
        </w:rPr>
        <w:t xml:space="preserve">mabili </w:t>
      </w:r>
      <w:r w:rsidRPr="00B2695B">
        <w:rPr>
          <w:color w:val="000000"/>
        </w:rPr>
        <w:t xml:space="preserve">og </w:t>
      </w:r>
      <w:r w:rsidR="00C41FE1">
        <w:rPr>
          <w:color w:val="000000"/>
        </w:rPr>
        <w:t xml:space="preserve">því </w:t>
      </w:r>
      <w:r w:rsidRPr="00B2695B">
        <w:rPr>
          <w:color w:val="000000"/>
        </w:rPr>
        <w:t>n</w:t>
      </w:r>
      <w:r w:rsidRPr="00B2695B">
        <w:rPr>
          <w:rFonts w:hint="eastAsia"/>
          <w:color w:val="000000"/>
        </w:rPr>
        <w:t>æ</w:t>
      </w:r>
      <w:r w:rsidRPr="00B2695B">
        <w:rPr>
          <w:color w:val="000000"/>
        </w:rPr>
        <w:t>sta. Markmi</w:t>
      </w:r>
      <w:r w:rsidRPr="00B2695B">
        <w:rPr>
          <w:rFonts w:hint="eastAsia"/>
          <w:color w:val="000000"/>
        </w:rPr>
        <w:t>ð</w:t>
      </w:r>
      <w:r w:rsidRPr="00B2695B">
        <w:rPr>
          <w:color w:val="000000"/>
        </w:rPr>
        <w:t>i</w:t>
      </w:r>
      <w:r w:rsidRPr="00B2695B">
        <w:rPr>
          <w:rFonts w:hint="eastAsia"/>
          <w:color w:val="000000"/>
        </w:rPr>
        <w:t>ð</w:t>
      </w:r>
      <w:r w:rsidRPr="00B2695B">
        <w:rPr>
          <w:color w:val="000000"/>
        </w:rPr>
        <w:t xml:space="preserve"> er a</w:t>
      </w:r>
      <w:r w:rsidRPr="00B2695B">
        <w:rPr>
          <w:rFonts w:hint="eastAsia"/>
          <w:color w:val="000000"/>
        </w:rPr>
        <w:t>ð</w:t>
      </w:r>
      <w:r w:rsidRPr="00B2695B">
        <w:rPr>
          <w:color w:val="000000"/>
        </w:rPr>
        <w:t xml:space="preserve"> </w:t>
      </w:r>
      <w:r w:rsidRPr="00B2695B">
        <w:rPr>
          <w:rFonts w:hint="eastAsia"/>
          <w:color w:val="000000"/>
        </w:rPr>
        <w:t>þ</w:t>
      </w:r>
      <w:r w:rsidRPr="00B2695B">
        <w:rPr>
          <w:color w:val="000000"/>
        </w:rPr>
        <w:t xml:space="preserve">egar </w:t>
      </w:r>
      <w:r w:rsidRPr="00B2695B">
        <w:rPr>
          <w:rFonts w:hint="eastAsia"/>
          <w:color w:val="000000"/>
        </w:rPr>
        <w:t>þ</w:t>
      </w:r>
      <w:r w:rsidRPr="00B2695B">
        <w:rPr>
          <w:color w:val="000000"/>
        </w:rPr>
        <w:t>essari heildst</w:t>
      </w:r>
      <w:r w:rsidRPr="00B2695B">
        <w:rPr>
          <w:rFonts w:hint="eastAsia"/>
          <w:color w:val="000000"/>
        </w:rPr>
        <w:t>æð</w:t>
      </w:r>
      <w:r w:rsidRPr="00B2695B">
        <w:rPr>
          <w:color w:val="000000"/>
        </w:rPr>
        <w:t>u yfirfer</w:t>
      </w:r>
      <w:r w:rsidRPr="00B2695B">
        <w:rPr>
          <w:rFonts w:hint="eastAsia"/>
          <w:color w:val="000000"/>
        </w:rPr>
        <w:t>ð</w:t>
      </w:r>
      <w:r w:rsidRPr="00B2695B">
        <w:rPr>
          <w:color w:val="000000"/>
        </w:rPr>
        <w:t xml:space="preserve"> ver</w:t>
      </w:r>
      <w:r w:rsidRPr="00B2695B">
        <w:rPr>
          <w:rFonts w:hint="eastAsia"/>
          <w:color w:val="000000"/>
        </w:rPr>
        <w:t>ð</w:t>
      </w:r>
      <w:r w:rsidRPr="00B2695B">
        <w:rPr>
          <w:color w:val="000000"/>
        </w:rPr>
        <w:t>i loki</w:t>
      </w:r>
      <w:r w:rsidRPr="00B2695B">
        <w:rPr>
          <w:rFonts w:hint="eastAsia"/>
          <w:color w:val="000000"/>
        </w:rPr>
        <w:t>ð</w:t>
      </w:r>
      <w:r w:rsidRPr="00B2695B">
        <w:rPr>
          <w:color w:val="000000"/>
        </w:rPr>
        <w:t xml:space="preserve"> endurspegli stj</w:t>
      </w:r>
      <w:r w:rsidRPr="00B2695B">
        <w:rPr>
          <w:rFonts w:hint="eastAsia"/>
          <w:color w:val="000000"/>
        </w:rPr>
        <w:t>ó</w:t>
      </w:r>
      <w:r w:rsidRPr="00B2695B">
        <w:rPr>
          <w:color w:val="000000"/>
        </w:rPr>
        <w:t>rnarskr</w:t>
      </w:r>
      <w:r w:rsidRPr="00B2695B">
        <w:rPr>
          <w:rFonts w:hint="eastAsia"/>
          <w:color w:val="000000"/>
        </w:rPr>
        <w:t>á</w:t>
      </w:r>
      <w:r w:rsidR="00321FAC">
        <w:rPr>
          <w:color w:val="000000"/>
        </w:rPr>
        <w:t xml:space="preserve"> lýðveldisins Íslands</w:t>
      </w:r>
      <w:r w:rsidRPr="00B2695B">
        <w:rPr>
          <w:color w:val="000000"/>
        </w:rPr>
        <w:t xml:space="preserve"> sem best sameiginleg grunngildi </w:t>
      </w:r>
      <w:r w:rsidRPr="00B2695B">
        <w:rPr>
          <w:rFonts w:hint="eastAsia"/>
          <w:color w:val="000000"/>
        </w:rPr>
        <w:t>þ</w:t>
      </w:r>
      <w:r w:rsidRPr="00B2695B">
        <w:rPr>
          <w:color w:val="000000"/>
        </w:rPr>
        <w:t>j</w:t>
      </w:r>
      <w:r w:rsidRPr="00B2695B">
        <w:rPr>
          <w:rFonts w:hint="eastAsia"/>
          <w:color w:val="000000"/>
        </w:rPr>
        <w:t>óð</w:t>
      </w:r>
      <w:r w:rsidRPr="00B2695B">
        <w:rPr>
          <w:color w:val="000000"/>
        </w:rPr>
        <w:t>arinnar og renni traustum sto</w:t>
      </w:r>
      <w:r w:rsidRPr="00B2695B">
        <w:rPr>
          <w:rFonts w:hint="eastAsia"/>
          <w:color w:val="000000"/>
        </w:rPr>
        <w:t>ð</w:t>
      </w:r>
      <w:r w:rsidRPr="00B2695B">
        <w:rPr>
          <w:color w:val="000000"/>
        </w:rPr>
        <w:t>um undir l</w:t>
      </w:r>
      <w:r w:rsidRPr="00B2695B">
        <w:rPr>
          <w:rFonts w:hint="eastAsia"/>
          <w:color w:val="000000"/>
        </w:rPr>
        <w:t>ýð</w:t>
      </w:r>
      <w:r w:rsidRPr="00B2695B">
        <w:rPr>
          <w:color w:val="000000"/>
        </w:rPr>
        <w:t>r</w:t>
      </w:r>
      <w:r w:rsidRPr="00B2695B">
        <w:rPr>
          <w:rFonts w:hint="eastAsia"/>
          <w:color w:val="000000"/>
        </w:rPr>
        <w:t>æð</w:t>
      </w:r>
      <w:r w:rsidRPr="00B2695B">
        <w:rPr>
          <w:color w:val="000000"/>
        </w:rPr>
        <w:t>islegt r</w:t>
      </w:r>
      <w:r w:rsidRPr="00B2695B">
        <w:rPr>
          <w:rFonts w:hint="eastAsia"/>
          <w:color w:val="000000"/>
        </w:rPr>
        <w:t>é</w:t>
      </w:r>
      <w:r w:rsidRPr="00B2695B">
        <w:rPr>
          <w:color w:val="000000"/>
        </w:rPr>
        <w:t>ttarr</w:t>
      </w:r>
      <w:r w:rsidRPr="00B2695B">
        <w:rPr>
          <w:rFonts w:hint="eastAsia"/>
          <w:color w:val="000000"/>
        </w:rPr>
        <w:t>í</w:t>
      </w:r>
      <w:r w:rsidRPr="00B2695B">
        <w:rPr>
          <w:color w:val="000000"/>
        </w:rPr>
        <w:t xml:space="preserve">ki </w:t>
      </w:r>
      <w:r w:rsidRPr="00B2695B">
        <w:rPr>
          <w:rFonts w:hint="eastAsia"/>
          <w:color w:val="000000"/>
        </w:rPr>
        <w:t>þ</w:t>
      </w:r>
      <w:r w:rsidRPr="00B2695B">
        <w:rPr>
          <w:color w:val="000000"/>
        </w:rPr>
        <w:t>ar sem vernd mannr</w:t>
      </w:r>
      <w:r w:rsidRPr="00B2695B">
        <w:rPr>
          <w:rFonts w:hint="eastAsia"/>
          <w:color w:val="000000"/>
        </w:rPr>
        <w:t>é</w:t>
      </w:r>
      <w:r w:rsidRPr="00B2695B">
        <w:rPr>
          <w:color w:val="000000"/>
        </w:rPr>
        <w:t>ttinda er trygg</w:t>
      </w:r>
      <w:r w:rsidRPr="00B2695B">
        <w:rPr>
          <w:rFonts w:hint="eastAsia"/>
          <w:color w:val="000000"/>
        </w:rPr>
        <w:t>ð</w:t>
      </w:r>
      <w:r w:rsidRPr="00B2695B">
        <w:rPr>
          <w:color w:val="000000"/>
        </w:rPr>
        <w:t>.</w:t>
      </w:r>
      <w:r>
        <w:rPr>
          <w:color w:val="000000"/>
        </w:rPr>
        <w:t xml:space="preserve"> </w:t>
      </w:r>
    </w:p>
    <w:p w14:paraId="4C3D9D27" w14:textId="452C5C13" w:rsidR="00754139" w:rsidRDefault="00754139" w:rsidP="00D0740D">
      <w:pPr>
        <w:rPr>
          <w:color w:val="000000"/>
        </w:rPr>
      </w:pPr>
      <w:r>
        <w:rPr>
          <w:color w:val="000000"/>
        </w:rPr>
        <w:t xml:space="preserve">Samkvæmt þeirri áætlun sem unnið hefur verið eftir skal II. kafli stjórnarskrárinnar </w:t>
      </w:r>
      <w:r w:rsidR="00310264">
        <w:rPr>
          <w:color w:val="000000"/>
        </w:rPr>
        <w:t xml:space="preserve">um forseta og framkvæmdarvald </w:t>
      </w:r>
      <w:r>
        <w:rPr>
          <w:color w:val="000000"/>
        </w:rPr>
        <w:t>endurskoðaðu</w:t>
      </w:r>
      <w:bookmarkStart w:id="2" w:name="_GoBack"/>
      <w:bookmarkEnd w:id="2"/>
      <w:r>
        <w:rPr>
          <w:color w:val="000000"/>
        </w:rPr>
        <w:t>r á þessu kjörtímabili. Formennirnir fengu Ragnhildi Helgadóttur prófessor til að</w:t>
      </w:r>
      <w:r w:rsidR="00310264">
        <w:rPr>
          <w:color w:val="000000"/>
        </w:rPr>
        <w:t xml:space="preserve"> benda á leiðir til að uppfæra kaflann til samræmis við réttarþróun og framkvæmd. Í kjölfarið var Skúli Magnússon héraðsdómari </w:t>
      </w:r>
      <w:r w:rsidR="008E6B2E">
        <w:rPr>
          <w:color w:val="000000"/>
        </w:rPr>
        <w:t xml:space="preserve">og dósent </w:t>
      </w:r>
      <w:r w:rsidR="00310264">
        <w:rPr>
          <w:color w:val="000000"/>
        </w:rPr>
        <w:t xml:space="preserve">fenginn til að semja frumvarp til stjórnarskipunarlaga </w:t>
      </w:r>
      <w:r w:rsidR="008716C6">
        <w:rPr>
          <w:color w:val="000000"/>
        </w:rPr>
        <w:t>í samráði við formenn flokkanna</w:t>
      </w:r>
      <w:r w:rsidR="00321FAC">
        <w:rPr>
          <w:color w:val="000000"/>
        </w:rPr>
        <w:t>,</w:t>
      </w:r>
      <w:r w:rsidR="008716C6">
        <w:rPr>
          <w:color w:val="000000"/>
        </w:rPr>
        <w:t xml:space="preserve"> </w:t>
      </w:r>
      <w:r w:rsidR="00310264">
        <w:rPr>
          <w:color w:val="000000"/>
        </w:rPr>
        <w:t xml:space="preserve">sem fæli í sér tilteknar afmarkaðar umbætur. </w:t>
      </w:r>
    </w:p>
    <w:p w14:paraId="01060649" w14:textId="5F85BA15" w:rsidR="001E32B3" w:rsidRPr="00ED042D" w:rsidRDefault="00B02FA2" w:rsidP="00ED042D">
      <w:pPr>
        <w:rPr>
          <w:color w:val="000000"/>
        </w:rPr>
      </w:pPr>
      <w:r>
        <w:rPr>
          <w:color w:val="000000"/>
        </w:rPr>
        <w:t>Í tengslum við stjórnarskrárendurskoðunina vann Félagsvísindastofnun Háskóla Íslands könnun á viðhorf</w:t>
      </w:r>
      <w:r w:rsidR="002737F4">
        <w:rPr>
          <w:color w:val="000000"/>
        </w:rPr>
        <w:t>i</w:t>
      </w:r>
      <w:r>
        <w:rPr>
          <w:color w:val="000000"/>
        </w:rPr>
        <w:t xml:space="preserve"> almennings til stjórnarskrárinnar sumarið 2019</w:t>
      </w:r>
      <w:r w:rsidR="007D364A">
        <w:rPr>
          <w:color w:val="000000"/>
        </w:rPr>
        <w:t>.</w:t>
      </w:r>
      <w:r>
        <w:rPr>
          <w:color w:val="000000"/>
        </w:rPr>
        <w:t xml:space="preserve"> </w:t>
      </w:r>
      <w:r w:rsidR="007D364A">
        <w:rPr>
          <w:color w:val="000000"/>
        </w:rPr>
        <w:t>Í</w:t>
      </w:r>
      <w:r>
        <w:rPr>
          <w:color w:val="000000"/>
        </w:rPr>
        <w:t xml:space="preserve"> framhaldinu</w:t>
      </w:r>
      <w:r w:rsidR="000F4E8D">
        <w:rPr>
          <w:color w:val="000000"/>
        </w:rPr>
        <w:t xml:space="preserve"> fór </w:t>
      </w:r>
      <w:r w:rsidR="007D364A">
        <w:rPr>
          <w:color w:val="000000"/>
        </w:rPr>
        <w:t xml:space="preserve">fram umræðufundur </w:t>
      </w:r>
      <w:r w:rsidR="000F4E8D">
        <w:rPr>
          <w:color w:val="000000"/>
        </w:rPr>
        <w:t>í nóvember sama ár</w:t>
      </w:r>
      <w:r>
        <w:rPr>
          <w:color w:val="000000"/>
        </w:rPr>
        <w:t xml:space="preserve">. Hafa niðurstöðurnar </w:t>
      </w:r>
      <w:r w:rsidR="008716C6">
        <w:rPr>
          <w:color w:val="000000"/>
        </w:rPr>
        <w:t xml:space="preserve">einnig </w:t>
      </w:r>
      <w:r>
        <w:rPr>
          <w:color w:val="000000"/>
        </w:rPr>
        <w:t xml:space="preserve">verið hafðar til hliðsjónar við mótun þeirra breytingartillagna sem finna má í frumvarpi þessu. </w:t>
      </w:r>
    </w:p>
    <w:p w14:paraId="77C0CDFB" w14:textId="77777777" w:rsidR="00D0740D" w:rsidRDefault="00D0740D" w:rsidP="00D0740D"/>
    <w:p w14:paraId="3AAB03A8" w14:textId="77777777" w:rsidR="00D0740D" w:rsidRDefault="00E71F27" w:rsidP="00D0740D">
      <w:pPr>
        <w:pStyle w:val="Millifyrirsgn1"/>
      </w:pPr>
      <w:r>
        <w:t>2</w:t>
      </w:r>
      <w:r w:rsidR="00D0740D">
        <w:t xml:space="preserve">. Tilefni og nauðsyn lagasetningar. </w:t>
      </w:r>
    </w:p>
    <w:p w14:paraId="37466183" w14:textId="28408E9F" w:rsidR="00F447B4" w:rsidRPr="005C02EA" w:rsidRDefault="00F447B4" w:rsidP="00F447B4">
      <w:r w:rsidRPr="005C02EA">
        <w:t>Fr</w:t>
      </w:r>
      <w:r>
        <w:t xml:space="preserve">umvarpið er afrakstur </w:t>
      </w:r>
      <w:r w:rsidRPr="005C02EA">
        <w:t>endurskoðun</w:t>
      </w:r>
      <w:r>
        <w:t>ar</w:t>
      </w:r>
      <w:r w:rsidRPr="005C02EA">
        <w:t xml:space="preserve"> á ákvæðum II. kafla </w:t>
      </w:r>
      <w:r w:rsidR="00B2695B">
        <w:t>stjórnarskrárinnar</w:t>
      </w:r>
      <w:r w:rsidRPr="005C02EA">
        <w:t xml:space="preserve"> sem fjallar að meginstefnu um forseta Íslands, ríkisstjórn og verkefni framkvæmdarvaldsins. Samhengisins vegna eru þó í fr</w:t>
      </w:r>
      <w:r w:rsidR="00260AA6">
        <w:t>umvarpinu</w:t>
      </w:r>
      <w:r w:rsidRPr="005C02EA">
        <w:t xml:space="preserve"> einnig lagðar til breytingar á </w:t>
      </w:r>
      <w:r>
        <w:t xml:space="preserve">2. og 3. </w:t>
      </w:r>
      <w:proofErr w:type="spellStart"/>
      <w:r>
        <w:t>málsl</w:t>
      </w:r>
      <w:proofErr w:type="spellEnd"/>
      <w:r w:rsidR="00321FAC">
        <w:t>.</w:t>
      </w:r>
      <w:r>
        <w:t xml:space="preserve"> </w:t>
      </w:r>
      <w:r w:rsidRPr="005C02EA">
        <w:t>2. gr. og 35. gr. s</w:t>
      </w:r>
      <w:r w:rsidR="00C41FE1">
        <w:t>tjórnarskrárinnar</w:t>
      </w:r>
      <w:r w:rsidRPr="005C02EA">
        <w:t xml:space="preserve">, sbr. I. og IV. kafla </w:t>
      </w:r>
      <w:r w:rsidR="00C41FE1">
        <w:t>hennar</w:t>
      </w:r>
      <w:r w:rsidRPr="005C02EA">
        <w:t xml:space="preserve">. </w:t>
      </w:r>
    </w:p>
    <w:p w14:paraId="22179F1B" w14:textId="1E00A440" w:rsidR="00F447B4" w:rsidRPr="005C02EA" w:rsidRDefault="00F447B4" w:rsidP="00F447B4">
      <w:r>
        <w:t xml:space="preserve">Meginmarkmið </w:t>
      </w:r>
      <w:r w:rsidR="00153C4A">
        <w:t>frumvarpsins</w:t>
      </w:r>
      <w:r w:rsidR="00C41FE1">
        <w:t xml:space="preserve"> </w:t>
      </w:r>
      <w:r>
        <w:t>er</w:t>
      </w:r>
      <w:r w:rsidRPr="005C02EA">
        <w:t xml:space="preserve"> að </w:t>
      </w:r>
      <w:r w:rsidR="00CA5526">
        <w:t xml:space="preserve">þessi kafli </w:t>
      </w:r>
      <w:r w:rsidRPr="005C02EA">
        <w:t>stjórnarskrá</w:t>
      </w:r>
      <w:r w:rsidR="00CA5526">
        <w:t>r</w:t>
      </w:r>
      <w:r w:rsidRPr="005C02EA">
        <w:t>in</w:t>
      </w:r>
      <w:r w:rsidR="00CA5526">
        <w:t>nar</w:t>
      </w:r>
      <w:r w:rsidRPr="005C02EA">
        <w:t xml:space="preserve"> endurspegli betur gildandi rétt. Í þessu felst að í sumum tilvikum þykir rétt að breyta orðalagi gildandi ákvæða</w:t>
      </w:r>
      <w:r>
        <w:t xml:space="preserve"> án verulegra efnisbreytinga, sbr. t.d. breytingar á ákvæðum um ríkisstjórn og ríkisstjórnarfundi</w:t>
      </w:r>
      <w:r w:rsidRPr="005C02EA">
        <w:t xml:space="preserve">. Í þeim tilvikum sem stjórnarskráin er þögul um mikilvægar </w:t>
      </w:r>
      <w:r w:rsidR="00A34C15">
        <w:t xml:space="preserve">gildandi </w:t>
      </w:r>
      <w:r w:rsidRPr="005C02EA">
        <w:t>efnisreglur er</w:t>
      </w:r>
      <w:r w:rsidR="00A34C15">
        <w:t xml:space="preserve"> hins vegar nauðsynlegt að gera tillögu um ný ákvæði frá grunni</w:t>
      </w:r>
      <w:r>
        <w:t xml:space="preserve">, t.d. ákvæði um þingræði og nánari </w:t>
      </w:r>
      <w:r>
        <w:lastRenderedPageBreak/>
        <w:t>framkvæmd þingræðisreglunnar</w:t>
      </w:r>
      <w:r w:rsidRPr="005C02EA">
        <w:t xml:space="preserve">. </w:t>
      </w:r>
      <w:r w:rsidR="00C41FE1">
        <w:t>Þá</w:t>
      </w:r>
      <w:r w:rsidRPr="005C02EA">
        <w:t xml:space="preserve"> eru í </w:t>
      </w:r>
      <w:r>
        <w:t>nokkrum</w:t>
      </w:r>
      <w:r w:rsidRPr="005C02EA">
        <w:t xml:space="preserve"> tilvikum lagðar til </w:t>
      </w:r>
      <w:r w:rsidR="00A34C15">
        <w:t>efnis</w:t>
      </w:r>
      <w:r w:rsidRPr="005C02EA">
        <w:t xml:space="preserve">breytingar þar sem </w:t>
      </w:r>
      <w:r w:rsidR="00C41FE1">
        <w:t xml:space="preserve">framkvæmd, samfélagsumræða eða umfjöllun fræðimanna </w:t>
      </w:r>
      <w:r w:rsidRPr="005C02EA">
        <w:t>þykir hafa leitt í ljós galla á gildandi reglum</w:t>
      </w:r>
      <w:r>
        <w:t xml:space="preserve"> </w:t>
      </w:r>
      <w:r w:rsidR="00A34C15">
        <w:t>og að tiltekinna úrbóta sé þörf</w:t>
      </w:r>
      <w:r>
        <w:t xml:space="preserve">, sbr. breytingar á ákvæðum </w:t>
      </w:r>
      <w:r w:rsidR="00153C4A">
        <w:t xml:space="preserve">um </w:t>
      </w:r>
      <w:r>
        <w:t>rannsókn mála og ákæru gegn ráðherrum vegna embættisfærslu þeirra svo og breyttar reglur um kvaðningu Alþingis og frestun funda þ</w:t>
      </w:r>
      <w:r w:rsidR="00C41FE1">
        <w:t>ess</w:t>
      </w:r>
      <w:r>
        <w:t>.</w:t>
      </w:r>
    </w:p>
    <w:p w14:paraId="7F3F9157" w14:textId="57FD909C" w:rsidR="00F447B4" w:rsidRPr="005C02EA" w:rsidRDefault="00F447B4" w:rsidP="00F447B4">
      <w:r w:rsidRPr="005C02EA">
        <w:t xml:space="preserve">Leitast </w:t>
      </w:r>
      <w:r w:rsidR="00321FAC">
        <w:t>hefur verið</w:t>
      </w:r>
      <w:r w:rsidR="00321FAC" w:rsidRPr="005C02EA">
        <w:t xml:space="preserve"> </w:t>
      </w:r>
      <w:r w:rsidRPr="005C02EA">
        <w:t xml:space="preserve">við að setja fram tillögur sem breið samstaða getur ríkt um og </w:t>
      </w:r>
      <w:r w:rsidR="00153C4A">
        <w:t>er þá meðal annars litið</w:t>
      </w:r>
      <w:r w:rsidRPr="005C02EA">
        <w:t xml:space="preserve"> til hugmynda stjórnlaganefndar</w:t>
      </w:r>
      <w:r w:rsidR="00C41FE1">
        <w:t xml:space="preserve">, </w:t>
      </w:r>
      <w:r w:rsidRPr="005C02EA">
        <w:t xml:space="preserve">frumvarps </w:t>
      </w:r>
      <w:r w:rsidR="00321FAC">
        <w:t>s</w:t>
      </w:r>
      <w:r w:rsidRPr="005C02EA">
        <w:t>tjórnlagaráðs</w:t>
      </w:r>
      <w:r w:rsidR="00CA5526">
        <w:t xml:space="preserve"> og </w:t>
      </w:r>
      <w:r w:rsidR="001C284C">
        <w:t xml:space="preserve">fyrrnefndrar </w:t>
      </w:r>
      <w:r w:rsidR="00CA5526">
        <w:t>rökræðu</w:t>
      </w:r>
      <w:r w:rsidR="00321FAC">
        <w:softHyphen/>
      </w:r>
      <w:r w:rsidR="00CA5526">
        <w:t>könn</w:t>
      </w:r>
      <w:r w:rsidR="00321FAC">
        <w:softHyphen/>
      </w:r>
      <w:r w:rsidR="00CA5526">
        <w:t xml:space="preserve">unar </w:t>
      </w:r>
      <w:r w:rsidR="0012493F">
        <w:t xml:space="preserve">sem </w:t>
      </w:r>
      <w:r w:rsidR="00AA32E9">
        <w:t>nánar er fjallað um í 5. kafla</w:t>
      </w:r>
      <w:r w:rsidRPr="005C02EA">
        <w:t>. Grunnreglur um handhöfn æðsta framkvæmdarvalds og samband ráðherra og forseta í því efni, sbr. 11., 13., 14., 18. og 19. gr. stj</w:t>
      </w:r>
      <w:r w:rsidR="00260AA6">
        <w:t>órnarskrárinnar</w:t>
      </w:r>
      <w:r w:rsidR="00AA32E9">
        <w:t>,</w:t>
      </w:r>
      <w:r w:rsidR="00260AA6">
        <w:t xml:space="preserve"> </w:t>
      </w:r>
      <w:r w:rsidRPr="005C02EA">
        <w:t>standa óhreyfðar. Sama á að meginstefnu við um synjunarvald forseta skv. 26. gr. og reglur um handhafa forsetavalds</w:t>
      </w:r>
      <w:r>
        <w:t xml:space="preserve">, sbr. 8. </w:t>
      </w:r>
      <w:r w:rsidR="00852C3F">
        <w:t>gr</w:t>
      </w:r>
      <w:r w:rsidRPr="005C02EA">
        <w:t>. Til grundvallar þeirri nálgun liggur sú afstaða að reglur stjórnarskrárinnar um þetta efni séu skýrar og venjubundin framkvæmd þeirra</w:t>
      </w:r>
      <w:r w:rsidR="00852C3F">
        <w:t>,</w:t>
      </w:r>
      <w:r w:rsidRPr="005C02EA">
        <w:t xml:space="preserve"> þ.e. að forseti fari að tillögu ráðherra</w:t>
      </w:r>
      <w:r w:rsidR="00852C3F">
        <w:t>,</w:t>
      </w:r>
      <w:r w:rsidRPr="005C02EA">
        <w:t xml:space="preserve"> hafi verið án teljandi vandkvæða. </w:t>
      </w:r>
      <w:r w:rsidR="00C41FE1">
        <w:t>Einnig er</w:t>
      </w:r>
      <w:r w:rsidRPr="005C02EA">
        <w:t xml:space="preserve"> talið erfitt að breyta þessum grundvallarreglum án</w:t>
      </w:r>
      <w:r w:rsidR="00C41FE1">
        <w:t xml:space="preserve"> ófyrirsjáanlegra</w:t>
      </w:r>
      <w:r w:rsidRPr="005C02EA">
        <w:t xml:space="preserve"> áhrifa á stjórnskipun</w:t>
      </w:r>
      <w:r w:rsidR="00BB7567">
        <w:t>in</w:t>
      </w:r>
      <w:r w:rsidRPr="005C02EA">
        <w:t xml:space="preserve">a í heild. </w:t>
      </w:r>
      <w:r w:rsidR="00CA5526">
        <w:t xml:space="preserve">Komið er til móts við sjónarmið um að rétt sé að </w:t>
      </w:r>
      <w:r w:rsidR="0080608A">
        <w:t>takmarka þann</w:t>
      </w:r>
      <w:r w:rsidR="00CA5526">
        <w:t xml:space="preserve"> </w:t>
      </w:r>
      <w:r w:rsidR="0080608A">
        <w:t>tíma</w:t>
      </w:r>
      <w:r w:rsidR="00CA5526">
        <w:t xml:space="preserve"> sem forseti getur setið</w:t>
      </w:r>
      <w:r w:rsidR="0080608A">
        <w:t xml:space="preserve"> við tvö kjörtímabil en í því sambandi athugast þó að gert er ráð fyrir því að kjörtímabil forseta verði lengt úr fjórum árum í sex</w:t>
      </w:r>
      <w:r w:rsidR="00CA5526">
        <w:t xml:space="preserve">. </w:t>
      </w:r>
    </w:p>
    <w:p w14:paraId="44B7C232" w14:textId="11202592" w:rsidR="00F447B4" w:rsidRPr="005C02EA" w:rsidRDefault="00F447B4" w:rsidP="00F447B4">
      <w:r w:rsidRPr="005C02EA">
        <w:t>Í fr</w:t>
      </w:r>
      <w:r w:rsidR="00260AA6">
        <w:t>umvarpinu</w:t>
      </w:r>
      <w:r w:rsidRPr="005C02EA">
        <w:t xml:space="preserve"> er ekki að finna ákvæði um ýmis atriði sem stjórnlaganefnd og </w:t>
      </w:r>
      <w:r w:rsidR="00852C3F">
        <w:t>s</w:t>
      </w:r>
      <w:r w:rsidRPr="005C02EA">
        <w:t>tjórnlagaráð</w:t>
      </w:r>
      <w:r w:rsidR="00A31CD1">
        <w:t xml:space="preserve"> fjölluðu um</w:t>
      </w:r>
      <w:r w:rsidRPr="005C02EA">
        <w:t xml:space="preserve"> en </w:t>
      </w:r>
      <w:r w:rsidRPr="00C41FE1">
        <w:rPr>
          <w:iCs/>
        </w:rPr>
        <w:t>gætu</w:t>
      </w:r>
      <w:r w:rsidRPr="005C02EA">
        <w:t xml:space="preserve"> átt heima í breyttum II. kafla ef stefna í þá átt yrði mörkuð, sbr. einkum</w:t>
      </w:r>
      <w:r>
        <w:t xml:space="preserve"> eftirfarandi efnisatriði</w:t>
      </w:r>
      <w:r w:rsidRPr="005C02EA">
        <w:t xml:space="preserve">: a) </w:t>
      </w:r>
      <w:proofErr w:type="spellStart"/>
      <w:r w:rsidRPr="005C02EA">
        <w:t>Lögrétta</w:t>
      </w:r>
      <w:proofErr w:type="spellEnd"/>
      <w:r w:rsidRPr="005C02EA">
        <w:t>/</w:t>
      </w:r>
      <w:r w:rsidR="00852C3F">
        <w:t>s</w:t>
      </w:r>
      <w:r w:rsidRPr="005C02EA">
        <w:t xml:space="preserve">tjórnlagaráð; b) </w:t>
      </w:r>
      <w:r w:rsidR="00A31CD1">
        <w:t>u</w:t>
      </w:r>
      <w:r w:rsidRPr="005C02EA">
        <w:t xml:space="preserve">pplýsinga- og sannleiksskylda ráðherra; c) </w:t>
      </w:r>
      <w:r w:rsidR="00A31CD1">
        <w:t>s</w:t>
      </w:r>
      <w:r w:rsidRPr="005C02EA">
        <w:t xml:space="preserve">kýrsla ríkisstjórnar til Alþingis; d) </w:t>
      </w:r>
      <w:r w:rsidR="00A31CD1">
        <w:t>h</w:t>
      </w:r>
      <w:r w:rsidRPr="005C02EA">
        <w:t>agsmunaskráning og aukastörf ráðherra</w:t>
      </w:r>
      <w:r w:rsidR="00A31CD1">
        <w:t>.</w:t>
      </w:r>
      <w:r w:rsidR="00C41FE1">
        <w:t xml:space="preserve"> </w:t>
      </w:r>
      <w:r w:rsidR="00A31CD1">
        <w:t>N</w:t>
      </w:r>
      <w:r w:rsidR="00C41FE1">
        <w:t>efna má að um síðastnefnda atriðið var lagt fram stjórnarfrumvarp á 150. löggjafarþingi, sbr. 523. mál.</w:t>
      </w:r>
      <w:r w:rsidR="0080608A">
        <w:t xml:space="preserve"> Það athugast einnig að hér er í öllum tilfellum um að ræða atriði sem hægt er að skipa með almennum lögum</w:t>
      </w:r>
      <w:r w:rsidR="00A55E8E">
        <w:t>.</w:t>
      </w:r>
    </w:p>
    <w:p w14:paraId="2C1D687A" w14:textId="77777777" w:rsidR="00D0740D" w:rsidRDefault="00D0740D" w:rsidP="00D0740D"/>
    <w:p w14:paraId="2B19C9F2" w14:textId="479B99F9" w:rsidR="00F563A1" w:rsidRPr="005C02EA" w:rsidRDefault="00E71F27" w:rsidP="00B2695B">
      <w:pPr>
        <w:pStyle w:val="Millifyrirsgn1"/>
      </w:pPr>
      <w:r>
        <w:t>3</w:t>
      </w:r>
      <w:r w:rsidR="00D0740D">
        <w:t xml:space="preserve">. Meginefni frumvarpsins. </w:t>
      </w:r>
    </w:p>
    <w:p w14:paraId="17652082" w14:textId="194E012C" w:rsidR="00E52E35" w:rsidRPr="005C02EA" w:rsidRDefault="002372A7" w:rsidP="00D0740D">
      <w:r w:rsidRPr="005C02EA">
        <w:t>H</w:t>
      </w:r>
      <w:r w:rsidR="00AB1C04" w:rsidRPr="005C02EA">
        <w:t>elstu</w:t>
      </w:r>
      <w:r w:rsidR="00E52E35" w:rsidRPr="005C02EA">
        <w:t xml:space="preserve"> efnisbreytingar</w:t>
      </w:r>
      <w:r w:rsidRPr="005C02EA">
        <w:t xml:space="preserve"> sem gerð er tillaga um í </w:t>
      </w:r>
      <w:r w:rsidR="00435800">
        <w:t>frumvarpinu</w:t>
      </w:r>
      <w:r w:rsidR="00CA5526">
        <w:t xml:space="preserve"> eru </w:t>
      </w:r>
      <w:r w:rsidR="00E359C3">
        <w:t>eftirfarandi</w:t>
      </w:r>
      <w:r w:rsidR="00E52E35" w:rsidRPr="005C02EA">
        <w:t>:</w:t>
      </w:r>
    </w:p>
    <w:p w14:paraId="1D9CDBAB" w14:textId="0086447C" w:rsidR="00E52E35" w:rsidRPr="005C02EA" w:rsidRDefault="00B8318D" w:rsidP="00E55426">
      <w:pPr>
        <w:pStyle w:val="Mlsgreinlista"/>
        <w:numPr>
          <w:ilvl w:val="0"/>
          <w:numId w:val="26"/>
        </w:numPr>
      </w:pPr>
      <w:r w:rsidRPr="005C02EA">
        <w:t>K</w:t>
      </w:r>
      <w:r w:rsidR="00BD4A2F" w:rsidRPr="005C02EA">
        <w:t xml:space="preserve">jörtímabil forseta Íslands </w:t>
      </w:r>
      <w:r w:rsidR="003530B6">
        <w:t>v</w:t>
      </w:r>
      <w:r w:rsidRPr="005C02EA">
        <w:t>er</w:t>
      </w:r>
      <w:r w:rsidR="003530B6">
        <w:t>ði</w:t>
      </w:r>
      <w:r w:rsidRPr="005C02EA">
        <w:t xml:space="preserve"> lengt </w:t>
      </w:r>
      <w:r w:rsidR="00BD4A2F" w:rsidRPr="005C02EA">
        <w:t>í sex ár og áskil</w:t>
      </w:r>
      <w:r w:rsidRPr="005C02EA">
        <w:t>ið</w:t>
      </w:r>
      <w:r w:rsidR="00BD4A2F" w:rsidRPr="005C02EA">
        <w:t xml:space="preserve"> að sami maður geti ekki gegnt embætti forseta samfellt lengur en tvö kjörtímabil</w:t>
      </w:r>
      <w:r w:rsidR="00E359C3">
        <w:t>,</w:t>
      </w:r>
      <w:r w:rsidR="002372A7" w:rsidRPr="005C02EA">
        <w:t xml:space="preserve"> eða alls 12 ár</w:t>
      </w:r>
      <w:r w:rsidR="00BD4A2F" w:rsidRPr="005C02EA">
        <w:t>.</w:t>
      </w:r>
      <w:r w:rsidR="00280C44">
        <w:t xml:space="preserve"> </w:t>
      </w:r>
    </w:p>
    <w:p w14:paraId="25A3EAB1" w14:textId="65C856F2" w:rsidR="00BD4A2F" w:rsidRPr="005C02EA" w:rsidRDefault="00BD4A2F" w:rsidP="00E55426">
      <w:pPr>
        <w:pStyle w:val="Mlsgreinlista"/>
        <w:numPr>
          <w:ilvl w:val="0"/>
          <w:numId w:val="26"/>
        </w:numPr>
      </w:pPr>
      <w:r w:rsidRPr="005C02EA">
        <w:t xml:space="preserve">Fortakslaust </w:t>
      </w:r>
      <w:r w:rsidR="00A55E8E">
        <w:t>(</w:t>
      </w:r>
      <w:r w:rsidR="00F563A1">
        <w:t>lagalegt</w:t>
      </w:r>
      <w:r w:rsidR="00A55E8E">
        <w:t>)</w:t>
      </w:r>
      <w:r w:rsidR="00F563A1">
        <w:t xml:space="preserve"> </w:t>
      </w:r>
      <w:r w:rsidRPr="005C02EA">
        <w:t xml:space="preserve">ábyrgðarleysi forseta Íslands á stjórnarathöfnum </w:t>
      </w:r>
      <w:r w:rsidR="003530B6">
        <w:t>v</w:t>
      </w:r>
      <w:r w:rsidR="00B8318D" w:rsidRPr="005C02EA">
        <w:t>er</w:t>
      </w:r>
      <w:r w:rsidR="003530B6">
        <w:t>ði</w:t>
      </w:r>
      <w:r w:rsidR="00B8318D" w:rsidRPr="005C02EA">
        <w:t xml:space="preserve"> </w:t>
      </w:r>
      <w:r w:rsidRPr="005C02EA">
        <w:t>afnumið</w:t>
      </w:r>
      <w:r w:rsidR="00AB1C04" w:rsidRPr="005C02EA">
        <w:t xml:space="preserve"> og lagt til að ábyrgðarleysi sé </w:t>
      </w:r>
      <w:r w:rsidR="00B8318D" w:rsidRPr="005C02EA">
        <w:t>bundið</w:t>
      </w:r>
      <w:r w:rsidR="00AB1C04" w:rsidRPr="005C02EA">
        <w:t xml:space="preserve"> við embættisathafnir sem hann framkvæmir að tillögu og á ábyrgð ráðherra.</w:t>
      </w:r>
      <w:r w:rsidR="008170DD" w:rsidRPr="005C02EA">
        <w:t xml:space="preserve"> </w:t>
      </w:r>
    </w:p>
    <w:p w14:paraId="1C6F4B4A" w14:textId="299B2CE3" w:rsidR="00BD4A2F" w:rsidRPr="009F0A9E" w:rsidRDefault="00B8318D" w:rsidP="00E55426">
      <w:pPr>
        <w:pStyle w:val="Mlsgreinlista"/>
        <w:numPr>
          <w:ilvl w:val="0"/>
          <w:numId w:val="26"/>
        </w:numPr>
      </w:pPr>
      <w:r w:rsidRPr="009F0A9E">
        <w:t xml:space="preserve">Mælt </w:t>
      </w:r>
      <w:r w:rsidR="003530B6" w:rsidRPr="009F0A9E">
        <w:t>v</w:t>
      </w:r>
      <w:r w:rsidRPr="009F0A9E">
        <w:t>er</w:t>
      </w:r>
      <w:r w:rsidR="003530B6" w:rsidRPr="009F0A9E">
        <w:t>ði</w:t>
      </w:r>
      <w:r w:rsidRPr="009F0A9E">
        <w:t xml:space="preserve"> fyrir</w:t>
      </w:r>
      <w:r w:rsidR="00AB1C04" w:rsidRPr="009F0A9E">
        <w:t xml:space="preserve"> um </w:t>
      </w:r>
      <w:r w:rsidR="00A31232" w:rsidRPr="009F0A9E">
        <w:t xml:space="preserve">heimild </w:t>
      </w:r>
      <w:r w:rsidR="00FC4342" w:rsidRPr="009F0A9E">
        <w:t>Alþingi</w:t>
      </w:r>
      <w:r w:rsidR="00A31232" w:rsidRPr="009F0A9E">
        <w:t>s til að fela</w:t>
      </w:r>
      <w:r w:rsidR="00FC4342" w:rsidRPr="009F0A9E">
        <w:t xml:space="preserve"> ríkissaksóknara að fara</w:t>
      </w:r>
      <w:r w:rsidR="00E359C3" w:rsidRPr="009F0A9E">
        <w:t xml:space="preserve"> með</w:t>
      </w:r>
      <w:r w:rsidR="00FC4342" w:rsidRPr="009F0A9E">
        <w:t xml:space="preserve"> </w:t>
      </w:r>
      <w:r w:rsidR="00816DDF" w:rsidRPr="009F0A9E">
        <w:t xml:space="preserve">ákæruvald vegna </w:t>
      </w:r>
      <w:r w:rsidR="00280C44" w:rsidRPr="009F0A9E">
        <w:t xml:space="preserve">ætlaðra </w:t>
      </w:r>
      <w:r w:rsidR="00816DDF" w:rsidRPr="009F0A9E">
        <w:t xml:space="preserve">embættisbrota </w:t>
      </w:r>
      <w:r w:rsidR="00FC4342" w:rsidRPr="009F0A9E">
        <w:t xml:space="preserve">ráðherra </w:t>
      </w:r>
      <w:r w:rsidR="00EE1F6A" w:rsidRPr="009F0A9E">
        <w:t xml:space="preserve">í stað þess </w:t>
      </w:r>
      <w:r w:rsidR="00A31232" w:rsidRPr="009F0A9E">
        <w:t xml:space="preserve">að þingið </w:t>
      </w:r>
      <w:r w:rsidR="00280C44" w:rsidRPr="009F0A9E">
        <w:t>gefi sjálft út ákæru. Þá er lagt til að</w:t>
      </w:r>
      <w:r w:rsidR="00816DDF" w:rsidRPr="009F0A9E">
        <w:t xml:space="preserve"> </w:t>
      </w:r>
      <w:r w:rsidR="00FC4342" w:rsidRPr="009F0A9E">
        <w:t xml:space="preserve">ákvæði um </w:t>
      </w:r>
      <w:proofErr w:type="spellStart"/>
      <w:r w:rsidR="00160928" w:rsidRPr="009F0A9E">
        <w:t>l</w:t>
      </w:r>
      <w:r w:rsidR="00816DDF" w:rsidRPr="009F0A9E">
        <w:t>andsdóm</w:t>
      </w:r>
      <w:proofErr w:type="spellEnd"/>
      <w:r w:rsidR="00816DDF" w:rsidRPr="009F0A9E">
        <w:t xml:space="preserve"> </w:t>
      </w:r>
      <w:r w:rsidR="00816DDF" w:rsidRPr="00E55426">
        <w:t>verði fell</w:t>
      </w:r>
      <w:r w:rsidR="00FC4342" w:rsidRPr="00E55426">
        <w:t>t</w:t>
      </w:r>
      <w:r w:rsidR="00816DDF" w:rsidRPr="00E55426">
        <w:t xml:space="preserve"> úr stjórnarskrá</w:t>
      </w:r>
      <w:r w:rsidR="00280C44" w:rsidRPr="00E55426">
        <w:t xml:space="preserve"> og kveðið </w:t>
      </w:r>
      <w:r w:rsidR="00E359C3" w:rsidRPr="00E55426">
        <w:t xml:space="preserve">verði </w:t>
      </w:r>
      <w:r w:rsidR="00280C44" w:rsidRPr="00E55426">
        <w:t>á um rannsókn mála, útgáfu ákæru og meðferð fyrir dómi með almennum lögum</w:t>
      </w:r>
      <w:r w:rsidR="00816DDF" w:rsidRPr="00E55426">
        <w:t>.</w:t>
      </w:r>
    </w:p>
    <w:p w14:paraId="74A81831" w14:textId="7F4E200F" w:rsidR="00AB1C04" w:rsidRPr="005C02EA" w:rsidRDefault="00B8318D" w:rsidP="00E55426">
      <w:pPr>
        <w:pStyle w:val="Mlsgreinlista"/>
        <w:numPr>
          <w:ilvl w:val="0"/>
          <w:numId w:val="26"/>
        </w:numPr>
      </w:pPr>
      <w:r w:rsidRPr="005C02EA">
        <w:t>Orðalag ákvæð</w:t>
      </w:r>
      <w:r w:rsidR="0017167E" w:rsidRPr="005C02EA">
        <w:t>a</w:t>
      </w:r>
      <w:r w:rsidR="00AC05CA" w:rsidRPr="005C02EA">
        <w:t xml:space="preserve"> um myndun og hlutverk ríkisstjórnar</w:t>
      </w:r>
      <w:r w:rsidRPr="005C02EA">
        <w:t xml:space="preserve"> </w:t>
      </w:r>
      <w:r w:rsidR="003530B6">
        <w:t>v</w:t>
      </w:r>
      <w:r w:rsidR="0017167E" w:rsidRPr="005C02EA">
        <w:t>er</w:t>
      </w:r>
      <w:r w:rsidR="003530B6">
        <w:t>ði</w:t>
      </w:r>
      <w:r w:rsidR="0017167E" w:rsidRPr="005C02EA">
        <w:t xml:space="preserve"> </w:t>
      </w:r>
      <w:r w:rsidR="00E359C3">
        <w:t xml:space="preserve">skýrt og </w:t>
      </w:r>
      <w:r w:rsidR="0017167E" w:rsidRPr="005C02EA">
        <w:t>fært til samræmis við áralanga framkvæmd.</w:t>
      </w:r>
    </w:p>
    <w:p w14:paraId="6FB5067C" w14:textId="7330D7A2" w:rsidR="00CF1AAD" w:rsidRPr="005C02EA" w:rsidRDefault="0017167E" w:rsidP="00E55426">
      <w:pPr>
        <w:pStyle w:val="Mlsgreinlista"/>
        <w:numPr>
          <w:ilvl w:val="0"/>
          <w:numId w:val="26"/>
        </w:numPr>
      </w:pPr>
      <w:r w:rsidRPr="005C02EA">
        <w:t>Á</w:t>
      </w:r>
      <w:r w:rsidR="00CF1AAD" w:rsidRPr="005C02EA">
        <w:t xml:space="preserve">kvæði um ríkisstjórnarfundi </w:t>
      </w:r>
      <w:r w:rsidR="003530B6">
        <w:t>v</w:t>
      </w:r>
      <w:r w:rsidR="00B42183" w:rsidRPr="005C02EA">
        <w:t>er</w:t>
      </w:r>
      <w:r w:rsidR="003530B6">
        <w:t>ði</w:t>
      </w:r>
      <w:r w:rsidR="00B42183" w:rsidRPr="005C02EA">
        <w:t xml:space="preserve"> gerð ítarlegri </w:t>
      </w:r>
      <w:r w:rsidR="00CF1AAD" w:rsidRPr="005C02EA">
        <w:t>og samhæfingarhlutverk forsætisráðherra</w:t>
      </w:r>
      <w:r w:rsidRPr="005C02EA">
        <w:t xml:space="preserve"> </w:t>
      </w:r>
      <w:r w:rsidR="00B42183" w:rsidRPr="005C02EA">
        <w:t>styrkt</w:t>
      </w:r>
      <w:r w:rsidR="00CF1AAD" w:rsidRPr="005C02EA">
        <w:t>.</w:t>
      </w:r>
    </w:p>
    <w:p w14:paraId="0EC6B876" w14:textId="76093D22" w:rsidR="0017167E" w:rsidRPr="005C02EA" w:rsidRDefault="0017167E" w:rsidP="00E55426">
      <w:pPr>
        <w:pStyle w:val="Mlsgreinlista"/>
        <w:numPr>
          <w:ilvl w:val="0"/>
          <w:numId w:val="26"/>
        </w:numPr>
      </w:pPr>
      <w:r w:rsidRPr="005C02EA">
        <w:t>Þ</w:t>
      </w:r>
      <w:r w:rsidR="00AC05CA" w:rsidRPr="005C02EA">
        <w:t>ingræðisregl</w:t>
      </w:r>
      <w:r w:rsidRPr="005C02EA">
        <w:t xml:space="preserve">an </w:t>
      </w:r>
      <w:r w:rsidR="003530B6">
        <w:t>v</w:t>
      </w:r>
      <w:r w:rsidRPr="005C02EA">
        <w:t>er</w:t>
      </w:r>
      <w:r w:rsidR="003530B6">
        <w:t>ði</w:t>
      </w:r>
      <w:r w:rsidRPr="005C02EA">
        <w:t xml:space="preserve"> bundin í stjórnarskrá og mælt fyrir um a</w:t>
      </w:r>
      <w:r w:rsidR="00AC05CA" w:rsidRPr="005C02EA">
        <w:t>fsögn ríkisstjórna</w:t>
      </w:r>
      <w:r w:rsidR="00CF1AAD" w:rsidRPr="005C02EA">
        <w:t>r</w:t>
      </w:r>
      <w:r w:rsidR="00AC05CA" w:rsidRPr="005C02EA">
        <w:t xml:space="preserve"> eða </w:t>
      </w:r>
      <w:r w:rsidR="00CF1AAD" w:rsidRPr="005C02EA">
        <w:t xml:space="preserve">tiltekins </w:t>
      </w:r>
      <w:r w:rsidR="00AC05CA" w:rsidRPr="005C02EA">
        <w:t>ráðherra við vantraust Alþingis</w:t>
      </w:r>
      <w:r w:rsidRPr="005C02EA">
        <w:t>.</w:t>
      </w:r>
      <w:r w:rsidR="00AC05CA" w:rsidRPr="005C02EA">
        <w:t xml:space="preserve"> </w:t>
      </w:r>
    </w:p>
    <w:p w14:paraId="789F529E" w14:textId="10687F7B" w:rsidR="00AC05CA" w:rsidRPr="005C02EA" w:rsidRDefault="0017167E" w:rsidP="00E55426">
      <w:pPr>
        <w:pStyle w:val="Mlsgreinlista"/>
        <w:numPr>
          <w:ilvl w:val="0"/>
          <w:numId w:val="26"/>
        </w:numPr>
      </w:pPr>
      <w:r w:rsidRPr="005C02EA">
        <w:t xml:space="preserve">Mælt </w:t>
      </w:r>
      <w:r w:rsidR="003530B6">
        <w:t>v</w:t>
      </w:r>
      <w:r w:rsidRPr="005C02EA">
        <w:t>er</w:t>
      </w:r>
      <w:r w:rsidR="003530B6">
        <w:t>ði</w:t>
      </w:r>
      <w:r w:rsidRPr="005C02EA">
        <w:t xml:space="preserve"> fyrir um</w:t>
      </w:r>
      <w:r w:rsidR="00CF1AAD" w:rsidRPr="005C02EA">
        <w:t xml:space="preserve"> hlutverk</w:t>
      </w:r>
      <w:r w:rsidR="00AC05CA" w:rsidRPr="005C02EA">
        <w:t xml:space="preserve"> starfsstjórn</w:t>
      </w:r>
      <w:r w:rsidR="00CF1AAD" w:rsidRPr="005C02EA">
        <w:t>ar</w:t>
      </w:r>
      <w:r w:rsidRPr="005C02EA">
        <w:t xml:space="preserve"> </w:t>
      </w:r>
      <w:r w:rsidR="002F6461">
        <w:t>þegar</w:t>
      </w:r>
      <w:r w:rsidRPr="005C02EA">
        <w:t xml:space="preserve"> ríkisstjórn</w:t>
      </w:r>
      <w:r w:rsidR="000C67A9" w:rsidRPr="005C02EA">
        <w:t>, sem beðist hefur lausnar, situr áfram þar til ný ríkisstjórn hefur verið skipuð.</w:t>
      </w:r>
    </w:p>
    <w:p w14:paraId="133169BE" w14:textId="657D2FC4" w:rsidR="00AC05CA" w:rsidRPr="005C02EA" w:rsidRDefault="000F7448" w:rsidP="00E55426">
      <w:pPr>
        <w:pStyle w:val="Mlsgreinlista"/>
        <w:numPr>
          <w:ilvl w:val="0"/>
          <w:numId w:val="26"/>
        </w:numPr>
      </w:pPr>
      <w:r>
        <w:t>Ákvæði</w:t>
      </w:r>
      <w:r w:rsidR="002372A7" w:rsidRPr="005C02EA">
        <w:t xml:space="preserve"> </w:t>
      </w:r>
      <w:r w:rsidR="00CF1AAD" w:rsidRPr="005C02EA">
        <w:t>um skipun embættismanna</w:t>
      </w:r>
      <w:r w:rsidR="000C67A9" w:rsidRPr="005C02EA">
        <w:t xml:space="preserve"> </w:t>
      </w:r>
      <w:r w:rsidR="007C45DA">
        <w:t>v</w:t>
      </w:r>
      <w:r w:rsidR="000C67A9" w:rsidRPr="005C02EA">
        <w:t>er</w:t>
      </w:r>
      <w:r w:rsidR="007C45DA">
        <w:t>ði</w:t>
      </w:r>
      <w:r w:rsidR="000C67A9" w:rsidRPr="005C02EA">
        <w:t xml:space="preserve"> færð til samræmis við þróun sem orðið hefur á reglum um opinbera starfsmenn og </w:t>
      </w:r>
      <w:r w:rsidR="00B42183" w:rsidRPr="005C02EA">
        <w:t>þá meginreglu að</w:t>
      </w:r>
      <w:r w:rsidR="000C67A9" w:rsidRPr="005C02EA">
        <w:t xml:space="preserve"> fagleg sjónarmið </w:t>
      </w:r>
      <w:r w:rsidR="00A55E8E">
        <w:t>eigi að ráða</w:t>
      </w:r>
      <w:r w:rsidR="00A55E8E" w:rsidRPr="005C02EA">
        <w:t xml:space="preserve"> </w:t>
      </w:r>
      <w:r w:rsidR="000C67A9" w:rsidRPr="005C02EA">
        <w:t xml:space="preserve">við </w:t>
      </w:r>
      <w:r w:rsidR="00B42183" w:rsidRPr="005C02EA">
        <w:t>skipanir</w:t>
      </w:r>
      <w:r w:rsidR="00BB7567">
        <w:t xml:space="preserve"> í opinber embætti</w:t>
      </w:r>
      <w:r w:rsidR="000C67A9" w:rsidRPr="005C02EA">
        <w:t>.</w:t>
      </w:r>
    </w:p>
    <w:p w14:paraId="69B258B1" w14:textId="44F450FD" w:rsidR="00CF1AAD" w:rsidRPr="005C02EA" w:rsidRDefault="000C67A9" w:rsidP="00E55426">
      <w:pPr>
        <w:pStyle w:val="Mlsgreinlista"/>
        <w:numPr>
          <w:ilvl w:val="0"/>
          <w:numId w:val="26"/>
        </w:numPr>
      </w:pPr>
      <w:r w:rsidRPr="005C02EA">
        <w:lastRenderedPageBreak/>
        <w:t>Ákvæð</w:t>
      </w:r>
      <w:r w:rsidR="00B42183" w:rsidRPr="005C02EA">
        <w:t>um</w:t>
      </w:r>
      <w:r w:rsidR="00CF1AAD" w:rsidRPr="005C02EA">
        <w:t xml:space="preserve"> um </w:t>
      </w:r>
      <w:r w:rsidR="00B513E2" w:rsidRPr="005C02EA">
        <w:t>aðkomu</w:t>
      </w:r>
      <w:r w:rsidR="00CF1AAD" w:rsidRPr="005C02EA">
        <w:t xml:space="preserve"> handhafa framkvæmdarvalds</w:t>
      </w:r>
      <w:r w:rsidR="00FC31C2">
        <w:t xml:space="preserve">, þ.e. </w:t>
      </w:r>
      <w:r w:rsidR="00AC6374" w:rsidRPr="005C02EA">
        <w:t>ráðherra</w:t>
      </w:r>
      <w:r w:rsidR="00FC31C2">
        <w:t xml:space="preserve"> og </w:t>
      </w:r>
      <w:r w:rsidR="00AC6374" w:rsidRPr="005C02EA">
        <w:t>forseta</w:t>
      </w:r>
      <w:r w:rsidR="00FC31C2">
        <w:t>,</w:t>
      </w:r>
      <w:r w:rsidR="00AC6374" w:rsidRPr="005C02EA">
        <w:t xml:space="preserve"> </w:t>
      </w:r>
      <w:r w:rsidR="00CF1AAD" w:rsidRPr="005C02EA">
        <w:t xml:space="preserve">að kvaðningu Alþingis og frestun funda þingsins </w:t>
      </w:r>
      <w:r w:rsidR="007C45DA">
        <w:t>v</w:t>
      </w:r>
      <w:r w:rsidRPr="005C02EA">
        <w:t>er</w:t>
      </w:r>
      <w:r w:rsidR="007C45DA">
        <w:t>ði</w:t>
      </w:r>
      <w:r w:rsidRPr="005C02EA">
        <w:t xml:space="preserve"> breytt í grundvallaratriðum </w:t>
      </w:r>
      <w:r w:rsidR="00CF1AAD" w:rsidRPr="005C02EA">
        <w:t xml:space="preserve">með það að markmiði að </w:t>
      </w:r>
      <w:r w:rsidR="00B513E2" w:rsidRPr="005C02EA">
        <w:t xml:space="preserve">þingið fari </w:t>
      </w:r>
      <w:r w:rsidRPr="005C02EA">
        <w:t xml:space="preserve">að fullu </w:t>
      </w:r>
      <w:r w:rsidR="00B513E2" w:rsidRPr="005C02EA">
        <w:t>með forræði á eigin störfum</w:t>
      </w:r>
      <w:r w:rsidRPr="005C02EA">
        <w:t>.</w:t>
      </w:r>
    </w:p>
    <w:p w14:paraId="7A0160C1" w14:textId="0BF2E8BA" w:rsidR="00FC0EDF" w:rsidRPr="005C02EA" w:rsidRDefault="000C67A9" w:rsidP="00EB433F">
      <w:pPr>
        <w:pStyle w:val="Mlsgreinlista"/>
        <w:numPr>
          <w:ilvl w:val="0"/>
          <w:numId w:val="26"/>
        </w:numPr>
      </w:pPr>
      <w:r w:rsidRPr="005C02EA">
        <w:t xml:space="preserve">Mælt </w:t>
      </w:r>
      <w:r w:rsidR="007C45DA">
        <w:t>v</w:t>
      </w:r>
      <w:r w:rsidRPr="005C02EA">
        <w:t>er</w:t>
      </w:r>
      <w:r w:rsidR="007C45DA">
        <w:t>ði</w:t>
      </w:r>
      <w:r w:rsidRPr="005C02EA">
        <w:t xml:space="preserve"> fyrir um skyldu</w:t>
      </w:r>
      <w:r w:rsidR="00FC0EDF" w:rsidRPr="005C02EA">
        <w:t xml:space="preserve"> forseta Íslands til að leita eftir áliti forseta Alþingis og formanna þingflokka áður en tekin </w:t>
      </w:r>
      <w:r w:rsidR="007C45DA">
        <w:t>v</w:t>
      </w:r>
      <w:r w:rsidR="00FC0EDF" w:rsidRPr="005C02EA">
        <w:t>er</w:t>
      </w:r>
      <w:r w:rsidR="007C45DA">
        <w:t>ði</w:t>
      </w:r>
      <w:r w:rsidR="00FC0EDF" w:rsidRPr="005C02EA">
        <w:t xml:space="preserve"> ákvörðun um þingrof</w:t>
      </w:r>
      <w:r w:rsidR="00520435" w:rsidRPr="005C02EA">
        <w:t xml:space="preserve"> að tillögu forsætis</w:t>
      </w:r>
      <w:r w:rsidR="00EB433F">
        <w:softHyphen/>
      </w:r>
      <w:r w:rsidR="00520435" w:rsidRPr="005C02EA">
        <w:t>ráðherra.</w:t>
      </w:r>
    </w:p>
    <w:p w14:paraId="21E9BFE1" w14:textId="10E9FFD4" w:rsidR="00FC0EDF" w:rsidRPr="005C02EA" w:rsidRDefault="000C67A9" w:rsidP="00EB433F">
      <w:pPr>
        <w:pStyle w:val="Mlsgreinlista"/>
        <w:numPr>
          <w:ilvl w:val="0"/>
          <w:numId w:val="26"/>
        </w:numPr>
      </w:pPr>
      <w:r w:rsidRPr="005C02EA">
        <w:t xml:space="preserve">Mælt </w:t>
      </w:r>
      <w:r w:rsidR="007C45DA">
        <w:t>v</w:t>
      </w:r>
      <w:r w:rsidRPr="005C02EA">
        <w:t>er</w:t>
      </w:r>
      <w:r w:rsidR="007C45DA">
        <w:t>ði</w:t>
      </w:r>
      <w:r w:rsidRPr="005C02EA">
        <w:t xml:space="preserve"> fyrir um</w:t>
      </w:r>
      <w:r w:rsidR="00FC0EDF" w:rsidRPr="005C02EA">
        <w:t xml:space="preserve"> heimild Alþingis til að fella úr gildi lög sem forseti synj</w:t>
      </w:r>
      <w:r w:rsidR="007C45DA">
        <w:t>i</w:t>
      </w:r>
      <w:r w:rsidR="00FC0EDF" w:rsidRPr="005C02EA">
        <w:t xml:space="preserve"> staðfestingar s</w:t>
      </w:r>
      <w:r w:rsidR="007C45DA">
        <w:t>kv.</w:t>
      </w:r>
      <w:r w:rsidR="00FC0EDF" w:rsidRPr="005C02EA">
        <w:t xml:space="preserve"> 26. gr. stjórnarskrár </w:t>
      </w:r>
      <w:r w:rsidR="00520435" w:rsidRPr="005C02EA">
        <w:t xml:space="preserve">og þá </w:t>
      </w:r>
      <w:r w:rsidR="00FC0EDF" w:rsidRPr="005C02EA">
        <w:t xml:space="preserve">með þeim afleiðingum að þjóðaratkvæðagreiðsla </w:t>
      </w:r>
      <w:r w:rsidR="00FC31C2">
        <w:t>fari ekki fram</w:t>
      </w:r>
      <w:r w:rsidR="00FC0EDF" w:rsidRPr="005C02EA">
        <w:t>.</w:t>
      </w:r>
    </w:p>
    <w:p w14:paraId="1F72E6A5" w14:textId="447B5624" w:rsidR="00FC0EDF" w:rsidRPr="005C02EA" w:rsidRDefault="003A3762" w:rsidP="00EB433F">
      <w:pPr>
        <w:pStyle w:val="Mlsgreinlista"/>
        <w:numPr>
          <w:ilvl w:val="0"/>
          <w:numId w:val="26"/>
        </w:numPr>
      </w:pPr>
      <w:r w:rsidRPr="005C02EA">
        <w:t>F</w:t>
      </w:r>
      <w:r w:rsidR="00520435" w:rsidRPr="005C02EA">
        <w:t xml:space="preserve">ormleg </w:t>
      </w:r>
      <w:r w:rsidR="00FC0EDF" w:rsidRPr="005C02EA">
        <w:t>heimild forseta til að fella niður saksókn</w:t>
      </w:r>
      <w:r w:rsidRPr="005C02EA">
        <w:t xml:space="preserve"> </w:t>
      </w:r>
      <w:r w:rsidR="007C45DA">
        <w:t>v</w:t>
      </w:r>
      <w:r w:rsidRPr="005C02EA">
        <w:t>er</w:t>
      </w:r>
      <w:r w:rsidR="007C45DA">
        <w:t>ði</w:t>
      </w:r>
      <w:r w:rsidRPr="005C02EA">
        <w:t xml:space="preserve"> afnumin.</w:t>
      </w:r>
    </w:p>
    <w:p w14:paraId="1606FB7F" w14:textId="51522EB7" w:rsidR="00FC0EDF" w:rsidRPr="005C02EA" w:rsidRDefault="003A3762" w:rsidP="00EB433F">
      <w:pPr>
        <w:pStyle w:val="Mlsgreinlista"/>
        <w:numPr>
          <w:ilvl w:val="0"/>
          <w:numId w:val="26"/>
        </w:numPr>
      </w:pPr>
      <w:r w:rsidRPr="005C02EA">
        <w:t xml:space="preserve">Mælt </w:t>
      </w:r>
      <w:r w:rsidR="007C45DA">
        <w:t>v</w:t>
      </w:r>
      <w:r w:rsidRPr="005C02EA">
        <w:t>er</w:t>
      </w:r>
      <w:r w:rsidR="007C45DA">
        <w:t>ði</w:t>
      </w:r>
      <w:r w:rsidRPr="005C02EA">
        <w:t xml:space="preserve"> fyrir</w:t>
      </w:r>
      <w:r w:rsidR="00B513E2" w:rsidRPr="005C02EA">
        <w:t xml:space="preserve"> um embætti ríkissaksóknara með það að markmiði að tryggja embættinu sambærilegt sjálfstæði og vernd og dómsvaldinu.</w:t>
      </w:r>
    </w:p>
    <w:p w14:paraId="24EAE96A" w14:textId="77777777" w:rsidR="00D0740D" w:rsidRPr="005C02EA" w:rsidRDefault="00D0740D" w:rsidP="00E52E35">
      <w:pPr>
        <w:ind w:firstLine="0"/>
      </w:pPr>
    </w:p>
    <w:p w14:paraId="63095CC6" w14:textId="08F7BEC0" w:rsidR="00D0740D" w:rsidRPr="005C02EA" w:rsidRDefault="00E71F27" w:rsidP="00D0740D">
      <w:pPr>
        <w:pStyle w:val="Millifyrirsgn1"/>
      </w:pPr>
      <w:r w:rsidRPr="005C02EA">
        <w:t>4</w:t>
      </w:r>
      <w:r w:rsidR="00D0740D" w:rsidRPr="005C02EA">
        <w:t xml:space="preserve">. Samræmi við alþjóðlegar skuldbindingar. </w:t>
      </w:r>
    </w:p>
    <w:p w14:paraId="0BB29256" w14:textId="64AA9321" w:rsidR="00F51FAA" w:rsidRDefault="00175FCC" w:rsidP="00D0740D">
      <w:r>
        <w:t>Tvö</w:t>
      </w:r>
      <w:r w:rsidR="00B2695B">
        <w:t xml:space="preserve"> </w:t>
      </w:r>
      <w:r>
        <w:t>efnis</w:t>
      </w:r>
      <w:r w:rsidR="003A3762" w:rsidRPr="005C02EA">
        <w:t>atriði fr</w:t>
      </w:r>
      <w:r w:rsidR="00031B11">
        <w:t>umvarpsins gefa</w:t>
      </w:r>
      <w:r w:rsidR="003A3762" w:rsidRPr="005C02EA">
        <w:t xml:space="preserve"> tilefni til umræðu</w:t>
      </w:r>
      <w:r w:rsidR="00BB7567">
        <w:t xml:space="preserve"> um</w:t>
      </w:r>
      <w:r w:rsidR="003A3762" w:rsidRPr="005C02EA">
        <w:t xml:space="preserve"> alþjóðlegar skuldbindingar</w:t>
      </w:r>
      <w:r w:rsidR="00B2695B">
        <w:t>.</w:t>
      </w:r>
      <w:r w:rsidR="003A3762" w:rsidRPr="005C02EA">
        <w:t xml:space="preserve"> Í fyrsta lagi gerir fr</w:t>
      </w:r>
      <w:r w:rsidR="00031B11">
        <w:t>umvarpið</w:t>
      </w:r>
      <w:r w:rsidR="003A3762" w:rsidRPr="005C02EA">
        <w:t xml:space="preserve"> ráð fyrir því að </w:t>
      </w:r>
      <w:r w:rsidR="00BA5FEC" w:rsidRPr="005C02EA">
        <w:t xml:space="preserve">fortakslaust </w:t>
      </w:r>
      <w:r w:rsidR="003A3762" w:rsidRPr="005C02EA">
        <w:t>ábyrgðarleysi</w:t>
      </w:r>
      <w:r w:rsidR="00BA5FEC" w:rsidRPr="005C02EA">
        <w:t xml:space="preserve"> forseta á stjórnarathöfnum sé afnumið og bundið við þær athafnir sem hann framkvæmir að tillögu ráðherra. Þessi breyting er í samræmi við 27. gr. Rómarsamþykktar um Alþjóðlega sakamáladómstólinn frá 17. júlí 1998 sem Ísland hefur fullgilt, sbr. einnig lög nr. 43/2001. </w:t>
      </w:r>
    </w:p>
    <w:p w14:paraId="1CB0756D" w14:textId="76822679" w:rsidR="003A3762" w:rsidRPr="005C02EA" w:rsidRDefault="00BA5FEC" w:rsidP="00D0740D">
      <w:r w:rsidRPr="005C02EA">
        <w:t xml:space="preserve">Í annan stað var fjallað um </w:t>
      </w:r>
      <w:r w:rsidR="00A40350" w:rsidRPr="005C02EA">
        <w:t>ákvæði 14. gr. stj</w:t>
      </w:r>
      <w:r w:rsidR="00DC2A78">
        <w:t xml:space="preserve">órnarskrár </w:t>
      </w:r>
      <w:r w:rsidR="00A40350" w:rsidRPr="005C02EA">
        <w:t xml:space="preserve">í dómi </w:t>
      </w:r>
      <w:r w:rsidR="00DC2A78" w:rsidRPr="005C02EA">
        <w:t>Mannréttinda</w:t>
      </w:r>
      <w:r w:rsidR="003D7265">
        <w:softHyphen/>
      </w:r>
      <w:r w:rsidR="00DC2A78" w:rsidRPr="005C02EA">
        <w:t>dómstóls</w:t>
      </w:r>
      <w:r w:rsidR="00DC2A78">
        <w:t xml:space="preserve"> Evrópu frá</w:t>
      </w:r>
      <w:r w:rsidR="00DC2A78" w:rsidRPr="005C02EA">
        <w:t xml:space="preserve"> </w:t>
      </w:r>
      <w:r w:rsidR="00A40350" w:rsidRPr="005C02EA">
        <w:t>23. nóvember 2017 í máli Geirs H. Haarde gegn íslenska ríkinu</w:t>
      </w:r>
      <w:r w:rsidR="00F40778">
        <w:t>.</w:t>
      </w:r>
      <w:r w:rsidR="00031B11">
        <w:t xml:space="preserve"> </w:t>
      </w:r>
      <w:r w:rsidR="005B6CBF">
        <w:t>Í dóminum</w:t>
      </w:r>
      <w:r w:rsidR="00F40778">
        <w:t xml:space="preserve"> var</w:t>
      </w:r>
      <w:r w:rsidR="00031B11">
        <w:t xml:space="preserve"> m</w:t>
      </w:r>
      <w:r w:rsidR="003D7265">
        <w:t>eðal annars</w:t>
      </w:r>
      <w:r w:rsidR="00031B11">
        <w:t xml:space="preserve"> tekin afstaða til þess hvort það fyrirkomulag að </w:t>
      </w:r>
      <w:r w:rsidR="00F40778">
        <w:t>Alþingi f</w:t>
      </w:r>
      <w:r w:rsidR="003D7265">
        <w:t>æ</w:t>
      </w:r>
      <w:r w:rsidR="00F40778">
        <w:t xml:space="preserve">ri með ákæruvald í málum vegna brota ráðherra í embætti og að </w:t>
      </w:r>
      <w:proofErr w:type="spellStart"/>
      <w:r w:rsidR="00160928">
        <w:t>l</w:t>
      </w:r>
      <w:r w:rsidR="00B2695B">
        <w:t>andsdómur</w:t>
      </w:r>
      <w:proofErr w:type="spellEnd"/>
      <w:r w:rsidR="00F40778">
        <w:t xml:space="preserve"> dæm</w:t>
      </w:r>
      <w:r w:rsidR="003D7265">
        <w:t>d</w:t>
      </w:r>
      <w:r w:rsidR="00F40778">
        <w:t xml:space="preserve">i í þeim málum </w:t>
      </w:r>
      <w:r w:rsidR="002F6421">
        <w:t>br</w:t>
      </w:r>
      <w:r w:rsidR="003D7265">
        <w:t>y</w:t>
      </w:r>
      <w:r w:rsidR="002F6421">
        <w:t>ti gegn</w:t>
      </w:r>
      <w:r w:rsidR="00F40778">
        <w:t xml:space="preserve"> 6. gr. </w:t>
      </w:r>
      <w:r w:rsidR="00E12EC5">
        <w:t>m</w:t>
      </w:r>
      <w:r w:rsidR="00F40778">
        <w:t>annréttindasáttmála Evrópu um réttláta málsmeðferð</w:t>
      </w:r>
      <w:r w:rsidR="002F6421">
        <w:t>, þ</w:t>
      </w:r>
      <w:r w:rsidR="005C4289">
        <w:t>ar</w:t>
      </w:r>
      <w:r w:rsidR="002F6421">
        <w:t xml:space="preserve"> á m</w:t>
      </w:r>
      <w:r w:rsidR="005C4289">
        <w:t>eðal</w:t>
      </w:r>
      <w:r w:rsidR="002F6421">
        <w:t xml:space="preserve"> hvort </w:t>
      </w:r>
      <w:proofErr w:type="spellStart"/>
      <w:r w:rsidR="00160928">
        <w:t>l</w:t>
      </w:r>
      <w:r w:rsidR="00B2695B">
        <w:t>andsdómur</w:t>
      </w:r>
      <w:proofErr w:type="spellEnd"/>
      <w:r w:rsidR="002F6421">
        <w:t xml:space="preserve"> teldist sjálfstæður og óvilhallur dómstóll í skilningi sáttmálans</w:t>
      </w:r>
      <w:r w:rsidR="00A40350" w:rsidRPr="005C02EA">
        <w:t>.</w:t>
      </w:r>
      <w:r w:rsidR="002F6421">
        <w:t xml:space="preserve"> Íslenska ríkið var sýknað í málinu og verður</w:t>
      </w:r>
      <w:r w:rsidR="005B6CBF">
        <w:t xml:space="preserve"> </w:t>
      </w:r>
      <w:r w:rsidR="00A40350" w:rsidRPr="005C02EA">
        <w:t>dómur</w:t>
      </w:r>
      <w:r w:rsidR="002F6421">
        <w:t>inn</w:t>
      </w:r>
      <w:r w:rsidR="00A40350" w:rsidRPr="005C02EA">
        <w:t xml:space="preserve"> ekki skilin</w:t>
      </w:r>
      <w:r w:rsidR="00DC2A78">
        <w:t>n</w:t>
      </w:r>
      <w:r w:rsidR="00A40350" w:rsidRPr="005C02EA">
        <w:t xml:space="preserve"> á aðra leið en</w:t>
      </w:r>
      <w:r w:rsidR="00031B11">
        <w:t xml:space="preserve"> </w:t>
      </w:r>
      <w:r w:rsidR="00E12EC5">
        <w:t xml:space="preserve">þá </w:t>
      </w:r>
      <w:r w:rsidR="00031B11">
        <w:t>að núgildandi fy</w:t>
      </w:r>
      <w:r w:rsidR="00F40778">
        <w:t>r</w:t>
      </w:r>
      <w:r w:rsidR="00031B11">
        <w:t>irkomu</w:t>
      </w:r>
      <w:r w:rsidR="00F40778">
        <w:t>lag</w:t>
      </w:r>
      <w:r w:rsidR="002F6421">
        <w:t xml:space="preserve"> samrýmist ákvæðum </w:t>
      </w:r>
      <w:r w:rsidR="00E12EC5">
        <w:t>m</w:t>
      </w:r>
      <w:r w:rsidR="00A40350" w:rsidRPr="005C02EA">
        <w:t xml:space="preserve">annréttindasáttmála Evrópu sem Ísland hefur fullgilt og lögfest, sbr. </w:t>
      </w:r>
      <w:r w:rsidR="00A6751C">
        <w:t xml:space="preserve">samnefnd </w:t>
      </w:r>
      <w:r w:rsidR="00A40350" w:rsidRPr="005C02EA">
        <w:t>lög nr. 62/1994</w:t>
      </w:r>
      <w:r w:rsidR="002F6421">
        <w:t>.</w:t>
      </w:r>
      <w:r w:rsidR="00F51FAA">
        <w:t xml:space="preserve"> </w:t>
      </w:r>
      <w:r w:rsidR="0035422F">
        <w:t xml:space="preserve">Leiðir </w:t>
      </w:r>
      <w:r w:rsidR="009F4CE3">
        <w:t xml:space="preserve">einnig </w:t>
      </w:r>
      <w:r w:rsidR="0035422F">
        <w:t xml:space="preserve">af þessu að </w:t>
      </w:r>
      <w:r w:rsidR="000E19B5">
        <w:t xml:space="preserve">það er </w:t>
      </w:r>
      <w:r w:rsidR="0035422F">
        <w:t>samrýmanlegt sáttmálanum að Alþingi sé áfram falið að mæla fyrir um inntak ráðherraábyrgðar og</w:t>
      </w:r>
      <w:r w:rsidR="009F4CE3">
        <w:t xml:space="preserve"> nánari</w:t>
      </w:r>
      <w:r w:rsidR="0035422F">
        <w:t xml:space="preserve"> meðferð slíkra mála</w:t>
      </w:r>
      <w:r w:rsidR="009F4CE3">
        <w:t>, líkt og frumvarpið gerir ráð fyrir.</w:t>
      </w:r>
    </w:p>
    <w:p w14:paraId="38958DF8" w14:textId="77777777" w:rsidR="00D0740D" w:rsidRPr="005C02EA" w:rsidRDefault="00D0740D" w:rsidP="00D0740D"/>
    <w:p w14:paraId="225BA4E5" w14:textId="74F45D1E" w:rsidR="007D364A" w:rsidRDefault="00E71F27" w:rsidP="007D364A">
      <w:pPr>
        <w:pStyle w:val="Millifyrirsgn1"/>
      </w:pPr>
      <w:r w:rsidRPr="005C02EA">
        <w:t>5</w:t>
      </w:r>
      <w:r w:rsidR="00D0740D" w:rsidRPr="005C02EA">
        <w:t xml:space="preserve">. Samráð. </w:t>
      </w:r>
    </w:p>
    <w:p w14:paraId="5DA5336B" w14:textId="37917C3A" w:rsidR="007D364A" w:rsidRPr="007D364A" w:rsidRDefault="007D364A" w:rsidP="007D364A">
      <w:r>
        <w:t xml:space="preserve">Eins og </w:t>
      </w:r>
      <w:r w:rsidR="009F4CE3">
        <w:t>vikið var að</w:t>
      </w:r>
      <w:r>
        <w:t xml:space="preserve"> í inngangskafla var Félagsvísindastofnun Háskóla Íslands falið að </w:t>
      </w:r>
      <w:r w:rsidR="002737F4">
        <w:t xml:space="preserve">standa fyrir </w:t>
      </w:r>
      <w:r>
        <w:t>rökræðu</w:t>
      </w:r>
      <w:r>
        <w:rPr>
          <w:color w:val="000000"/>
        </w:rPr>
        <w:t>könnun á viðhorf</w:t>
      </w:r>
      <w:r w:rsidR="002737F4">
        <w:rPr>
          <w:color w:val="000000"/>
        </w:rPr>
        <w:t>i</w:t>
      </w:r>
      <w:r>
        <w:rPr>
          <w:color w:val="000000"/>
        </w:rPr>
        <w:t xml:space="preserve"> almennings til stjórnarskrárinnar. Rökræðukönnunin </w:t>
      </w:r>
      <w:r w:rsidR="0060159A">
        <w:rPr>
          <w:color w:val="000000"/>
        </w:rPr>
        <w:t>skiptist í sex meginþætti. Fyrst var könnun lögð fyrir tilviljunarúrtak úr þjóðskrá og viðhorfshóp stofnunarinnar sumarið 2019</w:t>
      </w:r>
      <w:r>
        <w:rPr>
          <w:color w:val="000000"/>
        </w:rPr>
        <w:t xml:space="preserve">. Í nóvember sama ár var þátttakendum í könnuninni boðið að taka þátt í </w:t>
      </w:r>
      <w:r w:rsidR="0060159A">
        <w:rPr>
          <w:color w:val="000000"/>
        </w:rPr>
        <w:t>umræðufundi og þei</w:t>
      </w:r>
      <w:r w:rsidR="00175FCC">
        <w:rPr>
          <w:color w:val="000000"/>
        </w:rPr>
        <w:t>r</w:t>
      </w:r>
      <w:r w:rsidR="0060159A">
        <w:rPr>
          <w:color w:val="000000"/>
        </w:rPr>
        <w:t xml:space="preserve"> sem þáðu boðið fengu sendar upplýsingar um málefni fundarins. Í upphafi umræðufundar var önnur viðhorfskönnun lögð fyrir þátttakendur til að kanna viðhorf þeirra til málefnanna en því næst var þeim skipt í hópa sem ræddu málefnin skipulega undir stjórn umræðustjóra. Á fundinum gafst þátttakendum jafnframt tækifæri til að bera upp spurningar um hvert málefni við sérfræðinga. Í lok fundar var þriðja viðhorfskönnunin lögð fyrir þátttakendur í því skyni að kanna hvort viðhorf þeirra hefðu breyst við nánari skoðun og umræður fundarins.</w:t>
      </w:r>
    </w:p>
    <w:p w14:paraId="1AC4E6FA" w14:textId="07F7BAD5" w:rsidR="00ED042D" w:rsidRDefault="00ED042D" w:rsidP="0060159A">
      <w:pPr>
        <w:rPr>
          <w:color w:val="000000"/>
        </w:rPr>
      </w:pPr>
      <w:r>
        <w:rPr>
          <w:color w:val="000000"/>
        </w:rPr>
        <w:t xml:space="preserve">Í </w:t>
      </w:r>
      <w:r w:rsidR="0060159A">
        <w:rPr>
          <w:color w:val="000000"/>
        </w:rPr>
        <w:t xml:space="preserve">fyrstu </w:t>
      </w:r>
      <w:r>
        <w:rPr>
          <w:color w:val="000000"/>
        </w:rPr>
        <w:t>viðhorfskönnuninni töldu 65% þátttakenda að áfram ætti að styðjast við einfalda meirihlutakosningu við val á forseta Íslands</w:t>
      </w:r>
      <w:r w:rsidR="00D550F3">
        <w:rPr>
          <w:color w:val="000000"/>
        </w:rPr>
        <w:t xml:space="preserve">. Voru </w:t>
      </w:r>
      <w:r>
        <w:rPr>
          <w:color w:val="000000"/>
        </w:rPr>
        <w:t>62% hlynnt því að takmarka lengd setu forseta í embætti</w:t>
      </w:r>
      <w:r w:rsidR="00D550F3">
        <w:rPr>
          <w:color w:val="000000"/>
        </w:rPr>
        <w:t>,</w:t>
      </w:r>
      <w:r>
        <w:rPr>
          <w:color w:val="000000"/>
        </w:rPr>
        <w:t xml:space="preserve"> en einungis 14% voru því andvíg.</w:t>
      </w:r>
      <w:r w:rsidR="003C62EA">
        <w:rPr>
          <w:color w:val="000000"/>
        </w:rPr>
        <w:t xml:space="preserve"> Af þeim kostum sem komu til greina völdu f</w:t>
      </w:r>
      <w:r>
        <w:rPr>
          <w:color w:val="000000"/>
        </w:rPr>
        <w:t xml:space="preserve">lestir (40%) þann kost að takmarka </w:t>
      </w:r>
      <w:r w:rsidR="00D550F3">
        <w:rPr>
          <w:color w:val="000000"/>
        </w:rPr>
        <w:t xml:space="preserve">ætti </w:t>
      </w:r>
      <w:r>
        <w:rPr>
          <w:color w:val="000000"/>
        </w:rPr>
        <w:t xml:space="preserve">setuna við þrjú </w:t>
      </w:r>
      <w:r w:rsidR="00175FCC">
        <w:rPr>
          <w:color w:val="000000"/>
        </w:rPr>
        <w:t xml:space="preserve">fjögurra ára </w:t>
      </w:r>
      <w:r>
        <w:rPr>
          <w:color w:val="000000"/>
        </w:rPr>
        <w:t>kjörtímabil</w:t>
      </w:r>
      <w:r w:rsidR="009B0D11">
        <w:rPr>
          <w:color w:val="000000"/>
        </w:rPr>
        <w:t>,</w:t>
      </w:r>
      <w:r>
        <w:rPr>
          <w:color w:val="000000"/>
        </w:rPr>
        <w:t xml:space="preserve"> 12 ár</w:t>
      </w:r>
      <w:r w:rsidR="009B0D11">
        <w:rPr>
          <w:color w:val="000000"/>
        </w:rPr>
        <w:t xml:space="preserve"> </w:t>
      </w:r>
      <w:r w:rsidR="009B0D11">
        <w:rPr>
          <w:color w:val="000000"/>
        </w:rPr>
        <w:lastRenderedPageBreak/>
        <w:t>samtals</w:t>
      </w:r>
      <w:r>
        <w:rPr>
          <w:color w:val="000000"/>
        </w:rPr>
        <w:t xml:space="preserve">. </w:t>
      </w:r>
      <w:r w:rsidR="00D550F3">
        <w:rPr>
          <w:color w:val="000000"/>
        </w:rPr>
        <w:t xml:space="preserve">Alls voru </w:t>
      </w:r>
      <w:r>
        <w:rPr>
          <w:color w:val="000000"/>
        </w:rPr>
        <w:t>70% þeirrar skoðunar að forsetaembættið og þau völd sem því fylgja ættu að vera svipuð og í núgildandi stjórnskipan.</w:t>
      </w:r>
      <w:r w:rsidR="0060159A">
        <w:rPr>
          <w:color w:val="000000"/>
        </w:rPr>
        <w:t xml:space="preserve"> </w:t>
      </w:r>
      <w:r>
        <w:rPr>
          <w:color w:val="000000"/>
        </w:rPr>
        <w:t>Í</w:t>
      </w:r>
      <w:r w:rsidR="0060159A">
        <w:rPr>
          <w:color w:val="000000"/>
        </w:rPr>
        <w:t xml:space="preserve"> fyrstu</w:t>
      </w:r>
      <w:r>
        <w:rPr>
          <w:color w:val="000000"/>
        </w:rPr>
        <w:t xml:space="preserve"> viðhorfskönnuninni kom</w:t>
      </w:r>
      <w:r w:rsidR="0060159A">
        <w:rPr>
          <w:color w:val="000000"/>
        </w:rPr>
        <w:t xml:space="preserve"> jafnframt</w:t>
      </w:r>
      <w:r>
        <w:rPr>
          <w:color w:val="000000"/>
        </w:rPr>
        <w:t xml:space="preserve"> fram að 59% þátttakenda vildu halda núverandi fyrirkomulagi um ráðherraábyrgð og málsmeðferð vegna embættisbrota ráðherr</w:t>
      </w:r>
      <w:r w:rsidR="00A34499">
        <w:rPr>
          <w:color w:val="000000"/>
        </w:rPr>
        <w:t>a</w:t>
      </w:r>
      <w:r>
        <w:rPr>
          <w:color w:val="000000"/>
        </w:rPr>
        <w:t xml:space="preserve">. Þegar fólk var beðið um að ímynda sér að breyta ætti fyrirkomulaginu </w:t>
      </w:r>
      <w:r w:rsidR="00D550F3">
        <w:rPr>
          <w:color w:val="000000"/>
        </w:rPr>
        <w:t xml:space="preserve">töldu </w:t>
      </w:r>
      <w:r>
        <w:rPr>
          <w:color w:val="000000"/>
        </w:rPr>
        <w:t>75% að slík mál ætti að reka eins og önnur refsimál fyrir dómstólum.</w:t>
      </w:r>
    </w:p>
    <w:p w14:paraId="0EDDD73F" w14:textId="594DE306" w:rsidR="00ED042D" w:rsidRDefault="00ED042D" w:rsidP="00FE6AC9">
      <w:pPr>
        <w:rPr>
          <w:color w:val="000000"/>
        </w:rPr>
      </w:pPr>
      <w:r>
        <w:rPr>
          <w:color w:val="000000"/>
        </w:rPr>
        <w:t xml:space="preserve">Í </w:t>
      </w:r>
      <w:r w:rsidR="0060159A">
        <w:rPr>
          <w:color w:val="000000"/>
        </w:rPr>
        <w:t>þriðju viðhorfskönnuninni, þ.e. eftir umræður fundarins,</w:t>
      </w:r>
      <w:r>
        <w:rPr>
          <w:color w:val="000000"/>
        </w:rPr>
        <w:t xml:space="preserve"> kom fram að 77% þátttakenda vildu </w:t>
      </w:r>
      <w:r w:rsidR="00FE6AC9">
        <w:rPr>
          <w:color w:val="000000"/>
        </w:rPr>
        <w:t xml:space="preserve">að embætti forseta Íslands </w:t>
      </w:r>
      <w:r w:rsidR="00A34499">
        <w:rPr>
          <w:color w:val="000000"/>
        </w:rPr>
        <w:t>væri með</w:t>
      </w:r>
      <w:r w:rsidR="00FE6AC9">
        <w:rPr>
          <w:color w:val="000000"/>
        </w:rPr>
        <w:t xml:space="preserve"> svip</w:t>
      </w:r>
      <w:r w:rsidR="00A34499">
        <w:rPr>
          <w:color w:val="000000"/>
        </w:rPr>
        <w:t>u</w:t>
      </w:r>
      <w:r w:rsidR="00FE6AC9">
        <w:rPr>
          <w:color w:val="000000"/>
        </w:rPr>
        <w:t>ð</w:t>
      </w:r>
      <w:r w:rsidR="00A34499">
        <w:rPr>
          <w:color w:val="000000"/>
        </w:rPr>
        <w:t>u sniði</w:t>
      </w:r>
      <w:r w:rsidR="00FE6AC9">
        <w:rPr>
          <w:color w:val="000000"/>
        </w:rPr>
        <w:t xml:space="preserve"> og í núgildandi stjórnskipan. Var í því sambandi tekið fram í </w:t>
      </w:r>
      <w:r w:rsidR="00B56974">
        <w:rPr>
          <w:color w:val="000000"/>
        </w:rPr>
        <w:t xml:space="preserve">spurningu </w:t>
      </w:r>
      <w:r w:rsidR="00DE086C">
        <w:rPr>
          <w:color w:val="000000"/>
        </w:rPr>
        <w:t xml:space="preserve">sem lögð var fyrir </w:t>
      </w:r>
      <w:r w:rsidR="00B56974">
        <w:rPr>
          <w:color w:val="000000"/>
        </w:rPr>
        <w:t>þátttak</w:t>
      </w:r>
      <w:r w:rsidR="00DE086C">
        <w:rPr>
          <w:color w:val="000000"/>
        </w:rPr>
        <w:t>endur</w:t>
      </w:r>
      <w:r w:rsidR="00FE6AC9">
        <w:rPr>
          <w:color w:val="000000"/>
        </w:rPr>
        <w:t xml:space="preserve"> að </w:t>
      </w:r>
      <w:r w:rsidR="00DE086C">
        <w:rPr>
          <w:color w:val="000000"/>
        </w:rPr>
        <w:t xml:space="preserve">samkvæmt núverandi fyrirkomulagi hefði </w:t>
      </w:r>
      <w:r w:rsidR="00FE6AC9">
        <w:rPr>
          <w:color w:val="000000"/>
        </w:rPr>
        <w:t>forset</w:t>
      </w:r>
      <w:r w:rsidR="00B56974">
        <w:rPr>
          <w:color w:val="000000"/>
        </w:rPr>
        <w:t>i</w:t>
      </w:r>
      <w:r w:rsidR="00FE6AC9">
        <w:rPr>
          <w:color w:val="000000"/>
        </w:rPr>
        <w:t xml:space="preserve"> Íslands fyrst og fremst formlegt hlutverk en gæti þó í ákveðnum tilfellum haft mikil áhrif á stjórnmál, t.d. með því að synja lögum staðfestingar. Alls töldu </w:t>
      </w:r>
      <w:r>
        <w:rPr>
          <w:color w:val="000000"/>
        </w:rPr>
        <w:t xml:space="preserve">86% þátttakenda að forseti lýðveldisins </w:t>
      </w:r>
      <w:r w:rsidR="00DE086C">
        <w:rPr>
          <w:color w:val="000000"/>
        </w:rPr>
        <w:t xml:space="preserve">ætti </w:t>
      </w:r>
      <w:r>
        <w:rPr>
          <w:color w:val="000000"/>
        </w:rPr>
        <w:t xml:space="preserve">að vera fulltrúi allrar þjóðarinnar og hafinn yfir </w:t>
      </w:r>
      <w:r w:rsidR="00B56974">
        <w:rPr>
          <w:color w:val="000000"/>
        </w:rPr>
        <w:t>dægurstjórnmál</w:t>
      </w:r>
      <w:r>
        <w:rPr>
          <w:color w:val="000000"/>
        </w:rPr>
        <w:t xml:space="preserve">. Jókst stuðningur við þetta sjónarmið á rökræðufundinum (var 79% í upphafi fundar). Þá töldu 75% þátttakenda það mikilvægt fyrir lýðræðið og lýðræðislega þátttöku að sami forseti </w:t>
      </w:r>
      <w:r w:rsidR="00DE086C">
        <w:rPr>
          <w:color w:val="000000"/>
        </w:rPr>
        <w:t xml:space="preserve">sæti </w:t>
      </w:r>
      <w:r>
        <w:rPr>
          <w:color w:val="000000"/>
        </w:rPr>
        <w:t xml:space="preserve">ekki of lengi í embætti. Stuðningur við þetta jókst í lok fundarins </w:t>
      </w:r>
      <w:r w:rsidR="00DE086C">
        <w:rPr>
          <w:color w:val="000000"/>
        </w:rPr>
        <w:t>(</w:t>
      </w:r>
      <w:r>
        <w:rPr>
          <w:color w:val="000000"/>
        </w:rPr>
        <w:t>var 64% í upphafi fundar</w:t>
      </w:r>
      <w:r w:rsidR="00DE086C">
        <w:rPr>
          <w:color w:val="000000"/>
        </w:rPr>
        <w:t>)</w:t>
      </w:r>
      <w:r>
        <w:rPr>
          <w:color w:val="000000"/>
        </w:rPr>
        <w:t xml:space="preserve">. </w:t>
      </w:r>
      <w:r w:rsidR="00B56974">
        <w:rPr>
          <w:color w:val="000000"/>
        </w:rPr>
        <w:t xml:space="preserve">Alls töldu </w:t>
      </w:r>
      <w:r>
        <w:rPr>
          <w:color w:val="000000"/>
        </w:rPr>
        <w:t xml:space="preserve">72% að embættistími forseta ætti að takmarkast við tiltekinn fjölda kjörtímabila. </w:t>
      </w:r>
      <w:r w:rsidR="00DB084C">
        <w:rPr>
          <w:color w:val="000000"/>
        </w:rPr>
        <w:t xml:space="preserve">Þá töldu </w:t>
      </w:r>
      <w:r>
        <w:rPr>
          <w:color w:val="000000"/>
        </w:rPr>
        <w:t xml:space="preserve">54% að forseti ætti að hafa áhrif á gang mála þar sem hann væri eini embættismaðurinn sem hefði beinan stuðning almennings á bak við sig. Dró heldur úr stuðningi við þetta sjónarmið á rökræðufundinum (var 61% í upphafi fundar). Af </w:t>
      </w:r>
      <w:r w:rsidR="00DB084C">
        <w:rPr>
          <w:color w:val="000000"/>
        </w:rPr>
        <w:t xml:space="preserve">öllu </w:t>
      </w:r>
      <w:r>
        <w:rPr>
          <w:color w:val="000000"/>
        </w:rPr>
        <w:t xml:space="preserve">þessu </w:t>
      </w:r>
      <w:r w:rsidR="00DB084C">
        <w:rPr>
          <w:color w:val="000000"/>
        </w:rPr>
        <w:t xml:space="preserve">þykir mega </w:t>
      </w:r>
      <w:r>
        <w:rPr>
          <w:color w:val="000000"/>
        </w:rPr>
        <w:t xml:space="preserve">draga þá ályktun að ekki sé </w:t>
      </w:r>
      <w:r w:rsidR="00175FCC">
        <w:rPr>
          <w:color w:val="000000"/>
        </w:rPr>
        <w:t xml:space="preserve">víðtækur </w:t>
      </w:r>
      <w:r>
        <w:rPr>
          <w:color w:val="000000"/>
        </w:rPr>
        <w:t xml:space="preserve">stuðningur við </w:t>
      </w:r>
      <w:r w:rsidR="00DB084C">
        <w:rPr>
          <w:color w:val="000000"/>
        </w:rPr>
        <w:t>grundvallar</w:t>
      </w:r>
      <w:r>
        <w:rPr>
          <w:color w:val="000000"/>
        </w:rPr>
        <w:t>breytingar á eðli forsetaembættisins.</w:t>
      </w:r>
    </w:p>
    <w:p w14:paraId="12B2FC23" w14:textId="3FE91C5D" w:rsidR="00D0740D" w:rsidRDefault="00ED042D" w:rsidP="00ED042D">
      <w:pPr>
        <w:rPr>
          <w:color w:val="000000"/>
        </w:rPr>
      </w:pPr>
      <w:r>
        <w:rPr>
          <w:color w:val="000000"/>
        </w:rPr>
        <w:t xml:space="preserve">Á rökræðufundinum var jafnframt fjallað um </w:t>
      </w:r>
      <w:proofErr w:type="spellStart"/>
      <w:r w:rsidR="00160928">
        <w:rPr>
          <w:color w:val="000000"/>
        </w:rPr>
        <w:t>l</w:t>
      </w:r>
      <w:r>
        <w:rPr>
          <w:color w:val="000000"/>
        </w:rPr>
        <w:t>andsdóm</w:t>
      </w:r>
      <w:proofErr w:type="spellEnd"/>
      <w:r>
        <w:rPr>
          <w:color w:val="000000"/>
        </w:rPr>
        <w:t xml:space="preserve"> og ákæruvald Alþingis vegna brota ráðherra í starfi. Þar kom skýrt fram að þátttakendur vildu breytingar á núverandi kerfi. 55% töldu að Alþingi ætti ekki að hafa vald til að ákæra ráðherra og að leggja skyldi niður </w:t>
      </w:r>
      <w:proofErr w:type="spellStart"/>
      <w:r w:rsidR="00DD3DB3">
        <w:rPr>
          <w:color w:val="000000"/>
        </w:rPr>
        <w:t>l</w:t>
      </w:r>
      <w:r>
        <w:rPr>
          <w:color w:val="000000"/>
        </w:rPr>
        <w:t>andsdóm</w:t>
      </w:r>
      <w:proofErr w:type="spellEnd"/>
      <w:r>
        <w:rPr>
          <w:color w:val="000000"/>
        </w:rPr>
        <w:t xml:space="preserve"> en stuðningur við það sjónarmið var 24% í upphafi fundar. Yfirgnæfandi meiri</w:t>
      </w:r>
      <w:r w:rsidR="00210AEC">
        <w:rPr>
          <w:color w:val="000000"/>
        </w:rPr>
        <w:t xml:space="preserve"> </w:t>
      </w:r>
      <w:r>
        <w:rPr>
          <w:color w:val="000000"/>
        </w:rPr>
        <w:t>hluti þátttakenda</w:t>
      </w:r>
      <w:r w:rsidR="00A7773A">
        <w:rPr>
          <w:color w:val="000000"/>
        </w:rPr>
        <w:t>,</w:t>
      </w:r>
      <w:r>
        <w:rPr>
          <w:color w:val="000000"/>
        </w:rPr>
        <w:t xml:space="preserve"> eða 79%</w:t>
      </w:r>
      <w:r w:rsidR="00A7773A">
        <w:rPr>
          <w:color w:val="000000"/>
        </w:rPr>
        <w:t>,</w:t>
      </w:r>
      <w:r>
        <w:rPr>
          <w:color w:val="000000"/>
        </w:rPr>
        <w:t xml:space="preserve"> taldi eftir fundinn að hægt væri að misnota ákæruvald Alþingis og </w:t>
      </w:r>
      <w:proofErr w:type="spellStart"/>
      <w:r w:rsidR="00DD3DB3">
        <w:rPr>
          <w:color w:val="000000"/>
        </w:rPr>
        <w:t>l</w:t>
      </w:r>
      <w:r>
        <w:rPr>
          <w:color w:val="000000"/>
        </w:rPr>
        <w:t>andsdóm</w:t>
      </w:r>
      <w:proofErr w:type="spellEnd"/>
      <w:r>
        <w:rPr>
          <w:color w:val="000000"/>
        </w:rPr>
        <w:t xml:space="preserve"> í pólitískum tilgangi og jókst stuðningur við þ</w:t>
      </w:r>
      <w:r w:rsidR="00A7773A">
        <w:rPr>
          <w:color w:val="000000"/>
        </w:rPr>
        <w:t>að</w:t>
      </w:r>
      <w:r>
        <w:rPr>
          <w:color w:val="000000"/>
        </w:rPr>
        <w:t xml:space="preserve"> sjónarmið á fundinum </w:t>
      </w:r>
      <w:r w:rsidR="00A7773A">
        <w:rPr>
          <w:color w:val="000000"/>
        </w:rPr>
        <w:t>(</w:t>
      </w:r>
      <w:r>
        <w:rPr>
          <w:color w:val="000000"/>
        </w:rPr>
        <w:t>var 70% við upphaf hans</w:t>
      </w:r>
      <w:r w:rsidR="00A7773A">
        <w:rPr>
          <w:color w:val="000000"/>
        </w:rPr>
        <w:t>)</w:t>
      </w:r>
      <w:r>
        <w:rPr>
          <w:color w:val="000000"/>
        </w:rPr>
        <w:t xml:space="preserve">. Að sama skapi töldu einungis 32% </w:t>
      </w:r>
      <w:r w:rsidR="00A7773A">
        <w:rPr>
          <w:color w:val="000000"/>
        </w:rPr>
        <w:t xml:space="preserve">nauðsynlegt </w:t>
      </w:r>
      <w:r>
        <w:rPr>
          <w:color w:val="000000"/>
        </w:rPr>
        <w:t xml:space="preserve">að ákæruvald Alþingis og </w:t>
      </w:r>
      <w:proofErr w:type="spellStart"/>
      <w:r w:rsidR="00DD3DB3">
        <w:rPr>
          <w:color w:val="000000"/>
        </w:rPr>
        <w:t>l</w:t>
      </w:r>
      <w:r>
        <w:rPr>
          <w:color w:val="000000"/>
        </w:rPr>
        <w:t>andsdómur</w:t>
      </w:r>
      <w:proofErr w:type="spellEnd"/>
      <w:r>
        <w:rPr>
          <w:color w:val="000000"/>
        </w:rPr>
        <w:t xml:space="preserve"> vær</w:t>
      </w:r>
      <w:r w:rsidR="00A7773A">
        <w:rPr>
          <w:color w:val="000000"/>
        </w:rPr>
        <w:t>i</w:t>
      </w:r>
      <w:r>
        <w:rPr>
          <w:color w:val="000000"/>
        </w:rPr>
        <w:t xml:space="preserve"> </w:t>
      </w:r>
      <w:r w:rsidR="00A7773A">
        <w:rPr>
          <w:color w:val="000000"/>
        </w:rPr>
        <w:t xml:space="preserve">fyrir hendi </w:t>
      </w:r>
      <w:r>
        <w:rPr>
          <w:color w:val="000000"/>
        </w:rPr>
        <w:t>til að almenningur gæti treyst því að mál á hendur framkvæmdarvaldinu væru sótt á hlutlausan og sanngjarnan hátt.</w:t>
      </w:r>
    </w:p>
    <w:p w14:paraId="7D70E740" w14:textId="7E566F24" w:rsidR="0060159A" w:rsidRDefault="0060159A" w:rsidP="00ED042D">
      <w:pPr>
        <w:rPr>
          <w:color w:val="000000"/>
        </w:rPr>
      </w:pPr>
      <w:r>
        <w:rPr>
          <w:color w:val="000000"/>
        </w:rPr>
        <w:t>Með erindi, dags. 3. mars 2020, var óskað eftir afstöðu forseta Alþingis til tillagna í frumvarpsdrögum sem formenn stjórnmálaflokka sem sæti eiga á Alþingi höfðu látið vinna um breytingu á II. kafla stjórnarskrárinnar. Í svarbréfi, dags. 12. mars 2020, kom m</w:t>
      </w:r>
      <w:r w:rsidR="00F747DB">
        <w:rPr>
          <w:color w:val="000000"/>
        </w:rPr>
        <w:t>eðal annars</w:t>
      </w:r>
      <w:r>
        <w:rPr>
          <w:color w:val="000000"/>
        </w:rPr>
        <w:t xml:space="preserve"> fram að það væri afstaða forseta Alþingis að fylgja b</w:t>
      </w:r>
      <w:r w:rsidR="00F747DB">
        <w:rPr>
          <w:color w:val="000000"/>
        </w:rPr>
        <w:t>æ</w:t>
      </w:r>
      <w:r>
        <w:rPr>
          <w:color w:val="000000"/>
        </w:rPr>
        <w:t>ri þeim valkosti að Alþingi k</w:t>
      </w:r>
      <w:r w:rsidR="00F747DB">
        <w:rPr>
          <w:color w:val="000000"/>
        </w:rPr>
        <w:t>æ</w:t>
      </w:r>
      <w:r>
        <w:rPr>
          <w:color w:val="000000"/>
        </w:rPr>
        <w:t xml:space="preserve">mi saman tiltekinn dag sem </w:t>
      </w:r>
      <w:r w:rsidR="00F747DB">
        <w:rPr>
          <w:color w:val="000000"/>
        </w:rPr>
        <w:t xml:space="preserve">yrði </w:t>
      </w:r>
      <w:r>
        <w:rPr>
          <w:color w:val="000000"/>
        </w:rPr>
        <w:t xml:space="preserve">fjórði þriðjudagur eftir almennar alþingiskosningar og að forseti lýðveldisins </w:t>
      </w:r>
      <w:r w:rsidR="00F747DB">
        <w:rPr>
          <w:color w:val="000000"/>
        </w:rPr>
        <w:t xml:space="preserve">setti </w:t>
      </w:r>
      <w:r>
        <w:rPr>
          <w:color w:val="000000"/>
        </w:rPr>
        <w:t xml:space="preserve">þá Alþingi. </w:t>
      </w:r>
    </w:p>
    <w:p w14:paraId="5B158027" w14:textId="77777777" w:rsidR="00ED042D" w:rsidRPr="005C02EA" w:rsidRDefault="00ED042D" w:rsidP="00D0740D"/>
    <w:p w14:paraId="777F7E0A" w14:textId="77777777" w:rsidR="00D0740D" w:rsidRPr="005C02EA" w:rsidRDefault="00E71F27" w:rsidP="00D0740D">
      <w:pPr>
        <w:pStyle w:val="Millifyrirsgn1"/>
      </w:pPr>
      <w:r w:rsidRPr="005C02EA">
        <w:t>6</w:t>
      </w:r>
      <w:r w:rsidR="00D0740D" w:rsidRPr="005C02EA">
        <w:t xml:space="preserve">. Mat á áhrifum. </w:t>
      </w:r>
    </w:p>
    <w:p w14:paraId="65A964CF" w14:textId="2C989A3A" w:rsidR="00992EAC" w:rsidRDefault="00ED67E7" w:rsidP="005D52F6">
      <w:r w:rsidRPr="005C02EA" w:rsidDel="00ED67E7">
        <w:t xml:space="preserve"> </w:t>
      </w:r>
      <w:r w:rsidR="00707974" w:rsidRPr="005C02EA">
        <w:t xml:space="preserve">Í fyrsta lagi felst í </w:t>
      </w:r>
      <w:r w:rsidR="00B2695B">
        <w:t>frumvarpinu</w:t>
      </w:r>
      <w:r w:rsidR="00707974" w:rsidRPr="005C02EA">
        <w:t xml:space="preserve"> ráðagerð um að </w:t>
      </w:r>
      <w:r w:rsidR="00EC2095" w:rsidRPr="005C02EA">
        <w:t>samhæfingarhlutverk forsætisráðherra með ríkis</w:t>
      </w:r>
      <w:r w:rsidR="00F747DB">
        <w:t>s</w:t>
      </w:r>
      <w:r w:rsidR="00EC2095" w:rsidRPr="005C02EA">
        <w:t xml:space="preserve">tjórn verði styrkt og </w:t>
      </w:r>
      <w:r w:rsidR="003A164E">
        <w:t>forsendur skapaðar fyrir aukinni sameiginlegri pólitískri ábyrgð ráðherra og sameiginlegri ásýnd ríkisstjórnar.</w:t>
      </w:r>
      <w:r w:rsidR="00EC2095" w:rsidRPr="005C02EA">
        <w:t xml:space="preserve"> Þessar breytingar eru í takt við þróun síðustu ára, sbr. einkum lög um Stjórnarráð Íslands, </w:t>
      </w:r>
      <w:r w:rsidR="00160928" w:rsidRPr="005C02EA">
        <w:t>nr. 115/201</w:t>
      </w:r>
      <w:r w:rsidR="00160928">
        <w:t xml:space="preserve">1, </w:t>
      </w:r>
      <w:r w:rsidR="00EC2095" w:rsidRPr="005C02EA">
        <w:t xml:space="preserve">en kunna þó að gefa tilefni </w:t>
      </w:r>
      <w:r w:rsidR="00160928">
        <w:t xml:space="preserve">til </w:t>
      </w:r>
      <w:r w:rsidR="00EC2095" w:rsidRPr="005C02EA">
        <w:t>frekari skoðunar á starfsháttum ríkisstjórnar og Stjórnarráðsins</w:t>
      </w:r>
      <w:r w:rsidR="00AC6374" w:rsidRPr="005C02EA">
        <w:t xml:space="preserve"> og þeim reglum sem um þetta gilda</w:t>
      </w:r>
      <w:r w:rsidR="00EC2095" w:rsidRPr="005C02EA">
        <w:t>. Í annan stað er mælt fyrir um breytingar á rannsókn mála gegn ráðherru</w:t>
      </w:r>
      <w:r w:rsidR="003A164E">
        <w:t>m,</w:t>
      </w:r>
      <w:r w:rsidR="003A164E" w:rsidRPr="005C02EA">
        <w:t xml:space="preserve"> </w:t>
      </w:r>
      <w:r w:rsidR="00EC2095" w:rsidRPr="005C02EA">
        <w:t>útgáfu ákæru</w:t>
      </w:r>
      <w:r w:rsidR="003A164E">
        <w:t xml:space="preserve"> og meðferð mála</w:t>
      </w:r>
      <w:r w:rsidR="00EC2095" w:rsidRPr="005C02EA">
        <w:t>. Þessar breytingar</w:t>
      </w:r>
      <w:r w:rsidR="009D09FB">
        <w:t>, svo og það markmið að meðferð þessara mála fullnægi kröfum</w:t>
      </w:r>
      <w:r w:rsidR="0056433A">
        <w:t xml:space="preserve"> um réttláta málsmeðferð,</w:t>
      </w:r>
      <w:r w:rsidR="00EC2095" w:rsidRPr="005C02EA">
        <w:t xml:space="preserve"> kalla </w:t>
      </w:r>
      <w:r w:rsidR="00652C3F" w:rsidRPr="005C02EA">
        <w:t xml:space="preserve">á endurskoðun þingskapalaga, laga um </w:t>
      </w:r>
      <w:proofErr w:type="spellStart"/>
      <w:r w:rsidR="00160928">
        <w:t>l</w:t>
      </w:r>
      <w:r w:rsidR="00B2695B" w:rsidRPr="005C02EA">
        <w:t>andsdóm</w:t>
      </w:r>
      <w:proofErr w:type="spellEnd"/>
      <w:r w:rsidR="00652C3F" w:rsidRPr="005C02EA">
        <w:t xml:space="preserve"> og </w:t>
      </w:r>
      <w:r w:rsidR="009D09FB">
        <w:t>hugsanlega</w:t>
      </w:r>
      <w:r w:rsidR="00652C3F" w:rsidRPr="005C02EA">
        <w:t xml:space="preserve"> einnig laga um ráðherr</w:t>
      </w:r>
      <w:r w:rsidR="00B2695B">
        <w:t>a</w:t>
      </w:r>
      <w:r w:rsidR="00652C3F" w:rsidRPr="005C02EA">
        <w:t>ábyrgð.</w:t>
      </w:r>
      <w:r w:rsidR="000F34E0">
        <w:t xml:space="preserve"> Er vinna við þessa endurskoðun raunar þegar hafin.</w:t>
      </w:r>
      <w:r w:rsidR="00652C3F" w:rsidRPr="005C02EA">
        <w:t xml:space="preserve"> </w:t>
      </w:r>
      <w:r w:rsidR="004F6D49" w:rsidRPr="005C02EA">
        <w:t>Í þriðja lagi</w:t>
      </w:r>
      <w:r w:rsidR="00652C3F" w:rsidRPr="005C02EA">
        <w:t xml:space="preserve"> er ljóst að gera þyrfti breytingar á lögum um framboð og kjör forseta Íslands</w:t>
      </w:r>
      <w:r w:rsidR="00DD3DB3">
        <w:t>,</w:t>
      </w:r>
      <w:r w:rsidR="00DD3DB3" w:rsidRPr="00DD3DB3">
        <w:t xml:space="preserve"> </w:t>
      </w:r>
      <w:r w:rsidR="00DD3DB3" w:rsidRPr="005C02EA">
        <w:lastRenderedPageBreak/>
        <w:t>nr. 36/1945</w:t>
      </w:r>
      <w:r w:rsidR="00DD3DB3">
        <w:t>,</w:t>
      </w:r>
      <w:r w:rsidR="00652C3F" w:rsidRPr="005C02EA">
        <w:t xml:space="preserve"> til samræmis við breytt kjörtímabil forseta o.s.frv.</w:t>
      </w:r>
      <w:r w:rsidR="004F6D49" w:rsidRPr="005C02EA">
        <w:t xml:space="preserve"> Í fjórða lagi þyrfti að huga að gildandi reglum um skipan og starfskjör embættismanna með hliðsjón af nýjum </w:t>
      </w:r>
      <w:r w:rsidR="00693E97">
        <w:t>reglum í</w:t>
      </w:r>
      <w:r w:rsidR="004F6D49" w:rsidRPr="005C02EA">
        <w:t xml:space="preserve"> 20. gr. </w:t>
      </w:r>
      <w:r w:rsidR="009D1F8B" w:rsidRPr="005C02EA">
        <w:t>s</w:t>
      </w:r>
      <w:r w:rsidR="00B2695B">
        <w:t>tjórnarskrárinnar</w:t>
      </w:r>
      <w:r w:rsidR="009D1F8B" w:rsidRPr="005C02EA">
        <w:t>.</w:t>
      </w:r>
      <w:r w:rsidR="00763DA8" w:rsidRPr="005C02EA">
        <w:t xml:space="preserve"> Í fimmta lagi þyrfti að huga að endurskoðun þingskapalaga með hliðsjón af breyttum reglum um kvaðningu Alþingis og frestun funda</w:t>
      </w:r>
      <w:r w:rsidR="00992EAC">
        <w:t xml:space="preserve">, </w:t>
      </w:r>
      <w:r w:rsidR="00BF1DFB">
        <w:t xml:space="preserve">meðal annars </w:t>
      </w:r>
      <w:r w:rsidR="00992EAC">
        <w:t xml:space="preserve">mögulega á þá leið að þingmál </w:t>
      </w:r>
      <w:r w:rsidR="00BF1DFB">
        <w:t xml:space="preserve">falli </w:t>
      </w:r>
      <w:r w:rsidR="00992EAC">
        <w:t xml:space="preserve">sjálfkrafa niður í lok kjörtímabils í stað </w:t>
      </w:r>
      <w:r w:rsidR="000953F8">
        <w:t xml:space="preserve">þess að falla niður í lok tiltekins </w:t>
      </w:r>
      <w:r w:rsidR="00992EAC">
        <w:t>löggjafarþings.</w:t>
      </w:r>
    </w:p>
    <w:p w14:paraId="615823F2" w14:textId="77777777" w:rsidR="00520435" w:rsidRDefault="00520435" w:rsidP="00943B67"/>
    <w:p w14:paraId="678431CE" w14:textId="607E2429" w:rsidR="000973DA" w:rsidRPr="000973DA" w:rsidRDefault="00E71F27" w:rsidP="005D52F6">
      <w:pPr>
        <w:pStyle w:val="Greinarfyrirsgn"/>
      </w:pPr>
      <w:r w:rsidRPr="009627CF">
        <w:t>Um einstakar greinar frumvarpsins.</w:t>
      </w:r>
    </w:p>
    <w:p w14:paraId="55778AD8" w14:textId="77777777" w:rsidR="00E71F27" w:rsidRDefault="00E71F27" w:rsidP="00E71F27">
      <w:pPr>
        <w:pStyle w:val="Greinarnmer"/>
      </w:pPr>
      <w:r>
        <w:t>Um 1. gr.</w:t>
      </w:r>
    </w:p>
    <w:p w14:paraId="438F0E4D" w14:textId="552062FC" w:rsidR="005D3A7A" w:rsidRDefault="000973DA" w:rsidP="0053317D">
      <w:r w:rsidRPr="000973DA">
        <w:t xml:space="preserve">Í þessari grein frumvarpsins eru gerðar tillögur um breytingar á orðalagi 2. og 3. </w:t>
      </w:r>
      <w:proofErr w:type="spellStart"/>
      <w:r w:rsidRPr="000973DA">
        <w:t>málsl</w:t>
      </w:r>
      <w:proofErr w:type="spellEnd"/>
      <w:r w:rsidR="0038347A">
        <w:t>.</w:t>
      </w:r>
      <w:r w:rsidRPr="000973DA">
        <w:t xml:space="preserve"> 2. gr. stjórnarskrár til samræmis við </w:t>
      </w:r>
      <w:r w:rsidR="00385F0E">
        <w:t xml:space="preserve">gildandi rétt og þróun stjórnskipunarinnar. Í samræmi við þá efnisafmörkun sem um ræðir í </w:t>
      </w:r>
      <w:r w:rsidR="0038347A">
        <w:t>greinargerð</w:t>
      </w:r>
      <w:r w:rsidR="00385F0E">
        <w:t xml:space="preserve"> er hins vegar </w:t>
      </w:r>
      <w:r w:rsidRPr="000973DA">
        <w:t xml:space="preserve">ekki gerð tillaga um breytingu á 1. málslið sem </w:t>
      </w:r>
      <w:r w:rsidR="0038347A">
        <w:t>kveður á</w:t>
      </w:r>
      <w:r w:rsidR="0038347A" w:rsidRPr="000973DA">
        <w:t xml:space="preserve"> </w:t>
      </w:r>
      <w:r w:rsidRPr="000973DA">
        <w:t xml:space="preserve">um </w:t>
      </w:r>
      <w:r>
        <w:t>handhafa</w:t>
      </w:r>
      <w:r w:rsidRPr="000973DA">
        <w:t xml:space="preserve"> löggjafarvalds. Breið samstaða </w:t>
      </w:r>
      <w:r w:rsidR="0056433A">
        <w:t>sýnist</w:t>
      </w:r>
      <w:r w:rsidRPr="000973DA">
        <w:t xml:space="preserve"> </w:t>
      </w:r>
      <w:r w:rsidR="0038347A">
        <w:t xml:space="preserve">vera </w:t>
      </w:r>
      <w:r w:rsidRPr="000973DA">
        <w:t xml:space="preserve">um að í 2. gr. séu ráðherrar taldir upp meðal æðstu handhafa framkvæmdarvalds, sbr. einkum 2. gr. frumvarps </w:t>
      </w:r>
      <w:r w:rsidR="00852C3F">
        <w:t>s</w:t>
      </w:r>
      <w:r w:rsidRPr="000973DA">
        <w:t xml:space="preserve">tjórnlagaráðs (2011) og 2. gr. í </w:t>
      </w:r>
      <w:r w:rsidR="0053317D">
        <w:t>dæmum</w:t>
      </w:r>
      <w:r w:rsidRPr="000973DA">
        <w:t xml:space="preserve"> stjórnlaganefndar (2011) að nýrri stjórnarskrá. Er slík breyting einnig í samræmi við 11., 13., 14., 16., 18. og 19. gr. stjórnarskrár og þá meginreglu </w:t>
      </w:r>
      <w:r w:rsidR="0053317D">
        <w:t xml:space="preserve">stjórnskipunarinnar </w:t>
      </w:r>
      <w:r w:rsidRPr="000973DA">
        <w:t xml:space="preserve">að valdi forseta </w:t>
      </w:r>
      <w:r w:rsidR="00385F0E">
        <w:t>til stjórnarathafna</w:t>
      </w:r>
      <w:r w:rsidR="0053317D">
        <w:t xml:space="preserve"> </w:t>
      </w:r>
      <w:r w:rsidRPr="000973DA">
        <w:t>verði ekki beitt nema fyrir atbeina ráðherra</w:t>
      </w:r>
      <w:r w:rsidR="0056433A">
        <w:t xml:space="preserve"> sem tekur ábyrgð á hlutaðeigandi </w:t>
      </w:r>
      <w:r w:rsidR="00BA09F6">
        <w:t>athöfn</w:t>
      </w:r>
      <w:r w:rsidRPr="000973DA">
        <w:t xml:space="preserve">. </w:t>
      </w:r>
    </w:p>
    <w:p w14:paraId="66166698" w14:textId="1A9B148B" w:rsidR="000973DA" w:rsidRPr="005C02EA" w:rsidRDefault="000973DA" w:rsidP="0053317D">
      <w:r w:rsidRPr="000973DA">
        <w:t xml:space="preserve">Frumvarp </w:t>
      </w:r>
      <w:r w:rsidR="00852C3F">
        <w:t>s</w:t>
      </w:r>
      <w:r w:rsidRPr="000973DA">
        <w:t xml:space="preserve">tjórnlagaráðs og </w:t>
      </w:r>
      <w:r w:rsidR="0053317D">
        <w:t>dæmi</w:t>
      </w:r>
      <w:r w:rsidRPr="000973DA">
        <w:t xml:space="preserve"> stjórnlaganefndar voru einnig samhljóma um þá tillögu að í 3. málslið greinarinnar </w:t>
      </w:r>
      <w:r w:rsidR="00385F0E">
        <w:t>yrði</w:t>
      </w:r>
      <w:r w:rsidRPr="000973DA">
        <w:t xml:space="preserve"> </w:t>
      </w:r>
      <w:r w:rsidR="00203D50">
        <w:t xml:space="preserve">berum orðum </w:t>
      </w:r>
      <w:r w:rsidRPr="000973DA">
        <w:t xml:space="preserve">vísað til Hæstaréttar Íslands og stjórnskipuleg staða réttarins sem æðsta </w:t>
      </w:r>
      <w:r w:rsidR="0053317D">
        <w:t>dómstóls þjóðarinnar</w:t>
      </w:r>
      <w:r w:rsidRPr="000973DA">
        <w:t xml:space="preserve"> þannig styrkt. Hið sama á við um </w:t>
      </w:r>
      <w:r w:rsidR="002955DD">
        <w:t>þá breytingu</w:t>
      </w:r>
      <w:r w:rsidRPr="000973DA">
        <w:t xml:space="preserve"> í málsliðnum </w:t>
      </w:r>
      <w:r w:rsidR="002955DD">
        <w:t>að nefna</w:t>
      </w:r>
      <w:r w:rsidRPr="000973DA">
        <w:t xml:space="preserve"> </w:t>
      </w:r>
      <w:r w:rsidRPr="00E55426">
        <w:rPr>
          <w:i/>
          <w:iCs/>
        </w:rPr>
        <w:t>aðra dómstóla</w:t>
      </w:r>
      <w:r w:rsidRPr="000973DA">
        <w:t xml:space="preserve"> í stað </w:t>
      </w:r>
      <w:r w:rsidRPr="00E55426">
        <w:rPr>
          <w:i/>
          <w:iCs/>
        </w:rPr>
        <w:t>dómenda</w:t>
      </w:r>
      <w:r w:rsidRPr="000973DA">
        <w:t xml:space="preserve">, en </w:t>
      </w:r>
      <w:r w:rsidR="0053317D">
        <w:t>núgildandi orðalag</w:t>
      </w:r>
      <w:r w:rsidRPr="000973DA">
        <w:t xml:space="preserve"> vísar </w:t>
      </w:r>
      <w:r w:rsidRPr="005C02EA">
        <w:t>óbein</w:t>
      </w:r>
      <w:r w:rsidR="002955DD">
        <w:t>t</w:t>
      </w:r>
      <w:r w:rsidRPr="005C02EA">
        <w:t xml:space="preserve"> til þess tíma er handhafar framkvæmdarvalds (sýslumenn/</w:t>
      </w:r>
      <w:proofErr w:type="spellStart"/>
      <w:r w:rsidRPr="005C02EA">
        <w:t>fógetar</w:t>
      </w:r>
      <w:proofErr w:type="spellEnd"/>
      <w:r w:rsidRPr="005C02EA">
        <w:t xml:space="preserve">) fóru </w:t>
      </w:r>
      <w:r w:rsidR="00385F0E" w:rsidRPr="005C02EA">
        <w:t>einnig</w:t>
      </w:r>
      <w:r w:rsidRPr="005C02EA">
        <w:t xml:space="preserve"> með dómsvald</w:t>
      </w:r>
      <w:r w:rsidR="0053317D" w:rsidRPr="005C02EA">
        <w:t xml:space="preserve"> og er því úrelt.</w:t>
      </w:r>
    </w:p>
    <w:p w14:paraId="046AC52A" w14:textId="77777777" w:rsidR="001E7119" w:rsidRPr="005C02EA" w:rsidRDefault="001E7119" w:rsidP="0053317D">
      <w:pPr>
        <w:ind w:firstLine="0"/>
      </w:pPr>
    </w:p>
    <w:p w14:paraId="0F1A9DF9" w14:textId="77777777" w:rsidR="001E7119" w:rsidRPr="005C02EA" w:rsidRDefault="001E7119" w:rsidP="001E7119">
      <w:pPr>
        <w:pStyle w:val="Greinarnmer"/>
      </w:pPr>
      <w:r w:rsidRPr="005C02EA">
        <w:t>Um 2. gr.</w:t>
      </w:r>
    </w:p>
    <w:p w14:paraId="0B2B1866" w14:textId="3FB70CB2" w:rsidR="00D370E1" w:rsidRPr="005C02EA" w:rsidRDefault="00F01342" w:rsidP="00B054A0">
      <w:r w:rsidRPr="005C02EA">
        <w:t>Í þessari grein er gerð tillaga um br</w:t>
      </w:r>
      <w:r w:rsidR="001B24F1" w:rsidRPr="005C02EA">
        <w:t>eytingar á 5. gr. stjórnarskrárinnar um forsetakosningar</w:t>
      </w:r>
      <w:r w:rsidR="007A7536" w:rsidRPr="005C02EA">
        <w:t xml:space="preserve">. </w:t>
      </w:r>
      <w:r w:rsidR="00250109" w:rsidRPr="005C02EA">
        <w:t xml:space="preserve">Núverandi fyrirkomulag forsetakosninga tryggir </w:t>
      </w:r>
      <w:r w:rsidR="00DA383C" w:rsidRPr="005C02EA">
        <w:t>hvorki</w:t>
      </w:r>
      <w:r w:rsidR="00250109" w:rsidRPr="005C02EA">
        <w:t xml:space="preserve"> að forseti sé kjörinn með meiri</w:t>
      </w:r>
      <w:r w:rsidR="00210AEC">
        <w:t xml:space="preserve"> </w:t>
      </w:r>
      <w:r w:rsidR="00250109" w:rsidRPr="005C02EA">
        <w:t>hluta atkvæða</w:t>
      </w:r>
      <w:r w:rsidR="00DA383C" w:rsidRPr="005C02EA">
        <w:t xml:space="preserve"> né með tilteknu lágmarkshlutfalli atkvæða kosningabærra manna</w:t>
      </w:r>
      <w:r w:rsidR="00250109" w:rsidRPr="005C02EA">
        <w:t>. Hins veg</w:t>
      </w:r>
      <w:r w:rsidR="00D37BA4" w:rsidRPr="005C02EA">
        <w:t xml:space="preserve">ar </w:t>
      </w:r>
      <w:r w:rsidR="00806CAA">
        <w:t>vitnar</w:t>
      </w:r>
      <w:r w:rsidR="00806CAA" w:rsidRPr="005C02EA">
        <w:t xml:space="preserve"> </w:t>
      </w:r>
      <w:r w:rsidR="00D37BA4" w:rsidRPr="005C02EA">
        <w:t xml:space="preserve">reynslan á lýðveldistímanum </w:t>
      </w:r>
      <w:r w:rsidR="00806CAA">
        <w:t>um</w:t>
      </w:r>
      <w:r w:rsidR="00B054A0">
        <w:t xml:space="preserve"> að þjóðinni hafi tekist </w:t>
      </w:r>
      <w:r w:rsidR="001D6DD2" w:rsidRPr="005C02EA">
        <w:t>að „fylkja sér þannig um forsetaefni að atkvæði dreifist eigi úr hófi fram“</w:t>
      </w:r>
      <w:r w:rsidR="00336C91" w:rsidRPr="005C02EA">
        <w:t xml:space="preserve"> (nefndarálit sameinaðra stjórnarskrárnefnda, </w:t>
      </w:r>
      <w:proofErr w:type="spellStart"/>
      <w:r w:rsidR="00336C91" w:rsidRPr="005C02EA">
        <w:t>Alþt</w:t>
      </w:r>
      <w:proofErr w:type="spellEnd"/>
      <w:r w:rsidR="00336C91" w:rsidRPr="005C02EA">
        <w:t>. 1944, A-deild, þskj. 71, bls. 165)</w:t>
      </w:r>
      <w:r w:rsidR="00B054A0">
        <w:t xml:space="preserve"> og nýir forsetar hafi </w:t>
      </w:r>
      <w:r w:rsidR="00806CAA">
        <w:t xml:space="preserve">í framhaldinu </w:t>
      </w:r>
      <w:r w:rsidR="00B054A0">
        <w:t>áunnið sér traust</w:t>
      </w:r>
      <w:r w:rsidR="00667920">
        <w:t xml:space="preserve"> þjóðarinnar</w:t>
      </w:r>
      <w:r w:rsidR="00B054A0">
        <w:t xml:space="preserve">. </w:t>
      </w:r>
      <w:r w:rsidR="00D37BA4" w:rsidRPr="005C02EA">
        <w:t>Er þá einkum horft til þess að aldrei hefur komið til þess að sitjandi forseti hafi ekki náð endurkjöri</w:t>
      </w:r>
      <w:r w:rsidR="00323465" w:rsidRPr="005C02EA">
        <w:t xml:space="preserve"> </w:t>
      </w:r>
      <w:r w:rsidR="005D3A7A">
        <w:t>þegar</w:t>
      </w:r>
      <w:r w:rsidR="00323465" w:rsidRPr="005C02EA">
        <w:t xml:space="preserve"> hann hefur </w:t>
      </w:r>
      <w:r w:rsidR="005D3A7A">
        <w:t>boðið</w:t>
      </w:r>
      <w:r w:rsidR="00323465" w:rsidRPr="005C02EA">
        <w:t xml:space="preserve"> sig fram að nýju</w:t>
      </w:r>
      <w:r w:rsidR="00D37BA4" w:rsidRPr="005C02EA">
        <w:t xml:space="preserve">. </w:t>
      </w:r>
      <w:r w:rsidR="002B243D" w:rsidRPr="00994F2F">
        <w:t>Þá bend</w:t>
      </w:r>
      <w:r w:rsidR="00B40908" w:rsidRPr="00994F2F">
        <w:t xml:space="preserve">a niðurstöður </w:t>
      </w:r>
      <w:proofErr w:type="spellStart"/>
      <w:r w:rsidR="00B40908" w:rsidRPr="00994F2F">
        <w:t>áðurgreindrar</w:t>
      </w:r>
      <w:proofErr w:type="spellEnd"/>
      <w:r w:rsidR="00B40908" w:rsidRPr="00994F2F">
        <w:t xml:space="preserve"> rökræðukönnunar ekki til þess að djúpstæð óánægja sé með núverandi kerfi.</w:t>
      </w:r>
      <w:r w:rsidR="00B40908">
        <w:t xml:space="preserve"> </w:t>
      </w:r>
      <w:r w:rsidR="00546A4C">
        <w:t>Að svo stöddu</w:t>
      </w:r>
      <w:r w:rsidR="00323465" w:rsidRPr="005C02EA">
        <w:t xml:space="preserve"> </w:t>
      </w:r>
      <w:r w:rsidR="00546A4C">
        <w:t>er</w:t>
      </w:r>
      <w:r w:rsidR="00D37BA4" w:rsidRPr="005C02EA">
        <w:t xml:space="preserve"> því ekki </w:t>
      </w:r>
      <w:r w:rsidR="00546A4C">
        <w:t xml:space="preserve">talin </w:t>
      </w:r>
      <w:r w:rsidR="00D37BA4" w:rsidRPr="005C02EA">
        <w:t>sérstök ástæða til þess að gera grundvallarbreytingar</w:t>
      </w:r>
      <w:r w:rsidR="00A077EB" w:rsidRPr="005C02EA">
        <w:t xml:space="preserve"> á fyrirkomulagi forsetakosninga. </w:t>
      </w:r>
    </w:p>
    <w:p w14:paraId="37953EDF" w14:textId="7C4EFC27" w:rsidR="00E824C7" w:rsidRDefault="00E24B00" w:rsidP="00E824C7">
      <w:pPr>
        <w:pStyle w:val="Textiathugasemdar"/>
      </w:pPr>
      <w:r w:rsidRPr="00E55426">
        <w:rPr>
          <w:sz w:val="21"/>
          <w:szCs w:val="22"/>
        </w:rPr>
        <w:t>L</w:t>
      </w:r>
      <w:r w:rsidR="00A077EB" w:rsidRPr="00E55426">
        <w:rPr>
          <w:sz w:val="21"/>
          <w:szCs w:val="22"/>
        </w:rPr>
        <w:t xml:space="preserve">agt </w:t>
      </w:r>
      <w:r w:rsidRPr="00E55426">
        <w:rPr>
          <w:sz w:val="21"/>
          <w:szCs w:val="22"/>
        </w:rPr>
        <w:t xml:space="preserve">er </w:t>
      </w:r>
      <w:r w:rsidR="00A077EB" w:rsidRPr="00E55426">
        <w:rPr>
          <w:sz w:val="21"/>
          <w:szCs w:val="22"/>
        </w:rPr>
        <w:t>til að gerð verði krafa um</w:t>
      </w:r>
      <w:r w:rsidR="007A7536" w:rsidRPr="00E55426">
        <w:rPr>
          <w:sz w:val="21"/>
          <w:szCs w:val="22"/>
        </w:rPr>
        <w:t xml:space="preserve"> aukin</w:t>
      </w:r>
      <w:r w:rsidR="00A077EB" w:rsidRPr="00E55426">
        <w:rPr>
          <w:sz w:val="21"/>
          <w:szCs w:val="22"/>
        </w:rPr>
        <w:t>n</w:t>
      </w:r>
      <w:r w:rsidR="007A7536" w:rsidRPr="00E55426">
        <w:rPr>
          <w:sz w:val="21"/>
          <w:szCs w:val="22"/>
        </w:rPr>
        <w:t xml:space="preserve"> fjölda </w:t>
      </w:r>
      <w:proofErr w:type="spellStart"/>
      <w:r w:rsidR="007A7536" w:rsidRPr="00E55426">
        <w:rPr>
          <w:sz w:val="21"/>
          <w:szCs w:val="22"/>
        </w:rPr>
        <w:t>meðmæl</w:t>
      </w:r>
      <w:r w:rsidR="00AD2E59" w:rsidRPr="00E55426">
        <w:rPr>
          <w:sz w:val="21"/>
          <w:szCs w:val="22"/>
        </w:rPr>
        <w:t>e</w:t>
      </w:r>
      <w:r w:rsidR="007A7536" w:rsidRPr="00E55426">
        <w:rPr>
          <w:sz w:val="21"/>
          <w:szCs w:val="22"/>
        </w:rPr>
        <w:t>nda</w:t>
      </w:r>
      <w:proofErr w:type="spellEnd"/>
      <w:r w:rsidR="00BF6B5E" w:rsidRPr="00E55426">
        <w:rPr>
          <w:sz w:val="21"/>
          <w:szCs w:val="22"/>
        </w:rPr>
        <w:t>, að nokkru</w:t>
      </w:r>
      <w:r w:rsidR="007A7536" w:rsidRPr="00E55426">
        <w:rPr>
          <w:sz w:val="21"/>
          <w:szCs w:val="22"/>
        </w:rPr>
        <w:t xml:space="preserve"> í samræmi við hugmyndir </w:t>
      </w:r>
      <w:r w:rsidR="001B24F1" w:rsidRPr="00E55426">
        <w:rPr>
          <w:sz w:val="21"/>
          <w:szCs w:val="22"/>
        </w:rPr>
        <w:t>stjórnlaganefn</w:t>
      </w:r>
      <w:r w:rsidR="00E27301" w:rsidRPr="00E55426">
        <w:rPr>
          <w:sz w:val="21"/>
          <w:szCs w:val="22"/>
        </w:rPr>
        <w:t>d</w:t>
      </w:r>
      <w:r w:rsidR="001B24F1" w:rsidRPr="00E55426">
        <w:rPr>
          <w:sz w:val="21"/>
          <w:szCs w:val="22"/>
        </w:rPr>
        <w:t>ar (2011)</w:t>
      </w:r>
      <w:r w:rsidR="00A169BF" w:rsidRPr="00E55426">
        <w:rPr>
          <w:sz w:val="21"/>
          <w:szCs w:val="22"/>
        </w:rPr>
        <w:t xml:space="preserve">. Til grundvallar þessari breytingu liggur sú fjölgun </w:t>
      </w:r>
      <w:r w:rsidR="008F7399" w:rsidRPr="00E55426">
        <w:rPr>
          <w:sz w:val="21"/>
          <w:szCs w:val="22"/>
        </w:rPr>
        <w:t>kosningabærra manna</w:t>
      </w:r>
      <w:r w:rsidR="00C94E5F" w:rsidRPr="00E55426">
        <w:rPr>
          <w:sz w:val="21"/>
          <w:szCs w:val="22"/>
        </w:rPr>
        <w:t xml:space="preserve"> sem orðið hefur frá lýðveldisstofnun árið 1944</w:t>
      </w:r>
      <w:r w:rsidR="008F7399" w:rsidRPr="00E55426">
        <w:rPr>
          <w:sz w:val="21"/>
          <w:szCs w:val="22"/>
        </w:rPr>
        <w:t xml:space="preserve"> samfara fólksfjölgun og </w:t>
      </w:r>
      <w:proofErr w:type="spellStart"/>
      <w:r w:rsidR="008F7399" w:rsidRPr="00E55426">
        <w:rPr>
          <w:sz w:val="21"/>
          <w:szCs w:val="22"/>
        </w:rPr>
        <w:t>rýmkun</w:t>
      </w:r>
      <w:proofErr w:type="spellEnd"/>
      <w:r w:rsidR="008F7399" w:rsidRPr="00E55426">
        <w:rPr>
          <w:sz w:val="21"/>
          <w:szCs w:val="22"/>
        </w:rPr>
        <w:t xml:space="preserve"> kosningaréttar</w:t>
      </w:r>
      <w:r w:rsidR="001A5DDB" w:rsidRPr="00E55426">
        <w:rPr>
          <w:sz w:val="21"/>
          <w:szCs w:val="22"/>
        </w:rPr>
        <w:t>,</w:t>
      </w:r>
      <w:r w:rsidR="00BF6B5E" w:rsidRPr="00E55426">
        <w:rPr>
          <w:sz w:val="21"/>
          <w:szCs w:val="22"/>
        </w:rPr>
        <w:t xml:space="preserve"> </w:t>
      </w:r>
      <w:r w:rsidR="00B40908" w:rsidRPr="00E55426">
        <w:rPr>
          <w:sz w:val="21"/>
          <w:szCs w:val="22"/>
        </w:rPr>
        <w:t xml:space="preserve">þ.e. </w:t>
      </w:r>
      <w:r w:rsidR="00BF6B5E" w:rsidRPr="00E55426">
        <w:rPr>
          <w:sz w:val="21"/>
          <w:szCs w:val="22"/>
        </w:rPr>
        <w:t>úr u</w:t>
      </w:r>
      <w:r w:rsidR="001A5DDB" w:rsidRPr="00E55426">
        <w:rPr>
          <w:sz w:val="21"/>
          <w:szCs w:val="22"/>
        </w:rPr>
        <w:t>m það bil</w:t>
      </w:r>
      <w:r w:rsidR="00BF6B5E" w:rsidRPr="00E55426">
        <w:rPr>
          <w:sz w:val="21"/>
          <w:szCs w:val="22"/>
        </w:rPr>
        <w:t xml:space="preserve"> 75.000 manns árið 1944 í </w:t>
      </w:r>
      <w:r w:rsidR="006D1005">
        <w:rPr>
          <w:sz w:val="21"/>
          <w:szCs w:val="22"/>
        </w:rPr>
        <w:t>ríflega 250.000</w:t>
      </w:r>
      <w:r w:rsidR="000323A0" w:rsidRPr="00E55426">
        <w:rPr>
          <w:sz w:val="21"/>
          <w:szCs w:val="22"/>
        </w:rPr>
        <w:t xml:space="preserve"> árið </w:t>
      </w:r>
      <w:r w:rsidR="006D1005">
        <w:rPr>
          <w:sz w:val="21"/>
          <w:szCs w:val="22"/>
        </w:rPr>
        <w:t>2020</w:t>
      </w:r>
      <w:r w:rsidR="000323A0" w:rsidRPr="00E55426">
        <w:rPr>
          <w:sz w:val="21"/>
          <w:szCs w:val="22"/>
        </w:rPr>
        <w:t xml:space="preserve">. </w:t>
      </w:r>
      <w:r w:rsidR="00C94E5F" w:rsidRPr="00E55426">
        <w:rPr>
          <w:sz w:val="21"/>
          <w:szCs w:val="22"/>
        </w:rPr>
        <w:t xml:space="preserve">Sýnist eðlilegt að forsetaframbjóðendur njóti stuðnings </w:t>
      </w:r>
      <w:r w:rsidR="00546A4C" w:rsidRPr="00E55426">
        <w:rPr>
          <w:sz w:val="21"/>
          <w:szCs w:val="22"/>
        </w:rPr>
        <w:t xml:space="preserve">nokkuð </w:t>
      </w:r>
      <w:r w:rsidR="00C94E5F" w:rsidRPr="00E55426">
        <w:rPr>
          <w:sz w:val="21"/>
          <w:szCs w:val="22"/>
        </w:rPr>
        <w:t xml:space="preserve">sambærilegs hlutfalls kjósenda og miðað var við </w:t>
      </w:r>
      <w:r w:rsidR="00A077EB" w:rsidRPr="00E55426">
        <w:rPr>
          <w:sz w:val="21"/>
          <w:szCs w:val="22"/>
        </w:rPr>
        <w:t>í upphafi</w:t>
      </w:r>
      <w:r w:rsidR="008F7399" w:rsidRPr="00E55426">
        <w:rPr>
          <w:sz w:val="21"/>
          <w:szCs w:val="22"/>
        </w:rPr>
        <w:t xml:space="preserve"> en eftir sem áður v</w:t>
      </w:r>
      <w:r w:rsidR="00F552A6" w:rsidRPr="00E55426">
        <w:rPr>
          <w:sz w:val="21"/>
          <w:szCs w:val="22"/>
        </w:rPr>
        <w:t>erði kröfum í þessu efni stillt í hóf.</w:t>
      </w:r>
      <w:r w:rsidR="00F552A6" w:rsidRPr="005C02EA">
        <w:t xml:space="preserve"> </w:t>
      </w:r>
    </w:p>
    <w:p w14:paraId="0F53CAB6" w14:textId="6F790B91" w:rsidR="001818B0" w:rsidRPr="005000AA" w:rsidRDefault="00E824C7" w:rsidP="00E55426">
      <w:pPr>
        <w:pStyle w:val="Textiathugasemdar"/>
        <w:rPr>
          <w:sz w:val="21"/>
          <w:szCs w:val="22"/>
        </w:rPr>
      </w:pPr>
      <w:r w:rsidRPr="005000AA">
        <w:rPr>
          <w:sz w:val="21"/>
          <w:szCs w:val="22"/>
        </w:rPr>
        <w:t xml:space="preserve">Árið 1944 var fjöldi kjósenda á kjörskrá tæplega 75.000 og svaraði því lágmarksfjöldi </w:t>
      </w:r>
      <w:proofErr w:type="spellStart"/>
      <w:r w:rsidRPr="005000AA">
        <w:rPr>
          <w:sz w:val="21"/>
          <w:szCs w:val="22"/>
        </w:rPr>
        <w:t>meðmælenda</w:t>
      </w:r>
      <w:proofErr w:type="spellEnd"/>
      <w:r w:rsidRPr="005000AA">
        <w:rPr>
          <w:sz w:val="21"/>
          <w:szCs w:val="22"/>
        </w:rPr>
        <w:t xml:space="preserve"> (1500) til u.þ.b. 2% kjósenda, en hámarksfjöldi </w:t>
      </w:r>
      <w:r w:rsidR="00FE4549" w:rsidRPr="005000AA">
        <w:rPr>
          <w:sz w:val="21"/>
          <w:szCs w:val="22"/>
        </w:rPr>
        <w:t xml:space="preserve">(3000) </w:t>
      </w:r>
      <w:r w:rsidRPr="005000AA">
        <w:rPr>
          <w:sz w:val="21"/>
          <w:szCs w:val="22"/>
        </w:rPr>
        <w:t xml:space="preserve">til 4%. Rétt þykir að miða við að forsetaefni hafi meðmæli </w:t>
      </w:r>
      <w:r w:rsidR="006D1005" w:rsidRPr="005000AA">
        <w:rPr>
          <w:sz w:val="21"/>
          <w:szCs w:val="22"/>
        </w:rPr>
        <w:t>ekki lægra</w:t>
      </w:r>
      <w:r w:rsidRPr="005000AA">
        <w:rPr>
          <w:sz w:val="21"/>
          <w:szCs w:val="22"/>
        </w:rPr>
        <w:t xml:space="preserve"> hlutfalls kjósenda og við setningu stjórnarskrárinnar 1944 og taki nákvæmur fjöldi lágmarks- og hámarksfjölda </w:t>
      </w:r>
      <w:proofErr w:type="spellStart"/>
      <w:r w:rsidRPr="005000AA">
        <w:rPr>
          <w:sz w:val="21"/>
          <w:szCs w:val="22"/>
        </w:rPr>
        <w:t>meðmælenda</w:t>
      </w:r>
      <w:proofErr w:type="spellEnd"/>
      <w:r>
        <w:t xml:space="preserve"> </w:t>
      </w:r>
      <w:r w:rsidR="00FE4549" w:rsidRPr="005000AA">
        <w:rPr>
          <w:sz w:val="21"/>
          <w:szCs w:val="22"/>
        </w:rPr>
        <w:lastRenderedPageBreak/>
        <w:t xml:space="preserve">framvegis </w:t>
      </w:r>
      <w:r w:rsidRPr="005000AA">
        <w:rPr>
          <w:sz w:val="21"/>
          <w:szCs w:val="22"/>
        </w:rPr>
        <w:t xml:space="preserve">breytingum </w:t>
      </w:r>
      <w:r w:rsidR="00FE4549" w:rsidRPr="005000AA">
        <w:rPr>
          <w:sz w:val="21"/>
          <w:szCs w:val="22"/>
        </w:rPr>
        <w:t>til</w:t>
      </w:r>
      <w:r w:rsidRPr="005000AA">
        <w:rPr>
          <w:sz w:val="21"/>
          <w:szCs w:val="22"/>
        </w:rPr>
        <w:t xml:space="preserve"> samræmi</w:t>
      </w:r>
      <w:r w:rsidR="00D0498A" w:rsidRPr="005000AA">
        <w:rPr>
          <w:sz w:val="21"/>
          <w:szCs w:val="22"/>
        </w:rPr>
        <w:t>s</w:t>
      </w:r>
      <w:r w:rsidRPr="005000AA">
        <w:rPr>
          <w:sz w:val="21"/>
          <w:szCs w:val="22"/>
        </w:rPr>
        <w:t xml:space="preserve"> við fjölgun kjósenda. Gert er ráð fyrir því að nákvæmur fjöldi </w:t>
      </w:r>
      <w:proofErr w:type="spellStart"/>
      <w:r w:rsidRPr="005000AA">
        <w:rPr>
          <w:sz w:val="21"/>
          <w:szCs w:val="22"/>
        </w:rPr>
        <w:t>meðmælenda</w:t>
      </w:r>
      <w:proofErr w:type="spellEnd"/>
      <w:r w:rsidRPr="005000AA">
        <w:rPr>
          <w:sz w:val="21"/>
          <w:szCs w:val="22"/>
        </w:rPr>
        <w:t xml:space="preserve"> svo og hugsanleg skipting fjölda </w:t>
      </w:r>
      <w:proofErr w:type="spellStart"/>
      <w:r w:rsidRPr="005000AA">
        <w:rPr>
          <w:sz w:val="21"/>
          <w:szCs w:val="22"/>
        </w:rPr>
        <w:t>meðmælenda</w:t>
      </w:r>
      <w:proofErr w:type="spellEnd"/>
      <w:r w:rsidRPr="005000AA">
        <w:rPr>
          <w:sz w:val="21"/>
          <w:szCs w:val="22"/>
        </w:rPr>
        <w:t xml:space="preserve"> milli kjördæma sé tilkynnt með auglýsingu forsætisráðherra, svo sem tíðkast hefur samkvæmt lögum um framboð og kjör forseta Íslands, </w:t>
      </w:r>
      <w:r w:rsidR="0010778C" w:rsidRPr="005000AA">
        <w:rPr>
          <w:sz w:val="21"/>
          <w:szCs w:val="22"/>
        </w:rPr>
        <w:t xml:space="preserve">nr. 36/1945, </w:t>
      </w:r>
      <w:r w:rsidRPr="005000AA">
        <w:rPr>
          <w:sz w:val="21"/>
          <w:szCs w:val="22"/>
        </w:rPr>
        <w:t>og sé þá miðað við bestu fáanlegu upplýsingar um fjölda kosningabærra manna.</w:t>
      </w:r>
    </w:p>
    <w:p w14:paraId="1C9470CD" w14:textId="5E40E8CE" w:rsidR="007B3EAF" w:rsidRPr="005C02EA" w:rsidRDefault="000B2314" w:rsidP="00336C91">
      <w:r w:rsidRPr="005C02EA">
        <w:t xml:space="preserve">Hugtakið </w:t>
      </w:r>
      <w:r w:rsidRPr="005000AA">
        <w:t>landsfjórðungur</w:t>
      </w:r>
      <w:r w:rsidRPr="005C02EA">
        <w:t xml:space="preserve"> </w:t>
      </w:r>
      <w:r w:rsidR="00F552A6" w:rsidRPr="005C02EA">
        <w:t>er hvergi skýrt í almennum lögum og á sér fyrst og fremst sögulega skírskotun. Er því vissum erfiðleikum bundið í framkvæmd</w:t>
      </w:r>
      <w:r w:rsidR="00C63BD9" w:rsidRPr="005C02EA">
        <w:t xml:space="preserve"> að </w:t>
      </w:r>
      <w:r w:rsidR="00D370E1" w:rsidRPr="005C02EA">
        <w:t>slá því föstu</w:t>
      </w:r>
      <w:r w:rsidR="00C63BD9" w:rsidRPr="005C02EA">
        <w:t xml:space="preserve"> hversu mikinn fjölda </w:t>
      </w:r>
      <w:proofErr w:type="spellStart"/>
      <w:r w:rsidR="00C63BD9" w:rsidRPr="005C02EA">
        <w:t>meðmæl</w:t>
      </w:r>
      <w:r w:rsidR="00AD2E59">
        <w:t>e</w:t>
      </w:r>
      <w:r w:rsidR="00C63BD9" w:rsidRPr="005C02EA">
        <w:t>nda</w:t>
      </w:r>
      <w:proofErr w:type="spellEnd"/>
      <w:r w:rsidR="00C63BD9" w:rsidRPr="005C02EA">
        <w:t xml:space="preserve"> hver og einn frambjóðandi þurfi að hafa í hverjum og einum fjórðungi svo og staðreyna hvort þessum fjölda hafi verið náð</w:t>
      </w:r>
      <w:r w:rsidR="0099086B" w:rsidRPr="005C02EA">
        <w:t xml:space="preserve"> í einstöku tilfelli</w:t>
      </w:r>
      <w:r w:rsidR="00C63BD9" w:rsidRPr="005C02EA">
        <w:t xml:space="preserve">, sbr. </w:t>
      </w:r>
      <w:r w:rsidR="0099086B" w:rsidRPr="005C02EA">
        <w:t xml:space="preserve">nú </w:t>
      </w:r>
      <w:r w:rsidR="00D370E1" w:rsidRPr="005C02EA">
        <w:t xml:space="preserve">til hliðsjónar </w:t>
      </w:r>
      <w:r w:rsidR="00C63BD9" w:rsidRPr="005C02EA">
        <w:t xml:space="preserve">1. mgr. 3. gr. laga </w:t>
      </w:r>
      <w:r w:rsidR="00824051" w:rsidRPr="005C02EA">
        <w:t>nr. 36/1945</w:t>
      </w:r>
      <w:r w:rsidR="00C63BD9" w:rsidRPr="005C02EA">
        <w:t xml:space="preserve">. </w:t>
      </w:r>
      <w:r w:rsidRPr="005C02EA">
        <w:t xml:space="preserve">Í samræmi við hugmyndir stjórnlaganefndar (2011) er lagt til að </w:t>
      </w:r>
      <w:r w:rsidR="00C15C22" w:rsidRPr="005C02EA">
        <w:t xml:space="preserve">í stað tilvísunar til landsfjórðunga í 2. mgr. </w:t>
      </w:r>
      <w:r w:rsidR="00620681">
        <w:t>5. gr.</w:t>
      </w:r>
      <w:r w:rsidR="00620681" w:rsidRPr="005C02EA">
        <w:t xml:space="preserve"> </w:t>
      </w:r>
      <w:r w:rsidR="00C15C22" w:rsidRPr="005C02EA">
        <w:t>komi „kjördæmi“</w:t>
      </w:r>
      <w:r w:rsidR="003771AC" w:rsidRPr="005C02EA">
        <w:t xml:space="preserve">. Áréttað er að </w:t>
      </w:r>
      <w:r w:rsidR="001D6DD2" w:rsidRPr="005C02EA">
        <w:t xml:space="preserve">sem fyrr er </w:t>
      </w:r>
      <w:r w:rsidR="003771AC" w:rsidRPr="005C02EA">
        <w:t xml:space="preserve">hér er </w:t>
      </w:r>
      <w:r w:rsidR="00821C69">
        <w:t xml:space="preserve">aðeins </w:t>
      </w:r>
      <w:r w:rsidR="003771AC" w:rsidRPr="005C02EA">
        <w:t xml:space="preserve">um að ræða heimild til að áskilja </w:t>
      </w:r>
      <w:r w:rsidR="008C7E2C" w:rsidRPr="005C02EA">
        <w:t xml:space="preserve">með lögum </w:t>
      </w:r>
      <w:r w:rsidR="003771AC" w:rsidRPr="005C02EA">
        <w:t xml:space="preserve">að forsetaframbjóðandi </w:t>
      </w:r>
      <w:r w:rsidR="00821C69">
        <w:t>njóti</w:t>
      </w:r>
      <w:r w:rsidR="00821C69" w:rsidRPr="005C02EA">
        <w:t xml:space="preserve"> </w:t>
      </w:r>
      <w:proofErr w:type="spellStart"/>
      <w:r w:rsidR="008C7E2C" w:rsidRPr="005C02EA">
        <w:t>fyrirfram</w:t>
      </w:r>
      <w:r w:rsidR="003771AC" w:rsidRPr="005C02EA">
        <w:t>ákveðin</w:t>
      </w:r>
      <w:r w:rsidR="00821C69">
        <w:t>s</w:t>
      </w:r>
      <w:proofErr w:type="spellEnd"/>
      <w:r w:rsidR="003771AC" w:rsidRPr="005C02EA">
        <w:t xml:space="preserve"> stuðning</w:t>
      </w:r>
      <w:r w:rsidR="00821C69">
        <w:t>s</w:t>
      </w:r>
      <w:r w:rsidR="003771AC" w:rsidRPr="005C02EA">
        <w:t xml:space="preserve"> í hverju og einu kjördæmi</w:t>
      </w:r>
      <w:r w:rsidR="00C63BD9" w:rsidRPr="005C02EA">
        <w:t xml:space="preserve"> og gæti löggjafinn markað aðra stefnu um þetta atriði með lagasetningu</w:t>
      </w:r>
      <w:r w:rsidR="001D6DD2" w:rsidRPr="005C02EA">
        <w:t>, sbr. fyrrnefnd lög nr. 36/1945.</w:t>
      </w:r>
    </w:p>
    <w:p w14:paraId="05B8234C" w14:textId="77777777" w:rsidR="001E7119" w:rsidRPr="005C02EA" w:rsidRDefault="001E7119" w:rsidP="00CC72D0">
      <w:pPr>
        <w:ind w:firstLine="0"/>
      </w:pPr>
    </w:p>
    <w:p w14:paraId="042EBE47" w14:textId="77777777" w:rsidR="001E7119" w:rsidRPr="005C02EA" w:rsidRDefault="001E7119" w:rsidP="001E7119">
      <w:pPr>
        <w:pStyle w:val="Greinarnmer"/>
      </w:pPr>
      <w:r w:rsidRPr="005C02EA">
        <w:t>Um 3. gr.</w:t>
      </w:r>
    </w:p>
    <w:p w14:paraId="10466EF4" w14:textId="199EE378" w:rsidR="00062405" w:rsidRPr="005C02EA" w:rsidRDefault="00323465" w:rsidP="00A940A3">
      <w:r w:rsidRPr="005C02EA">
        <w:t xml:space="preserve">Með greininni er í fyrsta lagi lögð til sú breyting </w:t>
      </w:r>
      <w:r w:rsidR="00176497">
        <w:t>á 6. gr. stjórnarskrár</w:t>
      </w:r>
      <w:r w:rsidR="00350326">
        <w:t>innar</w:t>
      </w:r>
      <w:r w:rsidR="00176497">
        <w:t xml:space="preserve"> </w:t>
      </w:r>
      <w:r w:rsidRPr="005C02EA">
        <w:t xml:space="preserve">að forsetakosningar </w:t>
      </w:r>
      <w:r w:rsidR="00176497">
        <w:t>verði</w:t>
      </w:r>
      <w:r w:rsidR="00176497" w:rsidRPr="005C02EA">
        <w:t xml:space="preserve"> </w:t>
      </w:r>
      <w:r w:rsidRPr="005C02EA">
        <w:t xml:space="preserve">haldnar í maí eða júní í stað júní eða júlí og kjörtímabil forseta </w:t>
      </w:r>
      <w:r w:rsidR="00176497" w:rsidRPr="005C02EA">
        <w:t xml:space="preserve">hefjist </w:t>
      </w:r>
      <w:r w:rsidRPr="005C02EA">
        <w:t>1. júlí</w:t>
      </w:r>
      <w:r w:rsidR="002A7005" w:rsidRPr="005C02EA">
        <w:t xml:space="preserve"> í stað 1. ágúst. Grundvallast tillagan að þessu leyti fyrst og fremst á </w:t>
      </w:r>
      <w:r w:rsidR="00176497">
        <w:t>því</w:t>
      </w:r>
      <w:r w:rsidR="002A7005" w:rsidRPr="005C02EA">
        <w:t xml:space="preserve"> að sumarleyfi eru tíðkanleg í júlí og því heppilegra að kjöri og embættistöku nýs forseta sé </w:t>
      </w:r>
      <w:r w:rsidR="009D77AB">
        <w:t xml:space="preserve">þá </w:t>
      </w:r>
      <w:r w:rsidR="002A7005" w:rsidRPr="005C02EA">
        <w:t xml:space="preserve">lokið. Í annan stað er </w:t>
      </w:r>
      <w:r w:rsidR="00845DFB" w:rsidRPr="005C02EA">
        <w:t xml:space="preserve">lagt til að </w:t>
      </w:r>
      <w:r w:rsidR="002A7005" w:rsidRPr="005C02EA">
        <w:t xml:space="preserve">kjörtímabil forseta </w:t>
      </w:r>
      <w:r w:rsidR="00845DFB" w:rsidRPr="005C02EA">
        <w:t xml:space="preserve">verði </w:t>
      </w:r>
      <w:r w:rsidR="002A7005" w:rsidRPr="005C02EA">
        <w:t xml:space="preserve">lengt um </w:t>
      </w:r>
      <w:r w:rsidR="00845DFB" w:rsidRPr="005C02EA">
        <w:t>tvö</w:t>
      </w:r>
      <w:r w:rsidR="002A7005" w:rsidRPr="005C02EA">
        <w:t xml:space="preserve"> ár</w:t>
      </w:r>
      <w:r w:rsidR="00845DFB" w:rsidRPr="005C02EA">
        <w:t xml:space="preserve"> og verði því alls sex ár. Sýnist lengin</w:t>
      </w:r>
      <w:r w:rsidR="00062405" w:rsidRPr="005C02EA">
        <w:t>g</w:t>
      </w:r>
      <w:r w:rsidR="00845DFB" w:rsidRPr="005C02EA">
        <w:t xml:space="preserve"> á kjörtímabili forseta eðlileg í ljósi þess að allir forsetar lýðveldisins hafa setið lengur en eitt kjörtímabil</w:t>
      </w:r>
      <w:r w:rsidR="00D557B0" w:rsidRPr="005C02EA">
        <w:t>. Er þá einnig horft til þess að alloft hefur verið sjálfkjörið í embætti forseta vegna þess að enginn hefur boðið sig fram gegn sitjandi forseta eða þá að sitjandi forseti hefur sigrað með miklum yfirburðum</w:t>
      </w:r>
      <w:r w:rsidR="00845DFB" w:rsidRPr="005C02EA">
        <w:t>. Í þriðja lagi er lagt til að forseti sitji ekki lengur en tvö kjörtímabil</w:t>
      </w:r>
      <w:r w:rsidR="00C93653">
        <w:t>,</w:t>
      </w:r>
      <w:r w:rsidR="00845DFB" w:rsidRPr="005C02EA">
        <w:t xml:space="preserve"> eða alls 12 ár</w:t>
      </w:r>
      <w:r w:rsidR="00062405" w:rsidRPr="005C02EA">
        <w:t xml:space="preserve">. </w:t>
      </w:r>
      <w:r w:rsidR="00A940A3">
        <w:t xml:space="preserve">Er sú tillaga bæði í samræmi við niðurstöðu fyrrgreindrar rökræðukönnunar Félagsvísindastofnunar Háskóla Íslands </w:t>
      </w:r>
      <w:r w:rsidR="00EC1429">
        <w:t xml:space="preserve">og </w:t>
      </w:r>
      <w:r w:rsidR="00A160F6" w:rsidRPr="005C02EA">
        <w:t xml:space="preserve">það sem </w:t>
      </w:r>
      <w:proofErr w:type="spellStart"/>
      <w:r w:rsidR="00A160F6" w:rsidRPr="005C02EA">
        <w:t>tíðkanlegt</w:t>
      </w:r>
      <w:proofErr w:type="spellEnd"/>
      <w:r w:rsidR="00A160F6" w:rsidRPr="005C02EA">
        <w:t xml:space="preserve"> er hjá öðrum ríkjum með lýðveldisstjórnarform</w:t>
      </w:r>
      <w:r w:rsidR="00A940A3">
        <w:t>.</w:t>
      </w:r>
    </w:p>
    <w:p w14:paraId="791B5337" w14:textId="77777777" w:rsidR="00D557B0" w:rsidRPr="005C02EA" w:rsidRDefault="00D557B0" w:rsidP="00D557B0"/>
    <w:p w14:paraId="2854573F" w14:textId="77777777" w:rsidR="001E7119" w:rsidRPr="005C02EA" w:rsidRDefault="001E7119" w:rsidP="001E7119">
      <w:pPr>
        <w:pStyle w:val="Greinarnmer"/>
      </w:pPr>
      <w:r w:rsidRPr="005C02EA">
        <w:t>Um 4. gr.</w:t>
      </w:r>
    </w:p>
    <w:p w14:paraId="46A3E5E0" w14:textId="0E87EA90" w:rsidR="001E7119" w:rsidRPr="005C02EA" w:rsidRDefault="00B045AE" w:rsidP="001E7119">
      <w:r w:rsidRPr="005C02EA">
        <w:t xml:space="preserve">Með greininni eru lagðar til breytingar á 7. gr. stjórnarskrárinnar. Greinin tekur mið af þeim breytingum sem lagðar eru til í 3. gr. </w:t>
      </w:r>
      <w:r w:rsidR="00435800">
        <w:t>frumvarpsins</w:t>
      </w:r>
      <w:r w:rsidR="003B3BAB">
        <w:t>, sbr. 6. gr. stjórnarskrárinnar,</w:t>
      </w:r>
      <w:r w:rsidRPr="005C02EA">
        <w:t xml:space="preserve"> og þarfnast ekki skýringa. </w:t>
      </w:r>
    </w:p>
    <w:p w14:paraId="18B6A1FC" w14:textId="77777777" w:rsidR="001E7119" w:rsidRPr="005C02EA" w:rsidRDefault="001E7119" w:rsidP="001E7119"/>
    <w:p w14:paraId="317111B2" w14:textId="77777777" w:rsidR="001E7119" w:rsidRPr="005C02EA" w:rsidRDefault="001E7119" w:rsidP="001E7119">
      <w:pPr>
        <w:pStyle w:val="Greinarnmer"/>
      </w:pPr>
      <w:r w:rsidRPr="005C02EA">
        <w:t>Um 5. gr.</w:t>
      </w:r>
    </w:p>
    <w:p w14:paraId="59C0A8A3" w14:textId="29C782B8" w:rsidR="00B045AE" w:rsidRPr="00B045AE" w:rsidRDefault="00B045AE" w:rsidP="00B045AE">
      <w:r w:rsidRPr="005C02EA">
        <w:t xml:space="preserve">Í þessari grein er gerð tillaga um breytingu á </w:t>
      </w:r>
      <w:r w:rsidR="00410F6A">
        <w:t>fyrri</w:t>
      </w:r>
      <w:r w:rsidRPr="005C02EA">
        <w:t xml:space="preserve"> </w:t>
      </w:r>
      <w:proofErr w:type="spellStart"/>
      <w:r w:rsidRPr="005C02EA">
        <w:t>málsl</w:t>
      </w:r>
      <w:proofErr w:type="spellEnd"/>
      <w:r w:rsidR="00410F6A">
        <w:t>.</w:t>
      </w:r>
      <w:r w:rsidRPr="005C02EA">
        <w:t xml:space="preserve"> 1. mgr. 11. gr. stjórnarskrár</w:t>
      </w:r>
      <w:r w:rsidR="00066953">
        <w:t>innar</w:t>
      </w:r>
      <w:r w:rsidRPr="005C02EA">
        <w:t xml:space="preserve">. Núverandi orðalag ákvæðisins verður rakið </w:t>
      </w:r>
      <w:r w:rsidR="00410F6A">
        <w:t xml:space="preserve">til </w:t>
      </w:r>
      <w:r w:rsidR="00667920">
        <w:t>breytinga árið 1915 á stjórnarskránni um hin sérstaklegu málefni Íslands og</w:t>
      </w:r>
      <w:r w:rsidR="00667920" w:rsidRPr="005C02EA">
        <w:t xml:space="preserve"> </w:t>
      </w:r>
      <w:r w:rsidRPr="005C02EA">
        <w:t>10. gr. stjórnarskrárinnar</w:t>
      </w:r>
      <w:r w:rsidRPr="00B045AE">
        <w:t xml:space="preserve"> frá 1920 þar sem mælt var fyrir um að konungur væri </w:t>
      </w:r>
      <w:r w:rsidR="004353B4">
        <w:t>„</w:t>
      </w:r>
      <w:r w:rsidRPr="00B045AE">
        <w:t>ábyrgðarlaus og friðhelgur</w:t>
      </w:r>
      <w:r w:rsidR="004353B4">
        <w:t>“</w:t>
      </w:r>
      <w:r w:rsidRPr="00B045AE">
        <w:t>, en sú yfirlýsing átti sér aftur fyrirmynd í dönsku stjórnarskrá</w:t>
      </w:r>
      <w:r w:rsidR="00E824C7">
        <w:t>nni</w:t>
      </w:r>
      <w:r w:rsidRPr="00B045AE">
        <w:t xml:space="preserve"> allt frá </w:t>
      </w:r>
      <w:r w:rsidR="00E432C4">
        <w:t>setningu þeirrar</w:t>
      </w:r>
      <w:r w:rsidRPr="00B045AE">
        <w:t xml:space="preserve"> fyrstu árið 1849. </w:t>
      </w:r>
      <w:r w:rsidR="008F48F5">
        <w:t>Með</w:t>
      </w:r>
      <w:r w:rsidRPr="00B045AE">
        <w:t xml:space="preserve"> lýðveldisstjórnarskrá</w:t>
      </w:r>
      <w:r w:rsidR="008F48F5">
        <w:t>nni</w:t>
      </w:r>
      <w:r w:rsidRPr="00B045AE">
        <w:t xml:space="preserve"> </w:t>
      </w:r>
      <w:r w:rsidR="00E432C4">
        <w:t xml:space="preserve">árið 1944 </w:t>
      </w:r>
      <w:r w:rsidRPr="00B045AE">
        <w:t xml:space="preserve">var </w:t>
      </w:r>
      <w:r w:rsidR="008F48F5">
        <w:t xml:space="preserve">miðað við að </w:t>
      </w:r>
      <w:r w:rsidRPr="00B045AE">
        <w:t xml:space="preserve">ábyrgðarleysi forseta samkvæmt greininni </w:t>
      </w:r>
      <w:r w:rsidR="008F48F5">
        <w:t xml:space="preserve">væri </w:t>
      </w:r>
      <w:r w:rsidRPr="00B045AE">
        <w:t xml:space="preserve">takmarkað við athafnir </w:t>
      </w:r>
      <w:r w:rsidR="007D6F32">
        <w:t>hans</w:t>
      </w:r>
      <w:r w:rsidRPr="00B045AE">
        <w:t xml:space="preserve"> í embætti og þá á þeirri forsendu að slíkar athafnir væru ávallt að tillögu og á ábyrgð ráðherra. Hins vegar var talið ástæðulaust að forseti væri ábyrgðarlaus ef svo ólíklega </w:t>
      </w:r>
      <w:r w:rsidR="007D6F32">
        <w:t>vildi til</w:t>
      </w:r>
      <w:r w:rsidR="007D6F32" w:rsidRPr="00B045AE">
        <w:t xml:space="preserve"> </w:t>
      </w:r>
      <w:r w:rsidRPr="00B045AE">
        <w:t>að hann gerði sig sekan um refsiverðan verknað utan embættis síns.</w:t>
      </w:r>
      <w:r w:rsidR="009D77AB">
        <w:t xml:space="preserve"> Í reynd </w:t>
      </w:r>
      <w:r w:rsidR="004353B4">
        <w:t xml:space="preserve">var </w:t>
      </w:r>
      <w:r w:rsidR="00A940A3">
        <w:t xml:space="preserve">alger </w:t>
      </w:r>
      <w:r w:rsidR="004353B4">
        <w:t>friðhelgi þjóðhöfðingja Íslands því afnumi</w:t>
      </w:r>
      <w:r w:rsidR="0098705B">
        <w:t>n</w:t>
      </w:r>
      <w:r w:rsidR="004353B4">
        <w:t xml:space="preserve"> með setningu lýðveldisstjórnar</w:t>
      </w:r>
      <w:r w:rsidR="00D6587B">
        <w:softHyphen/>
      </w:r>
      <w:r w:rsidR="004353B4">
        <w:t>skrárinnar.</w:t>
      </w:r>
    </w:p>
    <w:p w14:paraId="4F126049" w14:textId="510AD7CB" w:rsidR="00B045AE" w:rsidRPr="00B045AE" w:rsidRDefault="00B045AE" w:rsidP="00B045AE">
      <w:r w:rsidRPr="00B045AE">
        <w:t xml:space="preserve">Um það sýnist </w:t>
      </w:r>
      <w:r w:rsidR="00416499">
        <w:t>víðtæk</w:t>
      </w:r>
      <w:r w:rsidR="00416499" w:rsidRPr="00B045AE">
        <w:t xml:space="preserve"> </w:t>
      </w:r>
      <w:r w:rsidRPr="00B045AE">
        <w:t xml:space="preserve">samstaða að yfirlýsing stjórnarskrárinnar um ábyrgðarleysi forseta </w:t>
      </w:r>
      <w:r w:rsidR="00E432C4">
        <w:t xml:space="preserve">á stjórnarathöfnum </w:t>
      </w:r>
      <w:r w:rsidRPr="00B045AE">
        <w:t xml:space="preserve">samræmist illa grunnrökum lýðveldis og orki </w:t>
      </w:r>
      <w:r w:rsidR="00E432C4">
        <w:t>jafnvel</w:t>
      </w:r>
      <w:r w:rsidRPr="00B045AE">
        <w:t xml:space="preserve"> tvímælis gagnvart </w:t>
      </w:r>
      <w:r w:rsidRPr="00B045AE">
        <w:lastRenderedPageBreak/>
        <w:t xml:space="preserve">skuldbindingum ríkisins á sviði alþjóðlegs refsiréttar. </w:t>
      </w:r>
      <w:r w:rsidR="008F48F5">
        <w:t>Fræðilega</w:t>
      </w:r>
      <w:r w:rsidRPr="00B045AE">
        <w:t xml:space="preserve"> er</w:t>
      </w:r>
      <w:r w:rsidR="008F48F5">
        <w:t xml:space="preserve"> ekki</w:t>
      </w:r>
      <w:r w:rsidRPr="00B045AE">
        <w:t xml:space="preserve"> hægt að slá loku fyrir að forseti kunni að gerast brotlegur við refsilög eða baka sér skaðabótaskyldu vegna háttsemi í embætti</w:t>
      </w:r>
      <w:r w:rsidR="007D6F32">
        <w:t>,</w:t>
      </w:r>
      <w:r w:rsidRPr="00B045AE">
        <w:t xml:space="preserve"> sem ekki grundvallast á tillögu ráðherra og </w:t>
      </w:r>
      <w:r w:rsidR="00667920">
        <w:t>sá síðarnefndi</w:t>
      </w:r>
      <w:r w:rsidR="00667920" w:rsidRPr="00B045AE">
        <w:t xml:space="preserve"> </w:t>
      </w:r>
      <w:r w:rsidRPr="00B045AE">
        <w:t xml:space="preserve">ber þar af leiðandi </w:t>
      </w:r>
      <w:r w:rsidR="00001980">
        <w:t xml:space="preserve">ekki </w:t>
      </w:r>
      <w:r w:rsidRPr="00B045AE">
        <w:t xml:space="preserve">ábyrgð á </w:t>
      </w:r>
      <w:r w:rsidR="007D6F32">
        <w:t>skv.</w:t>
      </w:r>
      <w:r w:rsidR="007D6F32" w:rsidRPr="00B045AE">
        <w:t xml:space="preserve"> </w:t>
      </w:r>
      <w:r w:rsidRPr="00B045AE">
        <w:t xml:space="preserve">14. gr. </w:t>
      </w:r>
      <w:r w:rsidR="008609BF">
        <w:t>stjórnarskrár</w:t>
      </w:r>
      <w:r w:rsidR="008E1224">
        <w:t xml:space="preserve">. </w:t>
      </w:r>
      <w:r w:rsidRPr="00B045AE">
        <w:t>Því þykir ástæða til að taka af tvímæli um að ábyrgðarleysi forseta einskorð</w:t>
      </w:r>
      <w:r w:rsidR="00C70BB8">
        <w:t>ist</w:t>
      </w:r>
      <w:r w:rsidRPr="00B045AE">
        <w:t xml:space="preserve"> við athafnir </w:t>
      </w:r>
      <w:r w:rsidR="00C70BB8">
        <w:t xml:space="preserve">hans </w:t>
      </w:r>
      <w:r w:rsidRPr="00B045AE">
        <w:t xml:space="preserve">sem </w:t>
      </w:r>
      <w:r w:rsidR="00C70BB8">
        <w:t>leiða af</w:t>
      </w:r>
      <w:r w:rsidRPr="00B045AE">
        <w:t xml:space="preserve"> tillögu á ábyrgð</w:t>
      </w:r>
      <w:r w:rsidR="00C70BB8">
        <w:t>arsviði</w:t>
      </w:r>
      <w:r w:rsidRPr="00B045AE">
        <w:t xml:space="preserve"> ráðherra</w:t>
      </w:r>
      <w:r w:rsidR="00001980">
        <w:t>,</w:t>
      </w:r>
      <w:r w:rsidR="008F48F5">
        <w:t xml:space="preserve"> svo sem </w:t>
      </w:r>
      <w:r w:rsidR="00001980">
        <w:t xml:space="preserve">raunar var </w:t>
      </w:r>
      <w:r w:rsidR="008F48F5">
        <w:t>miðað við þegar frumvarp til núgildandi stjórnarskrár var samið</w:t>
      </w:r>
      <w:r w:rsidRPr="00B045AE">
        <w:t xml:space="preserve">. Samkvæmt þessu </w:t>
      </w:r>
      <w:r w:rsidR="0098705B">
        <w:t>verður</w:t>
      </w:r>
      <w:r w:rsidRPr="00B045AE">
        <w:t xml:space="preserve"> forseta hvorki refsað né hann dæmdur skaðabótaskyldur sem samverka- eða hlutdeildarma</w:t>
      </w:r>
      <w:r w:rsidR="00A62CE8">
        <w:t>ður</w:t>
      </w:r>
      <w:r w:rsidRPr="00B045AE">
        <w:t xml:space="preserve"> ráðherra </w:t>
      </w:r>
      <w:r w:rsidR="00A62CE8">
        <w:t>fyrir að</w:t>
      </w:r>
      <w:r w:rsidRPr="00B045AE">
        <w:t xml:space="preserve"> staðfest</w:t>
      </w:r>
      <w:r w:rsidR="00A62CE8">
        <w:t>a</w:t>
      </w:r>
      <w:r w:rsidRPr="00B045AE">
        <w:t xml:space="preserve"> tillögu ráðherra </w:t>
      </w:r>
      <w:r w:rsidR="00A62CE8">
        <w:t>skv.</w:t>
      </w:r>
      <w:r w:rsidR="00A62CE8" w:rsidRPr="00B045AE">
        <w:t xml:space="preserve"> </w:t>
      </w:r>
      <w:r w:rsidRPr="00B045AE">
        <w:t xml:space="preserve">19. gr. </w:t>
      </w:r>
      <w:r w:rsidR="008609BF">
        <w:t xml:space="preserve">stjórnarskrár. </w:t>
      </w:r>
      <w:r w:rsidRPr="00B045AE">
        <w:t xml:space="preserve">Um ábyrgð forseta að öðru leyti færi </w:t>
      </w:r>
      <w:r w:rsidR="00001980">
        <w:t xml:space="preserve">hins vegar </w:t>
      </w:r>
      <w:r w:rsidRPr="00B045AE">
        <w:t xml:space="preserve">samkvæmt almennum reglum, sbr. </w:t>
      </w:r>
      <w:r w:rsidR="00001980">
        <w:t>meðal annars</w:t>
      </w:r>
      <w:r w:rsidRPr="00B045AE">
        <w:t xml:space="preserve"> X. kafla almennra hegningarlaga</w:t>
      </w:r>
      <w:r w:rsidR="00D6587B">
        <w:t>,</w:t>
      </w:r>
      <w:r w:rsidRPr="00B045AE">
        <w:t xml:space="preserve"> nr. 19/1940</w:t>
      </w:r>
      <w:r w:rsidR="00D6587B">
        <w:t>,</w:t>
      </w:r>
      <w:r w:rsidRPr="00B045AE">
        <w:t xml:space="preserve"> um landráð. </w:t>
      </w:r>
    </w:p>
    <w:p w14:paraId="0BAB907A" w14:textId="0E82B6B5" w:rsidR="00E854CF" w:rsidRDefault="00B045AE" w:rsidP="008609BF">
      <w:r w:rsidRPr="00B045AE">
        <w:t xml:space="preserve">Þótt telja verði afar ólíklegt að reyni á téða ábyrgð forseta er hér um að ræða breytingu með það táknræna gildi að forseti lýðveldisins </w:t>
      </w:r>
      <w:r w:rsidR="0098705B">
        <w:t>ver</w:t>
      </w:r>
      <w:r w:rsidRPr="00B045AE">
        <w:t>ði ekki lengur alfarið undanþegin</w:t>
      </w:r>
      <w:r w:rsidR="00ED67E7">
        <w:t>n</w:t>
      </w:r>
      <w:r w:rsidRPr="00B045AE">
        <w:t xml:space="preserve"> lagalegri ábyrgð vegna </w:t>
      </w:r>
      <w:r w:rsidR="008609BF">
        <w:t xml:space="preserve">hvers kyns </w:t>
      </w:r>
      <w:r w:rsidRPr="00B045AE">
        <w:t xml:space="preserve">embættisathafna sinna, þ.e. þeirra sem hann kynni hugsanlega að </w:t>
      </w:r>
      <w:r w:rsidR="00A62CE8">
        <w:t>verða uppvís að</w:t>
      </w:r>
      <w:r w:rsidR="00A62CE8" w:rsidRPr="00B045AE">
        <w:t xml:space="preserve"> </w:t>
      </w:r>
      <w:r w:rsidRPr="00B045AE">
        <w:t xml:space="preserve">án atbeina ráðherra. Frá lagalegu sjónarmiði felst </w:t>
      </w:r>
      <w:r w:rsidR="00001980">
        <w:t xml:space="preserve">allt að einu </w:t>
      </w:r>
      <w:r w:rsidR="008609BF">
        <w:t xml:space="preserve">í tillögunni </w:t>
      </w:r>
      <w:r w:rsidRPr="00B045AE">
        <w:t xml:space="preserve">sú </w:t>
      </w:r>
      <w:proofErr w:type="spellStart"/>
      <w:r w:rsidRPr="00B045AE">
        <w:t>rýmkun</w:t>
      </w:r>
      <w:proofErr w:type="spellEnd"/>
      <w:r w:rsidRPr="00B045AE">
        <w:t xml:space="preserve"> á </w:t>
      </w:r>
      <w:r w:rsidR="008609BF">
        <w:t>lagalegri ábyrgð</w:t>
      </w:r>
      <w:r w:rsidRPr="00B045AE">
        <w:t xml:space="preserve"> forseta að háttsemi hans í starfi, </w:t>
      </w:r>
      <w:r w:rsidR="009359C0">
        <w:t>þ.e. þegar hann</w:t>
      </w:r>
      <w:r w:rsidRPr="00B045AE">
        <w:t xml:space="preserve"> hefur ekki stuðst við tillögu ráðherra, get</w:t>
      </w:r>
      <w:r w:rsidR="009359C0">
        <w:t>i</w:t>
      </w:r>
      <w:r w:rsidRPr="00B045AE">
        <w:t xml:space="preserve"> skapað honum refsiábyrgð (og skaðabótaábyrgð) samkvæmt almennum reglum. </w:t>
      </w:r>
    </w:p>
    <w:p w14:paraId="0F04C004" w14:textId="141459E8" w:rsidR="00B045AE" w:rsidRDefault="00B045AE" w:rsidP="008609BF">
      <w:r w:rsidRPr="00B045AE">
        <w:t xml:space="preserve">Ekki þykir ástæða til að hagga við því fyrirkomulagi 2. mgr. 11. gr. </w:t>
      </w:r>
      <w:r w:rsidR="00066953">
        <w:t xml:space="preserve">stjórnarskrárinnar </w:t>
      </w:r>
      <w:r w:rsidRPr="00B045AE">
        <w:t xml:space="preserve">að forseti verði aðeins sóttur til refsingar með samþykki Alþingis </w:t>
      </w:r>
      <w:r w:rsidR="009359C0">
        <w:t>enda</w:t>
      </w:r>
      <w:r w:rsidRPr="00B045AE">
        <w:t xml:space="preserve"> sé</w:t>
      </w:r>
      <w:r w:rsidR="009359C0">
        <w:t xml:space="preserve"> nauðsynlegt að</w:t>
      </w:r>
      <w:r w:rsidRPr="00B045AE">
        <w:t xml:space="preserve"> „firr</w:t>
      </w:r>
      <w:r w:rsidR="009359C0">
        <w:t>a forseta</w:t>
      </w:r>
      <w:r w:rsidRPr="00B045AE">
        <w:t xml:space="preserve"> óþarf</w:t>
      </w:r>
      <w:r w:rsidR="009359C0">
        <w:t>ri</w:t>
      </w:r>
      <w:r w:rsidRPr="00B045AE">
        <w:t xml:space="preserve"> áreit</w:t>
      </w:r>
      <w:r w:rsidR="009359C0">
        <w:t>n</w:t>
      </w:r>
      <w:r w:rsidRPr="00B045AE">
        <w:t xml:space="preserve">i“ líkt og fram kemur í </w:t>
      </w:r>
      <w:r w:rsidR="00E653CD">
        <w:t xml:space="preserve">skýringum </w:t>
      </w:r>
      <w:r w:rsidRPr="00B045AE">
        <w:t xml:space="preserve">við </w:t>
      </w:r>
      <w:r w:rsidR="00E07987">
        <w:t>11. gr.</w:t>
      </w:r>
      <w:r w:rsidR="00E63978">
        <w:t xml:space="preserve"> </w:t>
      </w:r>
      <w:r w:rsidR="00E07987">
        <w:t>þess</w:t>
      </w:r>
      <w:r w:rsidRPr="00B045AE">
        <w:t xml:space="preserve"> frumvarp</w:t>
      </w:r>
      <w:r w:rsidR="00E07987">
        <w:t>s</w:t>
      </w:r>
      <w:r w:rsidRPr="00B045AE">
        <w:t xml:space="preserve"> sem varð að núgildandi stjórnarskrá lýðveldisins. </w:t>
      </w:r>
      <w:r w:rsidR="008609BF">
        <w:t xml:space="preserve">Þá </w:t>
      </w:r>
      <w:r w:rsidR="00F917E9">
        <w:t>þykja ekki efni</w:t>
      </w:r>
      <w:r w:rsidR="008609BF">
        <w:t xml:space="preserve"> til að </w:t>
      </w:r>
      <w:r w:rsidR="002D08EC">
        <w:t xml:space="preserve">leggja til breytingar </w:t>
      </w:r>
      <w:r w:rsidR="008609BF">
        <w:t xml:space="preserve">á </w:t>
      </w:r>
      <w:r w:rsidR="002D08EC">
        <w:t>ákvæðum 3. og 4. mgr. 11. gr. viðvíkjandi lausn forseta frá embætti að kröfu Alþingis en á þessi ákvæði hefur ekki reynt á lýðveldistímanum.</w:t>
      </w:r>
    </w:p>
    <w:p w14:paraId="444717B8" w14:textId="77777777" w:rsidR="001E7119" w:rsidRDefault="001E7119" w:rsidP="001E7119"/>
    <w:p w14:paraId="7665C582" w14:textId="77777777" w:rsidR="001E7119" w:rsidRDefault="001E7119" w:rsidP="001E7119">
      <w:pPr>
        <w:pStyle w:val="Greinarnmer"/>
      </w:pPr>
      <w:r>
        <w:t>Um 6. gr.</w:t>
      </w:r>
    </w:p>
    <w:p w14:paraId="3956F9FF" w14:textId="1D524F5F" w:rsidR="002D08EC" w:rsidRPr="002D08EC" w:rsidRDefault="002D08EC" w:rsidP="002D08EC">
      <w:r w:rsidRPr="002D08EC">
        <w:t xml:space="preserve">Með greininni er </w:t>
      </w:r>
      <w:r>
        <w:t>lagt til</w:t>
      </w:r>
      <w:r w:rsidRPr="002D08EC">
        <w:t xml:space="preserve"> að 2. mgr. 13. gr. </w:t>
      </w:r>
      <w:r>
        <w:t xml:space="preserve">stjórnarskrár </w:t>
      </w:r>
      <w:r w:rsidRPr="002D08EC">
        <w:t xml:space="preserve">verði breytt á þá leið að í stað </w:t>
      </w:r>
      <w:r w:rsidR="00DE7C5E">
        <w:t xml:space="preserve">þess að nefna </w:t>
      </w:r>
      <w:r w:rsidRPr="002D08EC">
        <w:t>„</w:t>
      </w:r>
      <w:r w:rsidR="00DE7C5E">
        <w:t>R</w:t>
      </w:r>
      <w:r w:rsidRPr="002D08EC">
        <w:t>áðuneyti</w:t>
      </w:r>
      <w:r w:rsidR="00DE7C5E">
        <w:t>ð</w:t>
      </w:r>
      <w:r w:rsidRPr="002D08EC">
        <w:t xml:space="preserve">“, sem er úrelt </w:t>
      </w:r>
      <w:r w:rsidR="00F917E9">
        <w:t>og</w:t>
      </w:r>
      <w:r w:rsidRPr="002D08EC">
        <w:t xml:space="preserve"> vísar </w:t>
      </w:r>
      <w:r w:rsidR="00F917E9">
        <w:t xml:space="preserve">einkum </w:t>
      </w:r>
      <w:r w:rsidRPr="002D08EC">
        <w:t>til heimastjórnartímans (1904</w:t>
      </w:r>
      <w:r w:rsidR="00DE7C5E">
        <w:t>–</w:t>
      </w:r>
      <w:r w:rsidRPr="002D08EC">
        <w:t xml:space="preserve">1918), verði </w:t>
      </w:r>
      <w:r w:rsidR="00BC4ED4">
        <w:t>vísað til</w:t>
      </w:r>
      <w:r w:rsidRPr="002D08EC">
        <w:t xml:space="preserve"> </w:t>
      </w:r>
      <w:r w:rsidR="00BC4ED4">
        <w:t>„</w:t>
      </w:r>
      <w:r w:rsidR="0013194D">
        <w:t>Stjórnarráð</w:t>
      </w:r>
      <w:r w:rsidR="00BC4ED4">
        <w:t>s</w:t>
      </w:r>
      <w:r w:rsidR="0013194D">
        <w:t xml:space="preserve"> </w:t>
      </w:r>
      <w:r w:rsidR="001A7A9E">
        <w:t>Íslands</w:t>
      </w:r>
      <w:r w:rsidR="00BC4ED4">
        <w:t>“</w:t>
      </w:r>
      <w:r w:rsidRPr="002D08EC">
        <w:t>.</w:t>
      </w:r>
      <w:r w:rsidR="0024240D">
        <w:t xml:space="preserve"> </w:t>
      </w:r>
      <w:r w:rsidR="0013194D">
        <w:t xml:space="preserve">Orðalagið </w:t>
      </w:r>
      <w:r w:rsidR="00BC4ED4">
        <w:t>er</w:t>
      </w:r>
      <w:r w:rsidR="0013194D">
        <w:t xml:space="preserve"> hið sama og í</w:t>
      </w:r>
      <w:r w:rsidRPr="002D08EC">
        <w:t xml:space="preserve"> 2. mgr. 2. gr. laga um Stjórnarráð Íslands</w:t>
      </w:r>
      <w:r w:rsidR="00DE7C5E">
        <w:t>,</w:t>
      </w:r>
      <w:r w:rsidR="00DE7C5E" w:rsidRPr="00DE7C5E">
        <w:t xml:space="preserve"> </w:t>
      </w:r>
      <w:r w:rsidR="00DE7C5E" w:rsidRPr="002D08EC">
        <w:t>nr. 115/2011</w:t>
      </w:r>
      <w:r w:rsidR="00822660">
        <w:t xml:space="preserve"> og er ekki ætlað að koma </w:t>
      </w:r>
      <w:r w:rsidR="0013194D">
        <w:t>í veg fyrir að einstök ráðuneyti eða undirstofnanir þeirra reki starfsstöðvar á landsbyggðinni samkvæmt almennum</w:t>
      </w:r>
      <w:r w:rsidR="0024240D">
        <w:t xml:space="preserve"> lögum og stjórnvaldsákvörðunum hverju sinni</w:t>
      </w:r>
      <w:r w:rsidRPr="002D08EC">
        <w:t xml:space="preserve">. </w:t>
      </w:r>
    </w:p>
    <w:p w14:paraId="764F4042" w14:textId="77777777" w:rsidR="00CD346D" w:rsidRDefault="00CD346D" w:rsidP="00CD346D">
      <w:pPr>
        <w:ind w:firstLine="0"/>
      </w:pPr>
    </w:p>
    <w:p w14:paraId="7DF812FD" w14:textId="77777777" w:rsidR="00C16EB5" w:rsidRPr="00B2695B" w:rsidRDefault="00C16EB5" w:rsidP="00C16EB5">
      <w:pPr>
        <w:pStyle w:val="Greinarnmer"/>
      </w:pPr>
      <w:r w:rsidRPr="00B2695B">
        <w:t>Um 7. gr.</w:t>
      </w:r>
    </w:p>
    <w:p w14:paraId="43EDACBE" w14:textId="26D218BC" w:rsidR="000323A0" w:rsidRPr="00E824C7" w:rsidRDefault="00C16EB5" w:rsidP="000F07A0">
      <w:bookmarkStart w:id="3" w:name="_Hlk40093162"/>
      <w:r w:rsidRPr="00994F2F">
        <w:t xml:space="preserve">Með þessari grein er </w:t>
      </w:r>
      <w:r w:rsidR="003931DA" w:rsidRPr="00994F2F">
        <w:t>í fyrsta lagi lagt til að Alþingi ákveði sjálft hvort það f</w:t>
      </w:r>
      <w:r w:rsidR="000F07A0" w:rsidRPr="00994F2F">
        <w:t xml:space="preserve">ari </w:t>
      </w:r>
      <w:r w:rsidR="003931DA" w:rsidRPr="00994F2F">
        <w:t>með ákæruvald</w:t>
      </w:r>
      <w:r w:rsidR="00667920" w:rsidRPr="00994F2F">
        <w:t xml:space="preserve"> í málum vegna ætlaðra brota ráðherra í </w:t>
      </w:r>
      <w:r w:rsidR="000F07A0" w:rsidRPr="00994F2F">
        <w:t>embætti</w:t>
      </w:r>
      <w:r w:rsidR="003931DA" w:rsidRPr="00994F2F">
        <w:t xml:space="preserve"> eða hvort </w:t>
      </w:r>
      <w:r w:rsidR="000F07A0" w:rsidRPr="00994F2F">
        <w:t>ákæruvald í slíkum málum</w:t>
      </w:r>
      <w:r w:rsidR="003931DA" w:rsidRPr="00994F2F">
        <w:t xml:space="preserve"> </w:t>
      </w:r>
      <w:r w:rsidR="00F539FA" w:rsidRPr="00994F2F">
        <w:t>v</w:t>
      </w:r>
      <w:r w:rsidR="003931DA" w:rsidRPr="00994F2F">
        <w:t>er</w:t>
      </w:r>
      <w:r w:rsidR="00F539FA" w:rsidRPr="00994F2F">
        <w:t>ði</w:t>
      </w:r>
      <w:r w:rsidR="003931DA" w:rsidRPr="00994F2F">
        <w:t xml:space="preserve"> falið ríkissaksóknara sem </w:t>
      </w:r>
      <w:r w:rsidR="002520C8" w:rsidRPr="00994F2F">
        <w:t>æðsta</w:t>
      </w:r>
      <w:r w:rsidR="003931DA" w:rsidRPr="00994F2F">
        <w:t xml:space="preserve"> handhafa ákæruvalds, sbr. </w:t>
      </w:r>
      <w:r w:rsidR="00667920" w:rsidRPr="00994F2F">
        <w:t>18</w:t>
      </w:r>
      <w:r w:rsidR="003931DA" w:rsidRPr="00994F2F">
        <w:t>. gr. fr</w:t>
      </w:r>
      <w:r w:rsidR="00F539FA" w:rsidRPr="00994F2F">
        <w:t>umvarpsins</w:t>
      </w:r>
      <w:r w:rsidR="003931DA" w:rsidRPr="00994F2F">
        <w:t>.</w:t>
      </w:r>
      <w:r w:rsidR="000F07A0" w:rsidRPr="00994F2F">
        <w:t xml:space="preserve"> </w:t>
      </w:r>
      <w:r w:rsidR="002520C8" w:rsidRPr="00994F2F">
        <w:t>Gæti</w:t>
      </w:r>
      <w:r w:rsidR="000F07A0" w:rsidRPr="00994F2F">
        <w:t xml:space="preserve"> þá bæði verið um það að ræða að ákæruvaldið </w:t>
      </w:r>
      <w:r w:rsidR="00F539FA" w:rsidRPr="00994F2F">
        <w:t>væri</w:t>
      </w:r>
      <w:r w:rsidR="000F07A0" w:rsidRPr="00994F2F">
        <w:t xml:space="preserve"> falið ríkissaksóknara í </w:t>
      </w:r>
      <w:r w:rsidR="006024EB">
        <w:t>ákveðnu</w:t>
      </w:r>
      <w:r w:rsidR="006024EB" w:rsidRPr="00994F2F">
        <w:t xml:space="preserve"> </w:t>
      </w:r>
      <w:r w:rsidR="000F07A0" w:rsidRPr="00994F2F">
        <w:t>tilviki, t.d. í kjölfar rannsóknar á vegum þingsins, eða í eitt skipti fyrir öll</w:t>
      </w:r>
      <w:r w:rsidR="00E354F7" w:rsidRPr="00994F2F">
        <w:t xml:space="preserve">, allt eftir því hvernig </w:t>
      </w:r>
      <w:r w:rsidR="002520C8" w:rsidRPr="00994F2F">
        <w:t>mælt væri fyrir um þetta atriði í almennum lögum</w:t>
      </w:r>
      <w:r w:rsidR="000F07A0" w:rsidRPr="00994F2F">
        <w:t xml:space="preserve">. </w:t>
      </w:r>
      <w:r w:rsidR="00D51ACB" w:rsidRPr="00994F2F">
        <w:t xml:space="preserve">Af </w:t>
      </w:r>
      <w:r w:rsidR="00F539FA" w:rsidRPr="00994F2F">
        <w:t>nýjum 3</w:t>
      </w:r>
      <w:r w:rsidR="00D51ACB" w:rsidRPr="00994F2F">
        <w:t xml:space="preserve">. málslið </w:t>
      </w:r>
      <w:r w:rsidR="00D51ACB" w:rsidRPr="00E824C7">
        <w:t xml:space="preserve">leiðir </w:t>
      </w:r>
      <w:r w:rsidR="002520C8" w:rsidRPr="00E824C7">
        <w:t>að</w:t>
      </w:r>
      <w:r w:rsidR="00D51ACB" w:rsidRPr="00E824C7">
        <w:t xml:space="preserve"> í lögum ber</w:t>
      </w:r>
      <w:r w:rsidR="00F539FA" w:rsidRPr="00E824C7">
        <w:t>i</w:t>
      </w:r>
      <w:r w:rsidR="00D51ACB" w:rsidRPr="00E824C7">
        <w:t xml:space="preserve"> ekki aðeins að kveða á um inntak ráðherraábyrgðar heldur einnig rannsókn mála, útgáfu ákæru og meðferð mála fyrir dómi. Er </w:t>
      </w:r>
      <w:r w:rsidR="00E354F7" w:rsidRPr="00E824C7">
        <w:t>þá</w:t>
      </w:r>
      <w:r w:rsidR="00D51ACB" w:rsidRPr="00E824C7">
        <w:t xml:space="preserve"> gengið út frá því að við lagasetningu </w:t>
      </w:r>
      <w:r w:rsidR="00E354F7" w:rsidRPr="00E824C7">
        <w:t>um þessi atriði sé</w:t>
      </w:r>
      <w:r w:rsidR="00F539FA" w:rsidRPr="00E824C7">
        <w:t>u</w:t>
      </w:r>
      <w:r w:rsidR="00E354F7" w:rsidRPr="00E824C7">
        <w:t xml:space="preserve"> </w:t>
      </w:r>
      <w:r w:rsidR="0082565A" w:rsidRPr="00E824C7">
        <w:t>grundvallarréttind</w:t>
      </w:r>
      <w:r w:rsidR="00E354F7" w:rsidRPr="00E824C7">
        <w:t>i virt</w:t>
      </w:r>
      <w:r w:rsidR="0082565A" w:rsidRPr="00E824C7">
        <w:t>, sbr. einkum</w:t>
      </w:r>
      <w:r w:rsidR="00E354F7" w:rsidRPr="00E824C7">
        <w:t xml:space="preserve"> fyrirmæli</w:t>
      </w:r>
      <w:r w:rsidR="0082565A" w:rsidRPr="00E824C7">
        <w:t xml:space="preserve"> 69. </w:t>
      </w:r>
      <w:r w:rsidR="00F539FA" w:rsidRPr="00E824C7">
        <w:t xml:space="preserve">gr. stjórnarskrárinnar </w:t>
      </w:r>
      <w:r w:rsidR="002520C8" w:rsidRPr="00E824C7">
        <w:t xml:space="preserve">um lögbundnar refsiheimildir </w:t>
      </w:r>
      <w:r w:rsidR="0082565A" w:rsidRPr="00E824C7">
        <w:t xml:space="preserve">og 70. gr. </w:t>
      </w:r>
      <w:r w:rsidR="002520C8" w:rsidRPr="00E824C7">
        <w:t>um réttláta málsmeðferð.</w:t>
      </w:r>
    </w:p>
    <w:p w14:paraId="584AC0DD" w14:textId="1A82C0BF" w:rsidR="003931DA" w:rsidRPr="00E824C7" w:rsidRDefault="003931DA" w:rsidP="00F567B8">
      <w:r w:rsidRPr="00E824C7">
        <w:t xml:space="preserve">Í annan stað er gert ráð fyrir því </w:t>
      </w:r>
      <w:r w:rsidR="00C72C97" w:rsidRPr="00E824C7">
        <w:t xml:space="preserve">að </w:t>
      </w:r>
      <w:r w:rsidRPr="00E824C7">
        <w:t xml:space="preserve">Alþingi </w:t>
      </w:r>
      <w:r w:rsidR="000323A0" w:rsidRPr="00E824C7">
        <w:t>taki afstöðu til þess</w:t>
      </w:r>
      <w:r w:rsidR="0082565A" w:rsidRPr="00E824C7">
        <w:t xml:space="preserve"> með </w:t>
      </w:r>
      <w:r w:rsidR="002520C8" w:rsidRPr="00E824C7">
        <w:t>lagasetningu</w:t>
      </w:r>
      <w:r w:rsidR="0082565A" w:rsidRPr="00E824C7">
        <w:t xml:space="preserve"> </w:t>
      </w:r>
      <w:r w:rsidRPr="00E824C7">
        <w:t xml:space="preserve">hvort ástæða sé til að viðhalda </w:t>
      </w:r>
      <w:proofErr w:type="spellStart"/>
      <w:r w:rsidR="00160928" w:rsidRPr="00E824C7">
        <w:t>l</w:t>
      </w:r>
      <w:r w:rsidRPr="00E824C7">
        <w:t>andsdómi</w:t>
      </w:r>
      <w:proofErr w:type="spellEnd"/>
      <w:r w:rsidRPr="00E824C7">
        <w:t xml:space="preserve">, í einni eða annarri mynd, sem sérdómstóli um ráðherraábyrgð eða hvort betur fari á því að fela almennum dómstólum meðferð þessara mála. </w:t>
      </w:r>
      <w:r w:rsidR="0082565A" w:rsidRPr="00E824C7">
        <w:t xml:space="preserve">Er þá horft til þess að </w:t>
      </w:r>
      <w:proofErr w:type="spellStart"/>
      <w:r w:rsidR="00160928" w:rsidRPr="00E824C7">
        <w:t>l</w:t>
      </w:r>
      <w:r w:rsidR="002520C8" w:rsidRPr="00E824C7">
        <w:t>andsdómur</w:t>
      </w:r>
      <w:proofErr w:type="spellEnd"/>
      <w:r w:rsidR="00E04140" w:rsidRPr="00E824C7">
        <w:t xml:space="preserve"> byggðist upphaflega á þeim rökum að </w:t>
      </w:r>
      <w:r w:rsidR="00E354F7" w:rsidRPr="00E824C7">
        <w:t xml:space="preserve">þingið hefði ákveðin </w:t>
      </w:r>
      <w:r w:rsidR="00E354F7" w:rsidRPr="00E824C7">
        <w:lastRenderedPageBreak/>
        <w:t>áhrif</w:t>
      </w:r>
      <w:r w:rsidR="00E04140" w:rsidRPr="00E824C7">
        <w:t xml:space="preserve"> á skipan þess dómstóls sem </w:t>
      </w:r>
      <w:r w:rsidR="00F567B8" w:rsidRPr="00E824C7">
        <w:t xml:space="preserve">fjallaði um lagalega ábyrgð ráðherra. </w:t>
      </w:r>
      <w:r w:rsidR="001F3C71" w:rsidRPr="00E824C7">
        <w:t xml:space="preserve">Þótt þau rök horfi á annan veg </w:t>
      </w:r>
      <w:r w:rsidR="00F567B8" w:rsidRPr="00E824C7">
        <w:t xml:space="preserve">við </w:t>
      </w:r>
      <w:r w:rsidR="001F3C71" w:rsidRPr="00E824C7">
        <w:t xml:space="preserve">í ljósi tilkomu og þróunar þingræðis er </w:t>
      </w:r>
      <w:r w:rsidR="00F567B8" w:rsidRPr="00E824C7">
        <w:t>áfram talið</w:t>
      </w:r>
      <w:r w:rsidR="001F3C71" w:rsidRPr="00E824C7">
        <w:t xml:space="preserve"> eðlilegast </w:t>
      </w:r>
      <w:r w:rsidR="00E04140" w:rsidRPr="00E824C7">
        <w:t xml:space="preserve">að Alþingi </w:t>
      </w:r>
      <w:r w:rsidR="00F567B8" w:rsidRPr="00E824C7">
        <w:t xml:space="preserve">taki </w:t>
      </w:r>
      <w:r w:rsidR="00E04140" w:rsidRPr="00E824C7">
        <w:t xml:space="preserve">afstöðu til þess hvort rétt sé að halda í </w:t>
      </w:r>
      <w:proofErr w:type="spellStart"/>
      <w:r w:rsidR="00160928" w:rsidRPr="00E824C7">
        <w:t>l</w:t>
      </w:r>
      <w:r w:rsidR="00E04140" w:rsidRPr="00E824C7">
        <w:t>andsdóm</w:t>
      </w:r>
      <w:proofErr w:type="spellEnd"/>
      <w:r w:rsidR="001F3C71" w:rsidRPr="00E824C7">
        <w:t xml:space="preserve"> sem sérdómstól</w:t>
      </w:r>
      <w:r w:rsidR="00F567B8" w:rsidRPr="00E824C7">
        <w:t xml:space="preserve"> og hvernig skipan hans skuli þá hagað</w:t>
      </w:r>
      <w:r w:rsidR="00E04140" w:rsidRPr="00E824C7">
        <w:t xml:space="preserve">. </w:t>
      </w:r>
      <w:r w:rsidRPr="00E824C7">
        <w:t xml:space="preserve">Ef ákveðið yrði að viðhalda </w:t>
      </w:r>
      <w:proofErr w:type="spellStart"/>
      <w:r w:rsidR="00160928" w:rsidRPr="00E824C7">
        <w:t>l</w:t>
      </w:r>
      <w:r w:rsidR="001F3C71" w:rsidRPr="00E824C7">
        <w:t>andsdómi</w:t>
      </w:r>
      <w:proofErr w:type="spellEnd"/>
      <w:r w:rsidRPr="00E824C7">
        <w:t xml:space="preserve"> þyrfti </w:t>
      </w:r>
      <w:r w:rsidR="00667920" w:rsidRPr="00E824C7">
        <w:t xml:space="preserve">þó </w:t>
      </w:r>
      <w:r w:rsidRPr="00E824C7">
        <w:t xml:space="preserve">að gæta að sambandi slíks sérdómstóls við Hæstarétt Íslands sem æðsta dómstóls þjóðarinnar, sbr. 1. </w:t>
      </w:r>
      <w:r w:rsidR="00C72C97" w:rsidRPr="00E824C7">
        <w:t xml:space="preserve">gr. </w:t>
      </w:r>
      <w:r w:rsidRPr="00E824C7">
        <w:t>fr</w:t>
      </w:r>
      <w:r w:rsidR="00C72C97" w:rsidRPr="00E824C7">
        <w:t>umvarpsins</w:t>
      </w:r>
      <w:r w:rsidR="001F3C71" w:rsidRPr="00E824C7">
        <w:t xml:space="preserve">, auk þess sem slík skipan þyrfti að fullnægja kröfum 59., </w:t>
      </w:r>
      <w:r w:rsidR="0046582A" w:rsidRPr="00E824C7">
        <w:t>61. og 70. gr. stjórnarskrárinnar.</w:t>
      </w:r>
    </w:p>
    <w:bookmarkEnd w:id="3"/>
    <w:p w14:paraId="7F936FD8" w14:textId="05CCB8EB" w:rsidR="001F15EC" w:rsidRDefault="001F15EC" w:rsidP="00B2695B">
      <w:r w:rsidRPr="00E824C7">
        <w:t xml:space="preserve">Með </w:t>
      </w:r>
      <w:r w:rsidR="0046582A" w:rsidRPr="00E824C7">
        <w:t>framangreindum tillögum</w:t>
      </w:r>
      <w:r w:rsidRPr="00E824C7">
        <w:t xml:space="preserve"> er</w:t>
      </w:r>
      <w:r w:rsidR="00E77668" w:rsidRPr="00E824C7">
        <w:t xml:space="preserve"> m</w:t>
      </w:r>
      <w:r w:rsidR="00C72C97" w:rsidRPr="00E824C7">
        <w:t>eðal annars</w:t>
      </w:r>
      <w:r w:rsidRPr="00E824C7">
        <w:t xml:space="preserve"> horft til þess að </w:t>
      </w:r>
      <w:r w:rsidR="00E77668" w:rsidRPr="00E824C7">
        <w:t>niðurstöður rökræðukönnunar Félagsvísindastofnunar Háskóla Íslands benda til þess að almenn samstaða sé um að nú</w:t>
      </w:r>
      <w:r w:rsidR="00C72C97" w:rsidRPr="00E824C7">
        <w:t>ver</w:t>
      </w:r>
      <w:r w:rsidR="00E77668" w:rsidRPr="00E824C7">
        <w:t>andi fyrirkomulag sé hægt að misnota</w:t>
      </w:r>
      <w:r w:rsidR="00C72C97" w:rsidRPr="00E824C7">
        <w:t xml:space="preserve"> </w:t>
      </w:r>
      <w:r w:rsidR="00E77668" w:rsidRPr="00E824C7">
        <w:t xml:space="preserve">í pólitískum tilgangi (79% þátttakenda voru sammála fullyrðingunni eftir umræðufundinn) og mjög dró úr stuðningi við fullyrðingu um að Alþingi </w:t>
      </w:r>
      <w:r w:rsidR="00C72C97" w:rsidRPr="00E824C7">
        <w:t xml:space="preserve">ætti </w:t>
      </w:r>
      <w:r w:rsidR="00E77668" w:rsidRPr="00E824C7">
        <w:t xml:space="preserve">áfram að hafa ákæruvald og </w:t>
      </w:r>
      <w:proofErr w:type="spellStart"/>
      <w:r w:rsidR="00160928" w:rsidRPr="00E824C7">
        <w:t>l</w:t>
      </w:r>
      <w:r w:rsidR="00E77668" w:rsidRPr="00E824C7">
        <w:t>andsdómur</w:t>
      </w:r>
      <w:proofErr w:type="spellEnd"/>
      <w:r w:rsidR="00E77668" w:rsidRPr="00E824C7">
        <w:t xml:space="preserve"> </w:t>
      </w:r>
      <w:r w:rsidR="003B6608" w:rsidRPr="00E824C7">
        <w:t>að dæma</w:t>
      </w:r>
      <w:r w:rsidR="00E77668" w:rsidRPr="00E824C7">
        <w:t xml:space="preserve"> í slíkum málum (52% fyrir umræðufund en 21% að </w:t>
      </w:r>
      <w:r w:rsidR="007D4812" w:rsidRPr="00E824C7">
        <w:t>umræðunum</w:t>
      </w:r>
      <w:r w:rsidR="00E77668" w:rsidRPr="00E824C7">
        <w:t xml:space="preserve"> loknum).</w:t>
      </w:r>
      <w:r w:rsidR="00A10013" w:rsidRPr="00E824C7">
        <w:t xml:space="preserve"> </w:t>
      </w:r>
      <w:r w:rsidR="00141838" w:rsidRPr="00E824C7">
        <w:t>Jafnframt er ljóst að þörf er á endurskoðun reglna um ráðherraábyrgð, sbr. niðurstöður vinnuhóps sem forsætisnefnd Alþingis fól að fara yfir lagareglur um eftirlit þingsins með framkvæmdar</w:t>
      </w:r>
      <w:r w:rsidR="00C72C97" w:rsidRPr="00E824C7">
        <w:softHyphen/>
      </w:r>
      <w:r w:rsidR="00141838" w:rsidRPr="00E824C7">
        <w:t xml:space="preserve">valdinu og leggja mat á hvort breytinga </w:t>
      </w:r>
      <w:r w:rsidR="00C72C97" w:rsidRPr="00E824C7">
        <w:t>væri</w:t>
      </w:r>
      <w:r w:rsidR="00141838" w:rsidRPr="00E824C7">
        <w:t xml:space="preserve"> þörf í skýrslu hópsins frá 2009. Kemur þar m</w:t>
      </w:r>
      <w:r w:rsidR="00C72C97" w:rsidRPr="00E824C7">
        <w:t>eðal annars</w:t>
      </w:r>
      <w:r w:rsidR="00141838" w:rsidRPr="00E824C7">
        <w:t xml:space="preserve"> fram að nauðsynlegt sé að skerpa á orðalagi ákvæða laga um ráðherraábyrgð m</w:t>
      </w:r>
      <w:r w:rsidR="00160928" w:rsidRPr="00E824C7">
        <w:t>eð tilliti til</w:t>
      </w:r>
      <w:r w:rsidR="00141838" w:rsidRPr="00E824C7">
        <w:t xml:space="preserve"> aukinnar áherslu dómstóla á skýrleika refsiheimilda, taka til skoðunar hvort setja eigi sérstakt refsiákvæði um brot ráðherra á upplýsingaskyldu gagnvart Alþingi og skýra nánar að hve miklu leyti ákvæðum almennra hegningarlaga um almenn refsiskilyrði verði beitt um brot gegn lögum um ráðherraábyrgð.</w:t>
      </w:r>
      <w:r w:rsidR="008857B1" w:rsidRPr="00E824C7">
        <w:t xml:space="preserve"> Er </w:t>
      </w:r>
      <w:r w:rsidR="0046582A" w:rsidRPr="00E824C7">
        <w:t>nýjum ákvæðum þannig</w:t>
      </w:r>
      <w:r w:rsidR="008857B1" w:rsidRPr="00E824C7">
        <w:t xml:space="preserve"> ætlað að veita nauðsynlegt svigrúm til </w:t>
      </w:r>
      <w:r w:rsidR="0046582A" w:rsidRPr="00E824C7">
        <w:t xml:space="preserve">gagngerrar </w:t>
      </w:r>
      <w:r w:rsidR="008857B1" w:rsidRPr="00E824C7">
        <w:t>endurskoðunar</w:t>
      </w:r>
      <w:r w:rsidR="0046582A" w:rsidRPr="00E824C7">
        <w:t xml:space="preserve"> í þessu ljósi</w:t>
      </w:r>
      <w:r w:rsidR="008857B1" w:rsidRPr="00E824C7">
        <w:t>, bæði hvað varðar ráðherra</w:t>
      </w:r>
      <w:r w:rsidR="00C72C97" w:rsidRPr="00E824C7">
        <w:softHyphen/>
      </w:r>
      <w:r w:rsidR="008857B1" w:rsidRPr="00E824C7">
        <w:t>ábyrgð og ákæru- og dómsvald í slíkum málum</w:t>
      </w:r>
      <w:r w:rsidR="003B6608" w:rsidRPr="00E824C7">
        <w:t>, á vettvangi almenna löggjafans</w:t>
      </w:r>
      <w:r w:rsidR="008857B1" w:rsidRPr="00E824C7">
        <w:t>.</w:t>
      </w:r>
    </w:p>
    <w:p w14:paraId="07DA9D03" w14:textId="77777777" w:rsidR="001E7119" w:rsidRDefault="001E7119" w:rsidP="00106A9C">
      <w:pPr>
        <w:ind w:firstLine="0"/>
      </w:pPr>
    </w:p>
    <w:p w14:paraId="68C62419" w14:textId="77777777" w:rsidR="001E7119" w:rsidRDefault="001E7119" w:rsidP="001E7119">
      <w:pPr>
        <w:pStyle w:val="Greinarnmer"/>
      </w:pPr>
      <w:r>
        <w:t>Um 8. gr.</w:t>
      </w:r>
    </w:p>
    <w:p w14:paraId="1463D323" w14:textId="3052A73A" w:rsidR="00106A9C" w:rsidRPr="00106A9C" w:rsidRDefault="00106A9C" w:rsidP="00106A9C">
      <w:r>
        <w:t xml:space="preserve">Með þessari grein frumvarpsins eru lagðar til </w:t>
      </w:r>
      <w:r w:rsidR="00457AA3">
        <w:t xml:space="preserve">þær </w:t>
      </w:r>
      <w:r>
        <w:t xml:space="preserve">breytingar á 15. stjórnarskrár að </w:t>
      </w:r>
      <w:r w:rsidRPr="00106A9C">
        <w:t xml:space="preserve">lögfestar </w:t>
      </w:r>
      <w:r w:rsidR="00925FD1">
        <w:t>verði</w:t>
      </w:r>
      <w:r>
        <w:t xml:space="preserve"> </w:t>
      </w:r>
      <w:r w:rsidRPr="00106A9C">
        <w:t>gildandi reglur um myndun ríkisstjórna og einnig að þingræðisregla</w:t>
      </w:r>
      <w:r w:rsidR="00511D21">
        <w:t xml:space="preserve"> íslensks réttar</w:t>
      </w:r>
      <w:r w:rsidRPr="00106A9C">
        <w:t xml:space="preserve"> komi </w:t>
      </w:r>
      <w:r>
        <w:t xml:space="preserve">í því sambandi </w:t>
      </w:r>
      <w:r w:rsidRPr="00106A9C">
        <w:t>fram berum orðum.</w:t>
      </w:r>
    </w:p>
    <w:p w14:paraId="54A7A973" w14:textId="53563CD4" w:rsidR="006E1996" w:rsidRDefault="00457AA3" w:rsidP="006E1996">
      <w:r>
        <w:t>Lagt er til að í</w:t>
      </w:r>
      <w:r w:rsidR="00106A9C" w:rsidRPr="00106A9C">
        <w:t xml:space="preserve"> 1. </w:t>
      </w:r>
      <w:proofErr w:type="spellStart"/>
      <w:r w:rsidR="00106A9C" w:rsidRPr="00106A9C">
        <w:t>málsl</w:t>
      </w:r>
      <w:proofErr w:type="spellEnd"/>
      <w:r>
        <w:t>.</w:t>
      </w:r>
      <w:r w:rsidR="00106A9C" w:rsidRPr="00106A9C">
        <w:t xml:space="preserve"> 1. mgr. </w:t>
      </w:r>
      <w:r w:rsidR="00703328">
        <w:t xml:space="preserve">greinarinnar </w:t>
      </w:r>
      <w:r>
        <w:t>v</w:t>
      </w:r>
      <w:r w:rsidR="00106A9C" w:rsidRPr="00106A9C">
        <w:t>er</w:t>
      </w:r>
      <w:r>
        <w:t>ði</w:t>
      </w:r>
      <w:r w:rsidR="00106A9C" w:rsidRPr="00106A9C">
        <w:t xml:space="preserve"> kveðið á um að forseti ákveði, án tillögu ráðherra, hverjum hann felur að mynda „ríkisstjórn“ en þetta grundvallarhugtak stjórnskipunarinnar kemur ekki fram í stjórnarskrá</w:t>
      </w:r>
      <w:r w:rsidR="00E63978">
        <w:t>nni</w:t>
      </w:r>
      <w:r w:rsidR="00106A9C" w:rsidRPr="00106A9C">
        <w:t xml:space="preserve">. </w:t>
      </w:r>
      <w:r>
        <w:t>Í þessari tillögu f</w:t>
      </w:r>
      <w:r w:rsidR="005519F7">
        <w:t xml:space="preserve">elst </w:t>
      </w:r>
      <w:r w:rsidR="00EF1D30">
        <w:t xml:space="preserve">að ríkisstjórnin fái </w:t>
      </w:r>
      <w:r w:rsidR="005519F7">
        <w:t>þar með</w:t>
      </w:r>
      <w:r w:rsidR="00EF1D30">
        <w:t xml:space="preserve"> stjórnskipulega stöðu sem ein af </w:t>
      </w:r>
      <w:r w:rsidR="003B4B25">
        <w:t>grunn</w:t>
      </w:r>
      <w:r w:rsidR="005729C8">
        <w:t>stofnunum</w:t>
      </w:r>
      <w:r w:rsidR="00EF1D30">
        <w:t xml:space="preserve"> lýðveldisins. </w:t>
      </w:r>
      <w:r w:rsidR="0083348F">
        <w:t xml:space="preserve">Hugtakið </w:t>
      </w:r>
      <w:r w:rsidR="0083348F" w:rsidRPr="00E55426">
        <w:rPr>
          <w:i/>
          <w:iCs/>
        </w:rPr>
        <w:t>ríkisstjórn</w:t>
      </w:r>
      <w:r w:rsidR="0083348F">
        <w:t xml:space="preserve"> þarfnast vart skýringa enda hefur það </w:t>
      </w:r>
      <w:r w:rsidR="005519F7">
        <w:t>ákveðna</w:t>
      </w:r>
      <w:r w:rsidR="0083348F">
        <w:t xml:space="preserve"> merkingu samkvæmt venju</w:t>
      </w:r>
      <w:r w:rsidR="006E1996">
        <w:t xml:space="preserve"> og </w:t>
      </w:r>
      <w:r w:rsidR="0083348F">
        <w:t xml:space="preserve">lögum um Stjórnarráð Íslands </w:t>
      </w:r>
      <w:r w:rsidR="006E1996">
        <w:t>auk þess sem fjöldi almennra laga og stjórnvaldsfyrirmæla vísar með einum eða öðrum hætti til „ríkisstjórnar“.</w:t>
      </w:r>
    </w:p>
    <w:p w14:paraId="3F1C8269" w14:textId="683D1F89" w:rsidR="00106A9C" w:rsidRPr="00106A9C" w:rsidRDefault="00F6160A" w:rsidP="00511D21">
      <w:r>
        <w:t>Það ákvæði sem hér er lagt til</w:t>
      </w:r>
      <w:r w:rsidR="00106A9C" w:rsidRPr="00106A9C">
        <w:t xml:space="preserve"> er </w:t>
      </w:r>
      <w:r>
        <w:t xml:space="preserve">að öðru leyti </w:t>
      </w:r>
      <w:r w:rsidR="00106A9C" w:rsidRPr="00106A9C">
        <w:t xml:space="preserve">í samræmi við áralanga framkvæmd </w:t>
      </w:r>
      <w:r w:rsidR="007408AB">
        <w:t>forseta við</w:t>
      </w:r>
      <w:r w:rsidR="00106A9C" w:rsidRPr="00106A9C">
        <w:t xml:space="preserve"> veitingu umboð</w:t>
      </w:r>
      <w:r w:rsidR="007408AB">
        <w:t>s</w:t>
      </w:r>
      <w:r w:rsidR="00106A9C" w:rsidRPr="00106A9C">
        <w:t xml:space="preserve"> til ríkisstjórnar</w:t>
      </w:r>
      <w:r w:rsidR="009E4E6C">
        <w:t>myndunar</w:t>
      </w:r>
      <w:r w:rsidR="00106A9C" w:rsidRPr="00106A9C">
        <w:t xml:space="preserve"> og </w:t>
      </w:r>
      <w:r>
        <w:t xml:space="preserve">styðst </w:t>
      </w:r>
      <w:r w:rsidR="00106A9C" w:rsidRPr="00106A9C">
        <w:t xml:space="preserve">við hugmyndir stjórnlaganefndar (2011). Ekki þykir ástæða til að binda hendur forseta við veitingu umboðs til myndunar ríkisstjórnar eða setja </w:t>
      </w:r>
      <w:r w:rsidR="006E1996">
        <w:t>honum berum orðum</w:t>
      </w:r>
      <w:r w:rsidR="00106A9C" w:rsidRPr="00106A9C">
        <w:t xml:space="preserve"> nánari viðmið til leiðsagnar, t.d. að umboð til ríkisstjórnarmyndunar skuli fyrst veitt formanni þess stjórnarmálaflokks </w:t>
      </w:r>
      <w:r w:rsidR="00307CDD">
        <w:t xml:space="preserve">sem </w:t>
      </w:r>
      <w:r w:rsidR="00106A9C" w:rsidRPr="00106A9C">
        <w:t>unnið hefur flest sæti í alþingiskosningum</w:t>
      </w:r>
      <w:r w:rsidR="005729C8">
        <w:t xml:space="preserve"> o.s.frv</w:t>
      </w:r>
      <w:r w:rsidR="00106A9C" w:rsidRPr="00106A9C">
        <w:t>. Sú breyting sem lögð er til með 2. mgr. gefur þó skýrt til kynna að hvers kyns ákvarðanir forseta í þessu efni hljót</w:t>
      </w:r>
      <w:r w:rsidR="00307CDD">
        <w:t>i</w:t>
      </w:r>
      <w:r w:rsidR="00106A9C" w:rsidRPr="00106A9C">
        <w:t xml:space="preserve"> að hafa það að markmiði að mynduð verði ríkisstjórn sem nýtur stuðnings eða a.m.k. hlutleysis meiri</w:t>
      </w:r>
      <w:r w:rsidR="00210AEC">
        <w:t xml:space="preserve"> </w:t>
      </w:r>
      <w:r w:rsidR="00106A9C" w:rsidRPr="00106A9C">
        <w:t>hluta Alþingis</w:t>
      </w:r>
      <w:r w:rsidR="006E1996">
        <w:t xml:space="preserve"> þannig að þingræði sé virt</w:t>
      </w:r>
      <w:r w:rsidR="00106A9C" w:rsidRPr="00106A9C">
        <w:t xml:space="preserve">. Hins vegar verður að ætla forseta svigrúm til </w:t>
      </w:r>
      <w:r w:rsidR="00925FD1">
        <w:t>að meta</w:t>
      </w:r>
      <w:r w:rsidR="00106A9C" w:rsidRPr="00106A9C">
        <w:t xml:space="preserve"> hvernig þessu markmiði verður best náð hverju sinni</w:t>
      </w:r>
      <w:r>
        <w:t xml:space="preserve">. Er </w:t>
      </w:r>
      <w:r w:rsidR="00511D21">
        <w:t xml:space="preserve">þá horft til þess að aðstæður </w:t>
      </w:r>
      <w:r w:rsidR="007178F4">
        <w:t xml:space="preserve">við stjórnarmyndun </w:t>
      </w:r>
      <w:r w:rsidR="005519F7">
        <w:t>geta verið</w:t>
      </w:r>
      <w:r w:rsidR="00511D21">
        <w:t xml:space="preserve"> fjölbreyttar og </w:t>
      </w:r>
      <w:r w:rsidR="006E1996">
        <w:t xml:space="preserve">um margt </w:t>
      </w:r>
      <w:r w:rsidR="00511D21">
        <w:t>ófyrirsjáanlegar</w:t>
      </w:r>
      <w:r>
        <w:t xml:space="preserve">. </w:t>
      </w:r>
    </w:p>
    <w:p w14:paraId="43C3C39F" w14:textId="4E1D6C9B" w:rsidR="00106A9C" w:rsidRPr="00106A9C" w:rsidRDefault="00106A9C" w:rsidP="00106A9C">
      <w:r w:rsidRPr="00106A9C">
        <w:t xml:space="preserve">Nýtt orðalag 2. </w:t>
      </w:r>
      <w:proofErr w:type="spellStart"/>
      <w:r w:rsidRPr="00106A9C">
        <w:t>málsl</w:t>
      </w:r>
      <w:proofErr w:type="spellEnd"/>
      <w:r w:rsidR="006D65D9">
        <w:t>.</w:t>
      </w:r>
      <w:r w:rsidRPr="00106A9C">
        <w:t xml:space="preserve"> 1. mgr. felur ekki í sér breytingu frá gildandi reglum en endurspeglar hins vegar þá venju að forseti skipi forsætisráðherra, sem </w:t>
      </w:r>
      <w:proofErr w:type="spellStart"/>
      <w:r w:rsidRPr="00106A9C">
        <w:t>meðundirritar</w:t>
      </w:r>
      <w:proofErr w:type="spellEnd"/>
      <w:r w:rsidRPr="00106A9C">
        <w:t xml:space="preserve"> eigið skipunarbréf, en </w:t>
      </w:r>
      <w:r w:rsidR="005519F7">
        <w:lastRenderedPageBreak/>
        <w:t>forsætis</w:t>
      </w:r>
      <w:r w:rsidR="0024255A">
        <w:t>ráðherra</w:t>
      </w:r>
      <w:r w:rsidR="005519F7">
        <w:t xml:space="preserve"> </w:t>
      </w:r>
      <w:r w:rsidRPr="00106A9C">
        <w:t>geri því næst tillögu til forseta um skipun annarra ráðherra</w:t>
      </w:r>
      <w:r w:rsidR="004F7AFC">
        <w:t xml:space="preserve"> </w:t>
      </w:r>
      <w:r w:rsidR="0024255A">
        <w:t xml:space="preserve">og </w:t>
      </w:r>
      <w:proofErr w:type="spellStart"/>
      <w:r w:rsidR="0024255A">
        <w:t>meðundirriti</w:t>
      </w:r>
      <w:proofErr w:type="spellEnd"/>
      <w:r w:rsidR="0024255A">
        <w:t xml:space="preserve"> skipunarbréf þeirra</w:t>
      </w:r>
      <w:r w:rsidR="004F7AFC">
        <w:t>, sbr. 19. gr. stjórnarskrár</w:t>
      </w:r>
      <w:r w:rsidR="005729C8">
        <w:t>innar</w:t>
      </w:r>
      <w:r w:rsidRPr="00106A9C">
        <w:t xml:space="preserve">. Með orðalaginu er </w:t>
      </w:r>
      <w:r w:rsidR="0024255A">
        <w:t>einnig</w:t>
      </w:r>
      <w:r w:rsidRPr="00106A9C">
        <w:t xml:space="preserve"> óbein</w:t>
      </w:r>
      <w:r w:rsidR="006D65D9">
        <w:t>t</w:t>
      </w:r>
      <w:r w:rsidRPr="00106A9C">
        <w:t xml:space="preserve"> vísað til forsætisráðherra sem oddvita ríkisstjórnar og </w:t>
      </w:r>
      <w:r w:rsidR="006D65D9" w:rsidRPr="00106A9C">
        <w:t>þar með</w:t>
      </w:r>
      <w:r w:rsidR="006D65D9">
        <w:t xml:space="preserve"> er </w:t>
      </w:r>
      <w:r w:rsidR="0024255A">
        <w:t>þetta</w:t>
      </w:r>
      <w:r w:rsidRPr="00106A9C">
        <w:t xml:space="preserve"> hlutverk hans styrkt, sbr. </w:t>
      </w:r>
      <w:r w:rsidR="004F7AFC">
        <w:t>nánar</w:t>
      </w:r>
      <w:r w:rsidRPr="00106A9C">
        <w:t xml:space="preserve"> þær breytingar sem lagðar eru til með </w:t>
      </w:r>
      <w:r w:rsidR="007178F4" w:rsidRPr="00994F2F">
        <w:t>10</w:t>
      </w:r>
      <w:r w:rsidRPr="00994F2F">
        <w:t xml:space="preserve">. gr. </w:t>
      </w:r>
      <w:r w:rsidR="00435800" w:rsidRPr="00994F2F">
        <w:t>frumvarpsins</w:t>
      </w:r>
      <w:r w:rsidR="005729C8">
        <w:t>, sbr. 17. gr. stjórnarskrárinnar,</w:t>
      </w:r>
      <w:r w:rsidR="0024255A" w:rsidRPr="00994F2F">
        <w:t xml:space="preserve"> </w:t>
      </w:r>
      <w:r w:rsidR="0024255A" w:rsidRPr="0024255A">
        <w:t xml:space="preserve">og </w:t>
      </w:r>
      <w:r w:rsidR="00E653CD">
        <w:t>skýringar</w:t>
      </w:r>
      <w:r w:rsidR="00A411F7" w:rsidRPr="0024255A">
        <w:t xml:space="preserve"> </w:t>
      </w:r>
      <w:r w:rsidR="0024255A" w:rsidRPr="0024255A">
        <w:t>við þá grein.</w:t>
      </w:r>
    </w:p>
    <w:p w14:paraId="48347D8F" w14:textId="2E686C5B" w:rsidR="005B4304" w:rsidRDefault="00106A9C" w:rsidP="007178F4">
      <w:r w:rsidRPr="00106A9C">
        <w:t xml:space="preserve">Með 2. mgr. er gerð tillaga um að </w:t>
      </w:r>
      <w:r w:rsidR="000D6D9F">
        <w:t xml:space="preserve">festa </w:t>
      </w:r>
      <w:r w:rsidRPr="00106A9C">
        <w:t>þingræðisreglun</w:t>
      </w:r>
      <w:r w:rsidR="000D6D9F">
        <w:t>a</w:t>
      </w:r>
      <w:r w:rsidRPr="00106A9C">
        <w:t xml:space="preserve"> í stjórnarskrá. Þótt því hafi verið haldið fram að reglan </w:t>
      </w:r>
      <w:r w:rsidR="00CF6AD7">
        <w:t>hafi</w:t>
      </w:r>
      <w:r w:rsidR="00CF6AD7" w:rsidRPr="00106A9C">
        <w:t xml:space="preserve"> </w:t>
      </w:r>
      <w:r w:rsidRPr="00106A9C">
        <w:t xml:space="preserve">nokkra stoð </w:t>
      </w:r>
      <w:r w:rsidR="00CF6AD7">
        <w:t>af</w:t>
      </w:r>
      <w:r w:rsidRPr="00106A9C">
        <w:t xml:space="preserve"> tilvísun </w:t>
      </w:r>
      <w:r w:rsidRPr="00106A9C" w:rsidDel="00CF6AD7">
        <w:t xml:space="preserve">1. gr. stjórnarskrárinnar </w:t>
      </w:r>
      <w:r w:rsidRPr="00106A9C">
        <w:t>til þingbundinnar stjórnar, m</w:t>
      </w:r>
      <w:r w:rsidR="00CF6AD7">
        <w:t>.a.</w:t>
      </w:r>
      <w:r w:rsidRPr="00106A9C">
        <w:t xml:space="preserve"> með vísan til </w:t>
      </w:r>
      <w:r w:rsidR="008576D5">
        <w:t xml:space="preserve">athugasemda </w:t>
      </w:r>
      <w:r w:rsidRPr="00106A9C">
        <w:t>við 1.</w:t>
      </w:r>
      <w:r w:rsidR="00925FD1">
        <w:t xml:space="preserve"> </w:t>
      </w:r>
      <w:r w:rsidRPr="00106A9C">
        <w:t xml:space="preserve">gr. þess </w:t>
      </w:r>
      <w:r w:rsidR="00435800">
        <w:t>frumvarps</w:t>
      </w:r>
      <w:r w:rsidRPr="00106A9C">
        <w:t xml:space="preserve"> sem varð að núgildandi stjórnarskrá, byggist þingræðisreglan fyrst og fremst á óumdeildri stjórnskipunarvenju sem rakin verður </w:t>
      </w:r>
      <w:r w:rsidR="0024255A">
        <w:t xml:space="preserve">allt </w:t>
      </w:r>
      <w:r w:rsidR="00CF6AD7">
        <w:t xml:space="preserve">aftur </w:t>
      </w:r>
      <w:r w:rsidR="007178F4">
        <w:t>til tilkomu</w:t>
      </w:r>
      <w:r w:rsidRPr="00106A9C">
        <w:t xml:space="preserve"> heimastjórnar árið 1904</w:t>
      </w:r>
      <w:r w:rsidR="007C6553">
        <w:t>,</w:t>
      </w:r>
      <w:r w:rsidR="0024255A">
        <w:t xml:space="preserve"> sbr. 2. gr. stjórnarskipunarl</w:t>
      </w:r>
      <w:r w:rsidR="00CA216F">
        <w:t>aga</w:t>
      </w:r>
      <w:r w:rsidR="00E27301">
        <w:t>,</w:t>
      </w:r>
      <w:r w:rsidR="0024255A">
        <w:t xml:space="preserve"> nr. 16/1903</w:t>
      </w:r>
      <w:r w:rsidRPr="00106A9C">
        <w:t xml:space="preserve">. Um það er </w:t>
      </w:r>
      <w:r w:rsidR="00B60F2D">
        <w:t>almenn</w:t>
      </w:r>
      <w:r w:rsidR="00B60F2D" w:rsidRPr="00106A9C">
        <w:t xml:space="preserve"> </w:t>
      </w:r>
      <w:r w:rsidRPr="00106A9C">
        <w:t xml:space="preserve">samstaða að texti stjórnarskrárinnar </w:t>
      </w:r>
      <w:r w:rsidR="007178F4">
        <w:t>eigi að bera</w:t>
      </w:r>
      <w:r w:rsidRPr="00106A9C">
        <w:t xml:space="preserve"> með sér þessa grunnreglu íslenskrar stjórnskipunar og er orðalag ákvæðisins sótt til hugmynda stjórnlaganefn</w:t>
      </w:r>
      <w:r w:rsidR="00E27301">
        <w:t>d</w:t>
      </w:r>
      <w:r w:rsidRPr="00106A9C">
        <w:t xml:space="preserve">ar (2011). Með </w:t>
      </w:r>
      <w:r w:rsidR="007178F4">
        <w:t>ákvæðinu</w:t>
      </w:r>
      <w:r w:rsidRPr="00106A9C">
        <w:t xml:space="preserve"> er </w:t>
      </w:r>
      <w:r w:rsidR="007178F4">
        <w:t xml:space="preserve">því </w:t>
      </w:r>
      <w:r w:rsidRPr="00106A9C">
        <w:t xml:space="preserve">ekki gerð tillaga um að horfið verði frá venjubundinni íslenskri þingræðisreglu sem kenna má við neikvæða þingræðishefð, þ.e. </w:t>
      </w:r>
      <w:r w:rsidR="00B60F2D">
        <w:t xml:space="preserve">að ný </w:t>
      </w:r>
      <w:r w:rsidRPr="00106A9C">
        <w:t xml:space="preserve">ríkisstjórn </w:t>
      </w:r>
      <w:r w:rsidR="00B60F2D">
        <w:t>taki við án þess að vera</w:t>
      </w:r>
      <w:r w:rsidR="00B60F2D" w:rsidRPr="00106A9C">
        <w:t xml:space="preserve"> </w:t>
      </w:r>
      <w:r w:rsidRPr="00106A9C">
        <w:t xml:space="preserve">beinlínis kosin af þinginu eða </w:t>
      </w:r>
      <w:r w:rsidR="00E510C0">
        <w:t>eftir að hafa fengið yfirlýsingu um stuðning meiri</w:t>
      </w:r>
      <w:r w:rsidR="00210AEC">
        <w:t xml:space="preserve"> </w:t>
      </w:r>
      <w:r w:rsidR="00E510C0">
        <w:t>hluta þingmanna</w:t>
      </w:r>
      <w:r w:rsidRPr="00106A9C">
        <w:t xml:space="preserve">. Hins vegar </w:t>
      </w:r>
      <w:r w:rsidR="00CA216F">
        <w:t>er við það miða</w:t>
      </w:r>
      <w:r w:rsidR="004F7AFC">
        <w:t>ð</w:t>
      </w:r>
      <w:r w:rsidR="00CA216F">
        <w:t xml:space="preserve"> að</w:t>
      </w:r>
      <w:r w:rsidRPr="00106A9C">
        <w:t xml:space="preserve"> ríkisstjórn, eða einstökum ráðherrum ef því er að skipta, </w:t>
      </w:r>
      <w:r w:rsidR="00CA216F">
        <w:t xml:space="preserve">beri </w:t>
      </w:r>
      <w:r w:rsidRPr="00106A9C">
        <w:t>að biðjast lausnar ef þingið hefur samþykkt tillögu um vantraust</w:t>
      </w:r>
      <w:r w:rsidR="005B4304">
        <w:t>, svo sem tíðkast hefur</w:t>
      </w:r>
      <w:r w:rsidR="00CA216F">
        <w:t xml:space="preserve">, </w:t>
      </w:r>
      <w:r w:rsidR="00B60CF7">
        <w:t>sjá</w:t>
      </w:r>
      <w:r w:rsidR="00CA216F">
        <w:t xml:space="preserve"> nánar </w:t>
      </w:r>
      <w:r w:rsidR="00E653CD">
        <w:t>skýringar</w:t>
      </w:r>
      <w:r w:rsidR="00B60CF7">
        <w:t xml:space="preserve"> við </w:t>
      </w:r>
      <w:r w:rsidR="00CA216F" w:rsidRPr="00994F2F">
        <w:t xml:space="preserve">13. gr. </w:t>
      </w:r>
      <w:r w:rsidR="00435800">
        <w:t>frumvarpsins</w:t>
      </w:r>
      <w:r w:rsidR="00CA216F">
        <w:t>.</w:t>
      </w:r>
    </w:p>
    <w:p w14:paraId="20C1A5C7" w14:textId="6864C482" w:rsidR="00106A9C" w:rsidRPr="00106A9C" w:rsidRDefault="00106A9C" w:rsidP="00435800">
      <w:r w:rsidRPr="00106A9C">
        <w:t xml:space="preserve">Við undirbúning </w:t>
      </w:r>
      <w:r w:rsidR="00435800">
        <w:t>frumvarpsins</w:t>
      </w:r>
      <w:r w:rsidRPr="00106A9C">
        <w:t xml:space="preserve"> </w:t>
      </w:r>
      <w:r w:rsidR="005B4304">
        <w:t xml:space="preserve">var </w:t>
      </w:r>
      <w:r w:rsidR="00E510C0">
        <w:t>rætt</w:t>
      </w:r>
      <w:r w:rsidR="00E510C0" w:rsidRPr="00106A9C">
        <w:t xml:space="preserve"> </w:t>
      </w:r>
      <w:r w:rsidRPr="00106A9C">
        <w:t xml:space="preserve">um kosti „jákvæðrar“ eða „uppbyggilegrar“ þingræðisreglu, sem meðal annars er fylgt í Svíþjóð og Finnlandi, einkum vegna tillögu </w:t>
      </w:r>
      <w:r w:rsidR="00852C3F">
        <w:t>s</w:t>
      </w:r>
      <w:r w:rsidRPr="00106A9C">
        <w:t xml:space="preserve">tjórnlagaráðs þess efnis í 90. gr. frumvarps </w:t>
      </w:r>
      <w:r w:rsidR="005B4304">
        <w:t>ráðsins</w:t>
      </w:r>
      <w:r w:rsidRPr="00106A9C">
        <w:t xml:space="preserve"> (2011). Framkvæmd þingræðisreglunnar hér á landi sýnist </w:t>
      </w:r>
      <w:r w:rsidR="00E510C0">
        <w:t xml:space="preserve">þó </w:t>
      </w:r>
      <w:r w:rsidRPr="00106A9C">
        <w:t xml:space="preserve">ekki hafa valdið vandkvæðum </w:t>
      </w:r>
      <w:r w:rsidR="00FA7FD1">
        <w:t xml:space="preserve">að þessu leyti </w:t>
      </w:r>
      <w:r w:rsidR="005B4304">
        <w:t>og er þá horft til þess</w:t>
      </w:r>
      <w:r w:rsidRPr="00106A9C">
        <w:t xml:space="preserve"> að</w:t>
      </w:r>
      <w:r w:rsidR="00AA40AE">
        <w:t xml:space="preserve"> óvissa og</w:t>
      </w:r>
      <w:r w:rsidRPr="00106A9C">
        <w:t xml:space="preserve"> ágreiningur um ætlaðan stuðning eða hlutleysi Alþingis við ríkisstjórnir, þegar þær hafa tekið til starfa, er nánast óþekktur. </w:t>
      </w:r>
      <w:r w:rsidR="005B4304">
        <w:t>Hafa álitamál um hvort ríkisstjórn hefur til að bera nægilegan stuðning Alþingis þannig fyrst og fremst komið upp síðar</w:t>
      </w:r>
      <w:r w:rsidR="00566BC4">
        <w:t xml:space="preserve"> og þá án tillits til þess hvort ríkisstjórn naut upphaflega nægilegs stuðnings þingsins í samræmi við þingræðisregluna. </w:t>
      </w:r>
      <w:r w:rsidR="00E824C7">
        <w:t>B</w:t>
      </w:r>
      <w:r w:rsidR="00FA7FD1">
        <w:t xml:space="preserve">reyting á gildandi reglum </w:t>
      </w:r>
      <w:r w:rsidR="00E510C0">
        <w:t>að þessu leyti</w:t>
      </w:r>
      <w:r w:rsidR="00E824C7">
        <w:t xml:space="preserve"> virðist</w:t>
      </w:r>
      <w:r w:rsidR="00E510C0">
        <w:t xml:space="preserve"> </w:t>
      </w:r>
      <w:r w:rsidR="00FA7FD1">
        <w:t xml:space="preserve">því ekki aðkallandi. </w:t>
      </w:r>
      <w:r w:rsidRPr="00106A9C">
        <w:t xml:space="preserve">Á hinn bóginn er ljóst að jákvæð þingræðishefð hefur </w:t>
      </w:r>
      <w:r w:rsidR="00E510C0">
        <w:t>ákveðna</w:t>
      </w:r>
      <w:r w:rsidR="00E510C0" w:rsidRPr="00106A9C">
        <w:t xml:space="preserve"> </w:t>
      </w:r>
      <w:r w:rsidRPr="00106A9C">
        <w:t xml:space="preserve">kosti, </w:t>
      </w:r>
      <w:r w:rsidR="00FA7FD1">
        <w:t xml:space="preserve">svo sem vikið er að í skýringum við frumvarp </w:t>
      </w:r>
      <w:r w:rsidR="00852C3F">
        <w:t>s</w:t>
      </w:r>
      <w:r w:rsidR="00FA7FD1">
        <w:t>tjórnlagaráðs</w:t>
      </w:r>
      <w:r w:rsidRPr="00106A9C">
        <w:t xml:space="preserve">. Til að koma til móts við þessi sjónarmið er með 2. mgr. lagt til að forseti </w:t>
      </w:r>
      <w:r w:rsidR="00E510C0">
        <w:t xml:space="preserve">Íslands </w:t>
      </w:r>
      <w:r w:rsidRPr="00106A9C">
        <w:t xml:space="preserve">geti óskað eftir yfirlýsingu Alþingis um stuðning eða hlutleysi áður en ný ríkisstjórn er skipuð. </w:t>
      </w:r>
      <w:r w:rsidR="00566BC4">
        <w:t>Þótt mat á beitingu heimildarinnar sé lagt í hendur forseta verður að telja líklegt að ákvæðinu</w:t>
      </w:r>
      <w:r w:rsidRPr="00106A9C">
        <w:t xml:space="preserve">, sem ætlað er að tryggja til hlítar að þingræðisreglan sé virt við myndun nýrrar ríkisstjórnar, yrði aðeins </w:t>
      </w:r>
      <w:r w:rsidR="00566BC4">
        <w:t>beitt</w:t>
      </w:r>
      <w:r w:rsidRPr="00106A9C">
        <w:t xml:space="preserve"> við </w:t>
      </w:r>
      <w:r w:rsidR="00FD58C5">
        <w:t xml:space="preserve">þær sérstöku og ólíklegu </w:t>
      </w:r>
      <w:r w:rsidRPr="00106A9C">
        <w:t xml:space="preserve">aðstæður </w:t>
      </w:r>
      <w:r w:rsidR="00FD58C5">
        <w:t xml:space="preserve">að </w:t>
      </w:r>
      <w:r w:rsidRPr="00106A9C">
        <w:t xml:space="preserve">tilefni </w:t>
      </w:r>
      <w:r w:rsidR="00FD58C5">
        <w:t xml:space="preserve">væri </w:t>
      </w:r>
      <w:r w:rsidRPr="00106A9C">
        <w:t xml:space="preserve">til að draga í efa að ný ríkisstjórn </w:t>
      </w:r>
      <w:r w:rsidR="00FD58C5">
        <w:t>nyti</w:t>
      </w:r>
      <w:r w:rsidRPr="00106A9C">
        <w:t xml:space="preserve"> nægilegs stuðnings Alþingis.</w:t>
      </w:r>
    </w:p>
    <w:p w14:paraId="40017A11" w14:textId="77777777" w:rsidR="001E7119" w:rsidRDefault="001E7119" w:rsidP="00106A9C">
      <w:pPr>
        <w:ind w:firstLine="0"/>
      </w:pPr>
    </w:p>
    <w:p w14:paraId="13B4AF8D" w14:textId="77777777" w:rsidR="001E7119" w:rsidRDefault="001E7119" w:rsidP="001E7119">
      <w:pPr>
        <w:pStyle w:val="Greinarnmer"/>
      </w:pPr>
      <w:r>
        <w:t>Um 9. gr.</w:t>
      </w:r>
    </w:p>
    <w:p w14:paraId="15BF71BE" w14:textId="3A65C4A3" w:rsidR="00FD58C5" w:rsidRDefault="00FD58C5" w:rsidP="004F3228">
      <w:r w:rsidRPr="00FD58C5">
        <w:t xml:space="preserve">Með þessari grein </w:t>
      </w:r>
      <w:r>
        <w:t xml:space="preserve">frumvarpsins </w:t>
      </w:r>
      <w:r w:rsidRPr="00FD58C5">
        <w:t xml:space="preserve">er nánar skýrt, í samræmi við gildandi reglur og áralanga framkvæmd, hvaða málefni skuli bera undir forseta í ríkisráði </w:t>
      </w:r>
      <w:r w:rsidR="00905723">
        <w:t>skv.</w:t>
      </w:r>
      <w:r w:rsidR="00905723" w:rsidRPr="00FD58C5">
        <w:t xml:space="preserve"> </w:t>
      </w:r>
      <w:r w:rsidRPr="00FD58C5">
        <w:t>2. mgr. 16. gr. stjórnarskrár</w:t>
      </w:r>
      <w:r w:rsidR="00F04461">
        <w:t>innar</w:t>
      </w:r>
      <w:r w:rsidRPr="00FD58C5">
        <w:t xml:space="preserve">. </w:t>
      </w:r>
      <w:r>
        <w:t xml:space="preserve">Minna má </w:t>
      </w:r>
      <w:r w:rsidR="00BC327A">
        <w:t xml:space="preserve">á </w:t>
      </w:r>
      <w:r>
        <w:t xml:space="preserve">að </w:t>
      </w:r>
      <w:r w:rsidR="00905723">
        <w:t xml:space="preserve">skv. </w:t>
      </w:r>
      <w:r>
        <w:t>26. gr. stjórnarskrá</w:t>
      </w:r>
      <w:r w:rsidR="00AE25ED">
        <w:t>rinnar</w:t>
      </w:r>
      <w:r>
        <w:t xml:space="preserve"> er gert ráð fyrir því að l</w:t>
      </w:r>
      <w:r w:rsidR="009C3495">
        <w:t>ög Alþingis séu lögð fyrir forseta til staðfestingar innan tveggja vikna frá samþykkt</w:t>
      </w:r>
      <w:r w:rsidR="004F3228">
        <w:t>. V</w:t>
      </w:r>
      <w:r w:rsidR="009C3495">
        <w:t xml:space="preserve">erður </w:t>
      </w:r>
      <w:r w:rsidR="00910C76">
        <w:t xml:space="preserve">þegar </w:t>
      </w:r>
      <w:r w:rsidR="009C3495">
        <w:t xml:space="preserve">af því </w:t>
      </w:r>
      <w:r w:rsidR="004F3228">
        <w:t xml:space="preserve">orðalagi </w:t>
      </w:r>
      <w:r w:rsidR="009C3495">
        <w:t xml:space="preserve">dregin sú ályktun að </w:t>
      </w:r>
      <w:r w:rsidR="004F3228">
        <w:t xml:space="preserve">í ýmsum tilvikum kunni ráðherra að bera mál upp fyrir forseta </w:t>
      </w:r>
      <w:r w:rsidR="00905723">
        <w:t xml:space="preserve">skv. </w:t>
      </w:r>
      <w:r w:rsidR="004F3228">
        <w:t>18. gr. stjórnarskrár utan funda ríkisráðs og forseti staðfest</w:t>
      </w:r>
      <w:r w:rsidR="00AE25ED">
        <w:t>i</w:t>
      </w:r>
      <w:r w:rsidR="004F3228">
        <w:t xml:space="preserve"> tillögu ráðherra með gildum hætti </w:t>
      </w:r>
      <w:r w:rsidR="00905723">
        <w:t xml:space="preserve">skv. </w:t>
      </w:r>
      <w:r w:rsidR="004F3228">
        <w:t xml:space="preserve">19. gr. stjórnarskrár á milli slíkra funda. </w:t>
      </w:r>
      <w:r w:rsidR="00AA40AE">
        <w:t xml:space="preserve">Er og fyrir þeirri tilhögun </w:t>
      </w:r>
      <w:r w:rsidR="00910C76">
        <w:t>löng</w:t>
      </w:r>
      <w:r w:rsidR="00AA40AE">
        <w:t xml:space="preserve"> venja</w:t>
      </w:r>
      <w:r w:rsidR="00910C76">
        <w:t>.</w:t>
      </w:r>
      <w:r w:rsidR="00AA40AE">
        <w:t xml:space="preserve"> </w:t>
      </w:r>
      <w:r w:rsidR="00910C76">
        <w:t>Af þessu leiðir að í þorra tilvika hafa lög og stjórnarathafnir þegar tekið gildi þegar haldin</w:t>
      </w:r>
      <w:r w:rsidR="00AE25ED">
        <w:t>n</w:t>
      </w:r>
      <w:r w:rsidR="00910C76">
        <w:t xml:space="preserve"> er ríkisráðsfundur. </w:t>
      </w:r>
      <w:r w:rsidR="009C3495" w:rsidRPr="00FD58C5">
        <w:t xml:space="preserve">Í </w:t>
      </w:r>
      <w:r w:rsidR="004F3228">
        <w:t>þessari grein frumvarpsins</w:t>
      </w:r>
      <w:r w:rsidR="009C3495" w:rsidRPr="00FD58C5">
        <w:t xml:space="preserve"> felst</w:t>
      </w:r>
      <w:r w:rsidR="004F3228">
        <w:t xml:space="preserve"> því</w:t>
      </w:r>
      <w:r w:rsidR="009C3495" w:rsidRPr="00FD58C5">
        <w:t xml:space="preserve"> engin ráðagerð um breytingu á tilhögun funda ríkisráðs eða hvernig málefni kunna að vera lögð fyrir forseta til staðfestingar á milli funda ráðsins.</w:t>
      </w:r>
    </w:p>
    <w:p w14:paraId="6C7B3E5E" w14:textId="77777777" w:rsidR="001E7119" w:rsidRDefault="001E7119" w:rsidP="001E7119"/>
    <w:p w14:paraId="4F148CC4" w14:textId="77777777" w:rsidR="001E7119" w:rsidRDefault="001E7119" w:rsidP="001E7119">
      <w:pPr>
        <w:pStyle w:val="Greinarnmer"/>
      </w:pPr>
      <w:r>
        <w:t xml:space="preserve">Um </w:t>
      </w:r>
      <w:r w:rsidR="006727CD">
        <w:t>10</w:t>
      </w:r>
      <w:r>
        <w:t>. gr.</w:t>
      </w:r>
    </w:p>
    <w:p w14:paraId="62691557" w14:textId="62C81418" w:rsidR="003F3A6F" w:rsidRPr="003F3A6F" w:rsidRDefault="003F3A6F" w:rsidP="003F3A6F">
      <w:r w:rsidRPr="003F3A6F">
        <w:t>Með þessari grein fr</w:t>
      </w:r>
      <w:r>
        <w:t xml:space="preserve">umvarpsins </w:t>
      </w:r>
      <w:r w:rsidRPr="003F3A6F">
        <w:t xml:space="preserve">er lögð til breyting á 17. gr. stjórnarskrár um ráðherrafundi. Telja verður óumdeilt að heitið </w:t>
      </w:r>
      <w:r w:rsidRPr="00E55426">
        <w:rPr>
          <w:i/>
          <w:iCs/>
        </w:rPr>
        <w:t>ráðherrafundur</w:t>
      </w:r>
      <w:r w:rsidRPr="003F3A6F">
        <w:t xml:space="preserve"> </w:t>
      </w:r>
      <w:r w:rsidR="00AE25ED">
        <w:t>sé</w:t>
      </w:r>
      <w:r w:rsidRPr="003F3A6F">
        <w:t xml:space="preserve"> úrelt og þess í stað</w:t>
      </w:r>
      <w:r w:rsidR="00AE25ED">
        <w:t xml:space="preserve"> </w:t>
      </w:r>
      <w:proofErr w:type="spellStart"/>
      <w:r w:rsidRPr="003F3A6F">
        <w:t>tíðkanlegt</w:t>
      </w:r>
      <w:proofErr w:type="spellEnd"/>
      <w:r w:rsidRPr="003F3A6F">
        <w:t xml:space="preserve"> að ræða um </w:t>
      </w:r>
      <w:r w:rsidRPr="00E55426">
        <w:rPr>
          <w:i/>
          <w:iCs/>
        </w:rPr>
        <w:t>ríkisstjórn</w:t>
      </w:r>
      <w:r w:rsidRPr="003F3A6F">
        <w:t xml:space="preserve"> og </w:t>
      </w:r>
      <w:r w:rsidRPr="00E55426">
        <w:rPr>
          <w:i/>
          <w:iCs/>
        </w:rPr>
        <w:t>ríkisstjórnarfundi</w:t>
      </w:r>
      <w:r>
        <w:t xml:space="preserve"> svo sem hér er lagt til</w:t>
      </w:r>
      <w:r w:rsidRPr="003F3A6F">
        <w:t xml:space="preserve">. Einnig þykir rétt að texti stjórnarskrárinnar lýsi betur því hlutverki ríkisstjórnarfunda að vera </w:t>
      </w:r>
      <w:r w:rsidR="004E39FF" w:rsidRPr="003F3A6F">
        <w:t xml:space="preserve">í reynd </w:t>
      </w:r>
      <w:r w:rsidRPr="003F3A6F">
        <w:t xml:space="preserve">pólitískur </w:t>
      </w:r>
      <w:r>
        <w:t>vettvangur</w:t>
      </w:r>
      <w:r w:rsidRPr="003F3A6F">
        <w:t xml:space="preserve"> ríkisstjórnar</w:t>
      </w:r>
      <w:r>
        <w:t xml:space="preserve"> til samráðs og stefnumótunar</w:t>
      </w:r>
      <w:r w:rsidRPr="003F3A6F">
        <w:t xml:space="preserve">. Þá er lagt til að tekin </w:t>
      </w:r>
      <w:r w:rsidR="00296F6A">
        <w:t>verði</w:t>
      </w:r>
      <w:r w:rsidRPr="003F3A6F">
        <w:t xml:space="preserve"> af tvímæli um að hvers kyns tillögur til Alþingis, einkum tillögur </w:t>
      </w:r>
      <w:r w:rsidR="00D85BC2">
        <w:t>til</w:t>
      </w:r>
      <w:r w:rsidR="00D85BC2" w:rsidRPr="003F3A6F">
        <w:t xml:space="preserve"> </w:t>
      </w:r>
      <w:r w:rsidRPr="003F3A6F">
        <w:t>þingsályktan</w:t>
      </w:r>
      <w:r w:rsidR="00D85BC2">
        <w:t>a</w:t>
      </w:r>
      <w:r w:rsidRPr="003F3A6F">
        <w:t>,</w:t>
      </w:r>
      <w:r>
        <w:t xml:space="preserve"> </w:t>
      </w:r>
      <w:r w:rsidRPr="003F3A6F">
        <w:t xml:space="preserve">skuli kynna í ríkisstjórn, en þetta er í samræmi við </w:t>
      </w:r>
      <w:r>
        <w:t>gildandi lög</w:t>
      </w:r>
      <w:r w:rsidR="00AE25ED">
        <w:t xml:space="preserve">, </w:t>
      </w:r>
      <w:r w:rsidR="008A3A38">
        <w:t xml:space="preserve">sbr. 1. </w:t>
      </w:r>
      <w:proofErr w:type="spellStart"/>
      <w:r w:rsidR="008A3A38">
        <w:t>tölul</w:t>
      </w:r>
      <w:proofErr w:type="spellEnd"/>
      <w:r w:rsidR="005D7BA1">
        <w:t>.</w:t>
      </w:r>
      <w:r w:rsidR="008A3A38">
        <w:t xml:space="preserve"> 6. gr. laga um Stjórnarráð Íslands</w:t>
      </w:r>
      <w:r w:rsidR="00AE25ED">
        <w:t>,</w:t>
      </w:r>
      <w:r w:rsidR="008A3A38">
        <w:t xml:space="preserve"> </w:t>
      </w:r>
      <w:r w:rsidR="00D85BC2">
        <w:t xml:space="preserve">nr. 115/2011, </w:t>
      </w:r>
      <w:r>
        <w:t xml:space="preserve">og </w:t>
      </w:r>
      <w:r w:rsidRPr="003F3A6F">
        <w:t>langa framkvæmd.</w:t>
      </w:r>
    </w:p>
    <w:p w14:paraId="74649826" w14:textId="7711A2A4" w:rsidR="003F3A6F" w:rsidRPr="003F3A6F" w:rsidRDefault="003F3A6F" w:rsidP="00B71D62">
      <w:r w:rsidRPr="003F3A6F">
        <w:t xml:space="preserve">Á undanförnum árum hefur </w:t>
      </w:r>
      <w:r w:rsidR="00AE25ED">
        <w:t>verið rætt</w:t>
      </w:r>
      <w:r w:rsidRPr="003F3A6F">
        <w:t xml:space="preserve"> um nauðsyn þess að styrkja ríkisstjórnina sem vettvang </w:t>
      </w:r>
      <w:proofErr w:type="spellStart"/>
      <w:r w:rsidRPr="003F3A6F">
        <w:t>samræmingar</w:t>
      </w:r>
      <w:proofErr w:type="spellEnd"/>
      <w:r w:rsidRPr="003F3A6F">
        <w:t xml:space="preserve"> og nánari samvinnu ráðherra og ráðuneyta þeirra, bæði við stefnumótun og undirbúning mála, en einnig vegna viðbragða við aðkallandi vanda. </w:t>
      </w:r>
      <w:r w:rsidR="009F5EE9">
        <w:t xml:space="preserve">Er þá ekki síst haft í huga að mörg mikilvægustu viðfangsefni stjórnvalda á hverjum tíma eru þess eðlis að </w:t>
      </w:r>
      <w:proofErr w:type="spellStart"/>
      <w:r w:rsidR="009F5EE9">
        <w:t>örðugt</w:t>
      </w:r>
      <w:proofErr w:type="spellEnd"/>
      <w:r w:rsidR="009F5EE9">
        <w:t xml:space="preserve"> og órökrétt er að koma þeim þannig fyrir að einn fagráðherra beri á þeim ábyrgð. </w:t>
      </w:r>
      <w:r w:rsidRPr="003F3A6F">
        <w:t xml:space="preserve">Má hér einkum vísa til gagnrýni sem fram kom í skýrslu rannsóknarnefndar Alþingis </w:t>
      </w:r>
      <w:r w:rsidR="00A9032E">
        <w:t xml:space="preserve">frá 2010 </w:t>
      </w:r>
      <w:r w:rsidR="00B603E7">
        <w:t>um</w:t>
      </w:r>
      <w:r w:rsidRPr="003F3A6F">
        <w:t xml:space="preserve"> aðdraganda og ors</w:t>
      </w:r>
      <w:r w:rsidR="00B603E7">
        <w:t>akir</w:t>
      </w:r>
      <w:r w:rsidRPr="003F3A6F">
        <w:t xml:space="preserve"> falls íslensku bankan</w:t>
      </w:r>
      <w:r w:rsidR="004C0AE9">
        <w:t>n</w:t>
      </w:r>
      <w:r w:rsidRPr="003F3A6F">
        <w:t xml:space="preserve">a </w:t>
      </w:r>
      <w:r w:rsidR="00B603E7">
        <w:t xml:space="preserve">2008 </w:t>
      </w:r>
      <w:r w:rsidRPr="003F3A6F">
        <w:t>og tengd</w:t>
      </w:r>
      <w:r w:rsidR="00B603E7">
        <w:t>a</w:t>
      </w:r>
      <w:r w:rsidRPr="003F3A6F">
        <w:t xml:space="preserve"> atburð</w:t>
      </w:r>
      <w:r w:rsidR="00B603E7">
        <w:t>i</w:t>
      </w:r>
      <w:r w:rsidRPr="003F3A6F">
        <w:t xml:space="preserve"> og nánari skýringa </w:t>
      </w:r>
      <w:proofErr w:type="spellStart"/>
      <w:r w:rsidR="00160928">
        <w:t>l</w:t>
      </w:r>
      <w:r w:rsidRPr="003F3A6F">
        <w:t>andsdóms</w:t>
      </w:r>
      <w:proofErr w:type="spellEnd"/>
      <w:r w:rsidRPr="003F3A6F">
        <w:t xml:space="preserve"> á fyrirmælum 17. gr. stjórnarskrár í dómi 23. apríl 2012 í máli nr. 3/2011. Þá sýnist það algengara hér á landi en annars staðar að einstakir ráðherrar lýsi yfir andstöðu við tiltekin mál ríkisstjórna</w:t>
      </w:r>
      <w:r w:rsidR="00B71D62">
        <w:t>r</w:t>
      </w:r>
      <w:r w:rsidRPr="003F3A6F">
        <w:t xml:space="preserve"> og má þannig leiða að því rök að sameiginleg ákvarðanataka og pólitísk ábyrgð ráðherra á málum ríkisstjórna </w:t>
      </w:r>
      <w:r w:rsidR="008A3A38">
        <w:t>sé</w:t>
      </w:r>
      <w:r w:rsidRPr="003F3A6F">
        <w:t xml:space="preserve"> minni hér á landi en víðast hvar í nágrannalöndum okkar.</w:t>
      </w:r>
      <w:r w:rsidR="00D70E07">
        <w:t xml:space="preserve"> Frá sjónarhóli almennings kann því </w:t>
      </w:r>
      <w:r w:rsidR="00EB2623">
        <w:t xml:space="preserve">jafnvel </w:t>
      </w:r>
      <w:r w:rsidR="00F04461">
        <w:t xml:space="preserve">á stundum </w:t>
      </w:r>
      <w:r w:rsidR="00D70E07">
        <w:t>að orka tvímælis hvort ríkisstjórn starfi sem ein heild</w:t>
      </w:r>
      <w:r w:rsidR="00EB2623">
        <w:t xml:space="preserve"> að tilteknum umdeildum málum</w:t>
      </w:r>
      <w:r w:rsidR="00D70E07">
        <w:t>.</w:t>
      </w:r>
    </w:p>
    <w:p w14:paraId="7FEEEBFA" w14:textId="503313B4" w:rsidR="00C309A3" w:rsidRDefault="003F3A6F" w:rsidP="00EB74C5">
      <w:r w:rsidRPr="003F3A6F">
        <w:t>Við undirbúning þessa frumvarps kom til umræðu</w:t>
      </w:r>
      <w:r w:rsidR="004005BF" w:rsidRPr="004005BF">
        <w:t xml:space="preserve"> </w:t>
      </w:r>
      <w:r w:rsidR="004005BF" w:rsidRPr="003F3A6F">
        <w:t>í þessu sambandi</w:t>
      </w:r>
      <w:r w:rsidRPr="003F3A6F">
        <w:t xml:space="preserve"> sú tillaga </w:t>
      </w:r>
      <w:r w:rsidR="00852C3F">
        <w:t>s</w:t>
      </w:r>
      <w:r w:rsidRPr="003F3A6F">
        <w:t>tjórnlagaráðs</w:t>
      </w:r>
      <w:r w:rsidR="00B71D62">
        <w:t xml:space="preserve">, </w:t>
      </w:r>
      <w:r w:rsidRPr="003F3A6F">
        <w:t xml:space="preserve">sbr. 3. mgr. 87. gr. frumvarps </w:t>
      </w:r>
      <w:r w:rsidR="008A3A38">
        <w:t>ráðsins</w:t>
      </w:r>
      <w:r w:rsidR="00B71D62">
        <w:t>,</w:t>
      </w:r>
      <w:r w:rsidRPr="003F3A6F">
        <w:t xml:space="preserve"> að ríkisstjórnin tæki </w:t>
      </w:r>
      <w:r w:rsidR="004005BF">
        <w:t>sameigin</w:t>
      </w:r>
      <w:r w:rsidR="007D6D19">
        <w:softHyphen/>
      </w:r>
      <w:r w:rsidR="004005BF">
        <w:t xml:space="preserve">lega </w:t>
      </w:r>
      <w:r w:rsidRPr="003F3A6F">
        <w:t>ákvarðanir „um mikilvæg eða stefnumarkandi mál</w:t>
      </w:r>
      <w:r w:rsidR="004005BF">
        <w:t>efni</w:t>
      </w:r>
      <w:r w:rsidRPr="003F3A6F">
        <w:t xml:space="preserve">“ og </w:t>
      </w:r>
      <w:r w:rsidR="00886301">
        <w:t>starfaði</w:t>
      </w:r>
      <w:r w:rsidRPr="003F3A6F">
        <w:t xml:space="preserve"> þannig </w:t>
      </w:r>
      <w:r w:rsidR="00886301">
        <w:t xml:space="preserve">sem </w:t>
      </w:r>
      <w:proofErr w:type="spellStart"/>
      <w:r w:rsidRPr="003F3A6F">
        <w:t>fjölskipað</w:t>
      </w:r>
      <w:proofErr w:type="spellEnd"/>
      <w:r w:rsidRPr="003F3A6F">
        <w:t xml:space="preserve"> stjórnvald í ýmsu tilliti, svo sem tíðkast samkvæmt stjórnskipun ýmissa annarra ríkja. Á hinn bóginn var á það bent að unnt væri að vinna að því markmiði með ýmsum hætti að styrkja </w:t>
      </w:r>
      <w:r w:rsidR="008A3A38">
        <w:t>samhæfingu</w:t>
      </w:r>
      <w:r w:rsidRPr="003F3A6F">
        <w:t xml:space="preserve"> </w:t>
      </w:r>
      <w:r w:rsidR="008A3A38">
        <w:t>innan ríkisstjórnar</w:t>
      </w:r>
      <w:r w:rsidRPr="003F3A6F">
        <w:t>, auka sameiginlega pólitíska ábyrgð ráðherra og styrkja ásýnd ríkisstjórnarinnar sem einnar heildar án þess að gerð væri slík grundvallar</w:t>
      </w:r>
      <w:r w:rsidR="003C1D46">
        <w:softHyphen/>
      </w:r>
      <w:r w:rsidRPr="003F3A6F">
        <w:t>breyting á stjórnskipulegum grundvelli ríkisstjórna</w:t>
      </w:r>
      <w:r w:rsidR="00886301">
        <w:t>r</w:t>
      </w:r>
      <w:r w:rsidRPr="003F3A6F">
        <w:t xml:space="preserve">. Einnig var á það bent að breyting í þá átt að gera ríkisstjórn að </w:t>
      </w:r>
      <w:proofErr w:type="spellStart"/>
      <w:r w:rsidRPr="003F3A6F">
        <w:t>fjölskipuðu</w:t>
      </w:r>
      <w:proofErr w:type="spellEnd"/>
      <w:r w:rsidRPr="003F3A6F">
        <w:t xml:space="preserve"> stjórnvaldi </w:t>
      </w:r>
      <w:r w:rsidR="008A3A38">
        <w:t xml:space="preserve">kallaði á ítarlega </w:t>
      </w:r>
      <w:r w:rsidRPr="003F3A6F">
        <w:t xml:space="preserve">endurskoðun á gildandi reglum um starfshætti ríkisstjórna og jafnvel </w:t>
      </w:r>
      <w:r w:rsidR="008B758E">
        <w:t>starfsemi</w:t>
      </w:r>
      <w:r w:rsidRPr="003F3A6F">
        <w:t xml:space="preserve"> Stjórnarráðsins í heild. Með greininni er þar af leiðandi </w:t>
      </w:r>
      <w:r w:rsidR="008B758E">
        <w:t xml:space="preserve">einungis </w:t>
      </w:r>
      <w:r w:rsidRPr="003F3A6F">
        <w:t xml:space="preserve">gerð tillaga um að áréttað sé það hlutverk forsætisráðherra að </w:t>
      </w:r>
      <w:r w:rsidR="008B758E">
        <w:t xml:space="preserve">samhæfa aðgerðir </w:t>
      </w:r>
      <w:r w:rsidR="00B71D62">
        <w:t>ráðherra</w:t>
      </w:r>
      <w:r w:rsidR="008B758E">
        <w:t xml:space="preserve"> ef á þarf að halda</w:t>
      </w:r>
      <w:r w:rsidR="00D70E07">
        <w:t xml:space="preserve">, en </w:t>
      </w:r>
      <w:r w:rsidR="00450B27">
        <w:t xml:space="preserve">nokkuð </w:t>
      </w:r>
      <w:r w:rsidR="00D70E07">
        <w:t xml:space="preserve">sambærilegt orðalag kemur fram í </w:t>
      </w:r>
      <w:r w:rsidR="00450B27">
        <w:t>8. gr. laga um Stjórnarráð Íslands</w:t>
      </w:r>
      <w:r w:rsidR="003C1D46">
        <w:t>,</w:t>
      </w:r>
      <w:r w:rsidR="003C1D46" w:rsidRPr="003C1D46">
        <w:t xml:space="preserve"> </w:t>
      </w:r>
      <w:r w:rsidR="003C1D46">
        <w:t>nr. 115/2011</w:t>
      </w:r>
      <w:r w:rsidR="00B2695B">
        <w:t>.</w:t>
      </w:r>
      <w:r w:rsidRPr="003F3A6F">
        <w:t xml:space="preserve"> Þótt í ákvæðinu felist ekki breyting í þá átt að ríkisstjórn starfi </w:t>
      </w:r>
      <w:r w:rsidR="00B2707D">
        <w:t>að jafnaði</w:t>
      </w:r>
      <w:r w:rsidRPr="003F3A6F">
        <w:t xml:space="preserve"> sem </w:t>
      </w:r>
      <w:proofErr w:type="spellStart"/>
      <w:r w:rsidRPr="003F3A6F">
        <w:t>fjölskipað</w:t>
      </w:r>
      <w:proofErr w:type="spellEnd"/>
      <w:r w:rsidRPr="003F3A6F">
        <w:t xml:space="preserve"> stjórnvald er </w:t>
      </w:r>
      <w:r w:rsidR="008B758E">
        <w:t>umsjónar- og samhæfingar</w:t>
      </w:r>
      <w:r w:rsidRPr="003F3A6F">
        <w:t>hlutverk forsætisráðherra</w:t>
      </w:r>
      <w:r w:rsidR="00B2707D">
        <w:t xml:space="preserve"> </w:t>
      </w:r>
      <w:r w:rsidR="00524D60">
        <w:t xml:space="preserve">þannig </w:t>
      </w:r>
      <w:r w:rsidR="00B2707D">
        <w:t>styrkt</w:t>
      </w:r>
      <w:r w:rsidRPr="003F3A6F">
        <w:t xml:space="preserve">. Með þessu, svo og þeirri breytingu á 1. málslið greinarinnar sem áður ræðir, eru </w:t>
      </w:r>
      <w:r w:rsidR="00450B27">
        <w:t xml:space="preserve">einnig </w:t>
      </w:r>
      <w:r w:rsidRPr="003F3A6F">
        <w:t xml:space="preserve">tekin af tvímæli </w:t>
      </w:r>
      <w:r w:rsidR="00450B27">
        <w:t xml:space="preserve">í stjórnarskrá </w:t>
      </w:r>
      <w:r w:rsidRPr="003F3A6F">
        <w:t xml:space="preserve">um að ríkisstjórn beri að starfa sameiginlega að hagsmunamálum þjóðarinnar undir forystu forsætisráðherra sem ber bæði ábyrgð á því að haldnir séu ríkisstjórnarfundir og að störf og stefnumál ráðherra </w:t>
      </w:r>
      <w:r w:rsidR="00EB74C5">
        <w:t>samræmist stefnu ríkisstjórnar og innbyrðis</w:t>
      </w:r>
      <w:r w:rsidR="008B758E">
        <w:t xml:space="preserve"> eftir því </w:t>
      </w:r>
      <w:r w:rsidR="00EB74C5">
        <w:t xml:space="preserve">sem </w:t>
      </w:r>
      <w:r w:rsidR="008B758E">
        <w:t>ástæða er til</w:t>
      </w:r>
      <w:r w:rsidRPr="003F3A6F">
        <w:t>.</w:t>
      </w:r>
      <w:r w:rsidR="00F30EFF">
        <w:t xml:space="preserve"> </w:t>
      </w:r>
      <w:r w:rsidR="00B71D62">
        <w:t>B</w:t>
      </w:r>
      <w:r w:rsidR="00F30EFF">
        <w:t>reyting í þessa átt</w:t>
      </w:r>
      <w:r w:rsidR="00B71D62">
        <w:t xml:space="preserve"> er</w:t>
      </w:r>
      <w:r w:rsidR="00F30EFF">
        <w:t xml:space="preserve"> í samræmi við </w:t>
      </w:r>
      <w:r w:rsidR="00EF0E99">
        <w:t xml:space="preserve">þróun þeirra reglna sem gilda um ríkisstjórnina, sbr. einkum </w:t>
      </w:r>
      <w:r w:rsidR="00450B27">
        <w:t xml:space="preserve">fyrrnefnd </w:t>
      </w:r>
      <w:r w:rsidR="00EF0E99">
        <w:t>lög um Stjórnarráð Íslands, svo og vaxandi áherslu á samstarf og samhæfingu ráðuneyta, sbr. t.d. 20. og 21. gr. laga um opinber fjármál</w:t>
      </w:r>
      <w:r w:rsidR="00D66F9E">
        <w:t>,</w:t>
      </w:r>
      <w:r w:rsidR="00D66F9E" w:rsidRPr="00D66F9E">
        <w:t xml:space="preserve"> </w:t>
      </w:r>
      <w:r w:rsidR="00D66F9E">
        <w:t>nr. 123/2015</w:t>
      </w:r>
      <w:r w:rsidR="00EF0E99">
        <w:t>.</w:t>
      </w:r>
    </w:p>
    <w:p w14:paraId="43ED7DB3" w14:textId="6A29AE01" w:rsidR="003F3A6F" w:rsidRPr="003F3A6F" w:rsidRDefault="003F3A6F" w:rsidP="00C97D98">
      <w:r w:rsidRPr="003F3A6F">
        <w:t xml:space="preserve">Þótt hér sé fyrst og fremst </w:t>
      </w:r>
      <w:r w:rsidR="004B2E2A">
        <w:t xml:space="preserve">lögð til </w:t>
      </w:r>
      <w:r w:rsidRPr="003F3A6F">
        <w:t xml:space="preserve">breyting á orðalagi 17. gr. </w:t>
      </w:r>
      <w:r w:rsidR="00450B27">
        <w:t xml:space="preserve">stjórnarskrár </w:t>
      </w:r>
      <w:r w:rsidRPr="003F3A6F">
        <w:t xml:space="preserve">til samræmis við viðtekna </w:t>
      </w:r>
      <w:proofErr w:type="spellStart"/>
      <w:r w:rsidRPr="003F3A6F">
        <w:t>lögskýringu</w:t>
      </w:r>
      <w:proofErr w:type="spellEnd"/>
      <w:r w:rsidR="00450B27">
        <w:t xml:space="preserve"> og gildandi reglur almennra laga um ríkisstjórnina gæti</w:t>
      </w:r>
      <w:r w:rsidRPr="003F3A6F">
        <w:t xml:space="preserve"> breytingin engu </w:t>
      </w:r>
      <w:r w:rsidRPr="003F3A6F">
        <w:lastRenderedPageBreak/>
        <w:t xml:space="preserve">að síður </w:t>
      </w:r>
      <w:r w:rsidR="00450B27">
        <w:t>gefið tilefni til þess að</w:t>
      </w:r>
      <w:r w:rsidRPr="003F3A6F">
        <w:t xml:space="preserve"> hugað </w:t>
      </w:r>
      <w:r w:rsidR="00450B27">
        <w:t xml:space="preserve">verði nánar </w:t>
      </w:r>
      <w:r w:rsidRPr="003F3A6F">
        <w:t>að þeim lögum, reglum og venjum sem gilda um starfshætti ríkisstjórnarinnar með það að markmiði að styrkja samhæfingu innan Stjórnarráðsins</w:t>
      </w:r>
      <w:r w:rsidR="00090E89">
        <w:t xml:space="preserve">, </w:t>
      </w:r>
      <w:r w:rsidRPr="003F3A6F">
        <w:t>sameiginlega ásýnd ríkisstjórna</w:t>
      </w:r>
      <w:r w:rsidR="00BC327A">
        <w:t>r</w:t>
      </w:r>
      <w:r w:rsidR="00090E89">
        <w:t xml:space="preserve"> og sameiginlega pólitíska ábyrgð ráðherra á málefnum hennar.</w:t>
      </w:r>
      <w:r w:rsidR="00886301">
        <w:t xml:space="preserve"> Þá útilokar greinin ekki að ríkisstjórn verði í meira mæli en nú falin verkefni sem </w:t>
      </w:r>
      <w:proofErr w:type="spellStart"/>
      <w:r w:rsidR="00886301">
        <w:t>fjölskipuðu</w:t>
      </w:r>
      <w:proofErr w:type="spellEnd"/>
      <w:r w:rsidR="00886301">
        <w:t xml:space="preserve"> stjórnvaldi á grundvelli </w:t>
      </w:r>
      <w:r w:rsidR="00C97D98">
        <w:t xml:space="preserve">almennra laga en </w:t>
      </w:r>
      <w:r w:rsidR="00D7591C">
        <w:t>slíkt fyrirkomulag heyri</w:t>
      </w:r>
      <w:r w:rsidR="00C97D98">
        <w:t>r</w:t>
      </w:r>
      <w:r w:rsidR="00D7591C">
        <w:t xml:space="preserve"> til undantekninga</w:t>
      </w:r>
      <w:r w:rsidR="00524D60">
        <w:t xml:space="preserve"> í dag</w:t>
      </w:r>
      <w:r w:rsidR="00D7591C">
        <w:t xml:space="preserve">. Einnig má </w:t>
      </w:r>
      <w:r w:rsidR="00E63978">
        <w:t>nefna</w:t>
      </w:r>
      <w:r w:rsidR="00D7591C">
        <w:t xml:space="preserve"> að </w:t>
      </w:r>
      <w:r w:rsidR="00E63978">
        <w:t xml:space="preserve">skv. </w:t>
      </w:r>
      <w:r w:rsidR="00D7591C" w:rsidRPr="009F0A9E">
        <w:t xml:space="preserve">19. gr. </w:t>
      </w:r>
      <w:r w:rsidR="00435800">
        <w:t>frumvarpsins</w:t>
      </w:r>
      <w:r w:rsidR="00D7591C">
        <w:t xml:space="preserve"> er meðal annars gert ráð fyrir því að forseti Alþingis kveðji Alþingi til funda, </w:t>
      </w:r>
      <w:r w:rsidR="00E63978">
        <w:t>hafi</w:t>
      </w:r>
      <w:r w:rsidR="00D7591C">
        <w:t xml:space="preserve"> fundum þingsins verið frestað,</w:t>
      </w:r>
      <w:r w:rsidR="00886301">
        <w:t xml:space="preserve"> </w:t>
      </w:r>
      <w:r w:rsidR="00D7591C">
        <w:t xml:space="preserve">að </w:t>
      </w:r>
      <w:r w:rsidR="00FC66AE">
        <w:t xml:space="preserve">ósk </w:t>
      </w:r>
      <w:r w:rsidR="00D7591C">
        <w:t>ríkisstjórnar</w:t>
      </w:r>
      <w:r w:rsidR="00C97D98">
        <w:t xml:space="preserve"> og gerir </w:t>
      </w:r>
      <w:r w:rsidR="00435800">
        <w:t>frumvarpið</w:t>
      </w:r>
      <w:r w:rsidR="00C97D98">
        <w:t xml:space="preserve"> þannig einnig ráð fyrir því að ríkisstjórn geti í vissum tilvikum tekið ákvarðanir sameiginlega. Það er</w:t>
      </w:r>
      <w:r w:rsidR="00451391">
        <w:t xml:space="preserve"> löggjafans og eftir atvikum ríkisstjórnarinnar sjálfrar að taka afstöðu til þeirra </w:t>
      </w:r>
      <w:r w:rsidR="008E1927">
        <w:t xml:space="preserve">nánari </w:t>
      </w:r>
      <w:r w:rsidR="00451391">
        <w:t>reglna sem gilda um málsmeðferð og ákvörðun ríkisstjórnar í þeim tilvikum sem hún tekur sameiginlega ákvörðun</w:t>
      </w:r>
      <w:r w:rsidR="00B2707D">
        <w:t xml:space="preserve"> samkvæmt almennum lögum eða stjórnarskrá</w:t>
      </w:r>
      <w:r w:rsidR="00451391">
        <w:t xml:space="preserve">, sbr. til hliðsjónar fyrrnefnd lög um Stjórnarráð Íslands og reglur nr. </w:t>
      </w:r>
      <w:r w:rsidR="00022E18">
        <w:t>791/2018</w:t>
      </w:r>
      <w:r w:rsidR="00451391">
        <w:t xml:space="preserve"> um starfshætti ríkisstjórnar.</w:t>
      </w:r>
    </w:p>
    <w:p w14:paraId="08FC2707" w14:textId="77777777" w:rsidR="001E7119" w:rsidRDefault="001E7119" w:rsidP="00090E89">
      <w:pPr>
        <w:ind w:firstLine="0"/>
      </w:pPr>
    </w:p>
    <w:p w14:paraId="4C71F9B4" w14:textId="77777777" w:rsidR="001E7119" w:rsidRDefault="001E7119" w:rsidP="001E7119">
      <w:pPr>
        <w:pStyle w:val="Greinarnmer"/>
      </w:pPr>
      <w:bookmarkStart w:id="4" w:name="_Hlk41224486"/>
      <w:bookmarkStart w:id="5" w:name="_Hlk41038795"/>
      <w:r>
        <w:t xml:space="preserve">Um </w:t>
      </w:r>
      <w:r w:rsidR="006727CD">
        <w:t>1</w:t>
      </w:r>
      <w:r>
        <w:t>1. gr.</w:t>
      </w:r>
    </w:p>
    <w:p w14:paraId="4B855724" w14:textId="4BD2C51D" w:rsidR="00684148" w:rsidRDefault="00090E89" w:rsidP="00090E89">
      <w:r w:rsidRPr="00090E89">
        <w:t>Með þessari grein fr</w:t>
      </w:r>
      <w:r>
        <w:t>umvarpsins</w:t>
      </w:r>
      <w:r w:rsidRPr="00090E89">
        <w:t xml:space="preserve"> eru lagðar til breytingar á 20. gr. stjórnarskrárinnar, einkum í því skyni að færa ákvæði greinarinnar til samræmis við þá þróun er orðið hefur á </w:t>
      </w:r>
      <w:r>
        <w:t>lagareglum</w:t>
      </w:r>
      <w:r w:rsidRPr="00090E89">
        <w:t xml:space="preserve"> um embættismenn ríkisins. </w:t>
      </w:r>
      <w:r w:rsidR="003931DA">
        <w:t>Ákvæðin taka að</w:t>
      </w:r>
      <w:r w:rsidRPr="00090E89">
        <w:t xml:space="preserve"> verulegu leyti </w:t>
      </w:r>
      <w:r w:rsidR="003931DA">
        <w:t>mið af</w:t>
      </w:r>
      <w:r w:rsidRPr="00090E89">
        <w:t xml:space="preserve"> hugmynd</w:t>
      </w:r>
      <w:r w:rsidR="003931DA">
        <w:t>um</w:t>
      </w:r>
      <w:r w:rsidRPr="00090E89">
        <w:t xml:space="preserve"> stjórnlaganefndar (2011) og frumvarpi </w:t>
      </w:r>
      <w:r w:rsidR="000F7443">
        <w:t>s</w:t>
      </w:r>
      <w:r w:rsidRPr="00090E89">
        <w:t xml:space="preserve">tjórnlagaráðs (2011). Greinin felur það í fyrsta lagi í sér að ekki er einungis </w:t>
      </w:r>
      <w:r w:rsidR="000F7443">
        <w:t>kveðið á</w:t>
      </w:r>
      <w:r w:rsidR="000F7443" w:rsidRPr="00090E89">
        <w:t xml:space="preserve"> </w:t>
      </w:r>
      <w:r w:rsidRPr="00090E89">
        <w:t>um skipun embættismanna af hálfu forseta heldur einnig aðra skipaða embættismenn</w:t>
      </w:r>
      <w:r w:rsidR="00CB4066">
        <w:t xml:space="preserve">. Er þá meðal annars haft í huga að </w:t>
      </w:r>
      <w:r w:rsidRPr="00090E89">
        <w:t>forsetaskipuðum embættismönnum hefur fækkað verulega síðustu áratugi. Þykir rétt að sambærilegar grunnreglur gildi um skipun og kjör embættismanna án tillits til þess hvort þeir eru skipaðir af forseta eða ráðherra, svo sem algengast er</w:t>
      </w:r>
      <w:r>
        <w:t xml:space="preserve">, eða </w:t>
      </w:r>
      <w:r w:rsidR="003931DA">
        <w:t xml:space="preserve">enn </w:t>
      </w:r>
      <w:r>
        <w:t>öðru stjórnvaldi</w:t>
      </w:r>
      <w:r w:rsidRPr="00090E89">
        <w:t>. Í annan stað er gert ráð fyrir því að heimilt sé að láta embættismann vinna eið eða drengskaparheit að stjórnarskránni í stað þess að það sé skylt</w:t>
      </w:r>
      <w:r w:rsidR="00684148">
        <w:t xml:space="preserve"> svo sem </w:t>
      </w:r>
      <w:r w:rsidR="006D50BD">
        <w:t xml:space="preserve">nú </w:t>
      </w:r>
      <w:r w:rsidR="00684148">
        <w:t>leiðir af</w:t>
      </w:r>
      <w:r w:rsidR="004B2E2A">
        <w:t xml:space="preserve"> </w:t>
      </w:r>
      <w:r w:rsidR="00684148">
        <w:t>2. mgr. 20. gr. stjórnarskrár</w:t>
      </w:r>
      <w:r w:rsidRPr="00090E89">
        <w:t xml:space="preserve">. </w:t>
      </w:r>
    </w:p>
    <w:p w14:paraId="4A6472C1" w14:textId="3BECB86D" w:rsidR="003931DA" w:rsidRDefault="00090E89" w:rsidP="003931DA">
      <w:r w:rsidRPr="00090E89">
        <w:t>Mikilvægustu tillögu</w:t>
      </w:r>
      <w:r w:rsidR="00684148">
        <w:t>na</w:t>
      </w:r>
      <w:r w:rsidRPr="00090E89">
        <w:t xml:space="preserve"> um breyting</w:t>
      </w:r>
      <w:r w:rsidR="00684148">
        <w:t>u</w:t>
      </w:r>
      <w:r w:rsidRPr="00090E89">
        <w:t xml:space="preserve"> er að finna í ákvæði 3. mgr.</w:t>
      </w:r>
      <w:r w:rsidR="004F6D49">
        <w:t xml:space="preserve"> </w:t>
      </w:r>
      <w:r w:rsidRPr="00090E89">
        <w:t>þess efnis að með lögum skuli koma á skipan er tryggi að hæfni og málefnaleg sjónarmið ráði við veitingu embættis</w:t>
      </w:r>
      <w:r w:rsidR="003931DA">
        <w:t xml:space="preserve"> og starfslok embættismanna</w:t>
      </w:r>
      <w:r w:rsidRPr="00090E89">
        <w:t xml:space="preserve">. Í ákvæðinu felst ekki aðeins að hæfni og málefnaleg sjónarmið eigi að ráða við skipun embættismanna, sbr. </w:t>
      </w:r>
      <w:r w:rsidR="00684148">
        <w:t xml:space="preserve">t.d. </w:t>
      </w:r>
      <w:r w:rsidRPr="00090E89">
        <w:t xml:space="preserve">2. mgr. 96. gr. frumvarps </w:t>
      </w:r>
      <w:r w:rsidR="005D7BA1">
        <w:t>s</w:t>
      </w:r>
      <w:r w:rsidRPr="00090E89">
        <w:t xml:space="preserve">tjórnlagaráðs, heldur </w:t>
      </w:r>
      <w:r w:rsidR="00EB1788">
        <w:t>beri</w:t>
      </w:r>
      <w:r w:rsidRPr="00090E89">
        <w:t xml:space="preserve"> </w:t>
      </w:r>
      <w:r w:rsidR="00684148">
        <w:t xml:space="preserve">einnig </w:t>
      </w:r>
      <w:r w:rsidRPr="00090E89">
        <w:t xml:space="preserve">að tryggja </w:t>
      </w:r>
      <w:r w:rsidR="00684148">
        <w:t xml:space="preserve">með almennum lögum </w:t>
      </w:r>
      <w:r w:rsidRPr="00090E89">
        <w:t xml:space="preserve">að svo sé, t.d. með áskilnaði um auglýsingu </w:t>
      </w:r>
      <w:r w:rsidR="00684148">
        <w:t xml:space="preserve">um laus embætti </w:t>
      </w:r>
      <w:r w:rsidRPr="00090E89">
        <w:t xml:space="preserve">og ferli sem fela í sér </w:t>
      </w:r>
      <w:r w:rsidR="008F1FE6">
        <w:t xml:space="preserve">faglegt </w:t>
      </w:r>
      <w:r w:rsidRPr="00090E89">
        <w:t xml:space="preserve">mat á hæfni umsækjenda. </w:t>
      </w:r>
      <w:r w:rsidR="00204A18">
        <w:t xml:space="preserve">Ákvæðið útilokar ekki að löggjafinn geti, í þágu tiltekinna markmiða á borð við að jafna stöðu kynjanna, </w:t>
      </w:r>
      <w:r w:rsidR="003931DA">
        <w:t xml:space="preserve">helgað </w:t>
      </w:r>
      <w:r w:rsidR="00204A18">
        <w:t xml:space="preserve">tiltekin sjónarmið </w:t>
      </w:r>
      <w:r w:rsidR="003931DA">
        <w:t>sem</w:t>
      </w:r>
      <w:r w:rsidR="00204A18">
        <w:t xml:space="preserve"> málefnaleg</w:t>
      </w:r>
      <w:r w:rsidRPr="00090E89">
        <w:t>. Samkvæmt þessu m</w:t>
      </w:r>
      <w:r w:rsidR="00E24896">
        <w:t>u</w:t>
      </w:r>
      <w:r w:rsidRPr="00090E89">
        <w:t>ndi ákvæðið vera stjórnskipulegur grundvöllur framkvæmdar sem þegar hefur almennt komist á við skipun embættismanna</w:t>
      </w:r>
      <w:r w:rsidR="00684148">
        <w:t xml:space="preserve"> með breytingum á lögum</w:t>
      </w:r>
      <w:r w:rsidRPr="00090E89">
        <w:t xml:space="preserve"> en </w:t>
      </w:r>
      <w:r w:rsidR="00E24896">
        <w:t>það gæfi</w:t>
      </w:r>
      <w:r w:rsidRPr="00090E89">
        <w:t xml:space="preserve"> </w:t>
      </w:r>
      <w:r w:rsidR="009D1F8B">
        <w:t>engu að síður</w:t>
      </w:r>
      <w:r w:rsidR="00684148">
        <w:t xml:space="preserve"> </w:t>
      </w:r>
      <w:r w:rsidRPr="00090E89">
        <w:t xml:space="preserve">tilefni til þess að hugað </w:t>
      </w:r>
      <w:r w:rsidR="00E24896">
        <w:t>væri</w:t>
      </w:r>
      <w:r w:rsidR="009D1F8B">
        <w:t xml:space="preserve"> </w:t>
      </w:r>
      <w:r w:rsidRPr="00090E89">
        <w:t xml:space="preserve">að gildandi reglum </w:t>
      </w:r>
      <w:r w:rsidR="009D1F8B">
        <w:t xml:space="preserve">og framkvæmd </w:t>
      </w:r>
      <w:r w:rsidRPr="00090E89">
        <w:t xml:space="preserve">á þessu sviði. </w:t>
      </w:r>
    </w:p>
    <w:p w14:paraId="0BBA8D13" w14:textId="530CEAC8" w:rsidR="003931DA" w:rsidRPr="003931DA" w:rsidRDefault="003931DA" w:rsidP="003D75EC">
      <w:r w:rsidRPr="003D75EC">
        <w:t>Lagt er til að afnumi</w:t>
      </w:r>
      <w:r>
        <w:t>n</w:t>
      </w:r>
      <w:r w:rsidRPr="003D75EC">
        <w:t xml:space="preserve"> verði ákvæði 3. </w:t>
      </w:r>
      <w:r>
        <w:t xml:space="preserve">og 4. </w:t>
      </w:r>
      <w:r w:rsidRPr="003D75EC">
        <w:t xml:space="preserve">mgr. 20. gr. stjórnarskrárinnar </w:t>
      </w:r>
      <w:r>
        <w:t>og fari um þessi atriði samkvæmt</w:t>
      </w:r>
      <w:r w:rsidR="00667920">
        <w:t xml:space="preserve"> </w:t>
      </w:r>
      <w:r w:rsidR="008F1FE6">
        <w:t xml:space="preserve">lögum um </w:t>
      </w:r>
      <w:r w:rsidR="00AC2B0E">
        <w:t>réttindi og skyldur starfsmanna ríkisins</w:t>
      </w:r>
      <w:r w:rsidR="008F1FE6">
        <w:t xml:space="preserve"> og</w:t>
      </w:r>
      <w:r>
        <w:t xml:space="preserve"> almennum reglum</w:t>
      </w:r>
      <w:r w:rsidR="00362B8C">
        <w:t xml:space="preserve"> vinnu- og stjórnsýsluréttar</w:t>
      </w:r>
      <w:r>
        <w:t xml:space="preserve">. </w:t>
      </w:r>
      <w:r w:rsidRPr="003D75EC">
        <w:t xml:space="preserve">Frumvarpið er að þessu leyti í samræmi við </w:t>
      </w:r>
      <w:r w:rsidR="00362B8C">
        <w:t>frumvarp</w:t>
      </w:r>
      <w:r w:rsidRPr="003D75EC">
        <w:t xml:space="preserve"> </w:t>
      </w:r>
      <w:r w:rsidR="003A11E7">
        <w:t>s</w:t>
      </w:r>
      <w:r w:rsidRPr="003D75EC">
        <w:t xml:space="preserve">tjórnlagaráðs. Efnislega sambærilegt ákvæði </w:t>
      </w:r>
      <w:r w:rsidR="008F1FE6">
        <w:t xml:space="preserve">núgildandi </w:t>
      </w:r>
      <w:r w:rsidRPr="003D75EC">
        <w:t xml:space="preserve">4. mgr. 20. gr. var að finna </w:t>
      </w:r>
      <w:r w:rsidR="004B2E2A">
        <w:t xml:space="preserve">í </w:t>
      </w:r>
      <w:r w:rsidRPr="003D75EC">
        <w:t>stjórnarskránni um hin sérstaklegu málefni Íslands frá 1874, en það ákvæði var afnumið við stjórnarskrár</w:t>
      </w:r>
      <w:r w:rsidR="00082B77">
        <w:softHyphen/>
      </w:r>
      <w:r w:rsidRPr="003D75EC">
        <w:t>breyting</w:t>
      </w:r>
      <w:r w:rsidR="00082B77">
        <w:softHyphen/>
      </w:r>
      <w:r w:rsidRPr="003D75EC">
        <w:t xml:space="preserve">una 1915 með vísan til þess að </w:t>
      </w:r>
      <w:r>
        <w:t xml:space="preserve">fyrirhugað væri </w:t>
      </w:r>
      <w:r w:rsidRPr="003D75EC">
        <w:t xml:space="preserve">að afnema </w:t>
      </w:r>
      <w:proofErr w:type="spellStart"/>
      <w:r w:rsidRPr="003D75EC">
        <w:t>lögmælt</w:t>
      </w:r>
      <w:proofErr w:type="spellEnd"/>
      <w:r w:rsidRPr="003D75EC">
        <w:t xml:space="preserve"> eftirlaun embættismanna og koma á lífeyriskerfi. Ákvæðið rataði þó aftur inn í stjórnarskrá konungsríkisins Íslands 1920 og hefur staðið efnislega óbreytt </w:t>
      </w:r>
      <w:r w:rsidR="00362B8C">
        <w:t xml:space="preserve">í stjórnlögum </w:t>
      </w:r>
      <w:r w:rsidRPr="003D75EC">
        <w:t xml:space="preserve">síðan. Í framkvæmd hefur ákvæðið verið talið tryggja </w:t>
      </w:r>
      <w:r w:rsidR="00667920">
        <w:t xml:space="preserve">ákveðin </w:t>
      </w:r>
      <w:r w:rsidRPr="003D75EC">
        <w:t xml:space="preserve">réttindi embættismanns við þær aðstæður </w:t>
      </w:r>
      <w:r w:rsidR="00535B86">
        <w:t>þegar</w:t>
      </w:r>
      <w:r w:rsidR="00535B86" w:rsidRPr="003D75EC">
        <w:t xml:space="preserve"> </w:t>
      </w:r>
      <w:r w:rsidRPr="003D75EC">
        <w:t xml:space="preserve">ákveðið </w:t>
      </w:r>
      <w:r w:rsidR="00535B86">
        <w:t>hefur verið</w:t>
      </w:r>
      <w:r w:rsidR="00535B86" w:rsidRPr="003D75EC">
        <w:t xml:space="preserve"> </w:t>
      </w:r>
      <w:r w:rsidRPr="003D75EC">
        <w:t xml:space="preserve">að flytja hann </w:t>
      </w:r>
      <w:r w:rsidR="00535B86">
        <w:t xml:space="preserve">til </w:t>
      </w:r>
      <w:r w:rsidRPr="003D75EC">
        <w:t>í embætti</w:t>
      </w:r>
      <w:r>
        <w:t xml:space="preserve"> og þá einnig verið </w:t>
      </w:r>
      <w:r w:rsidR="00667920">
        <w:t xml:space="preserve">talið </w:t>
      </w:r>
      <w:r>
        <w:t xml:space="preserve">taka til </w:t>
      </w:r>
      <w:r>
        <w:lastRenderedPageBreak/>
        <w:t xml:space="preserve">annarra embættismanna en forsetaskipaðra samkvæmt </w:t>
      </w:r>
      <w:proofErr w:type="spellStart"/>
      <w:r>
        <w:t>lögjöfnun</w:t>
      </w:r>
      <w:proofErr w:type="spellEnd"/>
      <w:r w:rsidRPr="003D75EC">
        <w:t xml:space="preserve">. Þar sem </w:t>
      </w:r>
      <w:proofErr w:type="spellStart"/>
      <w:r w:rsidRPr="003D75EC">
        <w:t>lögmælt</w:t>
      </w:r>
      <w:proofErr w:type="spellEnd"/>
      <w:r w:rsidRPr="003D75EC">
        <w:t xml:space="preserve"> eftirlaun embættismanna eru löngu aflögð er þó óljóst hvers eðlis réttur</w:t>
      </w:r>
      <w:r>
        <w:t xml:space="preserve"> embættismanns</w:t>
      </w:r>
      <w:r w:rsidRPr="003D75EC">
        <w:t xml:space="preserve"> er og hvaða svigrúm löggjafinn hefur að þessu leyti. Embættismenn eru nú almennt skipaði tímabundið og lögð er meiri áhersl</w:t>
      </w:r>
      <w:r w:rsidR="002F36F4">
        <w:t>a</w:t>
      </w:r>
      <w:r w:rsidRPr="003D75EC">
        <w:t xml:space="preserve"> á hreyfanleika þeirra innan stjórnkerfisins. Engu að síður veldur orðalag gildandi ákvæðis vafa um hvort embættismaður kunni að eiga rétt á einhvers konar þóknun umfram skipunartíma sinn </w:t>
      </w:r>
      <w:r w:rsidR="002F36F4">
        <w:t>ef</w:t>
      </w:r>
      <w:r w:rsidRPr="003D75EC">
        <w:t xml:space="preserve"> hann hafnar flutningi og velur lausn</w:t>
      </w:r>
      <w:r w:rsidR="002F36F4">
        <w:t xml:space="preserve"> frá embætti</w:t>
      </w:r>
      <w:r w:rsidRPr="003D75EC">
        <w:t xml:space="preserve"> með „</w:t>
      </w:r>
      <w:proofErr w:type="spellStart"/>
      <w:r w:rsidRPr="003D75EC">
        <w:t>lögmæltum</w:t>
      </w:r>
      <w:proofErr w:type="spellEnd"/>
      <w:r w:rsidRPr="003D75EC">
        <w:t xml:space="preserve"> eftirlaunum“. Réttarstaða embættismanna við flutning úr einu embætti í annað </w:t>
      </w:r>
      <w:r>
        <w:t xml:space="preserve">er </w:t>
      </w:r>
      <w:r w:rsidR="00AC2B0E">
        <w:t xml:space="preserve">nú einnig </w:t>
      </w:r>
      <w:r>
        <w:t>mun betur tryggð með lögum</w:t>
      </w:r>
      <w:r w:rsidRPr="003D75EC">
        <w:t xml:space="preserve"> um réttindi og skyldur </w:t>
      </w:r>
      <w:r w:rsidR="00AB08E4">
        <w:t xml:space="preserve">starfsmanna </w:t>
      </w:r>
      <w:r w:rsidRPr="003D75EC">
        <w:t>ríkis</w:t>
      </w:r>
      <w:r w:rsidR="00AB08E4">
        <w:t>ins</w:t>
      </w:r>
      <w:r w:rsidRPr="003D75EC">
        <w:t xml:space="preserve"> og almennum reglum stjórnsýslu og vinnuréttar eins og þær hafa þróast á undanförnum áratugum</w:t>
      </w:r>
      <w:r w:rsidR="009621D9">
        <w:t>, m.a. þannig að embættismaður getur krafist skaðabóta ef honum er vikið úr starfi með ólögmætum hætti</w:t>
      </w:r>
      <w:r w:rsidRPr="003D75EC">
        <w:t>. Eiga því vart lengur við þau sögulegu rök ákvæðisins að verja sjálfstæði embættism</w:t>
      </w:r>
      <w:r w:rsidR="00AB08E4">
        <w:t>anna</w:t>
      </w:r>
      <w:r w:rsidRPr="003D75EC">
        <w:t xml:space="preserve"> gagnvart </w:t>
      </w:r>
      <w:r w:rsidR="009621D9">
        <w:t xml:space="preserve">hugsanlegum </w:t>
      </w:r>
      <w:r w:rsidRPr="003D75EC">
        <w:t xml:space="preserve">geðþóttaákvörðunum </w:t>
      </w:r>
      <w:r>
        <w:t>um flutning</w:t>
      </w:r>
      <w:r w:rsidR="009621D9">
        <w:t xml:space="preserve"> úr einu embætti í annað</w:t>
      </w:r>
      <w:r w:rsidRPr="003D75EC">
        <w:t xml:space="preserve">. Er þar af leiðandi lagt til að ákvæðið falli </w:t>
      </w:r>
      <w:r w:rsidR="00AB08E4">
        <w:t>brott</w:t>
      </w:r>
      <w:r w:rsidR="00AB08E4" w:rsidRPr="003D75EC">
        <w:t xml:space="preserve"> </w:t>
      </w:r>
      <w:r w:rsidRPr="003D75EC">
        <w:t xml:space="preserve">og </w:t>
      </w:r>
      <w:r w:rsidR="00AB08E4">
        <w:t>kveðið</w:t>
      </w:r>
      <w:r w:rsidR="00AB08E4" w:rsidRPr="003D75EC">
        <w:t xml:space="preserve"> </w:t>
      </w:r>
      <w:r w:rsidRPr="003D75EC">
        <w:t xml:space="preserve">verði </w:t>
      </w:r>
      <w:r w:rsidR="00667920">
        <w:t xml:space="preserve">nánar </w:t>
      </w:r>
      <w:r w:rsidR="00AB08E4">
        <w:t xml:space="preserve">á </w:t>
      </w:r>
      <w:r w:rsidRPr="003D75EC">
        <w:t xml:space="preserve">um réttarstöðu embættismanns við </w:t>
      </w:r>
      <w:r>
        <w:t>þessar aðstæður</w:t>
      </w:r>
      <w:r w:rsidRPr="003D75EC">
        <w:t xml:space="preserve"> í almennum lögum.</w:t>
      </w:r>
    </w:p>
    <w:p w14:paraId="57A2CFDB" w14:textId="3204337F" w:rsidR="004A4261" w:rsidRDefault="003931DA" w:rsidP="003D75EC">
      <w:r w:rsidRPr="003D75EC">
        <w:t xml:space="preserve">Viðhaldið er óbreyttri heimild í </w:t>
      </w:r>
      <w:r w:rsidR="009B2FA9">
        <w:t>5</w:t>
      </w:r>
      <w:r w:rsidRPr="003D75EC">
        <w:t xml:space="preserve">. mgr. </w:t>
      </w:r>
      <w:r w:rsidR="009B2FA9">
        <w:t xml:space="preserve">20. </w:t>
      </w:r>
      <w:r w:rsidRPr="003D75EC">
        <w:t>gr</w:t>
      </w:r>
      <w:r w:rsidR="009B2FA9">
        <w:t>.</w:t>
      </w:r>
      <w:r w:rsidRPr="003D75EC">
        <w:t xml:space="preserve"> </w:t>
      </w:r>
      <w:r w:rsidR="0098323C">
        <w:t xml:space="preserve">stjórnarskrárinnar </w:t>
      </w:r>
      <w:r w:rsidRPr="003D75EC">
        <w:t xml:space="preserve">um að heimilt sé með lögum að undanskilja ákveðna flokka embættismanna auk þeirra sem taldir eru í 61. gr. stjórnarskrár, þ.e. dómara sem falla utan efnismarka frumvarpsins. Er þá haft í huga að við skipan í stöður á ákveðnu sviði kunna að vera gildar ástæður til þess að víkja frá almennum reglum um auglýsingu og hæfnismat. </w:t>
      </w:r>
      <w:r w:rsidR="004A4261">
        <w:t xml:space="preserve">Sérreglur gilda áfram um skipun og afsögn ráðherra sem falla þar af leiðandi </w:t>
      </w:r>
      <w:r w:rsidR="00947CB2">
        <w:t xml:space="preserve">einnig </w:t>
      </w:r>
      <w:r w:rsidR="004A4261">
        <w:t>utan efnismarka greinarinnar.</w:t>
      </w:r>
    </w:p>
    <w:p w14:paraId="4D29151A" w14:textId="77777777" w:rsidR="00D0089F" w:rsidRDefault="00D0089F" w:rsidP="00D0089F">
      <w:pPr>
        <w:ind w:firstLine="0"/>
      </w:pPr>
      <w:bookmarkStart w:id="6" w:name="_Hlk12984535"/>
      <w:bookmarkEnd w:id="4"/>
      <w:bookmarkEnd w:id="5"/>
    </w:p>
    <w:p w14:paraId="3C1B6E4C" w14:textId="77777777" w:rsidR="001E7119" w:rsidRDefault="001E7119" w:rsidP="00D0089F">
      <w:pPr>
        <w:ind w:firstLine="0"/>
        <w:jc w:val="center"/>
      </w:pPr>
      <w:r>
        <w:t>Um 1</w:t>
      </w:r>
      <w:r w:rsidR="006727CD">
        <w:t>2</w:t>
      </w:r>
      <w:r>
        <w:t>. gr.</w:t>
      </w:r>
    </w:p>
    <w:p w14:paraId="03632A03" w14:textId="24949A37" w:rsidR="002F76AB" w:rsidRDefault="00C311E8" w:rsidP="002F76AB">
      <w:r w:rsidRPr="00C311E8">
        <w:t>Þessi grein frumvarpsins</w:t>
      </w:r>
      <w:r w:rsidR="006B38DF">
        <w:t>, sem felur í sér tillögu um breytingar á 22. gr. stjórnarskrár</w:t>
      </w:r>
      <w:r w:rsidR="0098323C">
        <w:t>innar</w:t>
      </w:r>
      <w:r w:rsidR="006B38DF">
        <w:t>,</w:t>
      </w:r>
      <w:r w:rsidRPr="00C311E8">
        <w:t xml:space="preserve"> tekur mið </w:t>
      </w:r>
      <w:r w:rsidRPr="00E824C7">
        <w:t xml:space="preserve">af </w:t>
      </w:r>
      <w:r w:rsidR="006B38DF" w:rsidRPr="00E824C7">
        <w:t>19</w:t>
      </w:r>
      <w:r w:rsidRPr="00E824C7">
        <w:t>. gr.</w:t>
      </w:r>
      <w:r w:rsidRPr="003931DA">
        <w:t xml:space="preserve"> </w:t>
      </w:r>
      <w:r w:rsidR="006B38DF" w:rsidRPr="003931DA">
        <w:t>fr</w:t>
      </w:r>
      <w:r w:rsidR="009906B6" w:rsidRPr="003931DA">
        <w:t>umvarpsins</w:t>
      </w:r>
      <w:r w:rsidR="006B38DF">
        <w:t xml:space="preserve"> </w:t>
      </w:r>
      <w:r w:rsidRPr="00C311E8">
        <w:t xml:space="preserve">þar sem gert er ráð fyrir því að samkomudagur nýs Alþingis, eftir alþingiskosningar, verði </w:t>
      </w:r>
      <w:r w:rsidR="00947CB2">
        <w:t xml:space="preserve">í reynd nánast </w:t>
      </w:r>
      <w:proofErr w:type="spellStart"/>
      <w:r w:rsidRPr="00C311E8">
        <w:t>fastákveðinn</w:t>
      </w:r>
      <w:proofErr w:type="spellEnd"/>
      <w:r w:rsidRPr="00C311E8">
        <w:t xml:space="preserve"> í stjórnarskrá, þ.e. </w:t>
      </w:r>
      <w:r w:rsidR="009D1F8B">
        <w:t xml:space="preserve">verði </w:t>
      </w:r>
      <w:r w:rsidR="00ED042D">
        <w:t xml:space="preserve">fjórði </w:t>
      </w:r>
      <w:r w:rsidRPr="00C311E8">
        <w:t>þriðjudagur eftir að kosningar hafa farið fram</w:t>
      </w:r>
      <w:r w:rsidR="006B38DF">
        <w:t xml:space="preserve">, sbr. </w:t>
      </w:r>
      <w:r w:rsidR="009D1F8B">
        <w:t xml:space="preserve">hins vegar fyrirmæli </w:t>
      </w:r>
      <w:r w:rsidR="006B38DF">
        <w:t>35. gr. stjórnarskrár</w:t>
      </w:r>
      <w:r w:rsidR="00947CB2">
        <w:t>innar</w:t>
      </w:r>
      <w:r w:rsidRPr="00C311E8">
        <w:t xml:space="preserve">. Samkvæmt greininni er atbeini forseta </w:t>
      </w:r>
      <w:r w:rsidR="006B38DF">
        <w:t>Íslands</w:t>
      </w:r>
      <w:r w:rsidR="00AE1470">
        <w:t xml:space="preserve">, </w:t>
      </w:r>
      <w:r w:rsidR="006B38DF">
        <w:t>að tillögu forsætisráðherra</w:t>
      </w:r>
      <w:r w:rsidR="00AE1470">
        <w:t>,</w:t>
      </w:r>
      <w:r w:rsidR="006B38DF">
        <w:t xml:space="preserve"> </w:t>
      </w:r>
      <w:r w:rsidRPr="00C311E8">
        <w:t xml:space="preserve">að setningu nýs Alþingis </w:t>
      </w:r>
      <w:r w:rsidR="00BD76CF">
        <w:t>einskorðaður við</w:t>
      </w:r>
      <w:r w:rsidRPr="00C311E8">
        <w:t xml:space="preserve"> að setja þingið</w:t>
      </w:r>
      <w:r w:rsidR="006B38DF">
        <w:t xml:space="preserve"> </w:t>
      </w:r>
      <w:r w:rsidR="00AE485A">
        <w:t>þegar það kemur sama í fyrsta sinn eftir alþingiskosningar</w:t>
      </w:r>
      <w:r w:rsidRPr="00C311E8">
        <w:t xml:space="preserve">. Er þá gert ráð fyrir því að forseti gefi út forsetabréf að tillögu forsætisráðherra um nánari </w:t>
      </w:r>
      <w:r w:rsidR="00E62D47">
        <w:t xml:space="preserve">tímasetningu </w:t>
      </w:r>
      <w:r w:rsidRPr="00C311E8">
        <w:t>þingsetning</w:t>
      </w:r>
      <w:r w:rsidR="005A0FD8">
        <w:t>ar</w:t>
      </w:r>
      <w:r w:rsidRPr="00C311E8">
        <w:t>, svo sem tíðkast hefur</w:t>
      </w:r>
      <w:r w:rsidR="006B38DF">
        <w:t>, en nú í samræmi við breytt fyrirmæli 35. gr. stjórnarskrár</w:t>
      </w:r>
      <w:r w:rsidR="00947CB2">
        <w:t>innar</w:t>
      </w:r>
      <w:r w:rsidRPr="00C311E8">
        <w:t xml:space="preserve">. </w:t>
      </w:r>
      <w:r w:rsidR="00667920">
        <w:t xml:space="preserve">Þykir óþarfi að taka sérstaklega fram að forseti stefni saman Alþingi að afloknum alþingiskosningum. Ákvæðið útilokar </w:t>
      </w:r>
      <w:r w:rsidR="00947CB2">
        <w:t xml:space="preserve">þó </w:t>
      </w:r>
      <w:r w:rsidR="00667920">
        <w:t xml:space="preserve">vitaskuld ekki að Alþingi sé kallað saman fyrr en fjórða þriðjudag frá alþingiskosningum ef sérstaklega stendur á. </w:t>
      </w:r>
      <w:r w:rsidRPr="00C311E8">
        <w:t>Eftir að Alþingi hefur verið sett</w:t>
      </w:r>
      <w:r w:rsidR="002F76AB">
        <w:t xml:space="preserve">, </w:t>
      </w:r>
      <w:r w:rsidRPr="00C311E8">
        <w:t xml:space="preserve">það kosið sér forseta </w:t>
      </w:r>
      <w:r w:rsidR="0014757A">
        <w:t xml:space="preserve">og skipulagt starfsemi sína </w:t>
      </w:r>
      <w:r w:rsidR="002F76AB">
        <w:t xml:space="preserve">að öðru leyti </w:t>
      </w:r>
      <w:r w:rsidRPr="00C311E8">
        <w:t xml:space="preserve">er hins vegar lagt til að </w:t>
      </w:r>
      <w:r w:rsidR="00513438">
        <w:t xml:space="preserve">Alþingi taki sjálft </w:t>
      </w:r>
      <w:r w:rsidRPr="00C311E8">
        <w:t xml:space="preserve">ákvarðanir um frestun funda </w:t>
      </w:r>
      <w:r w:rsidR="00DB4713">
        <w:t xml:space="preserve">og samkomudaga </w:t>
      </w:r>
      <w:r w:rsidRPr="00C311E8">
        <w:t>í stað þess að slík ákvörðun sé formlega hjá forseta Íslands</w:t>
      </w:r>
      <w:r w:rsidR="00667920">
        <w:t>, líkt og nú er</w:t>
      </w:r>
      <w:r w:rsidRPr="00C311E8">
        <w:t xml:space="preserve">. Er þar af leiðandi lagt til að </w:t>
      </w:r>
      <w:r w:rsidR="00947CB2">
        <w:t xml:space="preserve">núgildandi </w:t>
      </w:r>
      <w:r w:rsidRPr="00C311E8">
        <w:t>ákvæði 23. gr. stjórnarskrár</w:t>
      </w:r>
      <w:r w:rsidR="00947CB2">
        <w:t>innar</w:t>
      </w:r>
      <w:r w:rsidR="0014757A">
        <w:t xml:space="preserve"> um frestun funda</w:t>
      </w:r>
      <w:r w:rsidRPr="00C311E8">
        <w:t xml:space="preserve"> </w:t>
      </w:r>
      <w:r w:rsidR="00635E17">
        <w:t xml:space="preserve">Alþingis </w:t>
      </w:r>
      <w:r w:rsidRPr="00C311E8">
        <w:t xml:space="preserve">falli </w:t>
      </w:r>
      <w:r w:rsidR="00120977">
        <w:t>brott</w:t>
      </w:r>
      <w:r w:rsidRPr="00C311E8">
        <w:t xml:space="preserve">. </w:t>
      </w:r>
    </w:p>
    <w:p w14:paraId="0E4F64BF" w14:textId="294137FE" w:rsidR="00C311E8" w:rsidRDefault="00AE485A" w:rsidP="00FE40FC">
      <w:pPr>
        <w:rPr>
          <w:highlight w:val="yellow"/>
        </w:rPr>
      </w:pPr>
      <w:r>
        <w:t xml:space="preserve">Eftir að Alþingi hefur verið sett af forseta </w:t>
      </w:r>
      <w:r w:rsidR="002F76AB">
        <w:t xml:space="preserve">Íslands </w:t>
      </w:r>
      <w:r w:rsidR="00BD76CF">
        <w:t xml:space="preserve">situr þingið </w:t>
      </w:r>
      <w:r w:rsidR="0014757A">
        <w:t xml:space="preserve">í reynd </w:t>
      </w:r>
      <w:r>
        <w:t>óslitið til kjördags</w:t>
      </w:r>
      <w:r w:rsidR="00DB4713">
        <w:t xml:space="preserve">. Jafnvel þótt þing hafi verið rofið </w:t>
      </w:r>
      <w:r w:rsidR="00120977">
        <w:t xml:space="preserve">skv. </w:t>
      </w:r>
      <w:r w:rsidR="00DB4713">
        <w:t>24. gr. stjórnarskrár</w:t>
      </w:r>
      <w:r w:rsidR="0025547D">
        <w:t>innar</w:t>
      </w:r>
      <w:r w:rsidR="00DB4713">
        <w:t xml:space="preserve"> halda þingmenn þannig umboði sínu og er þingið </w:t>
      </w:r>
      <w:r w:rsidR="002F76AB">
        <w:t xml:space="preserve">þar af leiðandi </w:t>
      </w:r>
      <w:r w:rsidR="00DB4713">
        <w:t xml:space="preserve">áfram bært til ályktana. </w:t>
      </w:r>
      <w:r w:rsidR="00513438">
        <w:t xml:space="preserve">Alþingi tæki </w:t>
      </w:r>
      <w:r w:rsidR="0025547D">
        <w:t xml:space="preserve">sjálft </w:t>
      </w:r>
      <w:r w:rsidR="00513438">
        <w:t>á</w:t>
      </w:r>
      <w:r w:rsidR="00C311E8" w:rsidRPr="00C311E8">
        <w:t xml:space="preserve">kvörðun um hvort forseta Íslands </w:t>
      </w:r>
      <w:r w:rsidR="00DB4713">
        <w:t>yrði</w:t>
      </w:r>
      <w:r w:rsidR="00C311E8" w:rsidRPr="00C311E8">
        <w:t xml:space="preserve"> boðið að setja nýtt löggjafarþing</w:t>
      </w:r>
      <w:r w:rsidR="00667920">
        <w:t xml:space="preserve"> ár hvert</w:t>
      </w:r>
      <w:r w:rsidR="00C311E8" w:rsidRPr="00C311E8">
        <w:t xml:space="preserve">, svo sem nú er </w:t>
      </w:r>
      <w:r w:rsidR="00FE40FC">
        <w:t xml:space="preserve">beinlínis </w:t>
      </w:r>
      <w:r w:rsidR="00C311E8" w:rsidRPr="00C311E8">
        <w:t xml:space="preserve">mælt fyrir um í 22. gr. stjórnarskrárinnar, </w:t>
      </w:r>
      <w:r w:rsidR="00667920">
        <w:t xml:space="preserve">eða hvort sú athöfn væri </w:t>
      </w:r>
      <w:r w:rsidR="00513438">
        <w:t>á</w:t>
      </w:r>
      <w:r w:rsidR="00667920">
        <w:t xml:space="preserve"> h</w:t>
      </w:r>
      <w:r w:rsidR="00513438">
        <w:t>e</w:t>
      </w:r>
      <w:r w:rsidR="00667920">
        <w:t>nd</w:t>
      </w:r>
      <w:r w:rsidR="00513438">
        <w:t>i</w:t>
      </w:r>
      <w:r w:rsidR="00667920">
        <w:t xml:space="preserve"> forseta Alþingis</w:t>
      </w:r>
      <w:r w:rsidR="00C311E8" w:rsidRPr="00C311E8">
        <w:t xml:space="preserve">, sbr. </w:t>
      </w:r>
      <w:r w:rsidR="0085726F">
        <w:t>tillögur um breytingar á</w:t>
      </w:r>
      <w:r w:rsidR="00C311E8" w:rsidRPr="00C311E8">
        <w:t xml:space="preserve"> 35. gr. stjórnarskrárinnar </w:t>
      </w:r>
      <w:r w:rsidR="00120977">
        <w:t>skv.</w:t>
      </w:r>
      <w:r w:rsidR="00120977" w:rsidRPr="00C311E8">
        <w:t xml:space="preserve"> </w:t>
      </w:r>
      <w:r w:rsidR="009E314D" w:rsidRPr="009F0A9E">
        <w:t>19</w:t>
      </w:r>
      <w:r w:rsidR="00C311E8" w:rsidRPr="009F0A9E">
        <w:t>. gr.</w:t>
      </w:r>
      <w:r w:rsidR="00C311E8" w:rsidRPr="00C311E8">
        <w:t xml:space="preserve"> f</w:t>
      </w:r>
      <w:r w:rsidR="009906B6">
        <w:t>rumvarpsins</w:t>
      </w:r>
      <w:r w:rsidR="00C311E8" w:rsidRPr="00C311E8">
        <w:t>.</w:t>
      </w:r>
    </w:p>
    <w:bookmarkEnd w:id="6"/>
    <w:p w14:paraId="70BCC687" w14:textId="77777777" w:rsidR="001E7119" w:rsidRDefault="001E7119" w:rsidP="009E314D">
      <w:pPr>
        <w:ind w:firstLine="0"/>
      </w:pPr>
    </w:p>
    <w:p w14:paraId="15190D3A" w14:textId="77777777" w:rsidR="001E7119" w:rsidRDefault="001E7119" w:rsidP="001E7119">
      <w:pPr>
        <w:pStyle w:val="Greinarnmer"/>
      </w:pPr>
      <w:r>
        <w:t>Um 1</w:t>
      </w:r>
      <w:r w:rsidR="006727CD">
        <w:t>3</w:t>
      </w:r>
      <w:r>
        <w:t>. gr.</w:t>
      </w:r>
    </w:p>
    <w:p w14:paraId="7D1D17FF" w14:textId="156DBEFD" w:rsidR="00340643" w:rsidRDefault="00B30B01" w:rsidP="00340643">
      <w:r>
        <w:lastRenderedPageBreak/>
        <w:t xml:space="preserve">Svo sem fram kemur í </w:t>
      </w:r>
      <w:r w:rsidR="00E653CD">
        <w:t>skýrin</w:t>
      </w:r>
      <w:r w:rsidR="0025547D">
        <w:t>gum</w:t>
      </w:r>
      <w:r w:rsidR="00AF3AD0">
        <w:t xml:space="preserve"> </w:t>
      </w:r>
      <w:r>
        <w:t xml:space="preserve">við 12. gr. er gert ráð fyrir því að fyrirmæli 23. gr. stjórnarskrár um frestun funda Alþingis falli </w:t>
      </w:r>
      <w:r w:rsidR="00120977">
        <w:t>brott</w:t>
      </w:r>
      <w:r>
        <w:t xml:space="preserve">. </w:t>
      </w:r>
      <w:r w:rsidR="007D3581">
        <w:t>Er því lagt til að í nýrri</w:t>
      </w:r>
      <w:r>
        <w:t xml:space="preserve"> 23. gr. verði </w:t>
      </w:r>
      <w:r w:rsidR="00AF3AD0">
        <w:t>kveðið á</w:t>
      </w:r>
      <w:r>
        <w:t xml:space="preserve"> </w:t>
      </w:r>
      <w:r w:rsidRPr="00B30B01">
        <w:t xml:space="preserve">um framkvæmd </w:t>
      </w:r>
      <w:r w:rsidRPr="00FF5723">
        <w:rPr>
          <w:i/>
          <w:iCs/>
        </w:rPr>
        <w:t>vantrausts</w:t>
      </w:r>
      <w:r w:rsidRPr="00B30B01">
        <w:t xml:space="preserve"> Alþingis á ríkisstjórn í heild sinni eða einstaka ráðherra</w:t>
      </w:r>
      <w:r w:rsidR="00FE40FC">
        <w:t>,</w:t>
      </w:r>
      <w:r w:rsidRPr="00B30B01">
        <w:t xml:space="preserve"> svo og hlutverk svonefndra </w:t>
      </w:r>
      <w:r w:rsidRPr="006B3D62">
        <w:t>starfsstjórna</w:t>
      </w:r>
      <w:r w:rsidRPr="00B30B01">
        <w:t>.</w:t>
      </w:r>
      <w:r w:rsidR="00340643">
        <w:t xml:space="preserve"> </w:t>
      </w:r>
      <w:r w:rsidRPr="00B30B01">
        <w:t>Ákvæðum greinarinnar, sem fela í sér nánari fyrirmæli um framkvæmd þingræðisreglunnar</w:t>
      </w:r>
      <w:r w:rsidR="005D7BA1">
        <w:t>,</w:t>
      </w:r>
      <w:r w:rsidRPr="00B30B01">
        <w:t xml:space="preserve"> sbr. </w:t>
      </w:r>
      <w:r w:rsidR="00761270" w:rsidRPr="009F0A9E">
        <w:t>8</w:t>
      </w:r>
      <w:r w:rsidRPr="009F0A9E">
        <w:t>. gr.</w:t>
      </w:r>
      <w:r w:rsidRPr="00B30B01">
        <w:t xml:space="preserve"> fr</w:t>
      </w:r>
      <w:r w:rsidR="00B11828">
        <w:t>umvarpsins</w:t>
      </w:r>
      <w:r w:rsidRPr="00B30B01">
        <w:t xml:space="preserve">, er </w:t>
      </w:r>
      <w:r w:rsidR="00761270">
        <w:t xml:space="preserve">að meginstefnu </w:t>
      </w:r>
      <w:r w:rsidRPr="00B30B01">
        <w:t xml:space="preserve">ætlað að lögfesta </w:t>
      </w:r>
      <w:r w:rsidR="006C2CE7">
        <w:t xml:space="preserve">skráðar og </w:t>
      </w:r>
      <w:r w:rsidRPr="00B30B01">
        <w:t xml:space="preserve">óskráðar reglur um þýðingu og afleiðingar þess að ríkisstjórn eða </w:t>
      </w:r>
      <w:r w:rsidR="006B3D62">
        <w:t>ákveðinn</w:t>
      </w:r>
      <w:r w:rsidR="006B3D62" w:rsidRPr="00B30B01">
        <w:t xml:space="preserve"> </w:t>
      </w:r>
      <w:r w:rsidRPr="00B30B01">
        <w:t>ráðherra glat</w:t>
      </w:r>
      <w:r w:rsidR="00A17BA6">
        <w:t>i</w:t>
      </w:r>
      <w:r w:rsidRPr="00B30B01">
        <w:t xml:space="preserve"> trausti Alþingis</w:t>
      </w:r>
      <w:r w:rsidR="006C2CE7">
        <w:t xml:space="preserve">, sbr. </w:t>
      </w:r>
      <w:r w:rsidR="00FE40FC">
        <w:t xml:space="preserve">til hliðsjónar </w:t>
      </w:r>
      <w:r w:rsidR="006C2CE7">
        <w:t>2. mgr. 1. gr. laga um Stjórnarráð Íslands</w:t>
      </w:r>
      <w:r w:rsidR="005D7BA1">
        <w:t>,</w:t>
      </w:r>
      <w:r w:rsidR="005D7BA1" w:rsidRPr="005D7BA1">
        <w:t xml:space="preserve"> </w:t>
      </w:r>
      <w:r w:rsidR="005D7BA1">
        <w:t>nr. 115/2011</w:t>
      </w:r>
      <w:r w:rsidRPr="00B30B01">
        <w:t xml:space="preserve">. </w:t>
      </w:r>
    </w:p>
    <w:p w14:paraId="602E9F1A" w14:textId="728C697F" w:rsidR="00761270" w:rsidRDefault="00B30B01" w:rsidP="00340643">
      <w:r w:rsidRPr="00B30B01">
        <w:t xml:space="preserve">Með 1. </w:t>
      </w:r>
      <w:r w:rsidR="00340643">
        <w:t>mgr. greinarinnar</w:t>
      </w:r>
      <w:r w:rsidRPr="00B30B01">
        <w:t xml:space="preserve"> er gerð tillaga um að áréttuð verði sú grunnregla neikvæðrar þingræðishefðar</w:t>
      </w:r>
      <w:r w:rsidR="00761270">
        <w:t>,</w:t>
      </w:r>
      <w:r w:rsidRPr="00B30B01">
        <w:t xml:space="preserve"> sem fylgt hefur verið </w:t>
      </w:r>
      <w:r w:rsidR="00761270">
        <w:t>frá upphafi þingræðis á Íslandi,</w:t>
      </w:r>
      <w:r w:rsidRPr="00B30B01">
        <w:t xml:space="preserve"> að enginn ráðherra geti setið í embætti eftir að Alþingi</w:t>
      </w:r>
      <w:r w:rsidR="00761270">
        <w:t xml:space="preserve"> hefur samþykkt tillögu um </w:t>
      </w:r>
      <w:r w:rsidR="007D3581">
        <w:t>vantraust</w:t>
      </w:r>
      <w:r w:rsidRPr="00B30B01">
        <w:t xml:space="preserve">. Með 2. </w:t>
      </w:r>
      <w:r w:rsidR="00340643">
        <w:t>mgr.</w:t>
      </w:r>
      <w:r w:rsidRPr="00B30B01">
        <w:t xml:space="preserve"> er áréttað að samþykki Alþingi vantraust á forsætisráðherra jafngildi það </w:t>
      </w:r>
      <w:r w:rsidR="00B11076">
        <w:t xml:space="preserve">eftir </w:t>
      </w:r>
      <w:r w:rsidRPr="00B30B01">
        <w:t xml:space="preserve">eðli málsins vantrausti á ríkisstjórnina í heild. Orðalag ákvæðisins skýtur </w:t>
      </w:r>
      <w:r w:rsidR="00B11076">
        <w:t xml:space="preserve">þó </w:t>
      </w:r>
      <w:r w:rsidRPr="00B30B01">
        <w:t xml:space="preserve">ekki loku fyrir að þingmenn geri tillögu um að Alþingi álykti að lýsa yfir </w:t>
      </w:r>
      <w:r w:rsidR="006B3D62">
        <w:t>„</w:t>
      </w:r>
      <w:r w:rsidRPr="00B30B01">
        <w:t>vantrausti á ríki</w:t>
      </w:r>
      <w:r w:rsidR="00F747DB">
        <w:t>s</w:t>
      </w:r>
      <w:r w:rsidRPr="00B30B01">
        <w:t>stjórnina</w:t>
      </w:r>
      <w:r w:rsidR="006B3D62">
        <w:t>“</w:t>
      </w:r>
      <w:r w:rsidRPr="00B30B01">
        <w:t xml:space="preserve">, </w:t>
      </w:r>
      <w:r w:rsidR="00B11076">
        <w:t xml:space="preserve">þ.e. alla ráðherra ríkisstjórnar, </w:t>
      </w:r>
      <w:r w:rsidRPr="00B30B01">
        <w:t xml:space="preserve">án sérstakrar tilvísunar til forsætisráðherra, svo sem </w:t>
      </w:r>
      <w:proofErr w:type="spellStart"/>
      <w:r w:rsidRPr="00B30B01">
        <w:t>tíðkanlegt</w:t>
      </w:r>
      <w:proofErr w:type="spellEnd"/>
      <w:r w:rsidRPr="00B30B01">
        <w:t xml:space="preserve"> </w:t>
      </w:r>
      <w:r w:rsidR="00607AFB">
        <w:t>er</w:t>
      </w:r>
      <w:r w:rsidR="006C2CE7">
        <w:t xml:space="preserve">, sbr. </w:t>
      </w:r>
      <w:r w:rsidR="00607AFB">
        <w:t xml:space="preserve">einnig </w:t>
      </w:r>
      <w:r w:rsidR="006C2CE7">
        <w:t xml:space="preserve">orðalag 2. mgr. 1. gr. laga </w:t>
      </w:r>
      <w:r w:rsidR="007D3581">
        <w:t>um Stjórnarráð Íslands</w:t>
      </w:r>
      <w:r w:rsidR="005D7BA1">
        <w:t>,</w:t>
      </w:r>
      <w:r w:rsidR="005D7BA1" w:rsidRPr="005D7BA1">
        <w:t xml:space="preserve"> </w:t>
      </w:r>
      <w:r w:rsidR="005D7BA1">
        <w:t>nr. 115/2011</w:t>
      </w:r>
      <w:r w:rsidR="006C2CE7">
        <w:t>.</w:t>
      </w:r>
      <w:r w:rsidR="00B11076">
        <w:t xml:space="preserve"> </w:t>
      </w:r>
    </w:p>
    <w:p w14:paraId="779A7FE2" w14:textId="2E44B55F" w:rsidR="00B30B01" w:rsidRDefault="00B30B01" w:rsidP="002C6EC5">
      <w:r w:rsidRPr="00B30B01">
        <w:t xml:space="preserve">Í 3. </w:t>
      </w:r>
      <w:r w:rsidR="00340643">
        <w:t>mgr.</w:t>
      </w:r>
      <w:r w:rsidRPr="00B30B01">
        <w:t xml:space="preserve"> greinarinnar er </w:t>
      </w:r>
      <w:r w:rsidR="00FA129C">
        <w:t>kveðið á</w:t>
      </w:r>
      <w:r w:rsidR="00FA129C" w:rsidRPr="00B30B01">
        <w:t xml:space="preserve"> </w:t>
      </w:r>
      <w:r w:rsidRPr="00B30B01">
        <w:t xml:space="preserve">um hlutverk </w:t>
      </w:r>
      <w:r w:rsidRPr="00FF5723">
        <w:rPr>
          <w:i/>
          <w:iCs/>
        </w:rPr>
        <w:t>starfsstjórnar</w:t>
      </w:r>
      <w:r w:rsidRPr="00B30B01">
        <w:t>, þ.e. ríkisstjórnar sem beðist hefur lausnar</w:t>
      </w:r>
      <w:r w:rsidR="00B11076">
        <w:t xml:space="preserve"> vegna vantrausts eða af öðrum ástæðum</w:t>
      </w:r>
      <w:r w:rsidRPr="00B30B01">
        <w:t>. Með ákvæðinu er lögfest sú regla að ríkisstjórn sem beðist hefur lausnar sitji áfram þar til ný stjórn hefur verið skipuð</w:t>
      </w:r>
      <w:r w:rsidR="00B11076">
        <w:t xml:space="preserve"> og sé þannig tryggt að ávallt sé fyrir hendi starfandi ríkisstjórn</w:t>
      </w:r>
      <w:r w:rsidR="00ED7D67">
        <w:t xml:space="preserve"> í landinu</w:t>
      </w:r>
      <w:r w:rsidRPr="00B30B01">
        <w:t>. Er þá jafnframt lagt til að hlutverk slíkrar stjórnar takmark</w:t>
      </w:r>
      <w:r w:rsidR="00FA129C">
        <w:t>ist</w:t>
      </w:r>
      <w:r w:rsidRPr="00B30B01">
        <w:t xml:space="preserve"> við að ráðherrar taki aðeins þær ákvarðanir sem nauðsynlegar teljast, þ.e. ákvarðanir sem af einhverjum ástæðum geta ekki beðið þess að ný ríkisstjórn hafi verið skipuð. Þótt hér sé um að ræða matskennt viðmið </w:t>
      </w:r>
      <w:r w:rsidR="00A835AE">
        <w:t xml:space="preserve">um heimild starfsstjórnar </w:t>
      </w:r>
      <w:r w:rsidRPr="00B30B01">
        <w:t xml:space="preserve">væri ekki útilokað að </w:t>
      </w:r>
      <w:r w:rsidR="009E50E3">
        <w:t xml:space="preserve">bersýnilegt </w:t>
      </w:r>
      <w:r w:rsidRPr="00B30B01">
        <w:t xml:space="preserve">brot ráðherra gegn reglunni </w:t>
      </w:r>
      <w:r w:rsidR="00830EDB">
        <w:t xml:space="preserve">gæti </w:t>
      </w:r>
      <w:r w:rsidRPr="00B30B01">
        <w:t xml:space="preserve">varðað ábyrgð </w:t>
      </w:r>
      <w:r w:rsidR="00FA129C">
        <w:t>skv.</w:t>
      </w:r>
      <w:r w:rsidR="00FA129C" w:rsidRPr="00B30B01">
        <w:t xml:space="preserve"> </w:t>
      </w:r>
      <w:r w:rsidRPr="00B30B01">
        <w:t xml:space="preserve">14. gr. </w:t>
      </w:r>
      <w:r w:rsidR="00830EDB">
        <w:t>stjórnarskrár</w:t>
      </w:r>
      <w:r w:rsidRPr="00B30B01">
        <w:t xml:space="preserve"> og </w:t>
      </w:r>
      <w:r w:rsidR="006B3D62">
        <w:t xml:space="preserve">nánari </w:t>
      </w:r>
      <w:r w:rsidRPr="00B30B01">
        <w:t>ákvæðum laga um ráðherraábyrgð.</w:t>
      </w:r>
      <w:r w:rsidR="009E50E3">
        <w:t xml:space="preserve"> Ákvæðinu er því ætlað að stuðla að varkárni ráðherra í starfsstjórn við beitingu heimilda sinna</w:t>
      </w:r>
      <w:r w:rsidR="00340643">
        <w:t xml:space="preserve"> eftir því sem kostur er.</w:t>
      </w:r>
      <w:r w:rsidR="00E666AC">
        <w:t xml:space="preserve"> Af rökum ákvæðisins og þeim venjum sem fylgt hefur verið í framkvæmd verður að leggja til grundvallar að sambærilegt viðmið eigi einnig við um </w:t>
      </w:r>
      <w:r w:rsidR="006B3D62">
        <w:t xml:space="preserve">tiltekinn </w:t>
      </w:r>
      <w:r w:rsidR="00E666AC">
        <w:t xml:space="preserve">ráðherra </w:t>
      </w:r>
      <w:r w:rsidRPr="00B30B01">
        <w:t xml:space="preserve">sem beðist hefur lausnar, hvort sem er vegna vantrausts </w:t>
      </w:r>
      <w:r w:rsidR="00DD508B">
        <w:t xml:space="preserve">Alþingis </w:t>
      </w:r>
      <w:r w:rsidRPr="00B30B01">
        <w:t xml:space="preserve">eða af öðrum ástæðum. Almennt má búast við því að </w:t>
      </w:r>
      <w:r w:rsidR="00E666AC">
        <w:t xml:space="preserve">mjög stuttan tíma </w:t>
      </w:r>
      <w:r w:rsidR="00B11828">
        <w:t xml:space="preserve">taki </w:t>
      </w:r>
      <w:r w:rsidR="00E666AC">
        <w:t xml:space="preserve">að skipa nýjan ráðherra </w:t>
      </w:r>
      <w:r w:rsidR="00DD508B">
        <w:t xml:space="preserve">við slíkar aðstæður </w:t>
      </w:r>
      <w:r w:rsidR="00E666AC">
        <w:t>eða þá fela öðrum ráðherra</w:t>
      </w:r>
      <w:r w:rsidR="002C6EC5">
        <w:t xml:space="preserve"> </w:t>
      </w:r>
      <w:r w:rsidR="00607AFB">
        <w:t>ráðuneyti fráfarandi ráðherra, annaðhvort tímabundið eða varanlega</w:t>
      </w:r>
      <w:r w:rsidR="002C6EC5">
        <w:t xml:space="preserve">. </w:t>
      </w:r>
      <w:r w:rsidR="00607AFB">
        <w:t>V</w:t>
      </w:r>
      <w:r w:rsidRPr="00B30B01">
        <w:t xml:space="preserve">erður því að miða við að heimildir </w:t>
      </w:r>
      <w:r w:rsidR="005C3466">
        <w:t xml:space="preserve">ákveðins </w:t>
      </w:r>
      <w:r w:rsidRPr="00B30B01">
        <w:t>ráðherra</w:t>
      </w:r>
      <w:r w:rsidR="002C6EC5">
        <w:t>,</w:t>
      </w:r>
      <w:r w:rsidR="00886301">
        <w:t xml:space="preserve"> sem </w:t>
      </w:r>
      <w:r w:rsidR="002C6EC5">
        <w:t xml:space="preserve">t.d. hefur </w:t>
      </w:r>
      <w:r w:rsidR="00886301">
        <w:t>sætt vantrausti</w:t>
      </w:r>
      <w:r w:rsidR="002C6EC5">
        <w:t>,</w:t>
      </w:r>
      <w:r w:rsidRPr="00B30B01">
        <w:t xml:space="preserve"> til </w:t>
      </w:r>
      <w:r w:rsidR="002C6EC5">
        <w:t>ákvarðanatöku</w:t>
      </w:r>
      <w:r w:rsidRPr="00B30B01">
        <w:t xml:space="preserve"> séu mjög þröngar</w:t>
      </w:r>
      <w:r w:rsidR="00A835AE">
        <w:t xml:space="preserve"> þótt þetta </w:t>
      </w:r>
      <w:r w:rsidR="00892C8B">
        <w:t>ráðist</w:t>
      </w:r>
      <w:r w:rsidR="00A835AE">
        <w:t xml:space="preserve"> einnig </w:t>
      </w:r>
      <w:r w:rsidR="00892C8B">
        <w:t>af</w:t>
      </w:r>
      <w:r w:rsidR="00A835AE">
        <w:t xml:space="preserve"> aðstæðum hverju sinni.</w:t>
      </w:r>
    </w:p>
    <w:p w14:paraId="7D290054" w14:textId="77777777" w:rsidR="001E7119" w:rsidRDefault="001E7119" w:rsidP="001E7119"/>
    <w:p w14:paraId="28FE80D7" w14:textId="77777777" w:rsidR="001E7119" w:rsidRDefault="001E7119" w:rsidP="001E7119">
      <w:pPr>
        <w:pStyle w:val="Greinarnmer"/>
      </w:pPr>
      <w:r>
        <w:t>Um 1</w:t>
      </w:r>
      <w:r w:rsidR="006727CD">
        <w:t>4</w:t>
      </w:r>
      <w:r>
        <w:t>. gr.</w:t>
      </w:r>
    </w:p>
    <w:p w14:paraId="6D5DA8A4" w14:textId="3CB49CBF" w:rsidR="00103464" w:rsidRDefault="003931DA" w:rsidP="00B11828">
      <w:r>
        <w:t>Með</w:t>
      </w:r>
      <w:r w:rsidR="00103464">
        <w:t xml:space="preserve"> a</w:t>
      </w:r>
      <w:r w:rsidR="004B2E2A">
        <w:t>-</w:t>
      </w:r>
      <w:r w:rsidR="00103464">
        <w:t xml:space="preserve">lið </w:t>
      </w:r>
      <w:r w:rsidR="00667920">
        <w:t xml:space="preserve">greinarinnar </w:t>
      </w:r>
      <w:r w:rsidR="00103464">
        <w:t xml:space="preserve">er </w:t>
      </w:r>
      <w:r>
        <w:t xml:space="preserve">lagt til að </w:t>
      </w:r>
      <w:r w:rsidR="00103464">
        <w:t xml:space="preserve">afnumin </w:t>
      </w:r>
      <w:r w:rsidR="004B2E2A">
        <w:t xml:space="preserve">verði </w:t>
      </w:r>
      <w:r w:rsidR="00103464">
        <w:t>sérregla 24. gr. stjórnarskrár</w:t>
      </w:r>
      <w:r w:rsidR="005C3466">
        <w:t>innar</w:t>
      </w:r>
      <w:r w:rsidR="00103464">
        <w:t xml:space="preserve"> um að Alþingi skuli koma saman eigi síðar en </w:t>
      </w:r>
      <w:r w:rsidR="004B2E2A">
        <w:t>tíu</w:t>
      </w:r>
      <w:r w:rsidR="00103464">
        <w:t xml:space="preserve"> vikum frá því </w:t>
      </w:r>
      <w:r w:rsidR="004B2E2A">
        <w:t xml:space="preserve">að </w:t>
      </w:r>
      <w:r w:rsidR="00103464">
        <w:t xml:space="preserve">gert var kunnugt um þingrof. Af breytingunni leiðir að um samkomudag Alþingis </w:t>
      </w:r>
      <w:r w:rsidR="007F06D0">
        <w:t xml:space="preserve">við þessar aðstæður gildir </w:t>
      </w:r>
      <w:r w:rsidR="003B4EF0">
        <w:t xml:space="preserve">hér </w:t>
      </w:r>
      <w:r w:rsidR="007F06D0">
        <w:t xml:space="preserve">sem endranær </w:t>
      </w:r>
      <w:proofErr w:type="spellStart"/>
      <w:r w:rsidR="007F06D0">
        <w:t>ófrávíkjanleg</w:t>
      </w:r>
      <w:proofErr w:type="spellEnd"/>
      <w:r w:rsidR="007F06D0">
        <w:t xml:space="preserve"> regla 19. gr. fr</w:t>
      </w:r>
      <w:r w:rsidR="00C9426F">
        <w:t>umvarpsins,</w:t>
      </w:r>
      <w:r w:rsidR="007F06D0">
        <w:t xml:space="preserve"> </w:t>
      </w:r>
      <w:r w:rsidR="00667920">
        <w:t xml:space="preserve">sbr. </w:t>
      </w:r>
      <w:r w:rsidR="00033E0C">
        <w:t>ráðgerð</w:t>
      </w:r>
      <w:r w:rsidR="005C3466">
        <w:t>a</w:t>
      </w:r>
      <w:r w:rsidR="00033E0C">
        <w:t xml:space="preserve"> breyt</w:t>
      </w:r>
      <w:r w:rsidR="005D7BA1">
        <w:t>ingu á</w:t>
      </w:r>
      <w:r w:rsidR="00667920">
        <w:t xml:space="preserve"> 30. gr. stj</w:t>
      </w:r>
      <w:r w:rsidR="005D7BA1">
        <w:t>órnar</w:t>
      </w:r>
      <w:r w:rsidR="00667920">
        <w:t>skr</w:t>
      </w:r>
      <w:r w:rsidR="005D7BA1">
        <w:t>ár</w:t>
      </w:r>
      <w:r w:rsidR="005C3466">
        <w:t>innar</w:t>
      </w:r>
      <w:r w:rsidR="00C9426F">
        <w:t>,</w:t>
      </w:r>
      <w:r w:rsidR="00667920">
        <w:t xml:space="preserve"> </w:t>
      </w:r>
      <w:r w:rsidR="007F06D0">
        <w:t xml:space="preserve">á þá leið að </w:t>
      </w:r>
      <w:r w:rsidR="003B4EF0">
        <w:t xml:space="preserve">nýtt </w:t>
      </w:r>
      <w:r w:rsidR="007F06D0">
        <w:t xml:space="preserve">Alþingi skuli koma saman </w:t>
      </w:r>
      <w:r>
        <w:t xml:space="preserve">eigi síðar en </w:t>
      </w:r>
      <w:r w:rsidR="007F06D0">
        <w:t xml:space="preserve">fjórða þriðjudag frá alþingiskosningum. </w:t>
      </w:r>
      <w:r w:rsidR="003B4EF0">
        <w:t>Tillagan felur í sér styttingu á fresti fyrir samkomudag nýs Alþingis í framhaldi af þingrofi</w:t>
      </w:r>
      <w:r w:rsidR="00C9426F">
        <w:t>,</w:t>
      </w:r>
      <w:r w:rsidR="003B4EF0">
        <w:t xml:space="preserve"> sem þó er óveruleg.</w:t>
      </w:r>
    </w:p>
    <w:p w14:paraId="786F7142" w14:textId="556BBD78" w:rsidR="00F5725E" w:rsidRDefault="00A835AE" w:rsidP="00B11828">
      <w:r w:rsidRPr="00A835AE">
        <w:t xml:space="preserve">Með </w:t>
      </w:r>
      <w:proofErr w:type="spellStart"/>
      <w:r w:rsidR="003931DA">
        <w:t>b-lið</w:t>
      </w:r>
      <w:proofErr w:type="spellEnd"/>
      <w:r w:rsidR="003931DA" w:rsidRPr="00A835AE">
        <w:t xml:space="preserve"> </w:t>
      </w:r>
      <w:r w:rsidRPr="00A835AE">
        <w:t xml:space="preserve">er lögð til sú viðbót við </w:t>
      </w:r>
      <w:r w:rsidR="00C270D1">
        <w:t xml:space="preserve">ákvæði </w:t>
      </w:r>
      <w:r w:rsidRPr="00A835AE">
        <w:t xml:space="preserve">24. gr. stjórnarskrár að forseti fallist ekki á tillögu forsætisráðherra um þingrof nema að undangengnu samráði við forseta Alþingis og formenn þingflokka. </w:t>
      </w:r>
      <w:r w:rsidR="0006151A">
        <w:t xml:space="preserve">Samkvæmt gildandi reglum getur forseti ekki tekið ákvörðun um þingrof nema með atbeina ráðherra sem ber ábyrgð á þeirri ákvörðun, sbr. 1. mgr. 13., 14., 18. og 19. gr. stjórnarskrár. Með sama hætti fer ekki á milli mála að forseti verður ekki þvingaður af ráðherra til að samþykkja tillögu um þingrof. </w:t>
      </w:r>
    </w:p>
    <w:p w14:paraId="3DF8D324" w14:textId="2C144BB3" w:rsidR="00633817" w:rsidRDefault="00A835AE" w:rsidP="00B11828">
      <w:r w:rsidRPr="00A835AE">
        <w:lastRenderedPageBreak/>
        <w:t>Eftir breytinguna á stjórnarskránni árið 199</w:t>
      </w:r>
      <w:r w:rsidR="00B11828">
        <w:t>1</w:t>
      </w:r>
      <w:r w:rsidRPr="00A835AE">
        <w:t xml:space="preserve"> getur ríkisstjórn ekki lengur varist vantrausti með því að forseti samþykki tillögu </w:t>
      </w:r>
      <w:r w:rsidR="0006151A">
        <w:t xml:space="preserve">ráðherra </w:t>
      </w:r>
      <w:r w:rsidRPr="00A835AE">
        <w:t>um þingrof, enda halda þingmenn umboði sínu til kjördags</w:t>
      </w:r>
      <w:r w:rsidR="00C270D1">
        <w:t xml:space="preserve"> og er þingið því bært til ályktana án tillits til þingrofs</w:t>
      </w:r>
      <w:r w:rsidR="00892C8B">
        <w:t>, þ</w:t>
      </w:r>
      <w:r w:rsidR="005C4289">
        <w:t>ar</w:t>
      </w:r>
      <w:r w:rsidR="00B11828">
        <w:t xml:space="preserve"> </w:t>
      </w:r>
      <w:r w:rsidR="00892C8B">
        <w:t>á m</w:t>
      </w:r>
      <w:r w:rsidR="005C4289">
        <w:t>eðal</w:t>
      </w:r>
      <w:r w:rsidR="00892C8B">
        <w:t xml:space="preserve"> </w:t>
      </w:r>
      <w:r w:rsidR="00F5725E">
        <w:t>að samþykkja</w:t>
      </w:r>
      <w:r w:rsidR="00892C8B">
        <w:t xml:space="preserve"> vantraust</w:t>
      </w:r>
      <w:r w:rsidR="00DD508B">
        <w:t xml:space="preserve"> á sitjandi ríkisstjórn</w:t>
      </w:r>
      <w:r w:rsidRPr="00A835AE">
        <w:t xml:space="preserve">. Engu að síður hefur ákvörðun um þingrof </w:t>
      </w:r>
      <w:r w:rsidR="00C270D1">
        <w:t xml:space="preserve">og ákvörðun um alþingiskosningar (innan 45 daga) </w:t>
      </w:r>
      <w:proofErr w:type="spellStart"/>
      <w:r w:rsidRPr="00A835AE">
        <w:t>viðurhlutamiklar</w:t>
      </w:r>
      <w:proofErr w:type="spellEnd"/>
      <w:r w:rsidRPr="00A835AE">
        <w:t xml:space="preserve"> afleiðingar á störf Alþingis og stjórn landsmála í heild sinni. Þykir því eðlilegt að fram komi berum orðum í stjórnarskrá skylda forseta til leita eftir afstöðu forseta Alþingis og formanna þingflokka áður en </w:t>
      </w:r>
      <w:r w:rsidR="004E2702">
        <w:t xml:space="preserve">hann fellst á tillögu forsætisráðherra um þingrof og </w:t>
      </w:r>
      <w:r w:rsidR="00633817">
        <w:t>nýjar kosningar</w:t>
      </w:r>
      <w:r w:rsidRPr="00A835AE">
        <w:t xml:space="preserve">. Með þessu er tryggt að fyrir liggi hvort sitjandi ríkisstjórn nýtur enn trausts þingsins, svo og hvort mögulegt er að mynda nýja ríkisstjórn án þess að gengið sé </w:t>
      </w:r>
      <w:r w:rsidR="00351005">
        <w:t xml:space="preserve">að nýju </w:t>
      </w:r>
      <w:r w:rsidRPr="00A835AE">
        <w:t>til alþingiskosninga við þær aðstæður að sitjandi ríkisstjórn mun fyrirsjáanlega biðjast lausnar.</w:t>
      </w:r>
    </w:p>
    <w:p w14:paraId="0DC8DBE1" w14:textId="1CEEBF9A" w:rsidR="004E2702" w:rsidRDefault="00351005" w:rsidP="00B17938">
      <w:r>
        <w:t xml:space="preserve">Ekki þykir ástæða til að festa í stjórnarskrá ákvæði þess efnis að ákvörðun um þingrof verði ekki afturkölluð, t.d. </w:t>
      </w:r>
      <w:r w:rsidR="00F50414">
        <w:t xml:space="preserve">ef </w:t>
      </w:r>
      <w:r w:rsidR="00B17938">
        <w:t>nýr forsætisráðherra hefur tekið við af þeim sem gerði tillögu til forseta um þingrof</w:t>
      </w:r>
      <w:r w:rsidR="00E33522">
        <w:t xml:space="preserve"> og ný ríkisstjórn nýtur nægilegs stuðnings þingsins</w:t>
      </w:r>
      <w:r w:rsidR="00B17938">
        <w:t xml:space="preserve">. </w:t>
      </w:r>
      <w:r>
        <w:t>Fer því um hugsanlega afturköllun slíkrar ákvörðunar samkvæmt almennum reglum</w:t>
      </w:r>
      <w:r w:rsidR="00B17938">
        <w:t>. Hins vegar má gera ráð fyrir því að við slíkar aðstæður</w:t>
      </w:r>
      <w:r w:rsidR="00633817">
        <w:t xml:space="preserve">, þ.e. </w:t>
      </w:r>
      <w:r w:rsidR="00F5725E">
        <w:t>þegar</w:t>
      </w:r>
      <w:r w:rsidR="00633817">
        <w:t xml:space="preserve"> nýr forsætisráðherra ósk</w:t>
      </w:r>
      <w:r w:rsidR="00F50414">
        <w:t>ar</w:t>
      </w:r>
      <w:r w:rsidR="00633817">
        <w:t xml:space="preserve"> eftir því að ákvörðun um þingrof og nýjar kosningar </w:t>
      </w:r>
      <w:r w:rsidR="00F50414">
        <w:t xml:space="preserve">verði </w:t>
      </w:r>
      <w:r w:rsidR="00633817">
        <w:t>afturkölluð,</w:t>
      </w:r>
      <w:r w:rsidR="00B17938">
        <w:t xml:space="preserve"> </w:t>
      </w:r>
      <w:r w:rsidR="00F50414">
        <w:t xml:space="preserve">leiti </w:t>
      </w:r>
      <w:r w:rsidR="00B17938">
        <w:t>forseti eftir afstöðu forseta Alþingis og formanna þingflokka</w:t>
      </w:r>
      <w:r w:rsidR="0071287A">
        <w:t xml:space="preserve"> með svipuðum hætti og </w:t>
      </w:r>
      <w:r w:rsidR="00C66889">
        <w:t xml:space="preserve">vegna tillögu ráðherra um </w:t>
      </w:r>
      <w:r w:rsidR="0071287A">
        <w:t>þingrof.</w:t>
      </w:r>
    </w:p>
    <w:p w14:paraId="6DA80B5F" w14:textId="77777777" w:rsidR="001E7119" w:rsidRDefault="001E7119" w:rsidP="00C270D1">
      <w:pPr>
        <w:ind w:firstLine="0"/>
      </w:pPr>
    </w:p>
    <w:p w14:paraId="62C92409" w14:textId="77777777" w:rsidR="001E7119" w:rsidRDefault="001E7119" w:rsidP="001E7119">
      <w:pPr>
        <w:pStyle w:val="Greinarnmer"/>
      </w:pPr>
      <w:r>
        <w:t>Um 1</w:t>
      </w:r>
      <w:r w:rsidR="006727CD">
        <w:t>5</w:t>
      </w:r>
      <w:r>
        <w:t>. gr.</w:t>
      </w:r>
    </w:p>
    <w:p w14:paraId="3A8DDFB8" w14:textId="5BE2EB12" w:rsidR="00444A3A" w:rsidRDefault="00E33522" w:rsidP="000F026D">
      <w:r>
        <w:t>Í þessari grein frumvarpsins eru lagðar til breytingar á 26. gr. stjórnarskrár</w:t>
      </w:r>
      <w:r w:rsidR="0071287A">
        <w:t xml:space="preserve"> án þess að hreyft sé við grunnhlutverki forseta</w:t>
      </w:r>
      <w:r w:rsidR="00444A3A">
        <w:t xml:space="preserve"> við staðfestingu laga</w:t>
      </w:r>
      <w:r>
        <w:t>.</w:t>
      </w:r>
      <w:r w:rsidR="00444A3A">
        <w:t xml:space="preserve"> Er sú nálgun meðal annars í samræmi við niðurstöðu könnunar á viðhorfi almennings sem vikið er að í </w:t>
      </w:r>
      <w:r w:rsidR="00F613BF">
        <w:t>5. kafla</w:t>
      </w:r>
      <w:r w:rsidR="000C2DF9">
        <w:t xml:space="preserve"> </w:t>
      </w:r>
      <w:r w:rsidR="00E653CD">
        <w:t>greinargerðar</w:t>
      </w:r>
      <w:r w:rsidR="00444A3A">
        <w:t>.</w:t>
      </w:r>
    </w:p>
    <w:p w14:paraId="59785618" w14:textId="557E3798" w:rsidR="001A08EB" w:rsidRDefault="005B6160" w:rsidP="000F026D">
      <w:r>
        <w:t>Samkvæmt gildandi ákvæði er tekið fram að lög Alþingis skuli leggja fyrir forseta eigi síðar en tveim vikum eftir samþykkt þeirra án þess að fram komi innan hvaða frests forseti skuli taka ákvörðun um staðfestingu eða synjun</w:t>
      </w:r>
      <w:r w:rsidR="0091026F">
        <w:t xml:space="preserve"> laganna en </w:t>
      </w:r>
      <w:r w:rsidR="00015D91">
        <w:t xml:space="preserve">eftir hvora </w:t>
      </w:r>
      <w:r w:rsidR="0091026F">
        <w:t xml:space="preserve">ákvörðun </w:t>
      </w:r>
      <w:r w:rsidR="00E46358">
        <w:t xml:space="preserve">forseta </w:t>
      </w:r>
      <w:r w:rsidR="0091026F">
        <w:t>taka lögin gildi</w:t>
      </w:r>
      <w:r w:rsidR="001A08EB">
        <w:t xml:space="preserve">. Hefur synjun forseta því einungis þau réttaráhrif að lög eru borin undir þjóðaratkvæði til ákvörðunar um hvort þau skuli gilda áfram. Þótt vissulega geti skapast af því óhagræði í ákveðnum tilvikum að lög, sem þegar hafa tekið gildi, séu síðar felld </w:t>
      </w:r>
      <w:r w:rsidR="0020312C">
        <w:t>með þjóðaratkvæðagreiðslu</w:t>
      </w:r>
      <w:r w:rsidR="001A08EB">
        <w:t xml:space="preserve"> </w:t>
      </w:r>
      <w:r w:rsidR="0020312C">
        <w:t xml:space="preserve">er ekki lögð til </w:t>
      </w:r>
      <w:r w:rsidR="001A08EB">
        <w:t>breyting</w:t>
      </w:r>
      <w:r w:rsidR="004345F1">
        <w:t xml:space="preserve"> </w:t>
      </w:r>
      <w:r w:rsidR="0020312C">
        <w:t xml:space="preserve">hvað þetta varðar. </w:t>
      </w:r>
      <w:r w:rsidR="000F026D">
        <w:t>Er þá í fyrsta lagi horft til þess að við samþykkt lýðveldisstjórnarskrárinnar 1944 kom þetta atriði til ítarlegrar umræðu og var</w:t>
      </w:r>
      <w:r w:rsidR="00F613BF">
        <w:t>ð</w:t>
      </w:r>
      <w:r w:rsidR="000F026D">
        <w:t xml:space="preserve"> niðurstaðan þá að forseti skyldi ekki fara með svonefnt frestandi neitunarvald gagnvart lögum Alþingis heldur einungis málskotsrétt til þjóðarinnar. Þá er til þess að líta að </w:t>
      </w:r>
      <w:r w:rsidR="004345F1">
        <w:t xml:space="preserve">í þeim tilvikum sem forseti hefur synjað staðfestingu laga </w:t>
      </w:r>
      <w:r w:rsidR="000F026D">
        <w:t xml:space="preserve">Alþingis </w:t>
      </w:r>
      <w:r w:rsidR="00A8224F">
        <w:t>sýnist</w:t>
      </w:r>
      <w:r w:rsidR="004345F1">
        <w:t xml:space="preserve"> þetta </w:t>
      </w:r>
      <w:r w:rsidR="000F026D">
        <w:t xml:space="preserve">atriði </w:t>
      </w:r>
      <w:r w:rsidR="004345F1">
        <w:t xml:space="preserve">ekki </w:t>
      </w:r>
      <w:r w:rsidR="00A8224F">
        <w:t xml:space="preserve">hafa </w:t>
      </w:r>
      <w:r w:rsidR="004345F1">
        <w:t xml:space="preserve">valdið teljandi vandkvæðum. </w:t>
      </w:r>
      <w:r w:rsidR="000F026D">
        <w:t>Að lokum</w:t>
      </w:r>
      <w:r w:rsidR="004345F1">
        <w:t xml:space="preserve"> er ljóst að einstaklingar og lögaðilar geta </w:t>
      </w:r>
      <w:r w:rsidR="00A8224F">
        <w:t xml:space="preserve">einungis </w:t>
      </w:r>
      <w:r w:rsidR="004345F1">
        <w:t>bundið mjög takmarkaðar væntingar við lög sem bíða úrlausnar um endanlegt gildi í þjóðaratkvæðagreiðslu</w:t>
      </w:r>
      <w:r w:rsidR="000C2455">
        <w:t xml:space="preserve"> og verður einnig að gera ráð fyrir því að stjórnvöld </w:t>
      </w:r>
      <w:r w:rsidR="00015D91">
        <w:t>gæti</w:t>
      </w:r>
      <w:r w:rsidR="000C2455">
        <w:t xml:space="preserve"> mikillar varkárni við hvers kyns beiting</w:t>
      </w:r>
      <w:r w:rsidR="00BE31EB">
        <w:t>u</w:t>
      </w:r>
      <w:r w:rsidR="000C2455">
        <w:t xml:space="preserve"> slíkra laga gagnvart einkaaðilum eða í þágu þeirra</w:t>
      </w:r>
      <w:r w:rsidR="005C02EA">
        <w:t>, svo sem með veitingu leyfa</w:t>
      </w:r>
      <w:r w:rsidR="00702349">
        <w:t xml:space="preserve"> á grundvelli laganna.</w:t>
      </w:r>
    </w:p>
    <w:p w14:paraId="788BB4FA" w14:textId="0E39325E" w:rsidR="000C2455" w:rsidRDefault="0091026F" w:rsidP="0043504E">
      <w:r>
        <w:t xml:space="preserve">Í framkvæmd hefur forseti látið </w:t>
      </w:r>
      <w:r w:rsidR="00702349">
        <w:t xml:space="preserve">uppi </w:t>
      </w:r>
      <w:r>
        <w:t xml:space="preserve">synjun sína </w:t>
      </w:r>
      <w:r w:rsidR="00BE31EB">
        <w:t xml:space="preserve">skv. </w:t>
      </w:r>
      <w:r w:rsidR="00702349">
        <w:t xml:space="preserve">26. gr. stjórnarskrár </w:t>
      </w:r>
      <w:r>
        <w:t xml:space="preserve">með </w:t>
      </w:r>
      <w:r w:rsidR="006C52EE">
        <w:t xml:space="preserve">afdráttarlausri yfirlýsingu og sýnist því aldrei hafa verið uppi vafi </w:t>
      </w:r>
      <w:r w:rsidR="00772EB8">
        <w:t>um afstöðu forseta að þessu leyti</w:t>
      </w:r>
      <w:r w:rsidR="00444A3A">
        <w:t xml:space="preserve"> eða hvenær lög taka gildi á grundvelli synjunar</w:t>
      </w:r>
      <w:r w:rsidR="006C52EE">
        <w:t xml:space="preserve">. Sýnist og </w:t>
      </w:r>
      <w:r w:rsidR="00E46358">
        <w:t>sjálfsagt</w:t>
      </w:r>
      <w:r w:rsidR="006C52EE">
        <w:t xml:space="preserve"> að forseti geri sjálfur grein fyrir því hvaða frest hann tekur sér til þess að taka afstöðu til laga Alþingis </w:t>
      </w:r>
      <w:r w:rsidR="00BE31EB">
        <w:t xml:space="preserve">skv. </w:t>
      </w:r>
      <w:r w:rsidR="006C52EE">
        <w:t>26. gr. stjórnarskrár</w:t>
      </w:r>
      <w:r w:rsidR="001014F8">
        <w:t>innar</w:t>
      </w:r>
      <w:r w:rsidR="006C52EE">
        <w:t xml:space="preserve"> eða skýri </w:t>
      </w:r>
      <w:r w:rsidR="000C2455">
        <w:t xml:space="preserve">þá nánar </w:t>
      </w:r>
      <w:r w:rsidR="006C52EE">
        <w:t xml:space="preserve">afstöðu sína ef </w:t>
      </w:r>
      <w:r w:rsidR="00772EB8">
        <w:t>eftir því er kallað</w:t>
      </w:r>
      <w:r w:rsidR="006C52EE">
        <w:t xml:space="preserve">. </w:t>
      </w:r>
      <w:r w:rsidR="00B2704A">
        <w:t xml:space="preserve">Er því ekki lagt til að í stjórnarskrá verði kveðið á um tiltekinn frest </w:t>
      </w:r>
      <w:r w:rsidR="00702349">
        <w:t xml:space="preserve">forseta </w:t>
      </w:r>
      <w:r w:rsidR="00B2704A">
        <w:t>vegna ákvörðunar</w:t>
      </w:r>
      <w:r w:rsidR="00702349">
        <w:t>innar</w:t>
      </w:r>
      <w:r w:rsidR="00B2704A">
        <w:t xml:space="preserve">. Hins vegar hefur verið </w:t>
      </w:r>
      <w:r w:rsidR="00297090">
        <w:t xml:space="preserve">um það </w:t>
      </w:r>
      <w:r w:rsidR="00B2704A">
        <w:t>deilt</w:t>
      </w:r>
      <w:r w:rsidR="00297090">
        <w:t xml:space="preserve">, einkum í framhaldi af synjun forseta við staðfestingu svonefndra fjölmiðlalaga árið 2004, </w:t>
      </w:r>
      <w:r w:rsidR="00B2704A">
        <w:t xml:space="preserve">hvort Alþingi geti </w:t>
      </w:r>
      <w:r w:rsidR="00CB3D70">
        <w:t xml:space="preserve">afturkallað samþykkt sína, þ.e. fellt hlutaðeigandi </w:t>
      </w:r>
      <w:r w:rsidR="00CB3D70">
        <w:lastRenderedPageBreak/>
        <w:t xml:space="preserve">lög úr gildi, </w:t>
      </w:r>
      <w:r w:rsidR="00772EB8">
        <w:t xml:space="preserve">og þá </w:t>
      </w:r>
      <w:r w:rsidR="00CB3D70">
        <w:t>með þeim réttaráhrifum að þjóðaratkvæða</w:t>
      </w:r>
      <w:r w:rsidR="00BE31EB">
        <w:softHyphen/>
      </w:r>
      <w:r w:rsidR="00CB3D70">
        <w:t xml:space="preserve">greiðsla um </w:t>
      </w:r>
      <w:r w:rsidR="00015D91">
        <w:t>þau</w:t>
      </w:r>
      <w:r w:rsidR="00CB3D70">
        <w:t xml:space="preserve"> </w:t>
      </w:r>
      <w:r w:rsidR="00772EB8">
        <w:t>falli niður</w:t>
      </w:r>
      <w:r w:rsidR="00CB3D70">
        <w:t xml:space="preserve">. Rétt þykir að </w:t>
      </w:r>
      <w:r w:rsidR="00772EB8">
        <w:t>taka af vafa um þetta atriði</w:t>
      </w:r>
      <w:r w:rsidR="00CB3D70">
        <w:t xml:space="preserve"> með því að bundið verði í stjórnarskrá að samþykkt Alþingis á þessa leið hafi umrædd áhrif enda sé hún gerð í beinu framhaldi af synjun forseta, þ.e. innan fimm daga</w:t>
      </w:r>
      <w:r w:rsidR="00772EB8">
        <w:t xml:space="preserve"> frá synjun</w:t>
      </w:r>
      <w:r w:rsidR="00CB3D70">
        <w:t>.</w:t>
      </w:r>
      <w:r w:rsidR="000C2455">
        <w:t xml:space="preserve"> Ljóst er að heimildin </w:t>
      </w:r>
      <w:r w:rsidR="002C6EC5">
        <w:t>getur skapað</w:t>
      </w:r>
      <w:r w:rsidR="000C2455">
        <w:t xml:space="preserve"> þá hættu að Alþingi samþykki </w:t>
      </w:r>
      <w:r w:rsidR="00EE412F">
        <w:t>síðar sömu lög</w:t>
      </w:r>
      <w:r w:rsidR="002C6EC5">
        <w:t xml:space="preserve"> óbreytt eða með einungis</w:t>
      </w:r>
      <w:r w:rsidR="00EE412F">
        <w:t xml:space="preserve"> óverulegum breytingum</w:t>
      </w:r>
      <w:r w:rsidR="008646D0">
        <w:t>, jafnvel</w:t>
      </w:r>
      <w:r w:rsidR="002C6EC5">
        <w:t xml:space="preserve"> þannig að </w:t>
      </w:r>
      <w:r w:rsidR="00952B08">
        <w:t xml:space="preserve">um </w:t>
      </w:r>
      <w:r w:rsidR="002C6EC5">
        <w:t xml:space="preserve">þrátefli </w:t>
      </w:r>
      <w:r w:rsidR="00444A3A">
        <w:t>verði</w:t>
      </w:r>
      <w:r w:rsidR="002C6EC5">
        <w:t xml:space="preserve"> </w:t>
      </w:r>
      <w:r w:rsidR="00667920">
        <w:t xml:space="preserve">að ræða </w:t>
      </w:r>
      <w:r w:rsidR="002C6EC5">
        <w:t>á milli þings og forseta</w:t>
      </w:r>
      <w:r w:rsidR="00952B08">
        <w:t xml:space="preserve">. </w:t>
      </w:r>
      <w:r w:rsidR="0043504E">
        <w:t xml:space="preserve">Hér verður </w:t>
      </w:r>
      <w:r w:rsidR="008646D0">
        <w:t xml:space="preserve">þó </w:t>
      </w:r>
      <w:r w:rsidR="0043504E">
        <w:t xml:space="preserve">að treysta Alþingi til að beita </w:t>
      </w:r>
      <w:r w:rsidR="008646D0">
        <w:t xml:space="preserve">fyrirhugaðri </w:t>
      </w:r>
      <w:r w:rsidR="0043504E">
        <w:t xml:space="preserve">heimild sinni á málefnalegan hátt auk þess sem forseti </w:t>
      </w:r>
      <w:r w:rsidR="00EE412F">
        <w:t xml:space="preserve">getur </w:t>
      </w:r>
      <w:r w:rsidR="00395E82">
        <w:t xml:space="preserve">ávallt </w:t>
      </w:r>
      <w:r w:rsidR="00EE412F">
        <w:t xml:space="preserve">beitt heimild sinni </w:t>
      </w:r>
      <w:r w:rsidR="00BE31EB">
        <w:t xml:space="preserve">skv. </w:t>
      </w:r>
      <w:r w:rsidR="00EE412F">
        <w:t>26. gr. stjórnarskrár</w:t>
      </w:r>
      <w:r w:rsidR="0043504E">
        <w:t xml:space="preserve"> </w:t>
      </w:r>
      <w:r w:rsidR="008646D0">
        <w:t xml:space="preserve">að nýju </w:t>
      </w:r>
      <w:r w:rsidR="0043504E">
        <w:t xml:space="preserve">ef </w:t>
      </w:r>
      <w:r w:rsidR="008646D0">
        <w:t xml:space="preserve">hann telur </w:t>
      </w:r>
      <w:r w:rsidR="0043504E">
        <w:t xml:space="preserve">ný lög sambærileg </w:t>
      </w:r>
      <w:r w:rsidR="008646D0">
        <w:t xml:space="preserve">þeim sem hann </w:t>
      </w:r>
      <w:r w:rsidR="00BE31EB">
        <w:t xml:space="preserve">synjaði </w:t>
      </w:r>
      <w:r w:rsidR="008646D0">
        <w:t>áður</w:t>
      </w:r>
      <w:r w:rsidR="0043504E">
        <w:t>.</w:t>
      </w:r>
    </w:p>
    <w:p w14:paraId="22AAC7FE" w14:textId="33D7D9D4" w:rsidR="005B6160" w:rsidRDefault="00986AE2" w:rsidP="006C52EE">
      <w:r>
        <w:t xml:space="preserve">Um framkvæmd þjóðaratkvæðagreiðslu á grundvelli 26. gr. stjórnarskrár gilda nú lög nr. 91/2010 og hafa slíkar þjóðaratkvæðagreiðslur farið </w:t>
      </w:r>
      <w:r w:rsidR="00297090">
        <w:t>fram tvívegis, ári</w:t>
      </w:r>
      <w:r w:rsidR="00395E82">
        <w:t>n</w:t>
      </w:r>
      <w:r w:rsidR="00297090">
        <w:t xml:space="preserve"> 2010 og 2011, án þess að séð verði að </w:t>
      </w:r>
      <w:r w:rsidR="00E46358">
        <w:t xml:space="preserve">teljandi </w:t>
      </w:r>
      <w:r w:rsidR="00297090">
        <w:t xml:space="preserve">vandkvæði hafi komið upp í framkvæmd. </w:t>
      </w:r>
      <w:r w:rsidR="00E46358">
        <w:t xml:space="preserve">Sýnist því ekki ástæða til að </w:t>
      </w:r>
      <w:r w:rsidR="00171F9D">
        <w:t>kveða</w:t>
      </w:r>
      <w:r w:rsidR="00E46358">
        <w:t xml:space="preserve"> nánar á um framkvæmd þjóðaratkvæðagreiðslu </w:t>
      </w:r>
      <w:r w:rsidR="00171F9D">
        <w:t xml:space="preserve">í stjórnarskrá </w:t>
      </w:r>
      <w:r w:rsidR="00E46358">
        <w:t>en nú er gert.</w:t>
      </w:r>
    </w:p>
    <w:p w14:paraId="0CC727C7" w14:textId="77777777" w:rsidR="001E7119" w:rsidRDefault="001E7119" w:rsidP="00E46358">
      <w:pPr>
        <w:ind w:firstLine="0"/>
      </w:pPr>
    </w:p>
    <w:p w14:paraId="4F4DC23A" w14:textId="77777777" w:rsidR="001E7119" w:rsidRDefault="001E7119" w:rsidP="001E7119">
      <w:pPr>
        <w:pStyle w:val="Greinarnmer"/>
      </w:pPr>
      <w:r>
        <w:t>Um 1</w:t>
      </w:r>
      <w:r w:rsidR="006727CD">
        <w:t>6</w:t>
      </w:r>
      <w:r>
        <w:t>. gr.</w:t>
      </w:r>
    </w:p>
    <w:p w14:paraId="7521091A" w14:textId="7476DD3A" w:rsidR="008C6301" w:rsidRPr="008C6301" w:rsidRDefault="008C6301" w:rsidP="008C6301">
      <w:r w:rsidRPr="008C6301">
        <w:t xml:space="preserve">Með greininni er lögð til breyting á 27. gr. stjórnarskrár til samræmis við gildandi lög og dómaframkvæmd. Greinin þarfnast ekki </w:t>
      </w:r>
      <w:r w:rsidR="009F6BFA">
        <w:t xml:space="preserve">frekari </w:t>
      </w:r>
      <w:r w:rsidRPr="008C6301">
        <w:t>skýringa.</w:t>
      </w:r>
    </w:p>
    <w:p w14:paraId="0F672914" w14:textId="77777777" w:rsidR="001E7119" w:rsidRDefault="001E7119" w:rsidP="008C6301">
      <w:pPr>
        <w:ind w:firstLine="0"/>
      </w:pPr>
    </w:p>
    <w:p w14:paraId="039F96D9" w14:textId="77777777" w:rsidR="001E7119" w:rsidRDefault="001E7119" w:rsidP="001E7119">
      <w:pPr>
        <w:pStyle w:val="Greinarnmer"/>
      </w:pPr>
      <w:r>
        <w:t>Um 1</w:t>
      </w:r>
      <w:r w:rsidR="006727CD">
        <w:t>7</w:t>
      </w:r>
      <w:r>
        <w:t>. gr.</w:t>
      </w:r>
    </w:p>
    <w:p w14:paraId="1C6AA740" w14:textId="4283C720" w:rsidR="00791C05" w:rsidRPr="00791C05" w:rsidRDefault="00791C05" w:rsidP="008669F9">
      <w:r w:rsidRPr="00791C05">
        <w:t xml:space="preserve">Með þessari grein frumvarpsins er lagt til að </w:t>
      </w:r>
      <w:r w:rsidR="00FD39BF">
        <w:t>1.</w:t>
      </w:r>
      <w:r w:rsidR="00FD39BF" w:rsidRPr="00791C05">
        <w:t xml:space="preserve"> </w:t>
      </w:r>
      <w:proofErr w:type="spellStart"/>
      <w:r w:rsidRPr="00791C05">
        <w:t>málsl</w:t>
      </w:r>
      <w:proofErr w:type="spellEnd"/>
      <w:r w:rsidR="00FD39BF">
        <w:t>.</w:t>
      </w:r>
      <w:r w:rsidRPr="00791C05">
        <w:t xml:space="preserve"> 29. gr. stjórnarskrárinnar falli </w:t>
      </w:r>
      <w:r w:rsidR="00120977">
        <w:t>brott</w:t>
      </w:r>
      <w:r w:rsidR="00120977" w:rsidRPr="00791C05">
        <w:t xml:space="preserve"> </w:t>
      </w:r>
      <w:r w:rsidRPr="00791C05">
        <w:t xml:space="preserve">en almenn samstaða er um að það ákvæði samræmist illa grunnreglum um sjálfstæði ákæruvaldsins, sbr. </w:t>
      </w:r>
      <w:r w:rsidRPr="00E824C7">
        <w:t>18. gr. fr</w:t>
      </w:r>
      <w:r w:rsidR="00015D91" w:rsidRPr="00E824C7">
        <w:t>umvarpsins</w:t>
      </w:r>
      <w:r w:rsidRPr="00791C05">
        <w:t xml:space="preserve">. </w:t>
      </w:r>
      <w:r w:rsidR="005A63C5">
        <w:t xml:space="preserve">Með því að </w:t>
      </w:r>
      <w:r w:rsidR="004B2E2A">
        <w:t>gera</w:t>
      </w:r>
      <w:r w:rsidR="005A63C5">
        <w:t xml:space="preserve"> ráð fyrir því að (formleg) heimild forseta til að fella niður saksókn falli </w:t>
      </w:r>
      <w:r w:rsidR="00120977">
        <w:t xml:space="preserve">brott </w:t>
      </w:r>
      <w:r w:rsidR="005A63C5">
        <w:t xml:space="preserve">er ekki ástæða til þess að </w:t>
      </w:r>
      <w:r w:rsidR="00EE412F">
        <w:t xml:space="preserve">viðhalda </w:t>
      </w:r>
      <w:r w:rsidR="00FD39BF">
        <w:t xml:space="preserve">þeim hluta </w:t>
      </w:r>
      <w:r w:rsidR="008646D0">
        <w:t>3</w:t>
      </w:r>
      <w:r w:rsidR="005A63C5">
        <w:t>. málslið</w:t>
      </w:r>
      <w:r w:rsidR="00EE412F">
        <w:t>ar</w:t>
      </w:r>
      <w:r w:rsidR="005A63C5">
        <w:t xml:space="preserve"> greinarinnar </w:t>
      </w:r>
      <w:r w:rsidR="00FD39BF">
        <w:t>er snýr að</w:t>
      </w:r>
      <w:r w:rsidR="00EE412F">
        <w:t xml:space="preserve"> niðurfelling</w:t>
      </w:r>
      <w:r w:rsidR="00FD39BF">
        <w:t>u</w:t>
      </w:r>
      <w:r w:rsidR="00EE412F">
        <w:t xml:space="preserve"> saksóknar gegn ráðherra</w:t>
      </w:r>
      <w:r w:rsidR="008669F9">
        <w:t xml:space="preserve">. </w:t>
      </w:r>
    </w:p>
    <w:p w14:paraId="429F005E" w14:textId="77777777" w:rsidR="001E7119" w:rsidRDefault="001E7119" w:rsidP="00791C05">
      <w:pPr>
        <w:ind w:firstLine="0"/>
      </w:pPr>
    </w:p>
    <w:p w14:paraId="68DDDFE0" w14:textId="77777777" w:rsidR="001E7119" w:rsidRDefault="001E7119" w:rsidP="001E7119">
      <w:pPr>
        <w:pStyle w:val="Greinarnmer"/>
      </w:pPr>
      <w:r>
        <w:t>Um 1</w:t>
      </w:r>
      <w:r w:rsidR="006727CD">
        <w:t>8</w:t>
      </w:r>
      <w:r>
        <w:t>. gr.</w:t>
      </w:r>
    </w:p>
    <w:p w14:paraId="22E28A64" w14:textId="682588A5" w:rsidR="00791C05" w:rsidRPr="00791C05" w:rsidRDefault="00791C05" w:rsidP="00791C05">
      <w:r w:rsidRPr="00791C05">
        <w:t>Með þessari grein frumvarpsins er lagt til að ákvæði 30. gr. stjórnarskrár</w:t>
      </w:r>
      <w:r w:rsidR="001014F8">
        <w:t>innar</w:t>
      </w:r>
      <w:r w:rsidRPr="00791C05">
        <w:t xml:space="preserve"> um heimild forseta til að veita undanþágur frá lögum „samkvæmt reglum, sem farið hefur verið eftir hingað til“ </w:t>
      </w:r>
      <w:r w:rsidR="00761B75">
        <w:t>falli</w:t>
      </w:r>
      <w:r w:rsidRPr="00791C05">
        <w:t xml:space="preserve"> </w:t>
      </w:r>
      <w:r w:rsidR="00120977">
        <w:t>brott</w:t>
      </w:r>
      <w:r w:rsidRPr="00791C05">
        <w:t xml:space="preserve">. Ákvæðið verður rakið til dönsku stjórnarskrárinnar </w:t>
      </w:r>
      <w:r w:rsidR="005A42B9">
        <w:t xml:space="preserve">frá </w:t>
      </w:r>
      <w:r w:rsidRPr="00791C05">
        <w:t xml:space="preserve">1849 og </w:t>
      </w:r>
      <w:r w:rsidR="00F971DB">
        <w:t>grundvallast á</w:t>
      </w:r>
      <w:r w:rsidRPr="00791C05">
        <w:t xml:space="preserve"> söguleg</w:t>
      </w:r>
      <w:r w:rsidR="00F971DB">
        <w:t>um</w:t>
      </w:r>
      <w:r w:rsidRPr="00791C05">
        <w:t xml:space="preserve"> forsendu</w:t>
      </w:r>
      <w:r w:rsidR="00F971DB">
        <w:t>m</w:t>
      </w:r>
      <w:r w:rsidRPr="00791C05">
        <w:t xml:space="preserve"> sem fyrir löngu eru úreltar. Almenn</w:t>
      </w:r>
      <w:r w:rsidR="00395E82">
        <w:t xml:space="preserve">t </w:t>
      </w:r>
      <w:r w:rsidRPr="00791C05">
        <w:t xml:space="preserve">er </w:t>
      </w:r>
      <w:r w:rsidR="00395E82">
        <w:t>viðurkennt</w:t>
      </w:r>
      <w:r w:rsidR="00395E82" w:rsidRPr="00791C05">
        <w:t xml:space="preserve"> </w:t>
      </w:r>
      <w:r w:rsidRPr="00791C05">
        <w:t xml:space="preserve">að </w:t>
      </w:r>
      <w:r w:rsidR="00E42826">
        <w:t>eðlilegt sé að afnema</w:t>
      </w:r>
      <w:r w:rsidRPr="00791C05">
        <w:t xml:space="preserve"> ákvæðið í heild sinni. Þá er lagt til að í stað ákvæðis 30. gr. komi </w:t>
      </w:r>
      <w:r w:rsidR="00395E82">
        <w:t>ný efnis</w:t>
      </w:r>
      <w:r w:rsidRPr="00791C05">
        <w:t>ákvæði sem lút</w:t>
      </w:r>
      <w:r w:rsidR="00015D91">
        <w:t>i</w:t>
      </w:r>
      <w:r w:rsidRPr="00791C05">
        <w:t xml:space="preserve"> að skipan ákæruvalds, sjálfstæði ríkissaksóknara sem æðsta handhafa þess valds og verndar hans í starfi. Greinin er í </w:t>
      </w:r>
      <w:r w:rsidR="0043504E">
        <w:t xml:space="preserve">efnislegu </w:t>
      </w:r>
      <w:r w:rsidRPr="00791C05">
        <w:t>samræmi við hugmyndir stjórnlaganefndar (2011) og 104. gr. frumvarp</w:t>
      </w:r>
      <w:r w:rsidR="005A42B9">
        <w:t>s</w:t>
      </w:r>
      <w:r w:rsidRPr="00791C05">
        <w:t xml:space="preserve"> </w:t>
      </w:r>
      <w:r w:rsidR="005D7BA1">
        <w:t>s</w:t>
      </w:r>
      <w:r w:rsidRPr="00791C05">
        <w:t>tjórnlaga</w:t>
      </w:r>
      <w:r w:rsidR="008669F9">
        <w:t>ráðs</w:t>
      </w:r>
      <w:r w:rsidRPr="00791C05">
        <w:t xml:space="preserve"> </w:t>
      </w:r>
      <w:r w:rsidR="00761B75">
        <w:t>(2011)</w:t>
      </w:r>
      <w:r w:rsidRPr="00791C05">
        <w:t>.</w:t>
      </w:r>
    </w:p>
    <w:p w14:paraId="67E3D506" w14:textId="77777777" w:rsidR="001E7119" w:rsidRDefault="001E7119" w:rsidP="00F971DB">
      <w:pPr>
        <w:ind w:firstLine="0"/>
      </w:pPr>
    </w:p>
    <w:p w14:paraId="2A7037F3" w14:textId="77777777" w:rsidR="001E7119" w:rsidRDefault="001E7119" w:rsidP="001E7119">
      <w:pPr>
        <w:pStyle w:val="Greinarnmer"/>
      </w:pPr>
      <w:bookmarkStart w:id="7" w:name="_Hlk12984555"/>
      <w:r>
        <w:t>Um 1</w:t>
      </w:r>
      <w:r w:rsidR="006727CD">
        <w:t>9</w:t>
      </w:r>
      <w:r>
        <w:t>. gr.</w:t>
      </w:r>
    </w:p>
    <w:p w14:paraId="1FAE2984" w14:textId="3A1EB3A6" w:rsidR="008C1A74" w:rsidRDefault="00804E17" w:rsidP="00A54E19">
      <w:r>
        <w:t xml:space="preserve">Lagt er til </w:t>
      </w:r>
      <w:r w:rsidR="0085726F" w:rsidRPr="0085726F">
        <w:t xml:space="preserve">að </w:t>
      </w:r>
      <w:r>
        <w:t xml:space="preserve">í 1. mgr. 35. gr. stjórnarskrár verði </w:t>
      </w:r>
      <w:r w:rsidR="007E0A3B">
        <w:t>samkomudegi</w:t>
      </w:r>
      <w:r w:rsidR="007E0A3B" w:rsidRPr="0085726F">
        <w:t xml:space="preserve"> </w:t>
      </w:r>
      <w:r w:rsidR="0085726F" w:rsidRPr="0085726F">
        <w:t>nýs Alþingis eftir alþingiskosningar</w:t>
      </w:r>
      <w:r w:rsidR="0085726F">
        <w:t xml:space="preserve"> </w:t>
      </w:r>
      <w:r w:rsidR="007E0A3B">
        <w:t>hagað þannig að þingið</w:t>
      </w:r>
      <w:r w:rsidR="0085726F" w:rsidRPr="0085726F">
        <w:t xml:space="preserve"> komi til funda eins fljótt og raunhæft og haganlegt má telja eftir kosningar. Tekur tillaga</w:t>
      </w:r>
      <w:r w:rsidR="00F971DB">
        <w:t>n</w:t>
      </w:r>
      <w:r w:rsidR="0085726F" w:rsidRPr="0085726F">
        <w:t xml:space="preserve"> mið af hugmyndum stjórnlaganefndar og frumvarpi </w:t>
      </w:r>
      <w:r w:rsidR="005D7BA1">
        <w:t>s</w:t>
      </w:r>
      <w:r w:rsidR="0085726F" w:rsidRPr="0085726F">
        <w:t>tjórnlagaráðs, þó þannig a</w:t>
      </w:r>
      <w:r w:rsidR="00794A78">
        <w:t>ð í stað tveggja vikna frests þykir haganlegt</w:t>
      </w:r>
      <w:r w:rsidR="00667920">
        <w:t>, að höfðu samráði við forseta Alþingis,</w:t>
      </w:r>
      <w:r w:rsidR="00794A78">
        <w:t xml:space="preserve"> að miða við </w:t>
      </w:r>
      <w:r w:rsidR="00710361">
        <w:t>fjórða</w:t>
      </w:r>
      <w:r w:rsidR="00794A78">
        <w:t xml:space="preserve"> þriðjudag </w:t>
      </w:r>
      <w:r w:rsidR="007E0A3B">
        <w:t xml:space="preserve">að afloknum kosningum </w:t>
      </w:r>
      <w:r w:rsidR="00794A78">
        <w:t>og er þá h</w:t>
      </w:r>
      <w:r w:rsidR="00A54E19">
        <w:t xml:space="preserve">aft í huga að </w:t>
      </w:r>
      <w:proofErr w:type="spellStart"/>
      <w:r w:rsidR="00A54E19">
        <w:t>tíðkanlegt</w:t>
      </w:r>
      <w:proofErr w:type="spellEnd"/>
      <w:r w:rsidR="00A54E19">
        <w:t xml:space="preserve"> er </w:t>
      </w:r>
      <w:r w:rsidR="00794A78">
        <w:t>að gengið sé til kosninga</w:t>
      </w:r>
      <w:r w:rsidR="00A54E19">
        <w:t xml:space="preserve"> á annaðhvort laugardögum eða sunnudögum</w:t>
      </w:r>
      <w:r w:rsidR="0085726F" w:rsidRPr="0085726F">
        <w:t xml:space="preserve">. </w:t>
      </w:r>
      <w:r w:rsidR="00951C6F">
        <w:t xml:space="preserve">Ákvæðið útilokar þó vitaskuld ekki að við sérstakar aðstæður sé ákveðið að kalla þingið saman fyrir </w:t>
      </w:r>
      <w:proofErr w:type="spellStart"/>
      <w:r w:rsidR="00951C6F">
        <w:t>áðurgreint</w:t>
      </w:r>
      <w:proofErr w:type="spellEnd"/>
      <w:r w:rsidR="00951C6F">
        <w:t xml:space="preserve"> tímamark.</w:t>
      </w:r>
    </w:p>
    <w:p w14:paraId="2E1F26EA" w14:textId="3F2F3F12" w:rsidR="0085726F" w:rsidRPr="0085726F" w:rsidRDefault="0085726F" w:rsidP="00A54E19">
      <w:r w:rsidRPr="0085726F">
        <w:t xml:space="preserve">Brýnt er að nýtt Alþingi komi saman hið fyrsta til ákvarðana um yfirstjórn og skipulag sitt, m.a. með kosningu forseta Alþingis, og verði þar með starfhæft. Með ákvæðinu felst því engin ráðagerð um að Alþingi </w:t>
      </w:r>
      <w:r w:rsidR="00A54E19">
        <w:t>verði</w:t>
      </w:r>
      <w:r w:rsidRPr="0085726F">
        <w:t xml:space="preserve"> að hefja almenn þingstörf á umræddum degi, enda er ákvörðun </w:t>
      </w:r>
      <w:r w:rsidRPr="0085726F">
        <w:lastRenderedPageBreak/>
        <w:t xml:space="preserve">um </w:t>
      </w:r>
      <w:r>
        <w:t>þetta</w:t>
      </w:r>
      <w:r w:rsidRPr="0085726F">
        <w:t xml:space="preserve"> </w:t>
      </w:r>
      <w:r w:rsidR="00513438">
        <w:t>tekin í</w:t>
      </w:r>
      <w:r w:rsidRPr="0085726F">
        <w:t xml:space="preserve"> þing</w:t>
      </w:r>
      <w:r w:rsidR="00513438">
        <w:t>inu</w:t>
      </w:r>
      <w:r w:rsidRPr="0085726F">
        <w:t xml:space="preserve"> undir yfirstjórn forseta Alþingis. Eftir að Alþingi hefur verið sett virkjast meðal annars ákvæði 3. mgr. </w:t>
      </w:r>
      <w:r w:rsidR="00BF7C6F">
        <w:t xml:space="preserve">greinarinnar </w:t>
      </w:r>
      <w:r w:rsidRPr="0085726F">
        <w:t>og getur forseti Alþingis þá hvenær sem er kvatt þingið saman til funda</w:t>
      </w:r>
      <w:r w:rsidR="00015D91">
        <w:t>,</w:t>
      </w:r>
      <w:r w:rsidRPr="0085726F">
        <w:t xml:space="preserve"> annaðhvort að eigin frumkvæði eða eftir beiðni meiri</w:t>
      </w:r>
      <w:r w:rsidR="00210AEC">
        <w:t xml:space="preserve"> </w:t>
      </w:r>
      <w:r w:rsidRPr="0085726F">
        <w:t>hluta þingmanna eða ríkisstjórnar.</w:t>
      </w:r>
      <w:r>
        <w:t xml:space="preserve"> Eftir sem áður halda þingmenn umboði sínu til næsta kjördags</w:t>
      </w:r>
      <w:r w:rsidR="00B023C0">
        <w:t xml:space="preserve"> og er því ekki um það að ræða í reynd að Alþingi sé slitið fram til þess tíma</w:t>
      </w:r>
      <w:r w:rsidR="008C1A74">
        <w:t>. G</w:t>
      </w:r>
      <w:r w:rsidR="008669F9">
        <w:t>ildir þá einu þótt starfstíma þingsins sé skipt upp í sérstök löggjafarþing</w:t>
      </w:r>
      <w:r w:rsidR="008C1A74">
        <w:t xml:space="preserve">. </w:t>
      </w:r>
    </w:p>
    <w:p w14:paraId="7C24BD57" w14:textId="37CCE16C" w:rsidR="0085726F" w:rsidRPr="0085726F" w:rsidRDefault="0085726F" w:rsidP="00B023C0">
      <w:r w:rsidRPr="0085726F">
        <w:t xml:space="preserve">Með 2. mgr. er lagt til að árlegur samkomudagur Alþingis (eða </w:t>
      </w:r>
      <w:r w:rsidR="00225D93">
        <w:t>„</w:t>
      </w:r>
      <w:r w:rsidRPr="0085726F">
        <w:t xml:space="preserve">reglulegs Alþingis”) verði eftirleiðis </w:t>
      </w:r>
      <w:r w:rsidR="00951C6F">
        <w:t xml:space="preserve">að öðru leyti </w:t>
      </w:r>
      <w:r w:rsidRPr="0085726F">
        <w:t>ákveðin</w:t>
      </w:r>
      <w:r w:rsidR="00472D95">
        <w:t>n</w:t>
      </w:r>
      <w:r w:rsidRPr="0085726F">
        <w:t xml:space="preserve"> með þingskapalögum og sé þingið þar af leiðandi óbundið af stjórnarskrá um þetta atriði. </w:t>
      </w:r>
      <w:r w:rsidR="00472D95">
        <w:t>Á</w:t>
      </w:r>
      <w:r w:rsidR="00472D95" w:rsidRPr="0085726F">
        <w:t xml:space="preserve"> </w:t>
      </w:r>
      <w:r w:rsidRPr="0085726F">
        <w:t>sama h</w:t>
      </w:r>
      <w:r w:rsidR="00472D95">
        <w:t>átt</w:t>
      </w:r>
      <w:r w:rsidRPr="0085726F">
        <w:t xml:space="preserve"> er lagt til að þing</w:t>
      </w:r>
      <w:r w:rsidR="00513438">
        <w:t>ið</w:t>
      </w:r>
      <w:r w:rsidRPr="0085726F">
        <w:t xml:space="preserve"> skipt</w:t>
      </w:r>
      <w:r w:rsidR="00513438">
        <w:t>i sjálft</w:t>
      </w:r>
      <w:r w:rsidRPr="0085726F">
        <w:t xml:space="preserve"> starfstíma sínum upp í löggjafarþing</w:t>
      </w:r>
      <w:r w:rsidR="00B023C0">
        <w:t xml:space="preserve"> en sú tilhögun haggar því þó ekki að þingið situr allt árið og í reynd óslitið fram til þess að </w:t>
      </w:r>
      <w:r w:rsidRPr="0085726F">
        <w:t xml:space="preserve">nýjar alþingiskosningar </w:t>
      </w:r>
      <w:r w:rsidR="00B023C0">
        <w:t>fara</w:t>
      </w:r>
      <w:r w:rsidRPr="0085726F">
        <w:t xml:space="preserve"> fram</w:t>
      </w:r>
      <w:r w:rsidR="00B023C0">
        <w:t xml:space="preserve"> og þingmenn missa umboð sitt</w:t>
      </w:r>
      <w:r w:rsidRPr="0085726F">
        <w:t xml:space="preserve">. </w:t>
      </w:r>
      <w:r w:rsidR="00E42826">
        <w:t xml:space="preserve">Af þessu leiðir einnig að það er þingsins að ákveða hvort og hvenær þingmál fellur niður </w:t>
      </w:r>
      <w:r w:rsidR="009D5238">
        <w:t>innan marka kjörtímabilsins</w:t>
      </w:r>
      <w:r w:rsidR="0074247C">
        <w:t xml:space="preserve">, en heimild þingsins að þessu leyti er </w:t>
      </w:r>
      <w:r w:rsidR="00667920">
        <w:t xml:space="preserve">enn frekar </w:t>
      </w:r>
      <w:r w:rsidR="0074247C">
        <w:t>áréttuð í 20. gr. fr</w:t>
      </w:r>
      <w:r w:rsidR="00472D95">
        <w:t>um</w:t>
      </w:r>
      <w:r w:rsidR="0074247C">
        <w:t>v</w:t>
      </w:r>
      <w:r w:rsidR="00472D95">
        <w:t>arpsins</w:t>
      </w:r>
      <w:r w:rsidR="00951C6F">
        <w:t xml:space="preserve">, sbr. </w:t>
      </w:r>
      <w:r w:rsidR="00CE78D9">
        <w:t>44</w:t>
      </w:r>
      <w:r w:rsidR="00951C6F">
        <w:t>. gr. stjórnarskrárinnar</w:t>
      </w:r>
      <w:r w:rsidR="009D5238">
        <w:t xml:space="preserve">. </w:t>
      </w:r>
      <w:r w:rsidRPr="0085726F">
        <w:t xml:space="preserve">Ákvæðið er að fullu í samræmi við hugmyndir stjórnlaganefndar og frumvarp </w:t>
      </w:r>
      <w:r w:rsidR="0009203D">
        <w:t>s</w:t>
      </w:r>
      <w:r w:rsidRPr="0085726F">
        <w:t>tjórnlagaráðs.</w:t>
      </w:r>
    </w:p>
    <w:p w14:paraId="3345BFA1" w14:textId="77777777" w:rsidR="00951C6F" w:rsidRDefault="0085726F" w:rsidP="00015D91">
      <w:r w:rsidRPr="0085726F">
        <w:t xml:space="preserve">Í 3. mgr. er í fyrsta lagi lagt til að </w:t>
      </w:r>
      <w:r w:rsidR="0009203D">
        <w:t>Alþingi ákveði sjálft</w:t>
      </w:r>
      <w:r w:rsidRPr="0085726F">
        <w:t xml:space="preserve"> frestun funda þing</w:t>
      </w:r>
      <w:r w:rsidR="0009203D">
        <w:t>s</w:t>
      </w:r>
      <w:r w:rsidRPr="0085726F">
        <w:t>i</w:t>
      </w:r>
      <w:r w:rsidR="0009203D">
        <w:t>n</w:t>
      </w:r>
      <w:r w:rsidRPr="0085726F">
        <w:t xml:space="preserve">s. Í stað þess að fundum Alþingis sé frestað með forsetabréfi að tillögu forsætisráðherra (yfirleitt þó </w:t>
      </w:r>
      <w:r w:rsidR="00225D93">
        <w:t xml:space="preserve">í framkvæmd </w:t>
      </w:r>
      <w:r w:rsidRPr="0085726F">
        <w:t xml:space="preserve">að undangenginni ályktun Alþingis samkvæmt síðari </w:t>
      </w:r>
      <w:proofErr w:type="spellStart"/>
      <w:r w:rsidRPr="0085726F">
        <w:t>málsl</w:t>
      </w:r>
      <w:proofErr w:type="spellEnd"/>
      <w:r w:rsidR="00EE1BBA">
        <w:t>.</w:t>
      </w:r>
      <w:r w:rsidRPr="0085726F">
        <w:t xml:space="preserve"> 1. mgr. 23. gr. stjórnarskrárinnar) er gert ráð fyrir því að atbeini handhafa framkvæmdarvalds að ákvörðun um þingfrestun </w:t>
      </w:r>
      <w:r w:rsidR="00225D93">
        <w:t xml:space="preserve">falli </w:t>
      </w:r>
      <w:r w:rsidR="00667920">
        <w:t xml:space="preserve">alfarið </w:t>
      </w:r>
      <w:r w:rsidR="00225D93">
        <w:t>niður</w:t>
      </w:r>
      <w:r w:rsidRPr="0085726F">
        <w:t>. Af orðalagi ákvæðisins leiðir að Alþingi m</w:t>
      </w:r>
      <w:r w:rsidR="00EE1BBA">
        <w:t>u</w:t>
      </w:r>
      <w:r w:rsidRPr="0085726F">
        <w:t>ndi væntanlega fresta fundum sínum með ályktun en um þetta yrði nánar</w:t>
      </w:r>
      <w:r w:rsidR="00225D93">
        <w:t xml:space="preserve"> kveðið á</w:t>
      </w:r>
      <w:r w:rsidRPr="0085726F">
        <w:t xml:space="preserve"> í þingskapalögum. </w:t>
      </w:r>
    </w:p>
    <w:p w14:paraId="6A89B5D7" w14:textId="71004AE2" w:rsidR="0085726F" w:rsidRDefault="0085726F" w:rsidP="00015D91">
      <w:r w:rsidRPr="0085726F">
        <w:t xml:space="preserve">Með </w:t>
      </w:r>
      <w:r w:rsidR="00EE1BBA">
        <w:t>2.</w:t>
      </w:r>
      <w:r w:rsidR="00EE1BBA" w:rsidRPr="0085726F">
        <w:t xml:space="preserve"> </w:t>
      </w:r>
      <w:proofErr w:type="spellStart"/>
      <w:r w:rsidRPr="0085726F">
        <w:t>málsl</w:t>
      </w:r>
      <w:proofErr w:type="spellEnd"/>
      <w:r w:rsidR="00EE1BBA">
        <w:t>.</w:t>
      </w:r>
      <w:r w:rsidRPr="0085726F">
        <w:t xml:space="preserve"> 3. mgr. er lagt til að forseti Alþingis geti ætíð kvatt þingið til funda telji hann það nauðsynlegt. Er þetta í samræmi við ákvæði 52. gr. stjórnarskrárinnar á þá leið að forseti Alþingis stýri störfum</w:t>
      </w:r>
      <w:r w:rsidR="00A54E19">
        <w:t xml:space="preserve"> </w:t>
      </w:r>
      <w:r w:rsidRPr="0085726F">
        <w:t xml:space="preserve">þingsins. Þá er lagt til að forseti Alþingis boði þingið einnig til funda ef fram </w:t>
      </w:r>
      <w:r w:rsidR="009D5238">
        <w:t xml:space="preserve">kemur </w:t>
      </w:r>
      <w:r w:rsidRPr="0085726F">
        <w:t>ósk frá meiri</w:t>
      </w:r>
      <w:r w:rsidR="00210AEC">
        <w:t xml:space="preserve"> </w:t>
      </w:r>
      <w:r w:rsidRPr="0085726F">
        <w:t xml:space="preserve">hluta þingmanna eða ríkisstjórn. Er ákvæðið að meginstefnu í samræmi við hugmyndir stjórnlaganefndar og frumvarp </w:t>
      </w:r>
      <w:r w:rsidR="00240079">
        <w:t>s</w:t>
      </w:r>
      <w:r w:rsidRPr="0085726F">
        <w:t xml:space="preserve">tjórnlagaráðs þar sem á því var byggt að það væri í ósamræmi við sjálfræði Alþingis að formleg ákvörðun um að kveðja þingið saman væri </w:t>
      </w:r>
      <w:r w:rsidR="00513438">
        <w:t>á</w:t>
      </w:r>
      <w:r w:rsidRPr="0085726F">
        <w:t xml:space="preserve"> h</w:t>
      </w:r>
      <w:r w:rsidR="00513438">
        <w:t>endi</w:t>
      </w:r>
      <w:r w:rsidRPr="0085726F">
        <w:t xml:space="preserve"> handhafa framkvæmdarvalds, svo sem </w:t>
      </w:r>
      <w:r w:rsidR="00667920">
        <w:t>leiðir af núgildandi reglum</w:t>
      </w:r>
      <w:r w:rsidRPr="0085726F">
        <w:t xml:space="preserve">. Er téð breyting þannig í samræmi við það almenna markmið </w:t>
      </w:r>
      <w:r w:rsidR="00015D91">
        <w:t xml:space="preserve">tillagna </w:t>
      </w:r>
      <w:r w:rsidR="00240079">
        <w:t>s</w:t>
      </w:r>
      <w:r w:rsidR="00763DA8">
        <w:t xml:space="preserve">tjórnlagaráðs </w:t>
      </w:r>
      <w:r w:rsidRPr="0085726F">
        <w:t>að styrkja stöðu Alþingis gagnvart handhöfum framkvæmdarvalds.</w:t>
      </w:r>
    </w:p>
    <w:p w14:paraId="4F5EB89F" w14:textId="2EE85813" w:rsidR="007D0615" w:rsidRDefault="007D0615" w:rsidP="007D0615">
      <w:pPr>
        <w:ind w:firstLine="0"/>
      </w:pPr>
    </w:p>
    <w:p w14:paraId="43F85C01" w14:textId="77777777" w:rsidR="007D0615" w:rsidRDefault="007D0615" w:rsidP="007D0615">
      <w:pPr>
        <w:pStyle w:val="Greinarnmer"/>
      </w:pPr>
      <w:r>
        <w:t>Um 20. gr.</w:t>
      </w:r>
    </w:p>
    <w:p w14:paraId="22879CF5" w14:textId="12FADFA0" w:rsidR="007D0615" w:rsidRDefault="0074247C" w:rsidP="003D75EC">
      <w:pPr>
        <w:ind w:firstLine="0"/>
      </w:pPr>
      <w:r>
        <w:t xml:space="preserve">Þótt </w:t>
      </w:r>
      <w:r w:rsidR="0065618D">
        <w:t xml:space="preserve">lagt sé til að </w:t>
      </w:r>
      <w:r>
        <w:t xml:space="preserve">í 2. mgr. </w:t>
      </w:r>
      <w:r w:rsidR="00BF6002">
        <w:t>35. gr.</w:t>
      </w:r>
      <w:r>
        <w:t xml:space="preserve"> </w:t>
      </w:r>
      <w:r w:rsidR="0064407E">
        <w:t xml:space="preserve">stjórnarskrárinnar verði </w:t>
      </w:r>
      <w:r>
        <w:t>kveðið á um að Alþingi ákveði sjálft starfstíma sinn og skipti honum niður í löggjafarþing</w:t>
      </w:r>
      <w:r w:rsidR="00BF6002">
        <w:t>, sbr. 19. gr. frumvarpsins,</w:t>
      </w:r>
      <w:r>
        <w:t xml:space="preserve"> þykir rétt að taka af öll tvímæli um að lagafrumvarp falli sjálfkrafa niður í lok kjörtímabils nema kveðið sé á um annað í þingskapalögum. </w:t>
      </w:r>
      <w:r w:rsidR="00F019FF">
        <w:t xml:space="preserve">Samkvæmt þessu er </w:t>
      </w:r>
      <w:r w:rsidR="003931DA">
        <w:t xml:space="preserve">það ótvírætt </w:t>
      </w:r>
      <w:r w:rsidR="00F019FF">
        <w:t xml:space="preserve">á forræði þingsins að ákveða hvort viðhaldið er núverandi reglu þess efnis að frumvörp falli </w:t>
      </w:r>
      <w:r w:rsidR="00033E0C">
        <w:t xml:space="preserve">sjálfkrafa </w:t>
      </w:r>
      <w:r w:rsidR="00F019FF">
        <w:t>niður í lok tiltekins löggjafarþings.</w:t>
      </w:r>
    </w:p>
    <w:bookmarkEnd w:id="7"/>
    <w:p w14:paraId="6ACCFEC3" w14:textId="77777777" w:rsidR="001E7119" w:rsidRDefault="001E7119" w:rsidP="00B023C0">
      <w:pPr>
        <w:ind w:firstLine="0"/>
      </w:pPr>
    </w:p>
    <w:p w14:paraId="555678E6" w14:textId="44A98EE6" w:rsidR="001E7119" w:rsidRDefault="001E7119" w:rsidP="001E7119">
      <w:pPr>
        <w:pStyle w:val="Greinarnmer"/>
      </w:pPr>
      <w:r>
        <w:t xml:space="preserve">Um </w:t>
      </w:r>
      <w:r w:rsidR="007D0615">
        <w:t>21</w:t>
      </w:r>
      <w:r>
        <w:t>. gr.</w:t>
      </w:r>
    </w:p>
    <w:p w14:paraId="7168E558" w14:textId="49AAD2C1" w:rsidR="001E7119" w:rsidRDefault="006727CD" w:rsidP="008C7916">
      <w:r>
        <w:t xml:space="preserve">Gert er ráð fyrir því að ákvæði </w:t>
      </w:r>
      <w:r w:rsidR="00FC38E8">
        <w:t>3</w:t>
      </w:r>
      <w:r>
        <w:t xml:space="preserve">. gr. </w:t>
      </w:r>
      <w:r w:rsidR="00FC38E8">
        <w:t xml:space="preserve">frumvarpsins </w:t>
      </w:r>
      <w:r>
        <w:t xml:space="preserve">um lengd kjörtímabils forseta </w:t>
      </w:r>
      <w:r w:rsidR="00761B75">
        <w:t xml:space="preserve">Íslands </w:t>
      </w:r>
      <w:r>
        <w:t xml:space="preserve">og takmörkun á fjölda kjörtímabila forseta svo </w:t>
      </w:r>
      <w:r w:rsidR="00F32B7F">
        <w:t xml:space="preserve">og </w:t>
      </w:r>
      <w:r w:rsidR="0014024A">
        <w:t>ákvæði 4. gr.</w:t>
      </w:r>
      <w:r w:rsidR="00F32B7F">
        <w:t xml:space="preserve"> </w:t>
      </w:r>
      <w:r w:rsidR="000973DA">
        <w:t xml:space="preserve">verði beitt frá og með næstu forsetakosningum eftir gildistöku laganna. </w:t>
      </w:r>
      <w:r w:rsidR="00761B75">
        <w:t>Kjörtímabil þess forseta sem situr þegar lögin taka gildi yrði því næst</w:t>
      </w:r>
      <w:r w:rsidR="009D5238">
        <w:t>a</w:t>
      </w:r>
      <w:r w:rsidR="00761B75">
        <w:t xml:space="preserve"> óbreytt. </w:t>
      </w:r>
      <w:r w:rsidR="000973DA">
        <w:t xml:space="preserve">Hins vegar er áréttað að um tímasetningu næstu forsetakosninga fari allt að einu eftir </w:t>
      </w:r>
      <w:r w:rsidR="000973DA" w:rsidRPr="00994F2F">
        <w:t>3. gr</w:t>
      </w:r>
      <w:r w:rsidR="00763DA8" w:rsidRPr="00994F2F">
        <w:t>. fr</w:t>
      </w:r>
      <w:r w:rsidR="00260AA6" w:rsidRPr="00994F2F">
        <w:t>umvarpsins</w:t>
      </w:r>
      <w:r w:rsidR="000973DA">
        <w:t>, þ.e. að kosningarnar verði haldnar í maí eða júní í stað júní eða júlí</w:t>
      </w:r>
      <w:r w:rsidR="00763DA8">
        <w:t xml:space="preserve"> á yfirstandandi kjörtímabili þess forseta sem situr við gildistöku laganna</w:t>
      </w:r>
      <w:r w:rsidR="000973DA">
        <w:t xml:space="preserve">. </w:t>
      </w:r>
      <w:r w:rsidR="00761B75">
        <w:lastRenderedPageBreak/>
        <w:t>Kjörtímabili þess forseta sem situr við gildistöku laganna m</w:t>
      </w:r>
      <w:r w:rsidR="0014024A">
        <w:t>u</w:t>
      </w:r>
      <w:r w:rsidR="00761B75">
        <w:t xml:space="preserve">ndi þar af leiðandi ljúka 30. júní </w:t>
      </w:r>
      <w:r w:rsidR="008C7916">
        <w:t xml:space="preserve">í stað 31. júlí. </w:t>
      </w:r>
      <w:r w:rsidR="000973DA">
        <w:t>Að öðru leyti þarfnast greinin ekki skýringar.</w:t>
      </w:r>
    </w:p>
    <w:p w14:paraId="60336058" w14:textId="77777777" w:rsidR="001E7119" w:rsidRDefault="001E7119" w:rsidP="001E7119"/>
    <w:p w14:paraId="2E040815" w14:textId="77777777" w:rsidR="001E7119" w:rsidRDefault="001E7119" w:rsidP="001E7119"/>
    <w:p w14:paraId="6BB6C79F" w14:textId="77777777" w:rsidR="00A141B9" w:rsidRPr="00012035" w:rsidRDefault="00A141B9" w:rsidP="00943B67"/>
    <w:sectPr w:rsidR="00A141B9" w:rsidRPr="00012035" w:rsidSect="00947F0E">
      <w:headerReference w:type="default" r:id="rId8"/>
      <w:headerReference w:type="first" r:id="rId9"/>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18DF4" w14:textId="77777777" w:rsidR="003874FF" w:rsidRDefault="003874FF" w:rsidP="006258D7">
      <w:r>
        <w:separator/>
      </w:r>
    </w:p>
    <w:p w14:paraId="6D2F753F" w14:textId="77777777" w:rsidR="003874FF" w:rsidRDefault="003874FF"/>
  </w:endnote>
  <w:endnote w:type="continuationSeparator" w:id="0">
    <w:p w14:paraId="53FD80FC" w14:textId="77777777" w:rsidR="003874FF" w:rsidRDefault="003874FF" w:rsidP="006258D7">
      <w:r>
        <w:continuationSeparator/>
      </w:r>
    </w:p>
    <w:p w14:paraId="3F4A17C4" w14:textId="77777777" w:rsidR="003874FF" w:rsidRDefault="0038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AA0A3" w14:textId="77777777" w:rsidR="003874FF" w:rsidRDefault="003874FF" w:rsidP="005B4CD6">
      <w:pPr>
        <w:ind w:firstLine="0"/>
      </w:pPr>
      <w:r>
        <w:separator/>
      </w:r>
    </w:p>
    <w:p w14:paraId="0B015FDD" w14:textId="77777777" w:rsidR="003874FF" w:rsidRDefault="003874FF"/>
  </w:footnote>
  <w:footnote w:type="continuationSeparator" w:id="0">
    <w:p w14:paraId="520E175D" w14:textId="77777777" w:rsidR="003874FF" w:rsidRDefault="003874FF" w:rsidP="006258D7">
      <w:r>
        <w:continuationSeparator/>
      </w:r>
    </w:p>
    <w:p w14:paraId="01A31B6A" w14:textId="77777777" w:rsidR="003874FF" w:rsidRDefault="003874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DCF25" w14:textId="42A78087" w:rsidR="00E653CD" w:rsidRDefault="00E653CD" w:rsidP="006258D7">
    <w:pPr>
      <w:pStyle w:val="Suhaus"/>
      <w:tabs>
        <w:tab w:val="clear" w:pos="4536"/>
        <w:tab w:val="clear" w:pos="9072"/>
        <w:tab w:val="center" w:pos="3969"/>
        <w:tab w:val="right" w:pos="7797"/>
      </w:tabs>
    </w:pPr>
    <w:r>
      <w:tab/>
    </w:r>
    <w:r>
      <w:fldChar w:fldCharType="begin"/>
    </w:r>
    <w:r>
      <w:instrText>PAGE   \* MERGEFORMAT</w:instrText>
    </w:r>
    <w:r>
      <w:fldChar w:fldCharType="separate"/>
    </w:r>
    <w:r>
      <w:rPr>
        <w:noProof/>
      </w:rPr>
      <w:t>2</w:t>
    </w:r>
    <w:r>
      <w:rPr>
        <w:noProof/>
      </w:rPr>
      <w:fldChar w:fldCharType="end"/>
    </w:r>
    <w:r>
      <w:rPr>
        <w:noProof/>
      </w:rP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273B43">
      <w:rPr>
        <w:b/>
        <w:i/>
        <w:noProof/>
        <w:color w:val="7F7F7F"/>
        <w:sz w:val="24"/>
        <w:szCs w:val="24"/>
      </w:rPr>
      <w:t>30. júní 2020</w:t>
    </w:r>
    <w:r>
      <w:rPr>
        <w:b/>
        <w:i/>
        <w:color w:val="7F7F7F"/>
        <w:sz w:val="24"/>
        <w:szCs w:val="24"/>
      </w:rPr>
      <w:fldChar w:fldCharType="end"/>
    </w:r>
  </w:p>
  <w:p w14:paraId="16D0BC79" w14:textId="77777777" w:rsidR="00E653CD" w:rsidRDefault="00E653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0CE56" w14:textId="7537C27F" w:rsidR="00E653CD" w:rsidRDefault="00E653CD"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273B43">
      <w:rPr>
        <w:b/>
        <w:i/>
        <w:noProof/>
        <w:color w:val="7F7F7F"/>
        <w:sz w:val="24"/>
        <w:szCs w:val="24"/>
      </w:rPr>
      <w:t>30. júní 2020</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0A48"/>
    <w:multiLevelType w:val="hybridMultilevel"/>
    <w:tmpl w:val="B4384F6E"/>
    <w:lvl w:ilvl="0" w:tplc="120CDDF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B1F4524"/>
    <w:multiLevelType w:val="hybridMultilevel"/>
    <w:tmpl w:val="5B4614AC"/>
    <w:lvl w:ilvl="0" w:tplc="30D27956">
      <w:numFmt w:val="bullet"/>
      <w:lvlText w:val="-"/>
      <w:lvlJc w:val="left"/>
      <w:pPr>
        <w:ind w:left="720" w:hanging="360"/>
      </w:pPr>
      <w:rPr>
        <w:rFonts w:ascii="Calibri" w:eastAsia="Calibri" w:hAnsi="Calibri" w:cs="Calibri"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2" w15:restartNumberingAfterBreak="0">
    <w:nsid w:val="0BCE00B6"/>
    <w:multiLevelType w:val="multilevel"/>
    <w:tmpl w:val="0560B0FA"/>
    <w:numStyleLink w:val="Althingi1-a-1-a"/>
  </w:abstractNum>
  <w:abstractNum w:abstractNumId="3" w15:restartNumberingAfterBreak="0">
    <w:nsid w:val="0C984573"/>
    <w:multiLevelType w:val="multilevel"/>
    <w:tmpl w:val="C6484E02"/>
    <w:numStyleLink w:val="Althingia-1-a-1"/>
  </w:abstractNum>
  <w:abstractNum w:abstractNumId="4"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5" w15:restartNumberingAfterBreak="0">
    <w:nsid w:val="10F5474C"/>
    <w:multiLevelType w:val="multilevel"/>
    <w:tmpl w:val="0D70FC7A"/>
    <w:numStyleLink w:val="Thingskjala-1-a-1"/>
  </w:abstractNum>
  <w:abstractNum w:abstractNumId="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7"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8"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9"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0" w15:restartNumberingAfterBreak="0">
    <w:nsid w:val="2DA97030"/>
    <w:multiLevelType w:val="multilevel"/>
    <w:tmpl w:val="C6484E02"/>
    <w:numStyleLink w:val="Althingia-1-a-1"/>
  </w:abstractNum>
  <w:abstractNum w:abstractNumId="11" w15:restartNumberingAfterBreak="0">
    <w:nsid w:val="2ECF72DB"/>
    <w:multiLevelType w:val="hybridMultilevel"/>
    <w:tmpl w:val="53020896"/>
    <w:lvl w:ilvl="0" w:tplc="248C7B36">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2" w15:restartNumberingAfterBreak="0">
    <w:nsid w:val="37EB6F82"/>
    <w:multiLevelType w:val="multilevel"/>
    <w:tmpl w:val="C6484E02"/>
    <w:numStyleLink w:val="Althingia-1-a-1"/>
  </w:abstractNum>
  <w:abstractNum w:abstractNumId="13" w15:restartNumberingAfterBreak="0">
    <w:nsid w:val="3B480B4E"/>
    <w:multiLevelType w:val="multilevel"/>
    <w:tmpl w:val="6DEC8882"/>
    <w:numStyleLink w:val="Althingi---"/>
  </w:abstractNum>
  <w:abstractNum w:abstractNumId="14"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5" w15:restartNumberingAfterBreak="0">
    <w:nsid w:val="469B75FA"/>
    <w:multiLevelType w:val="multilevel"/>
    <w:tmpl w:val="0D70FC7A"/>
    <w:numStyleLink w:val="Thingskjala-1-a-1"/>
  </w:abstractNum>
  <w:abstractNum w:abstractNumId="16" w15:restartNumberingAfterBreak="0">
    <w:nsid w:val="46A4457D"/>
    <w:multiLevelType w:val="hybridMultilevel"/>
    <w:tmpl w:val="B538B2AA"/>
    <w:lvl w:ilvl="0" w:tplc="D71A792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8" w15:restartNumberingAfterBreak="0">
    <w:nsid w:val="4FF35071"/>
    <w:multiLevelType w:val="multilevel"/>
    <w:tmpl w:val="83C6DAE2"/>
    <w:numStyleLink w:val="Althingi"/>
  </w:abstractNum>
  <w:abstractNum w:abstractNumId="19"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0" w15:restartNumberingAfterBreak="0">
    <w:nsid w:val="6F747A1A"/>
    <w:multiLevelType w:val="hybridMultilevel"/>
    <w:tmpl w:val="D26E70CC"/>
    <w:lvl w:ilvl="0" w:tplc="DDFED5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2" w15:restartNumberingAfterBreak="0">
    <w:nsid w:val="75725A38"/>
    <w:multiLevelType w:val="hybridMultilevel"/>
    <w:tmpl w:val="F0E8B0E2"/>
    <w:lvl w:ilvl="0" w:tplc="4F7E198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4" w15:restartNumberingAfterBreak="0">
    <w:nsid w:val="7B3C03CB"/>
    <w:multiLevelType w:val="hybridMultilevel"/>
    <w:tmpl w:val="3B64C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25"/>
  </w:num>
  <w:num w:numId="2">
    <w:abstractNumId w:val="19"/>
  </w:num>
  <w:num w:numId="3">
    <w:abstractNumId w:val="23"/>
  </w:num>
  <w:num w:numId="4">
    <w:abstractNumId w:val="7"/>
  </w:num>
  <w:num w:numId="5">
    <w:abstractNumId w:val="17"/>
  </w:num>
  <w:num w:numId="6">
    <w:abstractNumId w:val="21"/>
  </w:num>
  <w:num w:numId="7">
    <w:abstractNumId w:val="8"/>
  </w:num>
  <w:num w:numId="8">
    <w:abstractNumId w:val="6"/>
  </w:num>
  <w:num w:numId="9">
    <w:abstractNumId w:val="14"/>
  </w:num>
  <w:num w:numId="10">
    <w:abstractNumId w:val="9"/>
  </w:num>
  <w:num w:numId="11">
    <w:abstractNumId w:val="13"/>
  </w:num>
  <w:num w:numId="12">
    <w:abstractNumId w:val="18"/>
  </w:num>
  <w:num w:numId="13">
    <w:abstractNumId w:val="4"/>
  </w:num>
  <w:num w:numId="14">
    <w:abstractNumId w:val="11"/>
  </w:num>
  <w:num w:numId="15">
    <w:abstractNumId w:val="24"/>
  </w:num>
  <w:num w:numId="16">
    <w:abstractNumId w:val="20"/>
  </w:num>
  <w:num w:numId="17">
    <w:abstractNumId w:val="22"/>
  </w:num>
  <w:num w:numId="18">
    <w:abstractNumId w:val="0"/>
  </w:num>
  <w:num w:numId="19">
    <w:abstractNumId w:val="1"/>
  </w:num>
  <w:num w:numId="20">
    <w:abstractNumId w:val="16"/>
  </w:num>
  <w:num w:numId="21">
    <w:abstractNumId w:val="15"/>
  </w:num>
  <w:num w:numId="22">
    <w:abstractNumId w:val="5"/>
  </w:num>
  <w:num w:numId="23">
    <w:abstractNumId w:val="3"/>
  </w:num>
  <w:num w:numId="24">
    <w:abstractNumId w:val="12"/>
  </w:num>
  <w:num w:numId="25">
    <w:abstractNumId w:val="1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1980"/>
    <w:rsid w:val="00011116"/>
    <w:rsid w:val="000145B6"/>
    <w:rsid w:val="00015D91"/>
    <w:rsid w:val="0002259E"/>
    <w:rsid w:val="00022E18"/>
    <w:rsid w:val="00024B05"/>
    <w:rsid w:val="000275DF"/>
    <w:rsid w:val="000300CD"/>
    <w:rsid w:val="00030C42"/>
    <w:rsid w:val="000315E5"/>
    <w:rsid w:val="00031B11"/>
    <w:rsid w:val="000323A0"/>
    <w:rsid w:val="00033E0C"/>
    <w:rsid w:val="000421AD"/>
    <w:rsid w:val="00043591"/>
    <w:rsid w:val="00045265"/>
    <w:rsid w:val="00047200"/>
    <w:rsid w:val="0005572E"/>
    <w:rsid w:val="00055B22"/>
    <w:rsid w:val="00057545"/>
    <w:rsid w:val="00057AB7"/>
    <w:rsid w:val="0006151A"/>
    <w:rsid w:val="00062405"/>
    <w:rsid w:val="00062B91"/>
    <w:rsid w:val="00065BAC"/>
    <w:rsid w:val="00066953"/>
    <w:rsid w:val="00067B1A"/>
    <w:rsid w:val="00082B77"/>
    <w:rsid w:val="00090E89"/>
    <w:rsid w:val="0009203D"/>
    <w:rsid w:val="00093DD2"/>
    <w:rsid w:val="000953F8"/>
    <w:rsid w:val="0009602B"/>
    <w:rsid w:val="000973DA"/>
    <w:rsid w:val="000A290D"/>
    <w:rsid w:val="000A7848"/>
    <w:rsid w:val="000B2314"/>
    <w:rsid w:val="000B2579"/>
    <w:rsid w:val="000B41CE"/>
    <w:rsid w:val="000C2455"/>
    <w:rsid w:val="000C2DF9"/>
    <w:rsid w:val="000C311D"/>
    <w:rsid w:val="000C67A9"/>
    <w:rsid w:val="000D0451"/>
    <w:rsid w:val="000D160F"/>
    <w:rsid w:val="000D264F"/>
    <w:rsid w:val="000D3A69"/>
    <w:rsid w:val="000D40D8"/>
    <w:rsid w:val="000D6D9F"/>
    <w:rsid w:val="000E16E7"/>
    <w:rsid w:val="000E19B5"/>
    <w:rsid w:val="000F026D"/>
    <w:rsid w:val="000F07A0"/>
    <w:rsid w:val="000F34E0"/>
    <w:rsid w:val="000F46B1"/>
    <w:rsid w:val="000F4E8D"/>
    <w:rsid w:val="000F5A9B"/>
    <w:rsid w:val="000F6F12"/>
    <w:rsid w:val="000F7443"/>
    <w:rsid w:val="000F7448"/>
    <w:rsid w:val="001014F8"/>
    <w:rsid w:val="00103464"/>
    <w:rsid w:val="00106A9C"/>
    <w:rsid w:val="0010778C"/>
    <w:rsid w:val="00113968"/>
    <w:rsid w:val="00117680"/>
    <w:rsid w:val="00120977"/>
    <w:rsid w:val="00121408"/>
    <w:rsid w:val="001222CE"/>
    <w:rsid w:val="00122EE4"/>
    <w:rsid w:val="0012493F"/>
    <w:rsid w:val="00126D93"/>
    <w:rsid w:val="00126FFB"/>
    <w:rsid w:val="0013194D"/>
    <w:rsid w:val="00132E7E"/>
    <w:rsid w:val="001371CD"/>
    <w:rsid w:val="0014024A"/>
    <w:rsid w:val="00141838"/>
    <w:rsid w:val="00141C4A"/>
    <w:rsid w:val="0014757A"/>
    <w:rsid w:val="0015220D"/>
    <w:rsid w:val="00153C4A"/>
    <w:rsid w:val="001559DB"/>
    <w:rsid w:val="001566ED"/>
    <w:rsid w:val="0015772E"/>
    <w:rsid w:val="00160928"/>
    <w:rsid w:val="001631E6"/>
    <w:rsid w:val="00164859"/>
    <w:rsid w:val="0017167E"/>
    <w:rsid w:val="00171F9D"/>
    <w:rsid w:val="001747AC"/>
    <w:rsid w:val="00175FCC"/>
    <w:rsid w:val="00176497"/>
    <w:rsid w:val="00181038"/>
    <w:rsid w:val="001818B0"/>
    <w:rsid w:val="00184FEA"/>
    <w:rsid w:val="00186907"/>
    <w:rsid w:val="0019163E"/>
    <w:rsid w:val="001A08EB"/>
    <w:rsid w:val="001A5DDB"/>
    <w:rsid w:val="001A7A9E"/>
    <w:rsid w:val="001B24F1"/>
    <w:rsid w:val="001B2BD7"/>
    <w:rsid w:val="001C284C"/>
    <w:rsid w:val="001D5866"/>
    <w:rsid w:val="001D6DD2"/>
    <w:rsid w:val="001E32B3"/>
    <w:rsid w:val="001E532A"/>
    <w:rsid w:val="001E5CBD"/>
    <w:rsid w:val="001E7119"/>
    <w:rsid w:val="001F15EC"/>
    <w:rsid w:val="001F3C71"/>
    <w:rsid w:val="001F4224"/>
    <w:rsid w:val="001F43F1"/>
    <w:rsid w:val="002005E8"/>
    <w:rsid w:val="0020312C"/>
    <w:rsid w:val="00203D50"/>
    <w:rsid w:val="00204A18"/>
    <w:rsid w:val="00204A42"/>
    <w:rsid w:val="00206ACC"/>
    <w:rsid w:val="00210AEC"/>
    <w:rsid w:val="002138E5"/>
    <w:rsid w:val="0022006D"/>
    <w:rsid w:val="002224E3"/>
    <w:rsid w:val="00222A9F"/>
    <w:rsid w:val="00225D93"/>
    <w:rsid w:val="0023093A"/>
    <w:rsid w:val="002372A7"/>
    <w:rsid w:val="00240079"/>
    <w:rsid w:val="00240A52"/>
    <w:rsid w:val="0024240D"/>
    <w:rsid w:val="0024255A"/>
    <w:rsid w:val="00250109"/>
    <w:rsid w:val="002520C8"/>
    <w:rsid w:val="00254395"/>
    <w:rsid w:val="0025547D"/>
    <w:rsid w:val="00260AA6"/>
    <w:rsid w:val="00260FE0"/>
    <w:rsid w:val="00261771"/>
    <w:rsid w:val="002675EE"/>
    <w:rsid w:val="00270A34"/>
    <w:rsid w:val="00272242"/>
    <w:rsid w:val="002737F4"/>
    <w:rsid w:val="00273B43"/>
    <w:rsid w:val="00277D6F"/>
    <w:rsid w:val="00280C44"/>
    <w:rsid w:val="002913FE"/>
    <w:rsid w:val="00293FEE"/>
    <w:rsid w:val="002955DD"/>
    <w:rsid w:val="00295AE2"/>
    <w:rsid w:val="00296F6A"/>
    <w:rsid w:val="00297090"/>
    <w:rsid w:val="002A7005"/>
    <w:rsid w:val="002B243D"/>
    <w:rsid w:val="002B3385"/>
    <w:rsid w:val="002C1D4F"/>
    <w:rsid w:val="002C4C55"/>
    <w:rsid w:val="002C6EC5"/>
    <w:rsid w:val="002D034E"/>
    <w:rsid w:val="002D08EC"/>
    <w:rsid w:val="002D340A"/>
    <w:rsid w:val="002D74B8"/>
    <w:rsid w:val="002E4260"/>
    <w:rsid w:val="002E4905"/>
    <w:rsid w:val="002E4E50"/>
    <w:rsid w:val="002E7193"/>
    <w:rsid w:val="002F36F4"/>
    <w:rsid w:val="002F3AFA"/>
    <w:rsid w:val="002F5DE5"/>
    <w:rsid w:val="002F6421"/>
    <w:rsid w:val="002F6461"/>
    <w:rsid w:val="002F76AB"/>
    <w:rsid w:val="003010D9"/>
    <w:rsid w:val="00304565"/>
    <w:rsid w:val="0030494B"/>
    <w:rsid w:val="003066A5"/>
    <w:rsid w:val="00307CDD"/>
    <w:rsid w:val="00310264"/>
    <w:rsid w:val="003132E3"/>
    <w:rsid w:val="0031788B"/>
    <w:rsid w:val="00321FAC"/>
    <w:rsid w:val="00322F35"/>
    <w:rsid w:val="00323465"/>
    <w:rsid w:val="00325801"/>
    <w:rsid w:val="00327019"/>
    <w:rsid w:val="0032704C"/>
    <w:rsid w:val="00335852"/>
    <w:rsid w:val="00336C91"/>
    <w:rsid w:val="00340643"/>
    <w:rsid w:val="00346802"/>
    <w:rsid w:val="00350326"/>
    <w:rsid w:val="00351005"/>
    <w:rsid w:val="003530B6"/>
    <w:rsid w:val="0035422F"/>
    <w:rsid w:val="00354322"/>
    <w:rsid w:val="00356FAA"/>
    <w:rsid w:val="00361A60"/>
    <w:rsid w:val="00362B8C"/>
    <w:rsid w:val="00372706"/>
    <w:rsid w:val="003771AC"/>
    <w:rsid w:val="003778D5"/>
    <w:rsid w:val="00381ECF"/>
    <w:rsid w:val="0038347A"/>
    <w:rsid w:val="00385F0E"/>
    <w:rsid w:val="003874FF"/>
    <w:rsid w:val="003917F4"/>
    <w:rsid w:val="003931DA"/>
    <w:rsid w:val="00395E82"/>
    <w:rsid w:val="003A0A09"/>
    <w:rsid w:val="003A11E7"/>
    <w:rsid w:val="003A164E"/>
    <w:rsid w:val="003A2B21"/>
    <w:rsid w:val="003A3762"/>
    <w:rsid w:val="003A5746"/>
    <w:rsid w:val="003B0016"/>
    <w:rsid w:val="003B3BAB"/>
    <w:rsid w:val="003B4B25"/>
    <w:rsid w:val="003B4EF0"/>
    <w:rsid w:val="003B6608"/>
    <w:rsid w:val="003B68AB"/>
    <w:rsid w:val="003B7AF5"/>
    <w:rsid w:val="003C1D46"/>
    <w:rsid w:val="003C62EA"/>
    <w:rsid w:val="003D7265"/>
    <w:rsid w:val="003D75EC"/>
    <w:rsid w:val="003E216F"/>
    <w:rsid w:val="003E4D6E"/>
    <w:rsid w:val="003E5F11"/>
    <w:rsid w:val="003F3A6F"/>
    <w:rsid w:val="003F5B37"/>
    <w:rsid w:val="003F5CEE"/>
    <w:rsid w:val="004005BF"/>
    <w:rsid w:val="004017AB"/>
    <w:rsid w:val="00406A5F"/>
    <w:rsid w:val="00410F6A"/>
    <w:rsid w:val="00414930"/>
    <w:rsid w:val="00416499"/>
    <w:rsid w:val="00417B19"/>
    <w:rsid w:val="00425507"/>
    <w:rsid w:val="00430BE0"/>
    <w:rsid w:val="004335D4"/>
    <w:rsid w:val="004345F1"/>
    <w:rsid w:val="0043504E"/>
    <w:rsid w:val="004353B4"/>
    <w:rsid w:val="00435800"/>
    <w:rsid w:val="00436458"/>
    <w:rsid w:val="00443C1D"/>
    <w:rsid w:val="00444A3A"/>
    <w:rsid w:val="00450B27"/>
    <w:rsid w:val="00451391"/>
    <w:rsid w:val="00451F43"/>
    <w:rsid w:val="004558D1"/>
    <w:rsid w:val="00457AA3"/>
    <w:rsid w:val="00461755"/>
    <w:rsid w:val="00462763"/>
    <w:rsid w:val="00462EB0"/>
    <w:rsid w:val="0046582A"/>
    <w:rsid w:val="0047116A"/>
    <w:rsid w:val="00472A86"/>
    <w:rsid w:val="00472D95"/>
    <w:rsid w:val="00477117"/>
    <w:rsid w:val="00484FE4"/>
    <w:rsid w:val="00491EB3"/>
    <w:rsid w:val="0049606B"/>
    <w:rsid w:val="004A0E53"/>
    <w:rsid w:val="004A3D57"/>
    <w:rsid w:val="004A4261"/>
    <w:rsid w:val="004B0D82"/>
    <w:rsid w:val="004B2E2A"/>
    <w:rsid w:val="004B3D9B"/>
    <w:rsid w:val="004B4513"/>
    <w:rsid w:val="004C0AE9"/>
    <w:rsid w:val="004C4823"/>
    <w:rsid w:val="004C4D11"/>
    <w:rsid w:val="004C4F32"/>
    <w:rsid w:val="004C568E"/>
    <w:rsid w:val="004E12FD"/>
    <w:rsid w:val="004E1582"/>
    <w:rsid w:val="004E2702"/>
    <w:rsid w:val="004E39FF"/>
    <w:rsid w:val="004E3E58"/>
    <w:rsid w:val="004F3228"/>
    <w:rsid w:val="004F37F2"/>
    <w:rsid w:val="004F6D49"/>
    <w:rsid w:val="004F7AFC"/>
    <w:rsid w:val="005000AA"/>
    <w:rsid w:val="0050458D"/>
    <w:rsid w:val="00505387"/>
    <w:rsid w:val="005057AB"/>
    <w:rsid w:val="00507601"/>
    <w:rsid w:val="00511D21"/>
    <w:rsid w:val="00513438"/>
    <w:rsid w:val="00515EAD"/>
    <w:rsid w:val="00520435"/>
    <w:rsid w:val="00524D60"/>
    <w:rsid w:val="00524E66"/>
    <w:rsid w:val="0053317D"/>
    <w:rsid w:val="00535B86"/>
    <w:rsid w:val="005375B7"/>
    <w:rsid w:val="00537FD9"/>
    <w:rsid w:val="00541E67"/>
    <w:rsid w:val="00546A4C"/>
    <w:rsid w:val="00550001"/>
    <w:rsid w:val="005519F7"/>
    <w:rsid w:val="00560096"/>
    <w:rsid w:val="0056433A"/>
    <w:rsid w:val="00564348"/>
    <w:rsid w:val="00566BC4"/>
    <w:rsid w:val="00571189"/>
    <w:rsid w:val="0057228A"/>
    <w:rsid w:val="00572408"/>
    <w:rsid w:val="005729C8"/>
    <w:rsid w:val="00576405"/>
    <w:rsid w:val="005A0EE3"/>
    <w:rsid w:val="005A0FD8"/>
    <w:rsid w:val="005A42B9"/>
    <w:rsid w:val="005A63C5"/>
    <w:rsid w:val="005B4304"/>
    <w:rsid w:val="005B4CD6"/>
    <w:rsid w:val="005B6160"/>
    <w:rsid w:val="005B6CBF"/>
    <w:rsid w:val="005C02EA"/>
    <w:rsid w:val="005C0540"/>
    <w:rsid w:val="005C3466"/>
    <w:rsid w:val="005C4289"/>
    <w:rsid w:val="005D3A7A"/>
    <w:rsid w:val="005D52F6"/>
    <w:rsid w:val="005D5AEE"/>
    <w:rsid w:val="005D7863"/>
    <w:rsid w:val="005D7BA1"/>
    <w:rsid w:val="005E0D8E"/>
    <w:rsid w:val="005E41E8"/>
    <w:rsid w:val="005E59F0"/>
    <w:rsid w:val="005F5B3B"/>
    <w:rsid w:val="005F5D8C"/>
    <w:rsid w:val="0060159A"/>
    <w:rsid w:val="006024EB"/>
    <w:rsid w:val="00605F9F"/>
    <w:rsid w:val="00607AFB"/>
    <w:rsid w:val="006101E2"/>
    <w:rsid w:val="00620681"/>
    <w:rsid w:val="006258D7"/>
    <w:rsid w:val="00633817"/>
    <w:rsid w:val="00635E17"/>
    <w:rsid w:val="0064407E"/>
    <w:rsid w:val="00644F17"/>
    <w:rsid w:val="006470D6"/>
    <w:rsid w:val="006514F9"/>
    <w:rsid w:val="00652C3F"/>
    <w:rsid w:val="00652C9A"/>
    <w:rsid w:val="00653338"/>
    <w:rsid w:val="00655AEA"/>
    <w:rsid w:val="00655EE3"/>
    <w:rsid w:val="0065618D"/>
    <w:rsid w:val="0066420A"/>
    <w:rsid w:val="00667920"/>
    <w:rsid w:val="006717A3"/>
    <w:rsid w:val="00672394"/>
    <w:rsid w:val="006727CD"/>
    <w:rsid w:val="00674489"/>
    <w:rsid w:val="006772D8"/>
    <w:rsid w:val="00680A1D"/>
    <w:rsid w:val="00684148"/>
    <w:rsid w:val="00687A18"/>
    <w:rsid w:val="00693E97"/>
    <w:rsid w:val="006A215D"/>
    <w:rsid w:val="006B38DF"/>
    <w:rsid w:val="006B3D62"/>
    <w:rsid w:val="006B3DB1"/>
    <w:rsid w:val="006B52C4"/>
    <w:rsid w:val="006B62AD"/>
    <w:rsid w:val="006B6B37"/>
    <w:rsid w:val="006C23A8"/>
    <w:rsid w:val="006C2CE7"/>
    <w:rsid w:val="006C3238"/>
    <w:rsid w:val="006C52EE"/>
    <w:rsid w:val="006C7A6D"/>
    <w:rsid w:val="006D1005"/>
    <w:rsid w:val="006D50BD"/>
    <w:rsid w:val="006D65D9"/>
    <w:rsid w:val="006E1996"/>
    <w:rsid w:val="006E6E28"/>
    <w:rsid w:val="006F069F"/>
    <w:rsid w:val="006F4043"/>
    <w:rsid w:val="006F4D1E"/>
    <w:rsid w:val="006F74FF"/>
    <w:rsid w:val="00700A4B"/>
    <w:rsid w:val="00702349"/>
    <w:rsid w:val="00702F22"/>
    <w:rsid w:val="00703328"/>
    <w:rsid w:val="007064AB"/>
    <w:rsid w:val="00706572"/>
    <w:rsid w:val="007068D0"/>
    <w:rsid w:val="00707974"/>
    <w:rsid w:val="00707D37"/>
    <w:rsid w:val="00710361"/>
    <w:rsid w:val="00710F64"/>
    <w:rsid w:val="0071287A"/>
    <w:rsid w:val="00715558"/>
    <w:rsid w:val="007176DC"/>
    <w:rsid w:val="007178F4"/>
    <w:rsid w:val="007253E9"/>
    <w:rsid w:val="007314C8"/>
    <w:rsid w:val="00731B17"/>
    <w:rsid w:val="007408AB"/>
    <w:rsid w:val="00741B3C"/>
    <w:rsid w:val="0074247C"/>
    <w:rsid w:val="00744F47"/>
    <w:rsid w:val="00746F82"/>
    <w:rsid w:val="00754139"/>
    <w:rsid w:val="00754F3D"/>
    <w:rsid w:val="007554E7"/>
    <w:rsid w:val="007555E3"/>
    <w:rsid w:val="0075759F"/>
    <w:rsid w:val="00761270"/>
    <w:rsid w:val="00761B75"/>
    <w:rsid w:val="00763559"/>
    <w:rsid w:val="00763DA8"/>
    <w:rsid w:val="00772EB8"/>
    <w:rsid w:val="00774B56"/>
    <w:rsid w:val="0077614B"/>
    <w:rsid w:val="0079089F"/>
    <w:rsid w:val="00791531"/>
    <w:rsid w:val="00791C05"/>
    <w:rsid w:val="00793BB1"/>
    <w:rsid w:val="00794A78"/>
    <w:rsid w:val="007A08F8"/>
    <w:rsid w:val="007A3A4B"/>
    <w:rsid w:val="007A7536"/>
    <w:rsid w:val="007B06B8"/>
    <w:rsid w:val="007B3EAF"/>
    <w:rsid w:val="007B6AF6"/>
    <w:rsid w:val="007C2B9E"/>
    <w:rsid w:val="007C45DA"/>
    <w:rsid w:val="007C6553"/>
    <w:rsid w:val="007D0615"/>
    <w:rsid w:val="007D1040"/>
    <w:rsid w:val="007D3581"/>
    <w:rsid w:val="007D364A"/>
    <w:rsid w:val="007D4338"/>
    <w:rsid w:val="007D4812"/>
    <w:rsid w:val="007D60FB"/>
    <w:rsid w:val="007D6D19"/>
    <w:rsid w:val="007D6F32"/>
    <w:rsid w:val="007E0A3B"/>
    <w:rsid w:val="007E76DF"/>
    <w:rsid w:val="007F06D0"/>
    <w:rsid w:val="007F3B99"/>
    <w:rsid w:val="007F5BD8"/>
    <w:rsid w:val="00801DF8"/>
    <w:rsid w:val="00803FAF"/>
    <w:rsid w:val="00804E17"/>
    <w:rsid w:val="0080608A"/>
    <w:rsid w:val="00806CAA"/>
    <w:rsid w:val="0081553C"/>
    <w:rsid w:val="00816DDF"/>
    <w:rsid w:val="008170DD"/>
    <w:rsid w:val="0082016A"/>
    <w:rsid w:val="00821C69"/>
    <w:rsid w:val="00822660"/>
    <w:rsid w:val="00824051"/>
    <w:rsid w:val="0082565A"/>
    <w:rsid w:val="00830EDB"/>
    <w:rsid w:val="0083348F"/>
    <w:rsid w:val="0083369E"/>
    <w:rsid w:val="00834B8B"/>
    <w:rsid w:val="00837B13"/>
    <w:rsid w:val="00840765"/>
    <w:rsid w:val="0084348E"/>
    <w:rsid w:val="00845DFB"/>
    <w:rsid w:val="00852033"/>
    <w:rsid w:val="00852C3F"/>
    <w:rsid w:val="00852DA5"/>
    <w:rsid w:val="00852FF3"/>
    <w:rsid w:val="00853DD4"/>
    <w:rsid w:val="0085674C"/>
    <w:rsid w:val="0085726F"/>
    <w:rsid w:val="008576D5"/>
    <w:rsid w:val="008577B7"/>
    <w:rsid w:val="008609BF"/>
    <w:rsid w:val="008646D0"/>
    <w:rsid w:val="00865D2D"/>
    <w:rsid w:val="008669F9"/>
    <w:rsid w:val="00867350"/>
    <w:rsid w:val="008716C6"/>
    <w:rsid w:val="00876F31"/>
    <w:rsid w:val="00885198"/>
    <w:rsid w:val="008857B1"/>
    <w:rsid w:val="00886301"/>
    <w:rsid w:val="00892C8B"/>
    <w:rsid w:val="0089342E"/>
    <w:rsid w:val="00895423"/>
    <w:rsid w:val="008A3A38"/>
    <w:rsid w:val="008B41D4"/>
    <w:rsid w:val="008B758E"/>
    <w:rsid w:val="008C1A74"/>
    <w:rsid w:val="008C4410"/>
    <w:rsid w:val="008C6301"/>
    <w:rsid w:val="008C7916"/>
    <w:rsid w:val="008C7E2C"/>
    <w:rsid w:val="008D0068"/>
    <w:rsid w:val="008D684B"/>
    <w:rsid w:val="008E1224"/>
    <w:rsid w:val="008E1927"/>
    <w:rsid w:val="008E3806"/>
    <w:rsid w:val="008E45BD"/>
    <w:rsid w:val="008E4D72"/>
    <w:rsid w:val="008E6B2E"/>
    <w:rsid w:val="008F1FE6"/>
    <w:rsid w:val="008F48F5"/>
    <w:rsid w:val="008F7399"/>
    <w:rsid w:val="008F7E25"/>
    <w:rsid w:val="009037B3"/>
    <w:rsid w:val="00905723"/>
    <w:rsid w:val="0091026F"/>
    <w:rsid w:val="00910C76"/>
    <w:rsid w:val="00913D25"/>
    <w:rsid w:val="00917694"/>
    <w:rsid w:val="00920969"/>
    <w:rsid w:val="00925FD1"/>
    <w:rsid w:val="0092666D"/>
    <w:rsid w:val="009359C0"/>
    <w:rsid w:val="00942449"/>
    <w:rsid w:val="00943B67"/>
    <w:rsid w:val="00943EC8"/>
    <w:rsid w:val="00947CB2"/>
    <w:rsid w:val="00947F0E"/>
    <w:rsid w:val="00951C6F"/>
    <w:rsid w:val="00952B08"/>
    <w:rsid w:val="009530E5"/>
    <w:rsid w:val="00957E28"/>
    <w:rsid w:val="00960B14"/>
    <w:rsid w:val="009621D9"/>
    <w:rsid w:val="00964E4F"/>
    <w:rsid w:val="0097214E"/>
    <w:rsid w:val="00977B8C"/>
    <w:rsid w:val="00982005"/>
    <w:rsid w:val="0098323C"/>
    <w:rsid w:val="00985EF5"/>
    <w:rsid w:val="00986AE2"/>
    <w:rsid w:val="0098705B"/>
    <w:rsid w:val="009906B6"/>
    <w:rsid w:val="0099086B"/>
    <w:rsid w:val="00992EAC"/>
    <w:rsid w:val="00994F2F"/>
    <w:rsid w:val="00995085"/>
    <w:rsid w:val="009A09F6"/>
    <w:rsid w:val="009A58A1"/>
    <w:rsid w:val="009B0599"/>
    <w:rsid w:val="009B0D11"/>
    <w:rsid w:val="009B2FA9"/>
    <w:rsid w:val="009B59E9"/>
    <w:rsid w:val="009C3495"/>
    <w:rsid w:val="009C47B8"/>
    <w:rsid w:val="009C4BB1"/>
    <w:rsid w:val="009D09FB"/>
    <w:rsid w:val="009D1F8B"/>
    <w:rsid w:val="009D5238"/>
    <w:rsid w:val="009D6B1B"/>
    <w:rsid w:val="009D6D4E"/>
    <w:rsid w:val="009D77AB"/>
    <w:rsid w:val="009E314D"/>
    <w:rsid w:val="009E4E6C"/>
    <w:rsid w:val="009E50E3"/>
    <w:rsid w:val="009E5D1C"/>
    <w:rsid w:val="009F0A9E"/>
    <w:rsid w:val="009F0AF2"/>
    <w:rsid w:val="009F4703"/>
    <w:rsid w:val="009F4CE3"/>
    <w:rsid w:val="009F564E"/>
    <w:rsid w:val="009F5EE9"/>
    <w:rsid w:val="009F6BFA"/>
    <w:rsid w:val="00A077EB"/>
    <w:rsid w:val="00A07FF0"/>
    <w:rsid w:val="00A10013"/>
    <w:rsid w:val="00A10AE9"/>
    <w:rsid w:val="00A141B9"/>
    <w:rsid w:val="00A15B7B"/>
    <w:rsid w:val="00A160F6"/>
    <w:rsid w:val="00A169BF"/>
    <w:rsid w:val="00A17ADD"/>
    <w:rsid w:val="00A17BA6"/>
    <w:rsid w:val="00A2024E"/>
    <w:rsid w:val="00A22009"/>
    <w:rsid w:val="00A2280D"/>
    <w:rsid w:val="00A24367"/>
    <w:rsid w:val="00A31232"/>
    <w:rsid w:val="00A31AE9"/>
    <w:rsid w:val="00A31CD1"/>
    <w:rsid w:val="00A34499"/>
    <w:rsid w:val="00A34C15"/>
    <w:rsid w:val="00A366EA"/>
    <w:rsid w:val="00A3717E"/>
    <w:rsid w:val="00A40350"/>
    <w:rsid w:val="00A40911"/>
    <w:rsid w:val="00A411F7"/>
    <w:rsid w:val="00A425DE"/>
    <w:rsid w:val="00A50C82"/>
    <w:rsid w:val="00A5131A"/>
    <w:rsid w:val="00A54E19"/>
    <w:rsid w:val="00A55E8E"/>
    <w:rsid w:val="00A56CF2"/>
    <w:rsid w:val="00A57C9F"/>
    <w:rsid w:val="00A62CE8"/>
    <w:rsid w:val="00A64A1D"/>
    <w:rsid w:val="00A6751C"/>
    <w:rsid w:val="00A67F8A"/>
    <w:rsid w:val="00A74357"/>
    <w:rsid w:val="00A74AA6"/>
    <w:rsid w:val="00A765A1"/>
    <w:rsid w:val="00A7773A"/>
    <w:rsid w:val="00A8224F"/>
    <w:rsid w:val="00A835AE"/>
    <w:rsid w:val="00A84C9D"/>
    <w:rsid w:val="00A86DE5"/>
    <w:rsid w:val="00A90212"/>
    <w:rsid w:val="00A9032E"/>
    <w:rsid w:val="00A91C33"/>
    <w:rsid w:val="00A940A3"/>
    <w:rsid w:val="00AA05DA"/>
    <w:rsid w:val="00AA272B"/>
    <w:rsid w:val="00AA32E9"/>
    <w:rsid w:val="00AA40AE"/>
    <w:rsid w:val="00AA6FD7"/>
    <w:rsid w:val="00AB08E4"/>
    <w:rsid w:val="00AB1716"/>
    <w:rsid w:val="00AB1C04"/>
    <w:rsid w:val="00AB4DB6"/>
    <w:rsid w:val="00AC05CA"/>
    <w:rsid w:val="00AC2B0E"/>
    <w:rsid w:val="00AC6374"/>
    <w:rsid w:val="00AC7C2A"/>
    <w:rsid w:val="00AD0879"/>
    <w:rsid w:val="00AD2E59"/>
    <w:rsid w:val="00AD6D45"/>
    <w:rsid w:val="00AE1470"/>
    <w:rsid w:val="00AE25ED"/>
    <w:rsid w:val="00AE3482"/>
    <w:rsid w:val="00AE485A"/>
    <w:rsid w:val="00AF3AD0"/>
    <w:rsid w:val="00AF581E"/>
    <w:rsid w:val="00AF68DB"/>
    <w:rsid w:val="00AF7E36"/>
    <w:rsid w:val="00B023C0"/>
    <w:rsid w:val="00B02FA2"/>
    <w:rsid w:val="00B045AE"/>
    <w:rsid w:val="00B054A0"/>
    <w:rsid w:val="00B11076"/>
    <w:rsid w:val="00B11828"/>
    <w:rsid w:val="00B139CA"/>
    <w:rsid w:val="00B17938"/>
    <w:rsid w:val="00B203DC"/>
    <w:rsid w:val="00B20E81"/>
    <w:rsid w:val="00B2695B"/>
    <w:rsid w:val="00B2704A"/>
    <w:rsid w:val="00B2707D"/>
    <w:rsid w:val="00B30B01"/>
    <w:rsid w:val="00B33339"/>
    <w:rsid w:val="00B33FB1"/>
    <w:rsid w:val="00B40908"/>
    <w:rsid w:val="00B42183"/>
    <w:rsid w:val="00B513E2"/>
    <w:rsid w:val="00B54F20"/>
    <w:rsid w:val="00B56947"/>
    <w:rsid w:val="00B56974"/>
    <w:rsid w:val="00B603E7"/>
    <w:rsid w:val="00B60CF7"/>
    <w:rsid w:val="00B60F2D"/>
    <w:rsid w:val="00B61041"/>
    <w:rsid w:val="00B71D62"/>
    <w:rsid w:val="00B744FE"/>
    <w:rsid w:val="00B7728C"/>
    <w:rsid w:val="00B8318D"/>
    <w:rsid w:val="00B85C84"/>
    <w:rsid w:val="00B86CC6"/>
    <w:rsid w:val="00B87D8C"/>
    <w:rsid w:val="00B93951"/>
    <w:rsid w:val="00BA09F6"/>
    <w:rsid w:val="00BA5FEC"/>
    <w:rsid w:val="00BB7567"/>
    <w:rsid w:val="00BC23A1"/>
    <w:rsid w:val="00BC31E7"/>
    <w:rsid w:val="00BC327A"/>
    <w:rsid w:val="00BC3809"/>
    <w:rsid w:val="00BC4ED4"/>
    <w:rsid w:val="00BD4A2F"/>
    <w:rsid w:val="00BD76CF"/>
    <w:rsid w:val="00BE06F4"/>
    <w:rsid w:val="00BE1B70"/>
    <w:rsid w:val="00BE31EB"/>
    <w:rsid w:val="00BE5ADB"/>
    <w:rsid w:val="00BF12AC"/>
    <w:rsid w:val="00BF1DFB"/>
    <w:rsid w:val="00BF2C1E"/>
    <w:rsid w:val="00BF3D23"/>
    <w:rsid w:val="00BF58F8"/>
    <w:rsid w:val="00BF6002"/>
    <w:rsid w:val="00BF6331"/>
    <w:rsid w:val="00BF6B5E"/>
    <w:rsid w:val="00BF7C6F"/>
    <w:rsid w:val="00C00335"/>
    <w:rsid w:val="00C058F0"/>
    <w:rsid w:val="00C070A3"/>
    <w:rsid w:val="00C15C22"/>
    <w:rsid w:val="00C16EB5"/>
    <w:rsid w:val="00C20FB1"/>
    <w:rsid w:val="00C270D1"/>
    <w:rsid w:val="00C309A3"/>
    <w:rsid w:val="00C311E8"/>
    <w:rsid w:val="00C34A72"/>
    <w:rsid w:val="00C350BA"/>
    <w:rsid w:val="00C35574"/>
    <w:rsid w:val="00C36086"/>
    <w:rsid w:val="00C41FE1"/>
    <w:rsid w:val="00C474E7"/>
    <w:rsid w:val="00C539A9"/>
    <w:rsid w:val="00C578CE"/>
    <w:rsid w:val="00C63BD9"/>
    <w:rsid w:val="00C65D82"/>
    <w:rsid w:val="00C66889"/>
    <w:rsid w:val="00C679A9"/>
    <w:rsid w:val="00C70BB8"/>
    <w:rsid w:val="00C710B1"/>
    <w:rsid w:val="00C72C97"/>
    <w:rsid w:val="00C8026B"/>
    <w:rsid w:val="00C8344E"/>
    <w:rsid w:val="00C90BCD"/>
    <w:rsid w:val="00C916A5"/>
    <w:rsid w:val="00C93653"/>
    <w:rsid w:val="00C9426F"/>
    <w:rsid w:val="00C94E5F"/>
    <w:rsid w:val="00C9517A"/>
    <w:rsid w:val="00C97D98"/>
    <w:rsid w:val="00CA03E2"/>
    <w:rsid w:val="00CA1E91"/>
    <w:rsid w:val="00CA216F"/>
    <w:rsid w:val="00CA31D0"/>
    <w:rsid w:val="00CA5526"/>
    <w:rsid w:val="00CB181C"/>
    <w:rsid w:val="00CB3D70"/>
    <w:rsid w:val="00CB4066"/>
    <w:rsid w:val="00CB69C3"/>
    <w:rsid w:val="00CC4FE8"/>
    <w:rsid w:val="00CC72D0"/>
    <w:rsid w:val="00CC7ED2"/>
    <w:rsid w:val="00CD346D"/>
    <w:rsid w:val="00CD54BE"/>
    <w:rsid w:val="00CD7253"/>
    <w:rsid w:val="00CE6B4E"/>
    <w:rsid w:val="00CE78D9"/>
    <w:rsid w:val="00CE7A42"/>
    <w:rsid w:val="00CF1AAD"/>
    <w:rsid w:val="00CF6AD7"/>
    <w:rsid w:val="00CF7693"/>
    <w:rsid w:val="00CF77FF"/>
    <w:rsid w:val="00D0089F"/>
    <w:rsid w:val="00D02BEC"/>
    <w:rsid w:val="00D0498A"/>
    <w:rsid w:val="00D05EB5"/>
    <w:rsid w:val="00D0740D"/>
    <w:rsid w:val="00D12687"/>
    <w:rsid w:val="00D12EA4"/>
    <w:rsid w:val="00D1697A"/>
    <w:rsid w:val="00D205B5"/>
    <w:rsid w:val="00D25E73"/>
    <w:rsid w:val="00D26317"/>
    <w:rsid w:val="00D30E33"/>
    <w:rsid w:val="00D337AE"/>
    <w:rsid w:val="00D370E1"/>
    <w:rsid w:val="00D37BA4"/>
    <w:rsid w:val="00D4273D"/>
    <w:rsid w:val="00D45F78"/>
    <w:rsid w:val="00D511E2"/>
    <w:rsid w:val="00D512A4"/>
    <w:rsid w:val="00D51ACB"/>
    <w:rsid w:val="00D55008"/>
    <w:rsid w:val="00D550F3"/>
    <w:rsid w:val="00D557B0"/>
    <w:rsid w:val="00D565AE"/>
    <w:rsid w:val="00D5679C"/>
    <w:rsid w:val="00D609CF"/>
    <w:rsid w:val="00D62D93"/>
    <w:rsid w:val="00D6587B"/>
    <w:rsid w:val="00D66F9E"/>
    <w:rsid w:val="00D70E07"/>
    <w:rsid w:val="00D7591C"/>
    <w:rsid w:val="00D8258E"/>
    <w:rsid w:val="00D84A63"/>
    <w:rsid w:val="00D85BC2"/>
    <w:rsid w:val="00DA0E37"/>
    <w:rsid w:val="00DA383C"/>
    <w:rsid w:val="00DA3D98"/>
    <w:rsid w:val="00DB084C"/>
    <w:rsid w:val="00DB4713"/>
    <w:rsid w:val="00DC2A78"/>
    <w:rsid w:val="00DC3C67"/>
    <w:rsid w:val="00DC4C62"/>
    <w:rsid w:val="00DC7C05"/>
    <w:rsid w:val="00DD303D"/>
    <w:rsid w:val="00DD3DB3"/>
    <w:rsid w:val="00DD508B"/>
    <w:rsid w:val="00DE086C"/>
    <w:rsid w:val="00DE63A5"/>
    <w:rsid w:val="00DE7C5E"/>
    <w:rsid w:val="00DF1E0A"/>
    <w:rsid w:val="00DF6EFA"/>
    <w:rsid w:val="00DF7981"/>
    <w:rsid w:val="00E04140"/>
    <w:rsid w:val="00E07987"/>
    <w:rsid w:val="00E11B67"/>
    <w:rsid w:val="00E12949"/>
    <w:rsid w:val="00E12EC5"/>
    <w:rsid w:val="00E168BF"/>
    <w:rsid w:val="00E21D49"/>
    <w:rsid w:val="00E23541"/>
    <w:rsid w:val="00E24896"/>
    <w:rsid w:val="00E24B00"/>
    <w:rsid w:val="00E255CC"/>
    <w:rsid w:val="00E27301"/>
    <w:rsid w:val="00E33522"/>
    <w:rsid w:val="00E354F7"/>
    <w:rsid w:val="00E359C3"/>
    <w:rsid w:val="00E42826"/>
    <w:rsid w:val="00E432C4"/>
    <w:rsid w:val="00E45CB1"/>
    <w:rsid w:val="00E46358"/>
    <w:rsid w:val="00E510C0"/>
    <w:rsid w:val="00E52E35"/>
    <w:rsid w:val="00E53940"/>
    <w:rsid w:val="00E55426"/>
    <w:rsid w:val="00E562CB"/>
    <w:rsid w:val="00E61D77"/>
    <w:rsid w:val="00E62D47"/>
    <w:rsid w:val="00E63978"/>
    <w:rsid w:val="00E64554"/>
    <w:rsid w:val="00E653CD"/>
    <w:rsid w:val="00E666AC"/>
    <w:rsid w:val="00E6738E"/>
    <w:rsid w:val="00E71F27"/>
    <w:rsid w:val="00E7395A"/>
    <w:rsid w:val="00E73B44"/>
    <w:rsid w:val="00E77668"/>
    <w:rsid w:val="00E824C7"/>
    <w:rsid w:val="00E836E2"/>
    <w:rsid w:val="00E83EC6"/>
    <w:rsid w:val="00E854CF"/>
    <w:rsid w:val="00E86043"/>
    <w:rsid w:val="00EA1E84"/>
    <w:rsid w:val="00EA4BBC"/>
    <w:rsid w:val="00EA5869"/>
    <w:rsid w:val="00EB12F6"/>
    <w:rsid w:val="00EB1788"/>
    <w:rsid w:val="00EB2623"/>
    <w:rsid w:val="00EB3221"/>
    <w:rsid w:val="00EB3AE2"/>
    <w:rsid w:val="00EB3C39"/>
    <w:rsid w:val="00EB433F"/>
    <w:rsid w:val="00EB74C5"/>
    <w:rsid w:val="00EC1429"/>
    <w:rsid w:val="00EC2095"/>
    <w:rsid w:val="00EC3790"/>
    <w:rsid w:val="00ED042D"/>
    <w:rsid w:val="00ED1890"/>
    <w:rsid w:val="00ED67E7"/>
    <w:rsid w:val="00ED7D67"/>
    <w:rsid w:val="00EE1BBA"/>
    <w:rsid w:val="00EE1F6A"/>
    <w:rsid w:val="00EE412F"/>
    <w:rsid w:val="00EE49E7"/>
    <w:rsid w:val="00EE4C13"/>
    <w:rsid w:val="00EF0E99"/>
    <w:rsid w:val="00EF1D30"/>
    <w:rsid w:val="00EF368F"/>
    <w:rsid w:val="00EF6234"/>
    <w:rsid w:val="00EF776B"/>
    <w:rsid w:val="00F01342"/>
    <w:rsid w:val="00F019FF"/>
    <w:rsid w:val="00F04461"/>
    <w:rsid w:val="00F20983"/>
    <w:rsid w:val="00F24983"/>
    <w:rsid w:val="00F275A0"/>
    <w:rsid w:val="00F30EFF"/>
    <w:rsid w:val="00F3291A"/>
    <w:rsid w:val="00F32B7F"/>
    <w:rsid w:val="00F40778"/>
    <w:rsid w:val="00F447B4"/>
    <w:rsid w:val="00F45016"/>
    <w:rsid w:val="00F50414"/>
    <w:rsid w:val="00F51FAA"/>
    <w:rsid w:val="00F539FA"/>
    <w:rsid w:val="00F54605"/>
    <w:rsid w:val="00F54C9A"/>
    <w:rsid w:val="00F552A6"/>
    <w:rsid w:val="00F55733"/>
    <w:rsid w:val="00F563A1"/>
    <w:rsid w:val="00F567B8"/>
    <w:rsid w:val="00F5725E"/>
    <w:rsid w:val="00F6091A"/>
    <w:rsid w:val="00F613BF"/>
    <w:rsid w:val="00F6160A"/>
    <w:rsid w:val="00F66EBA"/>
    <w:rsid w:val="00F73EAC"/>
    <w:rsid w:val="00F747DB"/>
    <w:rsid w:val="00F753FC"/>
    <w:rsid w:val="00F75F7B"/>
    <w:rsid w:val="00F80274"/>
    <w:rsid w:val="00F80FF4"/>
    <w:rsid w:val="00F83FDA"/>
    <w:rsid w:val="00F917E9"/>
    <w:rsid w:val="00F926A7"/>
    <w:rsid w:val="00F971DB"/>
    <w:rsid w:val="00FA129C"/>
    <w:rsid w:val="00FA7DA0"/>
    <w:rsid w:val="00FA7FD1"/>
    <w:rsid w:val="00FB31CD"/>
    <w:rsid w:val="00FC0EDF"/>
    <w:rsid w:val="00FC10F6"/>
    <w:rsid w:val="00FC1F24"/>
    <w:rsid w:val="00FC2018"/>
    <w:rsid w:val="00FC31C2"/>
    <w:rsid w:val="00FC369E"/>
    <w:rsid w:val="00FC38E8"/>
    <w:rsid w:val="00FC4342"/>
    <w:rsid w:val="00FC5B1A"/>
    <w:rsid w:val="00FC5E0A"/>
    <w:rsid w:val="00FC6224"/>
    <w:rsid w:val="00FC66AE"/>
    <w:rsid w:val="00FD1DFC"/>
    <w:rsid w:val="00FD39BF"/>
    <w:rsid w:val="00FD58C5"/>
    <w:rsid w:val="00FE40FC"/>
    <w:rsid w:val="00FE4549"/>
    <w:rsid w:val="00FE6AC9"/>
    <w:rsid w:val="00FF5723"/>
    <w:rsid w:val="00FF6170"/>
    <w:rsid w:val="00FF6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777B2"/>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CD7253"/>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CD7253"/>
    <w:rPr>
      <w:rFonts w:ascii="Segoe UI" w:hAnsi="Segoe UI" w:cs="Segoe UI"/>
      <w:sz w:val="18"/>
      <w:szCs w:val="18"/>
      <w:lang w:val="is-IS"/>
    </w:rPr>
  </w:style>
  <w:style w:type="character" w:styleId="Tilvsunathugasemd">
    <w:name w:val="annotation reference"/>
    <w:basedOn w:val="Sjlfgefinleturgermlsgreinar"/>
    <w:uiPriority w:val="99"/>
    <w:semiHidden/>
    <w:unhideWhenUsed/>
    <w:rsid w:val="00254395"/>
    <w:rPr>
      <w:sz w:val="16"/>
      <w:szCs w:val="16"/>
    </w:rPr>
  </w:style>
  <w:style w:type="paragraph" w:styleId="Textiathugasemdar">
    <w:name w:val="annotation text"/>
    <w:basedOn w:val="Venjulegur"/>
    <w:link w:val="TextiathugasemdarStaf"/>
    <w:uiPriority w:val="99"/>
    <w:unhideWhenUsed/>
    <w:rsid w:val="00254395"/>
    <w:rPr>
      <w:sz w:val="20"/>
      <w:szCs w:val="20"/>
    </w:rPr>
  </w:style>
  <w:style w:type="character" w:customStyle="1" w:styleId="TextiathugasemdarStaf">
    <w:name w:val="Texti athugasemdar Staf"/>
    <w:basedOn w:val="Sjlfgefinleturgermlsgreinar"/>
    <w:link w:val="Textiathugasemdar"/>
    <w:uiPriority w:val="99"/>
    <w:rsid w:val="00254395"/>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254395"/>
    <w:rPr>
      <w:b/>
      <w:bCs/>
    </w:rPr>
  </w:style>
  <w:style w:type="character" w:customStyle="1" w:styleId="EfniathugasemdarStaf">
    <w:name w:val="Efni athugasemdar Staf"/>
    <w:basedOn w:val="TextiathugasemdarStaf"/>
    <w:link w:val="Efniathugasemdar"/>
    <w:uiPriority w:val="99"/>
    <w:semiHidden/>
    <w:rsid w:val="00254395"/>
    <w:rPr>
      <w:rFonts w:ascii="Times New Roman" w:hAnsi="Times New Roman"/>
      <w:b/>
      <w:bCs/>
      <w:lang w:val="is-IS"/>
    </w:rPr>
  </w:style>
  <w:style w:type="paragraph" w:customStyle="1" w:styleId="xmsonormal">
    <w:name w:val="x_msonormal"/>
    <w:basedOn w:val="Venjulegur"/>
    <w:rsid w:val="003931DA"/>
    <w:rPr>
      <w:rFonts w:eastAsiaTheme="minorHAnsi"/>
      <w:szCs w:val="21"/>
      <w:lang w:val="en-US"/>
    </w:rPr>
  </w:style>
  <w:style w:type="paragraph" w:styleId="Endurskoun">
    <w:name w:val="Revision"/>
    <w:hidden/>
    <w:uiPriority w:val="99"/>
    <w:semiHidden/>
    <w:rsid w:val="00702F22"/>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16">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300497556">
      <w:bodyDiv w:val="1"/>
      <w:marLeft w:val="0"/>
      <w:marRight w:val="0"/>
      <w:marTop w:val="0"/>
      <w:marBottom w:val="0"/>
      <w:divBdr>
        <w:top w:val="none" w:sz="0" w:space="0" w:color="auto"/>
        <w:left w:val="none" w:sz="0" w:space="0" w:color="auto"/>
        <w:bottom w:val="none" w:sz="0" w:space="0" w:color="auto"/>
        <w:right w:val="none" w:sz="0" w:space="0" w:color="auto"/>
      </w:divBdr>
    </w:div>
    <w:div w:id="1372730219">
      <w:bodyDiv w:val="1"/>
      <w:marLeft w:val="0"/>
      <w:marRight w:val="0"/>
      <w:marTop w:val="0"/>
      <w:marBottom w:val="0"/>
      <w:divBdr>
        <w:top w:val="none" w:sz="0" w:space="0" w:color="auto"/>
        <w:left w:val="none" w:sz="0" w:space="0" w:color="auto"/>
        <w:bottom w:val="none" w:sz="0" w:space="0" w:color="auto"/>
        <w:right w:val="none" w:sz="0" w:space="0" w:color="auto"/>
      </w:divBdr>
    </w:div>
    <w:div w:id="16031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455DD-CFEB-478A-8827-17CC145BA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9834</Words>
  <Characters>56056</Characters>
  <Application>Microsoft Office Word</Application>
  <DocSecurity>0</DocSecurity>
  <Lines>467</Lines>
  <Paragraphs>131</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Þorbjörg Árnadóttir</dc:creator>
  <cp:keywords/>
  <cp:lastModifiedBy>Oddur Þorri Viðarsson</cp:lastModifiedBy>
  <cp:revision>2</cp:revision>
  <cp:lastPrinted>2020-06-29T17:23:00Z</cp:lastPrinted>
  <dcterms:created xsi:type="dcterms:W3CDTF">2020-06-30T13:08:00Z</dcterms:created>
  <dcterms:modified xsi:type="dcterms:W3CDTF">2020-06-30T13:08:00Z</dcterms:modified>
</cp:coreProperties>
</file>