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bCs w:val="0"/>
          <w:color w:val="auto"/>
          <w:sz w:val="2"/>
          <w:szCs w:val="2"/>
        </w:rPr>
        <w:id w:val="89512093"/>
        <w:lock w:val="contentLocked"/>
        <w:group/>
      </w:sdtPr>
      <w:sdtEndPr/>
      <w:sdtContent>
        <w:sdt>
          <w:sdtPr>
            <w:alias w:val="Post Title"/>
            <w:id w:val="89512082"/>
            <w:showingPlcHdr/>
            <w:dataBinding w:xpath="/ns0:BlogPostInfo/ns0:PostTitle" w:storeItemID="{5F329CAD-B019-4FA6-9FEF-74898909AD20}"/>
            <w:text/>
          </w:sdtPr>
          <w:sdtEndPr/>
          <w:sdtContent>
            <w:p w14:paraId="7789F5E0" w14:textId="77777777" w:rsidR="00387B48" w:rsidRDefault="009F6425" w:rsidP="00A52CFB">
              <w:pPr>
                <w:pStyle w:val="Publishwithline"/>
              </w:pPr>
              <w:r>
                <w:t xml:space="preserve">     </w:t>
              </w:r>
            </w:p>
          </w:sdtContent>
        </w:sdt>
        <w:p w14:paraId="02AA961A" w14:textId="77777777" w:rsidR="00387B48" w:rsidRDefault="00387B48" w:rsidP="00A52CFB">
          <w:pPr>
            <w:pStyle w:val="underline"/>
          </w:pPr>
        </w:p>
        <w:p w14:paraId="654D2382" w14:textId="77777777" w:rsidR="00387B48" w:rsidRDefault="002D6409" w:rsidP="00A52CFB">
          <w:pPr>
            <w:pStyle w:val="PadderBetweenControlandBody"/>
          </w:pPr>
        </w:p>
      </w:sdtContent>
    </w:sdt>
    <w:p w14:paraId="5B5817AE" w14:textId="77777777" w:rsidR="00C41FB2" w:rsidRPr="00A568AB" w:rsidRDefault="00C41FB2" w:rsidP="00A568AB">
      <w:pPr>
        <w:ind w:left="6520"/>
        <w:rPr>
          <w:rFonts w:ascii="Times New Roman" w:hAnsi="Times New Roman" w:cs="Times New Roman"/>
          <w:sz w:val="28"/>
          <w:szCs w:val="28"/>
          <w:lang w:val="sv-SE"/>
        </w:rPr>
      </w:pPr>
    </w:p>
    <w:p w14:paraId="359B40B5" w14:textId="22763EF9" w:rsidR="00A568AB" w:rsidRPr="00A568AB" w:rsidRDefault="00A568AB" w:rsidP="00A568AB">
      <w:pPr>
        <w:rPr>
          <w:rFonts w:ascii="Times New Roman" w:hAnsi="Times New Roman" w:cs="Times New Roman"/>
          <w:sz w:val="24"/>
          <w:szCs w:val="22"/>
        </w:rPr>
      </w:pPr>
      <w:r w:rsidRPr="00A568AB">
        <w:rPr>
          <w:rFonts w:ascii="Times New Roman" w:hAnsi="Times New Roman" w:cs="Times New Roman"/>
          <w:sz w:val="24"/>
          <w:szCs w:val="22"/>
        </w:rPr>
        <w:t>Philip Morris AB</w:t>
      </w:r>
      <w:r w:rsidRPr="00A568AB">
        <w:rPr>
          <w:rFonts w:ascii="Times New Roman" w:hAnsi="Times New Roman" w:cs="Times New Roman"/>
          <w:sz w:val="24"/>
          <w:szCs w:val="22"/>
        </w:rPr>
        <w:tab/>
      </w:r>
      <w:r w:rsidRPr="00A568AB">
        <w:rPr>
          <w:rFonts w:ascii="Times New Roman" w:hAnsi="Times New Roman" w:cs="Times New Roman"/>
          <w:sz w:val="24"/>
          <w:szCs w:val="22"/>
        </w:rPr>
        <w:tab/>
      </w:r>
      <w:r w:rsidRPr="00A568AB">
        <w:rPr>
          <w:rFonts w:ascii="Times New Roman" w:hAnsi="Times New Roman" w:cs="Times New Roman"/>
          <w:sz w:val="24"/>
          <w:szCs w:val="22"/>
        </w:rPr>
        <w:tab/>
      </w:r>
      <w:r w:rsidRPr="00A568AB">
        <w:rPr>
          <w:rFonts w:ascii="Times New Roman" w:hAnsi="Times New Roman" w:cs="Times New Roman"/>
          <w:sz w:val="24"/>
          <w:szCs w:val="22"/>
        </w:rPr>
        <w:tab/>
      </w:r>
      <w:r w:rsidRPr="00A568AB">
        <w:rPr>
          <w:rFonts w:ascii="Times New Roman" w:hAnsi="Times New Roman" w:cs="Times New Roman"/>
          <w:sz w:val="24"/>
          <w:szCs w:val="22"/>
        </w:rPr>
        <w:tab/>
      </w:r>
      <w:r w:rsidRPr="00A568AB">
        <w:rPr>
          <w:rFonts w:ascii="Times New Roman" w:hAnsi="Times New Roman" w:cs="Times New Roman"/>
          <w:sz w:val="24"/>
          <w:szCs w:val="22"/>
        </w:rPr>
        <w:tab/>
      </w:r>
      <w:r w:rsidRPr="00A568AB">
        <w:rPr>
          <w:rFonts w:ascii="Times New Roman" w:hAnsi="Times New Roman" w:cs="Times New Roman"/>
          <w:sz w:val="24"/>
          <w:szCs w:val="22"/>
        </w:rPr>
        <w:tab/>
      </w:r>
      <w:r w:rsidRPr="00A568AB">
        <w:rPr>
          <w:rFonts w:ascii="Times New Roman" w:hAnsi="Times New Roman" w:cs="Times New Roman"/>
          <w:sz w:val="24"/>
          <w:szCs w:val="22"/>
        </w:rPr>
        <w:tab/>
      </w:r>
    </w:p>
    <w:p w14:paraId="2E745D2A" w14:textId="4B0A1D87" w:rsidR="00A568AB" w:rsidRPr="00A568AB" w:rsidRDefault="00A568AB" w:rsidP="00A568AB">
      <w:pPr>
        <w:rPr>
          <w:rFonts w:ascii="Times New Roman" w:hAnsi="Times New Roman" w:cs="Times New Roman"/>
          <w:sz w:val="24"/>
          <w:szCs w:val="22"/>
          <w:lang w:val="sv-SE"/>
        </w:rPr>
      </w:pPr>
      <w:r w:rsidRPr="00A568AB">
        <w:rPr>
          <w:rFonts w:ascii="Times New Roman" w:hAnsi="Times New Roman" w:cs="Times New Roman"/>
          <w:sz w:val="24"/>
          <w:szCs w:val="22"/>
          <w:lang w:val="sv-SE"/>
        </w:rPr>
        <w:t>Karlavägen 108</w:t>
      </w:r>
    </w:p>
    <w:p w14:paraId="384CB851" w14:textId="0C921C13" w:rsidR="00A568AB" w:rsidRPr="00A568AB" w:rsidRDefault="00A568AB" w:rsidP="00A568AB">
      <w:pPr>
        <w:rPr>
          <w:rFonts w:ascii="Times New Roman" w:hAnsi="Times New Roman" w:cs="Times New Roman"/>
          <w:sz w:val="24"/>
          <w:szCs w:val="22"/>
          <w:lang w:val="sv-SE"/>
        </w:rPr>
      </w:pPr>
      <w:r w:rsidRPr="00A568AB">
        <w:rPr>
          <w:rFonts w:ascii="Times New Roman" w:hAnsi="Times New Roman" w:cs="Times New Roman"/>
          <w:sz w:val="24"/>
          <w:szCs w:val="22"/>
          <w:lang w:val="sv-SE"/>
        </w:rPr>
        <w:t>Box 24242</w:t>
      </w:r>
    </w:p>
    <w:p w14:paraId="18E050A5" w14:textId="5D5C9DAF" w:rsidR="00957DF5" w:rsidRDefault="00A568AB" w:rsidP="005B2303">
      <w:pPr>
        <w:rPr>
          <w:rFonts w:ascii="Times New Roman" w:hAnsi="Times New Roman" w:cs="Times New Roman"/>
          <w:sz w:val="24"/>
          <w:szCs w:val="22"/>
          <w:lang w:val="sv-SE"/>
        </w:rPr>
      </w:pPr>
      <w:r w:rsidRPr="00A568AB">
        <w:rPr>
          <w:rFonts w:ascii="Times New Roman" w:hAnsi="Times New Roman" w:cs="Times New Roman"/>
          <w:sz w:val="24"/>
          <w:szCs w:val="22"/>
          <w:lang w:val="sv-SE"/>
        </w:rPr>
        <w:t>S-104 51 Stockholm</w:t>
      </w:r>
    </w:p>
    <w:p w14:paraId="451A313E" w14:textId="77777777" w:rsidR="00957DF5" w:rsidRDefault="00957DF5" w:rsidP="005B2303">
      <w:pPr>
        <w:rPr>
          <w:rFonts w:ascii="Times New Roman" w:hAnsi="Times New Roman" w:cs="Times New Roman"/>
          <w:sz w:val="24"/>
          <w:szCs w:val="22"/>
          <w:lang w:val="sv-SE"/>
        </w:rPr>
      </w:pPr>
    </w:p>
    <w:p w14:paraId="50316061" w14:textId="77777777" w:rsidR="005B2303" w:rsidRDefault="005B2303" w:rsidP="005B2303">
      <w:pPr>
        <w:jc w:val="center"/>
        <w:rPr>
          <w:b/>
          <w:bCs/>
          <w:sz w:val="28"/>
          <w:szCs w:val="28"/>
          <w:lang w:val="en-US"/>
        </w:rPr>
      </w:pPr>
      <w:r w:rsidRPr="00EB6288">
        <w:rPr>
          <w:b/>
          <w:bCs/>
          <w:sz w:val="28"/>
          <w:szCs w:val="28"/>
          <w:lang w:val="en-US"/>
        </w:rPr>
        <w:t>Philip Morris comments on the Icelandic draft bill amending the law on tobacco control no. 6/2002 (ingredients, traceability, packaging of tobacco products, etc.).</w:t>
      </w:r>
    </w:p>
    <w:p w14:paraId="114B403C" w14:textId="77777777" w:rsidR="005B2303" w:rsidRDefault="005B2303" w:rsidP="005B2303">
      <w:pPr>
        <w:rPr>
          <w:b/>
          <w:bCs/>
          <w:sz w:val="28"/>
          <w:szCs w:val="28"/>
          <w:lang w:val="en-US"/>
        </w:rPr>
      </w:pPr>
    </w:p>
    <w:p w14:paraId="0EEBECDB" w14:textId="77777777" w:rsidR="005B2303" w:rsidRPr="00E47F30" w:rsidRDefault="005B2303" w:rsidP="005B2303">
      <w:pPr>
        <w:rPr>
          <w:rFonts w:asciiTheme="majorHAnsi" w:hAnsiTheme="majorHAnsi" w:cstheme="majorHAnsi"/>
          <w:sz w:val="24"/>
          <w:szCs w:val="24"/>
          <w:lang w:val="en-US"/>
        </w:rPr>
      </w:pPr>
      <w:r w:rsidRPr="00E47F30">
        <w:rPr>
          <w:rFonts w:asciiTheme="majorHAnsi" w:hAnsiTheme="majorHAnsi" w:cstheme="majorHAnsi"/>
          <w:sz w:val="24"/>
          <w:szCs w:val="24"/>
          <w:lang w:val="en-US"/>
        </w:rPr>
        <w:t>Philip Morris is grateful for the opportunity to submit our comments on the Icelandic draft bill amending the law on tobacco control no. 6/2002 (draft bill) covering the transposition bill of the EU Directive (2014/40/EU) on Tobacco Products (TPD).</w:t>
      </w:r>
    </w:p>
    <w:p w14:paraId="0BEA43BC" w14:textId="77777777" w:rsidR="005B2303" w:rsidRPr="00E47F30" w:rsidRDefault="005B2303" w:rsidP="005B2303">
      <w:pPr>
        <w:rPr>
          <w:rFonts w:asciiTheme="majorHAnsi" w:hAnsiTheme="majorHAnsi" w:cstheme="majorHAnsi"/>
          <w:sz w:val="24"/>
          <w:szCs w:val="24"/>
          <w:lang w:val="en-US"/>
        </w:rPr>
      </w:pPr>
    </w:p>
    <w:p w14:paraId="35354349" w14:textId="77777777" w:rsidR="005B2303" w:rsidRPr="00E47F30" w:rsidRDefault="005B2303" w:rsidP="005B2303">
      <w:pPr>
        <w:rPr>
          <w:rFonts w:asciiTheme="majorHAnsi" w:hAnsiTheme="majorHAnsi" w:cstheme="majorHAnsi"/>
          <w:sz w:val="24"/>
          <w:szCs w:val="24"/>
          <w:lang w:val="en-US"/>
        </w:rPr>
      </w:pPr>
      <w:r w:rsidRPr="00E47F30">
        <w:rPr>
          <w:rFonts w:asciiTheme="majorHAnsi" w:hAnsiTheme="majorHAnsi" w:cstheme="majorHAnsi"/>
          <w:sz w:val="24"/>
          <w:szCs w:val="24"/>
          <w:lang w:val="en-US"/>
        </w:rPr>
        <w:t>Philip Morris would like to highlight four issues with the current draft bill:</w:t>
      </w:r>
    </w:p>
    <w:p w14:paraId="57632601" w14:textId="77777777" w:rsidR="005B2303" w:rsidRPr="00E47F30" w:rsidRDefault="005B2303" w:rsidP="005B2303">
      <w:pPr>
        <w:pStyle w:val="Liststycke"/>
        <w:numPr>
          <w:ilvl w:val="0"/>
          <w:numId w:val="16"/>
        </w:numPr>
        <w:spacing w:after="0"/>
        <w:contextualSpacing w:val="0"/>
        <w:rPr>
          <w:rFonts w:asciiTheme="majorHAnsi" w:hAnsiTheme="majorHAnsi" w:cstheme="majorHAnsi"/>
          <w:sz w:val="24"/>
          <w:szCs w:val="24"/>
          <w:lang w:val="en-US"/>
        </w:rPr>
      </w:pPr>
      <w:r w:rsidRPr="00E47F30">
        <w:rPr>
          <w:rFonts w:asciiTheme="majorHAnsi" w:hAnsiTheme="majorHAnsi" w:cstheme="majorHAnsi"/>
          <w:sz w:val="24"/>
          <w:szCs w:val="24"/>
          <w:lang w:val="en-US"/>
        </w:rPr>
        <w:t>Article 6 (g) relating to the Tobacco Products Directive’s article 19 Notification of Novel Tobacco Products</w:t>
      </w:r>
    </w:p>
    <w:p w14:paraId="11B5D014" w14:textId="77777777" w:rsidR="005B2303" w:rsidRPr="00E47F30" w:rsidRDefault="005B2303" w:rsidP="005B2303">
      <w:pPr>
        <w:pStyle w:val="Liststycke"/>
        <w:numPr>
          <w:ilvl w:val="0"/>
          <w:numId w:val="16"/>
        </w:numPr>
        <w:spacing w:after="0"/>
        <w:contextualSpacing w:val="0"/>
        <w:rPr>
          <w:rFonts w:asciiTheme="majorHAnsi" w:hAnsiTheme="majorHAnsi" w:cstheme="majorHAnsi"/>
          <w:sz w:val="24"/>
          <w:szCs w:val="24"/>
          <w:lang w:val="en-US"/>
        </w:rPr>
      </w:pPr>
      <w:r w:rsidRPr="00E47F30">
        <w:rPr>
          <w:rFonts w:asciiTheme="majorHAnsi" w:hAnsiTheme="majorHAnsi" w:cstheme="majorHAnsi"/>
          <w:sz w:val="24"/>
          <w:szCs w:val="24"/>
          <w:lang w:val="en-US"/>
        </w:rPr>
        <w:t>Entry into force date for Traceability, Registration and Security Feature for cigarettes and roll-your-own tobacco</w:t>
      </w:r>
    </w:p>
    <w:p w14:paraId="06FC4F55" w14:textId="77777777" w:rsidR="005B2303" w:rsidRPr="00E47F30" w:rsidRDefault="005B2303" w:rsidP="005B2303">
      <w:pPr>
        <w:pStyle w:val="Liststycke"/>
        <w:numPr>
          <w:ilvl w:val="0"/>
          <w:numId w:val="16"/>
        </w:numPr>
        <w:spacing w:after="0"/>
        <w:contextualSpacing w:val="0"/>
        <w:rPr>
          <w:rFonts w:asciiTheme="majorHAnsi" w:hAnsiTheme="majorHAnsi" w:cstheme="majorHAnsi"/>
          <w:sz w:val="24"/>
          <w:szCs w:val="24"/>
          <w:lang w:val="en-US"/>
        </w:rPr>
      </w:pPr>
      <w:r w:rsidRPr="00E47F30">
        <w:rPr>
          <w:rFonts w:asciiTheme="majorHAnsi" w:hAnsiTheme="majorHAnsi" w:cstheme="majorHAnsi"/>
          <w:sz w:val="24"/>
          <w:szCs w:val="24"/>
          <w:lang w:val="en-US"/>
        </w:rPr>
        <w:t>Ingredients of tobacco products and characterizing flavors</w:t>
      </w:r>
    </w:p>
    <w:p w14:paraId="187C2EF9" w14:textId="77777777" w:rsidR="005B2303" w:rsidRPr="00E47F30" w:rsidRDefault="005B2303" w:rsidP="005B2303">
      <w:pPr>
        <w:pStyle w:val="Liststycke"/>
        <w:numPr>
          <w:ilvl w:val="0"/>
          <w:numId w:val="16"/>
        </w:numPr>
        <w:spacing w:after="0"/>
        <w:contextualSpacing w:val="0"/>
        <w:rPr>
          <w:rFonts w:asciiTheme="majorHAnsi" w:hAnsiTheme="majorHAnsi" w:cstheme="majorHAnsi"/>
          <w:sz w:val="24"/>
          <w:szCs w:val="24"/>
          <w:lang w:val="en-US"/>
        </w:rPr>
      </w:pPr>
      <w:r w:rsidRPr="00E47F30">
        <w:rPr>
          <w:rFonts w:asciiTheme="majorHAnsi" w:hAnsiTheme="majorHAnsi" w:cstheme="majorHAnsi"/>
          <w:sz w:val="24"/>
          <w:szCs w:val="24"/>
          <w:lang w:val="en-US"/>
        </w:rPr>
        <w:t>Fees to ATVR</w:t>
      </w:r>
    </w:p>
    <w:p w14:paraId="6F22B7AF" w14:textId="77777777" w:rsidR="005B2303" w:rsidRPr="00E47F30" w:rsidRDefault="005B2303" w:rsidP="005B2303">
      <w:pPr>
        <w:rPr>
          <w:rFonts w:asciiTheme="majorHAnsi" w:hAnsiTheme="majorHAnsi" w:cstheme="majorHAnsi"/>
          <w:sz w:val="24"/>
          <w:szCs w:val="24"/>
          <w:lang w:val="en-US"/>
        </w:rPr>
      </w:pPr>
    </w:p>
    <w:p w14:paraId="21ED9B61" w14:textId="77777777" w:rsidR="005B2303" w:rsidRPr="00E47F30" w:rsidRDefault="005B2303" w:rsidP="005B2303">
      <w:pPr>
        <w:pStyle w:val="Liststycke"/>
        <w:numPr>
          <w:ilvl w:val="0"/>
          <w:numId w:val="17"/>
        </w:numPr>
        <w:spacing w:after="0"/>
        <w:contextualSpacing w:val="0"/>
        <w:rPr>
          <w:rFonts w:asciiTheme="majorHAnsi" w:hAnsiTheme="majorHAnsi" w:cstheme="majorHAnsi"/>
          <w:b/>
          <w:bCs/>
          <w:sz w:val="24"/>
          <w:szCs w:val="24"/>
          <w:lang w:val="en-US"/>
        </w:rPr>
      </w:pPr>
      <w:r w:rsidRPr="00E47F30">
        <w:rPr>
          <w:rFonts w:asciiTheme="majorHAnsi" w:hAnsiTheme="majorHAnsi" w:cstheme="majorHAnsi"/>
          <w:b/>
          <w:bCs/>
          <w:sz w:val="24"/>
          <w:szCs w:val="24"/>
          <w:lang w:val="en-US"/>
        </w:rPr>
        <w:t>Notification of Novel Tobacco products</w:t>
      </w:r>
    </w:p>
    <w:p w14:paraId="336E93CF" w14:textId="77777777" w:rsidR="005B2303" w:rsidRPr="00E47F30" w:rsidRDefault="005B2303" w:rsidP="005B2303">
      <w:pPr>
        <w:rPr>
          <w:rFonts w:asciiTheme="majorHAnsi" w:hAnsiTheme="majorHAnsi" w:cstheme="majorHAnsi"/>
          <w:sz w:val="24"/>
          <w:szCs w:val="24"/>
        </w:rPr>
      </w:pPr>
      <w:r w:rsidRPr="00E47F30">
        <w:rPr>
          <w:rFonts w:asciiTheme="majorHAnsi" w:hAnsiTheme="majorHAnsi" w:cstheme="majorHAnsi"/>
          <w:sz w:val="24"/>
          <w:szCs w:val="24"/>
          <w:lang w:val="en-US"/>
        </w:rPr>
        <w:t xml:space="preserve">The TPD Article 2 (14) defines </w:t>
      </w:r>
      <w:r w:rsidRPr="00E47F30">
        <w:rPr>
          <w:rFonts w:asciiTheme="majorHAnsi" w:hAnsiTheme="majorHAnsi" w:cstheme="majorHAnsi"/>
          <w:sz w:val="24"/>
          <w:szCs w:val="24"/>
        </w:rPr>
        <w:t xml:space="preserve">novel tobacco products as a tobacco product which: </w:t>
      </w:r>
    </w:p>
    <w:p w14:paraId="34292F30" w14:textId="77777777" w:rsidR="005B2303" w:rsidRPr="00E47F30" w:rsidRDefault="005B2303" w:rsidP="005B2303">
      <w:pPr>
        <w:rPr>
          <w:rFonts w:asciiTheme="majorHAnsi" w:hAnsiTheme="majorHAnsi" w:cstheme="majorHAnsi"/>
          <w:sz w:val="24"/>
          <w:szCs w:val="24"/>
        </w:rPr>
      </w:pPr>
      <w:r w:rsidRPr="00E47F30">
        <w:rPr>
          <w:rFonts w:asciiTheme="majorHAnsi" w:hAnsiTheme="majorHAnsi" w:cstheme="majorHAnsi"/>
          <w:sz w:val="24"/>
          <w:szCs w:val="24"/>
        </w:rPr>
        <w:t xml:space="preserve">(a) does not fall into any of the following categories: cigarettes, roll-your-own tobacco, pipe tobacco, waterpipe tobacco, cigars, cigarillos, chewing tobacco, nasal </w:t>
      </w:r>
      <w:proofErr w:type="gramStart"/>
      <w:r w:rsidRPr="00E47F30">
        <w:rPr>
          <w:rFonts w:asciiTheme="majorHAnsi" w:hAnsiTheme="majorHAnsi" w:cstheme="majorHAnsi"/>
          <w:sz w:val="24"/>
          <w:szCs w:val="24"/>
        </w:rPr>
        <w:t>tobacco</w:t>
      </w:r>
      <w:proofErr w:type="gramEnd"/>
      <w:r w:rsidRPr="00E47F30">
        <w:rPr>
          <w:rFonts w:asciiTheme="majorHAnsi" w:hAnsiTheme="majorHAnsi" w:cstheme="majorHAnsi"/>
          <w:sz w:val="24"/>
          <w:szCs w:val="24"/>
        </w:rPr>
        <w:t xml:space="preserve"> or tobacco for oral use; and </w:t>
      </w:r>
    </w:p>
    <w:p w14:paraId="2B0406C0" w14:textId="77777777" w:rsidR="005B2303" w:rsidRPr="00E47F30" w:rsidRDefault="005B2303" w:rsidP="005B2303">
      <w:pPr>
        <w:rPr>
          <w:rFonts w:asciiTheme="majorHAnsi" w:hAnsiTheme="majorHAnsi" w:cstheme="majorHAnsi"/>
          <w:sz w:val="24"/>
          <w:szCs w:val="24"/>
        </w:rPr>
      </w:pPr>
      <w:r w:rsidRPr="00E47F30">
        <w:rPr>
          <w:rFonts w:asciiTheme="majorHAnsi" w:hAnsiTheme="majorHAnsi" w:cstheme="majorHAnsi"/>
          <w:sz w:val="24"/>
          <w:szCs w:val="24"/>
        </w:rPr>
        <w:t>(b) is placed on the market after 19 May 2014.</w:t>
      </w:r>
    </w:p>
    <w:p w14:paraId="5483C412" w14:textId="77777777" w:rsidR="005B2303" w:rsidRPr="00E47F30" w:rsidRDefault="005B2303" w:rsidP="005B2303">
      <w:pPr>
        <w:rPr>
          <w:rFonts w:asciiTheme="majorHAnsi" w:hAnsiTheme="majorHAnsi" w:cstheme="majorHAnsi"/>
          <w:sz w:val="24"/>
          <w:szCs w:val="24"/>
        </w:rPr>
      </w:pPr>
      <w:r w:rsidRPr="00E47F30">
        <w:rPr>
          <w:rFonts w:asciiTheme="majorHAnsi" w:hAnsiTheme="majorHAnsi" w:cstheme="majorHAnsi"/>
          <w:sz w:val="24"/>
          <w:szCs w:val="24"/>
        </w:rPr>
        <w:t>This corresponds with Article 2 (18) in the draft bill.</w:t>
      </w:r>
    </w:p>
    <w:p w14:paraId="5E05DBF3" w14:textId="77777777" w:rsidR="005B2303" w:rsidRPr="00E47F30" w:rsidRDefault="005B2303" w:rsidP="005B2303">
      <w:pPr>
        <w:rPr>
          <w:rFonts w:asciiTheme="majorHAnsi" w:hAnsiTheme="majorHAnsi" w:cstheme="majorHAnsi"/>
          <w:sz w:val="24"/>
          <w:szCs w:val="24"/>
          <w:lang w:val="en-US"/>
        </w:rPr>
      </w:pPr>
      <w:r w:rsidRPr="00E47F30">
        <w:rPr>
          <w:rFonts w:asciiTheme="majorHAnsi" w:hAnsiTheme="majorHAnsi" w:cstheme="majorHAnsi"/>
          <w:sz w:val="24"/>
          <w:szCs w:val="24"/>
        </w:rPr>
        <w:t xml:space="preserve">The TPD Article 19 is referencing only Novel Tobacco Products as defined in TPD Article 2 (14). However, in the draft bill, even though the heading states Notification of novel tobacco products and thereby corresponding with TPD Article 19, the provision reads </w:t>
      </w:r>
      <w:r w:rsidRPr="00E47F30">
        <w:rPr>
          <w:rFonts w:asciiTheme="majorHAnsi" w:hAnsiTheme="majorHAnsi" w:cstheme="majorHAnsi"/>
          <w:i/>
          <w:iCs/>
          <w:sz w:val="24"/>
          <w:szCs w:val="24"/>
        </w:rPr>
        <w:t>“</w:t>
      </w:r>
      <w:r w:rsidRPr="00E47F30">
        <w:rPr>
          <w:rFonts w:asciiTheme="majorHAnsi" w:hAnsiTheme="majorHAnsi" w:cstheme="majorHAnsi"/>
          <w:i/>
          <w:iCs/>
          <w:sz w:val="24"/>
          <w:szCs w:val="24"/>
          <w:lang w:val="en-US"/>
        </w:rPr>
        <w:t xml:space="preserve">Producers and importers who intend to put products </w:t>
      </w:r>
      <w:r w:rsidRPr="00E47F30">
        <w:rPr>
          <w:rFonts w:asciiTheme="majorHAnsi" w:hAnsiTheme="majorHAnsi" w:cstheme="majorHAnsi"/>
          <w:b/>
          <w:bCs/>
          <w:i/>
          <w:iCs/>
          <w:sz w:val="24"/>
          <w:szCs w:val="24"/>
          <w:u w:val="single"/>
          <w:lang w:val="en-US"/>
        </w:rPr>
        <w:t>covered by this law</w:t>
      </w:r>
      <w:r w:rsidRPr="00E47F30">
        <w:rPr>
          <w:rFonts w:asciiTheme="majorHAnsi" w:hAnsiTheme="majorHAnsi" w:cstheme="majorHAnsi"/>
          <w:i/>
          <w:iCs/>
          <w:sz w:val="24"/>
          <w:szCs w:val="24"/>
          <w:lang w:val="en-US"/>
        </w:rPr>
        <w:t xml:space="preserve"> on the market in Iceland must send ÁTVR a notification six months before marketing is planned.”</w:t>
      </w:r>
      <w:r w:rsidRPr="00E47F30">
        <w:rPr>
          <w:rFonts w:asciiTheme="majorHAnsi" w:hAnsiTheme="majorHAnsi" w:cstheme="majorHAnsi"/>
          <w:sz w:val="24"/>
          <w:szCs w:val="24"/>
          <w:lang w:val="en-US"/>
        </w:rPr>
        <w:t xml:space="preserve"> (</w:t>
      </w:r>
      <w:proofErr w:type="gramStart"/>
      <w:r w:rsidRPr="00E47F30">
        <w:rPr>
          <w:rFonts w:asciiTheme="majorHAnsi" w:hAnsiTheme="majorHAnsi" w:cstheme="majorHAnsi"/>
          <w:sz w:val="24"/>
          <w:szCs w:val="24"/>
          <w:lang w:val="en-US"/>
        </w:rPr>
        <w:t>our</w:t>
      </w:r>
      <w:proofErr w:type="gramEnd"/>
      <w:r w:rsidRPr="00E47F30">
        <w:rPr>
          <w:rFonts w:asciiTheme="majorHAnsi" w:hAnsiTheme="majorHAnsi" w:cstheme="majorHAnsi"/>
          <w:sz w:val="24"/>
          <w:szCs w:val="24"/>
          <w:lang w:val="en-US"/>
        </w:rPr>
        <w:t xml:space="preserve"> emphasis). This is a much broader scope than the scope of TPD Article 19 as it includes </w:t>
      </w:r>
      <w:r w:rsidRPr="00E47F30">
        <w:rPr>
          <w:rFonts w:asciiTheme="majorHAnsi" w:hAnsiTheme="majorHAnsi" w:cstheme="majorHAnsi"/>
          <w:i/>
          <w:iCs/>
          <w:sz w:val="24"/>
          <w:szCs w:val="24"/>
          <w:u w:val="single"/>
          <w:lang w:val="en-US"/>
        </w:rPr>
        <w:t>all</w:t>
      </w:r>
      <w:r w:rsidRPr="00E47F30">
        <w:rPr>
          <w:rFonts w:asciiTheme="majorHAnsi" w:hAnsiTheme="majorHAnsi" w:cstheme="majorHAnsi"/>
          <w:sz w:val="24"/>
          <w:szCs w:val="24"/>
          <w:lang w:val="en-US"/>
        </w:rPr>
        <w:t xml:space="preserve"> products covered by the law and not only Novel Tobacco Products as defined in TPD Article 2 (14) and the draft bill Article 2 (18). This draft provision is not in line with the TPD and would be incredibly cumbersome for both the producers and ATVR. </w:t>
      </w:r>
    </w:p>
    <w:p w14:paraId="21D3EB52" w14:textId="77777777" w:rsidR="005B2303" w:rsidRPr="00E47F30" w:rsidRDefault="005B2303" w:rsidP="005B2303">
      <w:pPr>
        <w:rPr>
          <w:rFonts w:asciiTheme="majorHAnsi" w:hAnsiTheme="majorHAnsi" w:cstheme="majorHAnsi"/>
          <w:sz w:val="24"/>
          <w:szCs w:val="24"/>
          <w:lang w:val="en-US"/>
        </w:rPr>
      </w:pPr>
      <w:r w:rsidRPr="00E47F30">
        <w:rPr>
          <w:rFonts w:asciiTheme="majorHAnsi" w:hAnsiTheme="majorHAnsi" w:cstheme="majorHAnsi"/>
          <w:sz w:val="24"/>
          <w:szCs w:val="24"/>
          <w:lang w:val="en-US"/>
        </w:rPr>
        <w:t xml:space="preserve">We therefore suggest that products not covered by TPD Article 19, </w:t>
      </w:r>
      <w:proofErr w:type="gramStart"/>
      <w:r w:rsidRPr="00E47F30">
        <w:rPr>
          <w:rFonts w:asciiTheme="majorHAnsi" w:hAnsiTheme="majorHAnsi" w:cstheme="majorHAnsi"/>
          <w:sz w:val="24"/>
          <w:szCs w:val="24"/>
          <w:lang w:val="en-US"/>
        </w:rPr>
        <w:t>i.e.</w:t>
      </w:r>
      <w:proofErr w:type="gramEnd"/>
      <w:r w:rsidRPr="00E47F30">
        <w:rPr>
          <w:rFonts w:asciiTheme="majorHAnsi" w:hAnsiTheme="majorHAnsi" w:cstheme="majorHAnsi"/>
          <w:sz w:val="24"/>
          <w:szCs w:val="24"/>
          <w:lang w:val="en-US"/>
        </w:rPr>
        <w:t xml:space="preserve"> products that were on the European market before May 20 2014, continues to be handled as today, e.g. ATVR approves packaging and name, and Article 6 (g) in the draft bill should only cover Novel Tobacco Products as defined in Article 2 (18) in the draft bill. </w:t>
      </w:r>
    </w:p>
    <w:p w14:paraId="59F76DCC" w14:textId="77777777" w:rsidR="005B2303" w:rsidRPr="00E47F30" w:rsidRDefault="005B2303" w:rsidP="005B2303">
      <w:pPr>
        <w:rPr>
          <w:rFonts w:asciiTheme="majorHAnsi" w:hAnsiTheme="majorHAnsi" w:cstheme="majorHAnsi"/>
          <w:sz w:val="24"/>
          <w:szCs w:val="24"/>
          <w:lang w:val="en-US"/>
        </w:rPr>
      </w:pPr>
    </w:p>
    <w:p w14:paraId="043C101E" w14:textId="77777777" w:rsidR="005B2303" w:rsidRPr="00E47F30" w:rsidRDefault="005B2303" w:rsidP="005B2303">
      <w:pPr>
        <w:pStyle w:val="Liststycke"/>
        <w:numPr>
          <w:ilvl w:val="0"/>
          <w:numId w:val="17"/>
        </w:numPr>
        <w:spacing w:after="0"/>
        <w:contextualSpacing w:val="0"/>
        <w:rPr>
          <w:rFonts w:asciiTheme="majorHAnsi" w:hAnsiTheme="majorHAnsi" w:cstheme="majorHAnsi"/>
          <w:b/>
          <w:bCs/>
          <w:sz w:val="24"/>
          <w:szCs w:val="24"/>
          <w:lang w:val="en-US"/>
        </w:rPr>
      </w:pPr>
      <w:r w:rsidRPr="00E47F30">
        <w:rPr>
          <w:rFonts w:asciiTheme="majorHAnsi" w:hAnsiTheme="majorHAnsi" w:cstheme="majorHAnsi"/>
          <w:b/>
          <w:bCs/>
          <w:sz w:val="24"/>
          <w:szCs w:val="24"/>
          <w:lang w:val="en-US"/>
        </w:rPr>
        <w:t xml:space="preserve"> Entry into force; Traceability, Registration and Security Feature</w:t>
      </w:r>
    </w:p>
    <w:p w14:paraId="0F42FCAF" w14:textId="77777777" w:rsidR="005B2303" w:rsidRPr="00E47F30" w:rsidRDefault="005B2303" w:rsidP="005B2303">
      <w:pPr>
        <w:rPr>
          <w:rFonts w:asciiTheme="majorHAnsi" w:hAnsiTheme="majorHAnsi" w:cstheme="majorHAnsi"/>
          <w:sz w:val="24"/>
          <w:szCs w:val="24"/>
          <w:lang w:val="en-US"/>
        </w:rPr>
      </w:pPr>
      <w:r w:rsidRPr="00E47F30">
        <w:rPr>
          <w:rFonts w:asciiTheme="majorHAnsi" w:hAnsiTheme="majorHAnsi" w:cstheme="majorHAnsi"/>
          <w:sz w:val="24"/>
          <w:szCs w:val="24"/>
          <w:lang w:val="en-US"/>
        </w:rPr>
        <w:t xml:space="preserve">Article 21 (a) in the draft bill states the law enters into force on December 1, </w:t>
      </w:r>
      <w:proofErr w:type="gramStart"/>
      <w:r w:rsidRPr="00E47F30">
        <w:rPr>
          <w:rFonts w:asciiTheme="majorHAnsi" w:hAnsiTheme="majorHAnsi" w:cstheme="majorHAnsi"/>
          <w:sz w:val="24"/>
          <w:szCs w:val="24"/>
          <w:lang w:val="en-US"/>
        </w:rPr>
        <w:t>2023</w:t>
      </w:r>
      <w:proofErr w:type="gramEnd"/>
      <w:r w:rsidRPr="00E47F30">
        <w:rPr>
          <w:rFonts w:asciiTheme="majorHAnsi" w:hAnsiTheme="majorHAnsi" w:cstheme="majorHAnsi"/>
          <w:sz w:val="24"/>
          <w:szCs w:val="24"/>
          <w:lang w:val="en-US"/>
        </w:rPr>
        <w:t xml:space="preserve"> except for Article 6 (d) (Traceability), Article 6 (e) (Registration) and 6 (f) (Security Feature which are valid from 20 May 2024 for tobacco products </w:t>
      </w:r>
      <w:r w:rsidRPr="00E47F30">
        <w:rPr>
          <w:rFonts w:asciiTheme="majorHAnsi" w:hAnsiTheme="majorHAnsi" w:cstheme="majorHAnsi"/>
          <w:i/>
          <w:iCs/>
          <w:sz w:val="24"/>
          <w:szCs w:val="24"/>
          <w:u w:val="single"/>
          <w:lang w:val="en-US"/>
        </w:rPr>
        <w:t>other</w:t>
      </w:r>
      <w:r w:rsidRPr="00E47F30">
        <w:rPr>
          <w:rFonts w:asciiTheme="majorHAnsi" w:hAnsiTheme="majorHAnsi" w:cstheme="majorHAnsi"/>
          <w:sz w:val="24"/>
          <w:szCs w:val="24"/>
          <w:u w:val="single"/>
          <w:lang w:val="en-US"/>
        </w:rPr>
        <w:t xml:space="preserve"> </w:t>
      </w:r>
      <w:r w:rsidRPr="00E47F30">
        <w:rPr>
          <w:rFonts w:asciiTheme="majorHAnsi" w:hAnsiTheme="majorHAnsi" w:cstheme="majorHAnsi"/>
          <w:i/>
          <w:iCs/>
          <w:sz w:val="24"/>
          <w:szCs w:val="24"/>
          <w:u w:val="single"/>
          <w:lang w:val="en-US"/>
        </w:rPr>
        <w:t>than</w:t>
      </w:r>
      <w:r w:rsidRPr="00E47F30">
        <w:rPr>
          <w:rFonts w:asciiTheme="majorHAnsi" w:hAnsiTheme="majorHAnsi" w:cstheme="majorHAnsi"/>
          <w:i/>
          <w:iCs/>
          <w:sz w:val="24"/>
          <w:szCs w:val="24"/>
          <w:lang w:val="en-US"/>
        </w:rPr>
        <w:t xml:space="preserve"> </w:t>
      </w:r>
      <w:r w:rsidRPr="00E47F30">
        <w:rPr>
          <w:rFonts w:asciiTheme="majorHAnsi" w:hAnsiTheme="majorHAnsi" w:cstheme="majorHAnsi"/>
          <w:sz w:val="24"/>
          <w:szCs w:val="24"/>
          <w:lang w:val="en-US"/>
        </w:rPr>
        <w:t>cigarettes and roll-your-own tobacco.</w:t>
      </w:r>
    </w:p>
    <w:p w14:paraId="17E47861" w14:textId="77777777" w:rsidR="005B2303" w:rsidRPr="00E47F30" w:rsidRDefault="005B2303" w:rsidP="005B2303">
      <w:pPr>
        <w:rPr>
          <w:rFonts w:asciiTheme="majorHAnsi" w:hAnsiTheme="majorHAnsi" w:cstheme="majorHAnsi"/>
          <w:sz w:val="24"/>
          <w:szCs w:val="24"/>
          <w:lang w:val="en-US"/>
        </w:rPr>
      </w:pPr>
      <w:r w:rsidRPr="00E47F30">
        <w:rPr>
          <w:rFonts w:asciiTheme="majorHAnsi" w:hAnsiTheme="majorHAnsi" w:cstheme="majorHAnsi"/>
          <w:sz w:val="24"/>
          <w:szCs w:val="24"/>
          <w:lang w:val="en-US"/>
        </w:rPr>
        <w:t xml:space="preserve">This means that Articles 6 (d), 6 (e) and 6 (f) would come into force for </w:t>
      </w:r>
      <w:proofErr w:type="gramStart"/>
      <w:r w:rsidRPr="00E47F30">
        <w:rPr>
          <w:rFonts w:asciiTheme="majorHAnsi" w:hAnsiTheme="majorHAnsi" w:cstheme="majorHAnsi"/>
          <w:sz w:val="24"/>
          <w:szCs w:val="24"/>
          <w:lang w:val="en-US"/>
        </w:rPr>
        <w:t>e.g.</w:t>
      </w:r>
      <w:proofErr w:type="gramEnd"/>
      <w:r w:rsidRPr="00E47F30">
        <w:rPr>
          <w:rFonts w:asciiTheme="majorHAnsi" w:hAnsiTheme="majorHAnsi" w:cstheme="majorHAnsi"/>
          <w:sz w:val="24"/>
          <w:szCs w:val="24"/>
          <w:lang w:val="en-US"/>
        </w:rPr>
        <w:t xml:space="preserve"> cigarettes as of 1 December 2023. This is a very short timeline from a practical perspective since an ID issuer needs to be appointed, security features need to be prepared and manufacturers need time to adjust production. Due to this complexity, the EEA decision No 6/2022, Article 1(d) and (e) grants manufacturers 16 months after the EEA decision has entered into force to comply with the requirements set out in the TPD Article 15 (Traceability) and Article 16 (Security feature). The EEA decision has not yet entered into force since both Norway and Iceland need to clear constitutional requirements in accordance with the EEA agreement Article 103(1). We suggest that Iceland implements this longer timeline </w:t>
      </w:r>
      <w:proofErr w:type="gramStart"/>
      <w:r w:rsidRPr="00E47F30">
        <w:rPr>
          <w:rFonts w:asciiTheme="majorHAnsi" w:hAnsiTheme="majorHAnsi" w:cstheme="majorHAnsi"/>
          <w:sz w:val="24"/>
          <w:szCs w:val="24"/>
          <w:lang w:val="en-US"/>
        </w:rPr>
        <w:t>in order to</w:t>
      </w:r>
      <w:proofErr w:type="gramEnd"/>
      <w:r w:rsidRPr="00E47F30">
        <w:rPr>
          <w:rFonts w:asciiTheme="majorHAnsi" w:hAnsiTheme="majorHAnsi" w:cstheme="majorHAnsi"/>
          <w:sz w:val="24"/>
          <w:szCs w:val="24"/>
          <w:lang w:val="en-US"/>
        </w:rPr>
        <w:t xml:space="preserve"> give both manufactures and ATVR enough time to adapt to this new regulation. </w:t>
      </w:r>
    </w:p>
    <w:p w14:paraId="32EADA8F" w14:textId="77777777" w:rsidR="005B2303" w:rsidRPr="00E47F30" w:rsidRDefault="005B2303" w:rsidP="005B2303">
      <w:pPr>
        <w:rPr>
          <w:rFonts w:asciiTheme="majorHAnsi" w:hAnsiTheme="majorHAnsi" w:cstheme="majorHAnsi"/>
          <w:sz w:val="24"/>
          <w:szCs w:val="24"/>
          <w:lang w:val="en-US"/>
        </w:rPr>
      </w:pPr>
      <w:r w:rsidRPr="00E47F30">
        <w:rPr>
          <w:rFonts w:asciiTheme="majorHAnsi" w:hAnsiTheme="majorHAnsi" w:cstheme="majorHAnsi"/>
          <w:sz w:val="24"/>
          <w:szCs w:val="24"/>
          <w:lang w:val="en-US"/>
        </w:rPr>
        <w:t xml:space="preserve">We would also like to point out that under the EU Commission’s Implementing Regulation (EU) 2018/574 as well as </w:t>
      </w:r>
      <w:r w:rsidRPr="00E47F30">
        <w:rPr>
          <w:rFonts w:asciiTheme="majorHAnsi" w:hAnsiTheme="majorHAnsi" w:cstheme="majorHAnsi"/>
          <w:sz w:val="24"/>
          <w:szCs w:val="24"/>
        </w:rPr>
        <w:t xml:space="preserve">Implementing Decision (EU) 2018/576 </w:t>
      </w:r>
      <w:r w:rsidRPr="00E47F30">
        <w:rPr>
          <w:rFonts w:asciiTheme="majorHAnsi" w:hAnsiTheme="majorHAnsi" w:cstheme="majorHAnsi"/>
          <w:sz w:val="24"/>
          <w:szCs w:val="24"/>
          <w:lang w:val="en-US"/>
        </w:rPr>
        <w:t xml:space="preserve">contain transition periods for the traceability and security feature regulation. Specifically, Article 37 of the Implementing Regulation and Article 9 of the Implementing Decision provide for a one-year transition period for cigarettes and roll-your-own tobacco manufactured before 20 May 2019 to remain in free circulation until 20 May 2020 and for </w:t>
      </w:r>
      <w:r w:rsidRPr="00E47F30">
        <w:rPr>
          <w:rFonts w:asciiTheme="majorHAnsi" w:hAnsiTheme="majorHAnsi" w:cstheme="majorHAnsi"/>
          <w:sz w:val="24"/>
          <w:szCs w:val="24"/>
        </w:rPr>
        <w:t>tobacco products other than cigarettes and roll-your-own tobacco</w:t>
      </w:r>
      <w:r w:rsidRPr="00E47F30">
        <w:rPr>
          <w:rFonts w:asciiTheme="majorHAnsi" w:hAnsiTheme="majorHAnsi" w:cstheme="majorHAnsi"/>
          <w:sz w:val="24"/>
          <w:szCs w:val="24"/>
          <w:lang w:val="en-US"/>
        </w:rPr>
        <w:t xml:space="preserve"> manufactured before 20 May 2024 to remain in free circulation until 20 May 2026. We encourage Iceland to adopt the similar transition periods of one and two years respectively.</w:t>
      </w:r>
    </w:p>
    <w:p w14:paraId="76CF7810" w14:textId="77777777" w:rsidR="005B2303" w:rsidRPr="00E47F30" w:rsidRDefault="005B2303" w:rsidP="005B2303">
      <w:pPr>
        <w:rPr>
          <w:rFonts w:asciiTheme="majorHAnsi" w:hAnsiTheme="majorHAnsi" w:cstheme="majorHAnsi"/>
          <w:sz w:val="24"/>
          <w:szCs w:val="24"/>
          <w:lang w:val="en-US"/>
        </w:rPr>
      </w:pPr>
      <w:r w:rsidRPr="00E47F30">
        <w:rPr>
          <w:rFonts w:asciiTheme="majorHAnsi" w:hAnsiTheme="majorHAnsi" w:cstheme="majorHAnsi"/>
          <w:sz w:val="24"/>
          <w:szCs w:val="24"/>
          <w:lang w:val="en-US"/>
        </w:rPr>
        <w:t>Through the implementation of the track and trace regulation Iceland becomes a part of the EU traceability system for tobacco products. We find that it is essential that Iceland integrates to the whole existing TPD eco-system, including the primary and secondary repositories and router. By following the Implementing Regulation in EU Iceland can draw on all the experience from the implementation of the Track &amp; trace system from all EU member states and most importantly become a part of the knowledge sharing across borders. From the experience from other EU markets, we can only emphasize the importance of having realistic delays between each step in the implementation of the actual processes.</w:t>
      </w:r>
    </w:p>
    <w:p w14:paraId="103DEF08" w14:textId="77777777" w:rsidR="005B2303" w:rsidRPr="00E47F30" w:rsidRDefault="005B2303" w:rsidP="005B2303">
      <w:pPr>
        <w:rPr>
          <w:rFonts w:asciiTheme="majorHAnsi" w:hAnsiTheme="majorHAnsi" w:cstheme="majorHAnsi"/>
          <w:sz w:val="24"/>
          <w:szCs w:val="24"/>
          <w:lang w:val="en-US"/>
        </w:rPr>
      </w:pPr>
    </w:p>
    <w:p w14:paraId="3307CB11" w14:textId="77777777" w:rsidR="005B2303" w:rsidRPr="00E47F30" w:rsidRDefault="005B2303" w:rsidP="005B2303">
      <w:pPr>
        <w:pStyle w:val="Liststycke"/>
        <w:numPr>
          <w:ilvl w:val="0"/>
          <w:numId w:val="17"/>
        </w:numPr>
        <w:spacing w:after="0"/>
        <w:contextualSpacing w:val="0"/>
        <w:rPr>
          <w:rFonts w:asciiTheme="majorHAnsi" w:hAnsiTheme="majorHAnsi" w:cstheme="majorHAnsi"/>
          <w:b/>
          <w:bCs/>
          <w:sz w:val="24"/>
          <w:szCs w:val="24"/>
          <w:lang w:val="en-US"/>
        </w:rPr>
      </w:pPr>
      <w:r w:rsidRPr="00E47F30">
        <w:rPr>
          <w:rFonts w:asciiTheme="majorHAnsi" w:hAnsiTheme="majorHAnsi" w:cstheme="majorHAnsi"/>
          <w:b/>
          <w:bCs/>
          <w:sz w:val="24"/>
          <w:szCs w:val="24"/>
          <w:lang w:val="en-US"/>
        </w:rPr>
        <w:t>Ingredients of tobacco products and characterizing flavors</w:t>
      </w:r>
    </w:p>
    <w:p w14:paraId="4D0617C1" w14:textId="748D9D3A" w:rsidR="005B2303" w:rsidRPr="00E47F30" w:rsidRDefault="005B2303" w:rsidP="005B2303">
      <w:pPr>
        <w:rPr>
          <w:rFonts w:asciiTheme="majorHAnsi" w:hAnsiTheme="majorHAnsi" w:cstheme="majorHAnsi"/>
          <w:sz w:val="24"/>
          <w:szCs w:val="24"/>
        </w:rPr>
      </w:pPr>
      <w:r w:rsidRPr="00E47F30">
        <w:rPr>
          <w:rFonts w:asciiTheme="majorHAnsi" w:hAnsiTheme="majorHAnsi" w:cstheme="majorHAnsi"/>
          <w:sz w:val="24"/>
          <w:szCs w:val="24"/>
          <w:lang w:val="en-US"/>
        </w:rPr>
        <w:t xml:space="preserve">As Philip Morris understands the Icelandic proposal the provisions in TPD article 7(6) that bans on </w:t>
      </w:r>
      <w:r w:rsidRPr="00E47F30">
        <w:rPr>
          <w:rFonts w:asciiTheme="majorHAnsi" w:hAnsiTheme="majorHAnsi" w:cstheme="majorHAnsi"/>
          <w:i/>
          <w:iCs/>
          <w:sz w:val="24"/>
          <w:szCs w:val="24"/>
          <w:u w:val="single"/>
          <w:lang w:val="en-US"/>
        </w:rPr>
        <w:t>additives</w:t>
      </w:r>
      <w:r w:rsidRPr="00E47F30">
        <w:rPr>
          <w:rFonts w:asciiTheme="majorHAnsi" w:hAnsiTheme="majorHAnsi" w:cstheme="majorHAnsi"/>
          <w:sz w:val="24"/>
          <w:szCs w:val="24"/>
          <w:lang w:val="en-US"/>
        </w:rPr>
        <w:t xml:space="preserve"> </w:t>
      </w:r>
      <w:r w:rsidRPr="00E47F30">
        <w:rPr>
          <w:rFonts w:asciiTheme="majorHAnsi" w:hAnsiTheme="majorHAnsi" w:cstheme="majorHAnsi"/>
          <w:sz w:val="24"/>
          <w:szCs w:val="24"/>
        </w:rPr>
        <w:t xml:space="preserve">reads as a ban on substances in Icelandic. This change is essential. This can be interpreted as the ban cover traces of substances in mixtures. This is clearly not covered by TPD as Art. 7 (6) talks about additives. As the intention with the bill is to transpose the TPD under the EFTA agreement, the definitions of TPD should be used. TPD does not regulate substances, TPD only regulates ingredients, </w:t>
      </w:r>
      <w:proofErr w:type="gramStart"/>
      <w:r w:rsidRPr="00E47F30">
        <w:rPr>
          <w:rFonts w:asciiTheme="majorHAnsi" w:hAnsiTheme="majorHAnsi" w:cstheme="majorHAnsi"/>
          <w:sz w:val="24"/>
          <w:szCs w:val="24"/>
        </w:rPr>
        <w:t>additives</w:t>
      </w:r>
      <w:proofErr w:type="gramEnd"/>
      <w:r w:rsidRPr="00E47F30">
        <w:rPr>
          <w:rFonts w:asciiTheme="majorHAnsi" w:hAnsiTheme="majorHAnsi" w:cstheme="majorHAnsi"/>
          <w:sz w:val="24"/>
          <w:szCs w:val="24"/>
        </w:rPr>
        <w:t xml:space="preserve"> and </w:t>
      </w:r>
      <w:proofErr w:type="spellStart"/>
      <w:r w:rsidRPr="00E47F30">
        <w:rPr>
          <w:rFonts w:asciiTheme="majorHAnsi" w:hAnsiTheme="majorHAnsi" w:cstheme="majorHAnsi"/>
          <w:sz w:val="24"/>
          <w:szCs w:val="24"/>
        </w:rPr>
        <w:t>flavors</w:t>
      </w:r>
      <w:proofErr w:type="spellEnd"/>
      <w:r w:rsidRPr="00E47F30">
        <w:rPr>
          <w:rFonts w:asciiTheme="majorHAnsi" w:hAnsiTheme="majorHAnsi" w:cstheme="majorHAnsi"/>
          <w:sz w:val="24"/>
          <w:szCs w:val="24"/>
        </w:rPr>
        <w:t xml:space="preserve">. </w:t>
      </w:r>
    </w:p>
    <w:p w14:paraId="7DCA1303" w14:textId="77777777" w:rsidR="005B2303" w:rsidRPr="00E47F30" w:rsidRDefault="005B2303" w:rsidP="005B2303">
      <w:pPr>
        <w:rPr>
          <w:rFonts w:asciiTheme="majorHAnsi" w:hAnsiTheme="majorHAnsi" w:cstheme="majorHAnsi"/>
          <w:sz w:val="24"/>
          <w:szCs w:val="24"/>
          <w:lang w:val="en-US"/>
        </w:rPr>
      </w:pPr>
      <w:r w:rsidRPr="00E47F30">
        <w:rPr>
          <w:rFonts w:asciiTheme="majorHAnsi" w:hAnsiTheme="majorHAnsi" w:cstheme="majorHAnsi"/>
          <w:sz w:val="24"/>
          <w:szCs w:val="24"/>
        </w:rPr>
        <w:t xml:space="preserve">Similarly, the TPD 7 (6) (e) is missing the words “in unburnt </w:t>
      </w:r>
      <w:proofErr w:type="gramStart"/>
      <w:r w:rsidRPr="00E47F30">
        <w:rPr>
          <w:rFonts w:asciiTheme="majorHAnsi" w:hAnsiTheme="majorHAnsi" w:cstheme="majorHAnsi"/>
          <w:sz w:val="24"/>
          <w:szCs w:val="24"/>
        </w:rPr>
        <w:t>form“</w:t>
      </w:r>
      <w:proofErr w:type="gramEnd"/>
      <w:r w:rsidRPr="00E47F30">
        <w:rPr>
          <w:rFonts w:asciiTheme="majorHAnsi" w:hAnsiTheme="majorHAnsi" w:cstheme="majorHAnsi"/>
          <w:sz w:val="24"/>
          <w:szCs w:val="24"/>
        </w:rPr>
        <w:t xml:space="preserve">. Without those words this could lead to unintended bans. </w:t>
      </w:r>
    </w:p>
    <w:p w14:paraId="4C485A5E" w14:textId="77777777" w:rsidR="005B2303" w:rsidRPr="00E47F30" w:rsidRDefault="005B2303" w:rsidP="005B2303">
      <w:pPr>
        <w:pStyle w:val="Liststycke"/>
        <w:numPr>
          <w:ilvl w:val="0"/>
          <w:numId w:val="17"/>
        </w:numPr>
        <w:spacing w:after="0"/>
        <w:contextualSpacing w:val="0"/>
        <w:rPr>
          <w:rFonts w:asciiTheme="majorHAnsi" w:hAnsiTheme="majorHAnsi" w:cstheme="majorHAnsi"/>
          <w:b/>
          <w:bCs/>
          <w:sz w:val="24"/>
          <w:szCs w:val="24"/>
          <w:lang w:val="en-US"/>
        </w:rPr>
      </w:pPr>
      <w:r w:rsidRPr="00E47F30">
        <w:rPr>
          <w:rFonts w:asciiTheme="majorHAnsi" w:hAnsiTheme="majorHAnsi" w:cstheme="majorHAnsi"/>
          <w:b/>
          <w:bCs/>
          <w:sz w:val="24"/>
          <w:szCs w:val="24"/>
          <w:lang w:val="en-US"/>
        </w:rPr>
        <w:t>Fees to ATVR</w:t>
      </w:r>
    </w:p>
    <w:p w14:paraId="0EBFA0CB" w14:textId="77777777" w:rsidR="005B2303" w:rsidRPr="00E47F30" w:rsidRDefault="005B2303" w:rsidP="005B2303">
      <w:pPr>
        <w:rPr>
          <w:rFonts w:asciiTheme="majorHAnsi" w:hAnsiTheme="majorHAnsi" w:cstheme="majorHAnsi"/>
          <w:sz w:val="24"/>
          <w:szCs w:val="24"/>
          <w:lang w:val="en-US"/>
        </w:rPr>
      </w:pPr>
      <w:r w:rsidRPr="00E47F30">
        <w:rPr>
          <w:rFonts w:asciiTheme="majorHAnsi" w:hAnsiTheme="majorHAnsi" w:cstheme="majorHAnsi"/>
          <w:sz w:val="24"/>
          <w:szCs w:val="24"/>
          <w:lang w:val="en-US"/>
        </w:rPr>
        <w:t xml:space="preserve">Some articles, </w:t>
      </w:r>
      <w:proofErr w:type="gramStart"/>
      <w:r w:rsidRPr="00E47F30">
        <w:rPr>
          <w:rFonts w:asciiTheme="majorHAnsi" w:hAnsiTheme="majorHAnsi" w:cstheme="majorHAnsi"/>
          <w:sz w:val="24"/>
          <w:szCs w:val="24"/>
          <w:lang w:val="en-US"/>
        </w:rPr>
        <w:t>e.g.</w:t>
      </w:r>
      <w:proofErr w:type="gramEnd"/>
      <w:r w:rsidRPr="00E47F30">
        <w:rPr>
          <w:rFonts w:asciiTheme="majorHAnsi" w:hAnsiTheme="majorHAnsi" w:cstheme="majorHAnsi"/>
          <w:sz w:val="24"/>
          <w:szCs w:val="24"/>
          <w:lang w:val="en-US"/>
        </w:rPr>
        <w:t xml:space="preserve"> Article 6 (a), grants ATVR the authority to charge manufacturers a fee. This is rather standard. It should be noted that these fees should be reasonable and correspond with the service performed by the ATVR. It cannot be a hidden tax.</w:t>
      </w:r>
    </w:p>
    <w:p w14:paraId="68883AA6" w14:textId="77777777" w:rsidR="005B2303" w:rsidRPr="00E47F30" w:rsidRDefault="005B2303" w:rsidP="005B2303">
      <w:pPr>
        <w:rPr>
          <w:rFonts w:asciiTheme="majorHAnsi" w:hAnsiTheme="majorHAnsi" w:cstheme="majorHAnsi"/>
          <w:sz w:val="24"/>
          <w:szCs w:val="24"/>
          <w:lang w:val="en-US"/>
        </w:rPr>
      </w:pPr>
    </w:p>
    <w:p w14:paraId="4D3EE744" w14:textId="77777777" w:rsidR="005B2303" w:rsidRPr="00E47F30" w:rsidRDefault="005B2303" w:rsidP="005B2303">
      <w:pPr>
        <w:rPr>
          <w:rFonts w:asciiTheme="majorHAnsi" w:hAnsiTheme="majorHAnsi" w:cstheme="majorHAnsi"/>
          <w:sz w:val="24"/>
          <w:szCs w:val="24"/>
          <w:lang w:val="en-US"/>
        </w:rPr>
      </w:pPr>
    </w:p>
    <w:p w14:paraId="013B0A4D" w14:textId="77777777" w:rsidR="005B2303" w:rsidRPr="00E47F30" w:rsidRDefault="005B2303" w:rsidP="005B2303">
      <w:pPr>
        <w:rPr>
          <w:rFonts w:asciiTheme="majorHAnsi" w:hAnsiTheme="majorHAnsi" w:cstheme="majorHAnsi"/>
          <w:sz w:val="24"/>
          <w:szCs w:val="24"/>
          <w:lang w:val="en-US"/>
        </w:rPr>
      </w:pPr>
    </w:p>
    <w:p w14:paraId="5106E358" w14:textId="77777777" w:rsidR="005B2303" w:rsidRPr="00E47F30" w:rsidRDefault="005B2303" w:rsidP="005B2303">
      <w:pPr>
        <w:rPr>
          <w:rFonts w:asciiTheme="majorHAnsi" w:hAnsiTheme="majorHAnsi" w:cstheme="majorHAnsi"/>
          <w:sz w:val="24"/>
          <w:szCs w:val="24"/>
          <w:lang w:val="en-US"/>
        </w:rPr>
      </w:pPr>
      <w:r w:rsidRPr="00E47F30">
        <w:rPr>
          <w:rFonts w:asciiTheme="majorHAnsi" w:hAnsiTheme="majorHAnsi" w:cstheme="majorHAnsi"/>
          <w:sz w:val="24"/>
          <w:szCs w:val="24"/>
          <w:lang w:val="en-US"/>
        </w:rPr>
        <w:t>Kind regards,</w:t>
      </w:r>
    </w:p>
    <w:p w14:paraId="104C89BB" w14:textId="77777777" w:rsidR="005B2303" w:rsidRPr="00E47F30" w:rsidRDefault="005B2303" w:rsidP="005B2303">
      <w:pPr>
        <w:rPr>
          <w:rFonts w:asciiTheme="majorHAnsi" w:hAnsiTheme="majorHAnsi" w:cstheme="majorHAnsi"/>
          <w:sz w:val="24"/>
          <w:szCs w:val="24"/>
          <w:lang w:val="en-US"/>
        </w:rPr>
      </w:pPr>
      <w:r w:rsidRPr="00E47F30">
        <w:rPr>
          <w:rFonts w:asciiTheme="majorHAnsi" w:hAnsiTheme="majorHAnsi" w:cstheme="majorHAnsi"/>
          <w:sz w:val="24"/>
          <w:szCs w:val="24"/>
          <w:lang w:val="en-US"/>
        </w:rPr>
        <w:t>Mathilda Stenman, Manager External Affairs Sweden &amp; Iceland</w:t>
      </w:r>
    </w:p>
    <w:p w14:paraId="634C72F2" w14:textId="77777777" w:rsidR="005B2303" w:rsidRPr="00E47F30" w:rsidRDefault="005B2303" w:rsidP="005B2303">
      <w:pPr>
        <w:rPr>
          <w:rFonts w:asciiTheme="majorHAnsi" w:hAnsiTheme="majorHAnsi" w:cstheme="majorHAnsi"/>
          <w:sz w:val="24"/>
          <w:szCs w:val="24"/>
          <w:lang w:val="en-US"/>
        </w:rPr>
      </w:pPr>
      <w:hyperlink r:id="rId8" w:history="1">
        <w:r w:rsidRPr="00E47F30">
          <w:rPr>
            <w:rStyle w:val="Hyperlnk"/>
            <w:rFonts w:asciiTheme="majorHAnsi" w:hAnsiTheme="majorHAnsi" w:cstheme="majorHAnsi"/>
            <w:sz w:val="24"/>
            <w:szCs w:val="24"/>
            <w:lang w:val="en-US"/>
          </w:rPr>
          <w:t>Mathilda.Stenman@pmi.com</w:t>
        </w:r>
      </w:hyperlink>
    </w:p>
    <w:p w14:paraId="06E2879B" w14:textId="77777777" w:rsidR="005B2303" w:rsidRPr="00E47F30" w:rsidRDefault="005B2303" w:rsidP="005B2303">
      <w:pPr>
        <w:rPr>
          <w:rFonts w:asciiTheme="majorHAnsi" w:hAnsiTheme="majorHAnsi" w:cstheme="majorHAnsi"/>
          <w:sz w:val="24"/>
          <w:szCs w:val="24"/>
          <w:lang w:val="en-US"/>
        </w:rPr>
      </w:pPr>
      <w:r w:rsidRPr="00E47F30">
        <w:rPr>
          <w:rFonts w:asciiTheme="majorHAnsi" w:hAnsiTheme="majorHAnsi" w:cstheme="majorHAnsi"/>
          <w:sz w:val="24"/>
          <w:szCs w:val="24"/>
          <w:lang w:val="en-US"/>
        </w:rPr>
        <w:t>+46 704 50 59 38</w:t>
      </w:r>
    </w:p>
    <w:p w14:paraId="3B79090B" w14:textId="77777777" w:rsidR="005B2303" w:rsidRPr="00E47F30" w:rsidRDefault="005B2303" w:rsidP="005B2303">
      <w:pPr>
        <w:rPr>
          <w:rFonts w:asciiTheme="majorHAnsi" w:hAnsiTheme="majorHAnsi" w:cstheme="majorHAnsi"/>
          <w:sz w:val="24"/>
          <w:szCs w:val="24"/>
          <w:lang w:val="en-US"/>
        </w:rPr>
      </w:pPr>
    </w:p>
    <w:p w14:paraId="2205B65A" w14:textId="77777777" w:rsidR="005B2303" w:rsidRPr="00E47F30" w:rsidRDefault="005B2303" w:rsidP="005B2303">
      <w:pPr>
        <w:rPr>
          <w:rFonts w:asciiTheme="majorHAnsi" w:hAnsiTheme="majorHAnsi" w:cstheme="majorHAnsi"/>
          <w:sz w:val="24"/>
          <w:szCs w:val="24"/>
          <w:lang w:val="sv-SE"/>
        </w:rPr>
      </w:pPr>
    </w:p>
    <w:sectPr w:rsidR="005B2303" w:rsidRPr="00E47F30" w:rsidSect="009F6425">
      <w:headerReference w:type="first" r:id="rId9"/>
      <w:pgSz w:w="12240" w:h="15840"/>
      <w:pgMar w:top="1417" w:right="1417" w:bottom="1417" w:left="141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2A665" w14:textId="77777777" w:rsidR="002D6409" w:rsidRDefault="002D6409" w:rsidP="009C6590">
      <w:pPr>
        <w:spacing w:after="0"/>
      </w:pPr>
      <w:r>
        <w:separator/>
      </w:r>
    </w:p>
  </w:endnote>
  <w:endnote w:type="continuationSeparator" w:id="0">
    <w:p w14:paraId="14391C36" w14:textId="77777777" w:rsidR="002D6409" w:rsidRDefault="002D6409" w:rsidP="009C65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7B03B" w14:textId="77777777" w:rsidR="002D6409" w:rsidRDefault="002D6409" w:rsidP="009C6590">
      <w:pPr>
        <w:spacing w:after="0"/>
      </w:pPr>
      <w:r>
        <w:separator/>
      </w:r>
    </w:p>
  </w:footnote>
  <w:footnote w:type="continuationSeparator" w:id="0">
    <w:p w14:paraId="2947666E" w14:textId="77777777" w:rsidR="002D6409" w:rsidRDefault="002D6409" w:rsidP="009C65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DB1E8" w14:textId="77777777" w:rsidR="009F6425" w:rsidRDefault="009F6425">
    <w:pPr>
      <w:pStyle w:val="Sidhuvud"/>
    </w:pPr>
    <w:r>
      <w:rPr>
        <w:noProof/>
        <w:color w:val="1F497D"/>
        <w:lang w:val="sv-SE" w:eastAsia="sv-SE" w:bidi="ar-SA"/>
      </w:rPr>
      <w:drawing>
        <wp:inline distT="0" distB="0" distL="0" distR="0" wp14:anchorId="3D3F72B6" wp14:editId="462073C7">
          <wp:extent cx="1943100" cy="942975"/>
          <wp:effectExtent l="0" t="0" r="0" b="9525"/>
          <wp:docPr id="2" name="Picture 2" descr="cid:image003.png@01CFFEA5.A24F5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CFFEA5.A24F52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43100"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7F7F"/>
    <w:multiLevelType w:val="multilevel"/>
    <w:tmpl w:val="71A439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A4116C"/>
    <w:multiLevelType w:val="hybridMultilevel"/>
    <w:tmpl w:val="9D80C6CE"/>
    <w:lvl w:ilvl="0" w:tplc="35B021EC">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16DE752D"/>
    <w:multiLevelType w:val="hybridMultilevel"/>
    <w:tmpl w:val="019636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88D20D2"/>
    <w:multiLevelType w:val="hybridMultilevel"/>
    <w:tmpl w:val="6852A79A"/>
    <w:lvl w:ilvl="0" w:tplc="965E1C1A">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 w15:restartNumberingAfterBreak="0">
    <w:nsid w:val="192013A0"/>
    <w:multiLevelType w:val="hybridMultilevel"/>
    <w:tmpl w:val="223E1942"/>
    <w:lvl w:ilvl="0" w:tplc="532AE58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C2330A0"/>
    <w:multiLevelType w:val="hybridMultilevel"/>
    <w:tmpl w:val="660E7E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E6F48CD"/>
    <w:multiLevelType w:val="hybridMultilevel"/>
    <w:tmpl w:val="5B4A9F70"/>
    <w:lvl w:ilvl="0" w:tplc="32D6C1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816856"/>
    <w:multiLevelType w:val="hybridMultilevel"/>
    <w:tmpl w:val="1A3271E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8E1603C"/>
    <w:multiLevelType w:val="hybridMultilevel"/>
    <w:tmpl w:val="28CEACD2"/>
    <w:lvl w:ilvl="0" w:tplc="EFECC92C">
      <w:start w:val="1"/>
      <w:numFmt w:val="lowerLetter"/>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9" w15:restartNumberingAfterBreak="0">
    <w:nsid w:val="38EB53A6"/>
    <w:multiLevelType w:val="hybridMultilevel"/>
    <w:tmpl w:val="2BCC84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E6D1965"/>
    <w:multiLevelType w:val="hybridMultilevel"/>
    <w:tmpl w:val="A2CA9688"/>
    <w:lvl w:ilvl="0" w:tplc="D35AA7BE">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1" w15:restartNumberingAfterBreak="0">
    <w:nsid w:val="3ED818AF"/>
    <w:multiLevelType w:val="hybridMultilevel"/>
    <w:tmpl w:val="A7108810"/>
    <w:lvl w:ilvl="0" w:tplc="3B0A4676">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322BB1"/>
    <w:multiLevelType w:val="hybridMultilevel"/>
    <w:tmpl w:val="6A3294A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96F712C"/>
    <w:multiLevelType w:val="hybridMultilevel"/>
    <w:tmpl w:val="420C4B94"/>
    <w:lvl w:ilvl="0" w:tplc="EE6E9BB6">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4EF42467"/>
    <w:multiLevelType w:val="multilevel"/>
    <w:tmpl w:val="71A439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43830DE"/>
    <w:multiLevelType w:val="hybridMultilevel"/>
    <w:tmpl w:val="420C46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4824EDD"/>
    <w:multiLevelType w:val="hybridMultilevel"/>
    <w:tmpl w:val="5256118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0"/>
  </w:num>
  <w:num w:numId="4">
    <w:abstractNumId w:val="8"/>
  </w:num>
  <w:num w:numId="5">
    <w:abstractNumId w:val="1"/>
  </w:num>
  <w:num w:numId="6">
    <w:abstractNumId w:val="3"/>
  </w:num>
  <w:num w:numId="7">
    <w:abstractNumId w:val="4"/>
  </w:num>
  <w:num w:numId="8">
    <w:abstractNumId w:val="13"/>
  </w:num>
  <w:num w:numId="9">
    <w:abstractNumId w:val="2"/>
  </w:num>
  <w:num w:numId="10">
    <w:abstractNumId w:val="11"/>
  </w:num>
  <w:num w:numId="11">
    <w:abstractNumId w:val="5"/>
  </w:num>
  <w:num w:numId="12">
    <w:abstractNumId w:val="0"/>
  </w:num>
  <w:num w:numId="13">
    <w:abstractNumId w:val="14"/>
  </w:num>
  <w:num w:numId="14">
    <w:abstractNumId w:val="6"/>
  </w:num>
  <w:num w:numId="15">
    <w:abstractNumId w:val="16"/>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B48"/>
    <w:rsid w:val="0000082C"/>
    <w:rsid w:val="00040570"/>
    <w:rsid w:val="000878AB"/>
    <w:rsid w:val="000A0746"/>
    <w:rsid w:val="000A277F"/>
    <w:rsid w:val="000D0048"/>
    <w:rsid w:val="000D16CF"/>
    <w:rsid w:val="000F5286"/>
    <w:rsid w:val="00103885"/>
    <w:rsid w:val="00146BBE"/>
    <w:rsid w:val="0018221F"/>
    <w:rsid w:val="001C76F2"/>
    <w:rsid w:val="001D1847"/>
    <w:rsid w:val="001D6CDE"/>
    <w:rsid w:val="001E0437"/>
    <w:rsid w:val="00227F72"/>
    <w:rsid w:val="00243A24"/>
    <w:rsid w:val="0026207E"/>
    <w:rsid w:val="0026312F"/>
    <w:rsid w:val="00297659"/>
    <w:rsid w:val="002C4B30"/>
    <w:rsid w:val="002D6409"/>
    <w:rsid w:val="002F5281"/>
    <w:rsid w:val="00366271"/>
    <w:rsid w:val="00385EAF"/>
    <w:rsid w:val="00387B48"/>
    <w:rsid w:val="003A37BA"/>
    <w:rsid w:val="003D0B28"/>
    <w:rsid w:val="003E481A"/>
    <w:rsid w:val="004159B7"/>
    <w:rsid w:val="00423064"/>
    <w:rsid w:val="00461D29"/>
    <w:rsid w:val="004A20AC"/>
    <w:rsid w:val="004B1FEA"/>
    <w:rsid w:val="004B390D"/>
    <w:rsid w:val="004C462B"/>
    <w:rsid w:val="004D4313"/>
    <w:rsid w:val="004F6562"/>
    <w:rsid w:val="00555C70"/>
    <w:rsid w:val="005613FF"/>
    <w:rsid w:val="005B2303"/>
    <w:rsid w:val="005B2900"/>
    <w:rsid w:val="005D6652"/>
    <w:rsid w:val="005F5DDD"/>
    <w:rsid w:val="00607D84"/>
    <w:rsid w:val="006160B5"/>
    <w:rsid w:val="0062647C"/>
    <w:rsid w:val="00631014"/>
    <w:rsid w:val="00645631"/>
    <w:rsid w:val="0065553A"/>
    <w:rsid w:val="00670E1B"/>
    <w:rsid w:val="006822B3"/>
    <w:rsid w:val="00684A5D"/>
    <w:rsid w:val="006C23A1"/>
    <w:rsid w:val="006E0DBD"/>
    <w:rsid w:val="006E57E2"/>
    <w:rsid w:val="0070062F"/>
    <w:rsid w:val="00702F2F"/>
    <w:rsid w:val="007447F7"/>
    <w:rsid w:val="00747ABE"/>
    <w:rsid w:val="00747C54"/>
    <w:rsid w:val="00794A10"/>
    <w:rsid w:val="00795B77"/>
    <w:rsid w:val="007A2BD3"/>
    <w:rsid w:val="007B1BA6"/>
    <w:rsid w:val="007E3D9A"/>
    <w:rsid w:val="007F1B62"/>
    <w:rsid w:val="007F6D88"/>
    <w:rsid w:val="00813616"/>
    <w:rsid w:val="008154D4"/>
    <w:rsid w:val="00816B5C"/>
    <w:rsid w:val="008212F2"/>
    <w:rsid w:val="00832B33"/>
    <w:rsid w:val="00850C7E"/>
    <w:rsid w:val="008C6157"/>
    <w:rsid w:val="008D6973"/>
    <w:rsid w:val="008D7BB2"/>
    <w:rsid w:val="00910554"/>
    <w:rsid w:val="0093429C"/>
    <w:rsid w:val="00957DF5"/>
    <w:rsid w:val="00970AB9"/>
    <w:rsid w:val="009851E1"/>
    <w:rsid w:val="00986002"/>
    <w:rsid w:val="009B6DE6"/>
    <w:rsid w:val="009C6590"/>
    <w:rsid w:val="009D626B"/>
    <w:rsid w:val="009F6425"/>
    <w:rsid w:val="00A0099D"/>
    <w:rsid w:val="00A54502"/>
    <w:rsid w:val="00A568AB"/>
    <w:rsid w:val="00A64F37"/>
    <w:rsid w:val="00AC5296"/>
    <w:rsid w:val="00AC6EDB"/>
    <w:rsid w:val="00AD0A29"/>
    <w:rsid w:val="00AE2DC3"/>
    <w:rsid w:val="00B27622"/>
    <w:rsid w:val="00B5313D"/>
    <w:rsid w:val="00BE17BA"/>
    <w:rsid w:val="00BF09DB"/>
    <w:rsid w:val="00BF4AA3"/>
    <w:rsid w:val="00BF4F63"/>
    <w:rsid w:val="00BF7A71"/>
    <w:rsid w:val="00C25FDF"/>
    <w:rsid w:val="00C41FB2"/>
    <w:rsid w:val="00C45F40"/>
    <w:rsid w:val="00C63FBC"/>
    <w:rsid w:val="00C800FA"/>
    <w:rsid w:val="00CA56BC"/>
    <w:rsid w:val="00D23DAC"/>
    <w:rsid w:val="00D32FA0"/>
    <w:rsid w:val="00D411D8"/>
    <w:rsid w:val="00D5279D"/>
    <w:rsid w:val="00D53FBC"/>
    <w:rsid w:val="00D546F3"/>
    <w:rsid w:val="00D602AA"/>
    <w:rsid w:val="00D92DCB"/>
    <w:rsid w:val="00E32F4F"/>
    <w:rsid w:val="00E422DA"/>
    <w:rsid w:val="00E47F30"/>
    <w:rsid w:val="00E5159B"/>
    <w:rsid w:val="00E81713"/>
    <w:rsid w:val="00E97D4A"/>
    <w:rsid w:val="00EA0F1F"/>
    <w:rsid w:val="00EE6352"/>
    <w:rsid w:val="00F3087F"/>
    <w:rsid w:val="00F57DF0"/>
    <w:rsid w:val="00F85182"/>
    <w:rsid w:val="00FB6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CDF673"/>
  <w14:defaultImageDpi w14:val="300"/>
  <w15:docId w15:val="{E72AD439-44FC-4E4A-BD9A-D44862E8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en-GB"/>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87B48"/>
    <w:pPr>
      <w:spacing w:after="200"/>
    </w:pPr>
    <w:rPr>
      <w:sz w:val="22"/>
      <w:szCs w:val="20"/>
    </w:rPr>
  </w:style>
  <w:style w:type="paragraph" w:styleId="Rubrik2">
    <w:name w:val="heading 2"/>
    <w:basedOn w:val="Normal"/>
    <w:next w:val="Normal"/>
    <w:link w:val="Rubrik2Char"/>
    <w:uiPriority w:val="9"/>
    <w:unhideWhenUsed/>
    <w:qFormat/>
    <w:rsid w:val="00E422D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sv-SE" w:eastAsia="en-US" w:bidi="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ublishwithline">
    <w:name w:val="Publish with line"/>
    <w:semiHidden/>
    <w:qFormat/>
    <w:rsid w:val="00387B48"/>
    <w:rPr>
      <w:rFonts w:asciiTheme="majorHAnsi" w:eastAsiaTheme="majorEastAsia" w:hAnsiTheme="majorHAnsi" w:cstheme="majorBidi"/>
      <w:b/>
      <w:bCs/>
      <w:color w:val="262626"/>
      <w:sz w:val="32"/>
      <w:szCs w:val="38"/>
    </w:rPr>
  </w:style>
  <w:style w:type="paragraph" w:customStyle="1" w:styleId="PadderBetweenControlandBody">
    <w:name w:val="Padder Between Control and Body"/>
    <w:basedOn w:val="Normal"/>
    <w:next w:val="Normal"/>
    <w:semiHidden/>
    <w:rsid w:val="00387B48"/>
    <w:pPr>
      <w:spacing w:after="120"/>
    </w:pPr>
    <w:rPr>
      <w:sz w:val="2"/>
      <w:szCs w:val="2"/>
    </w:rPr>
  </w:style>
  <w:style w:type="paragraph" w:customStyle="1" w:styleId="underline">
    <w:name w:val="underline"/>
    <w:semiHidden/>
    <w:rsid w:val="00387B48"/>
    <w:pPr>
      <w:pBdr>
        <w:bottom w:val="single" w:sz="8" w:space="2" w:color="C6C6C6"/>
      </w:pBdr>
    </w:pPr>
    <w:rPr>
      <w:sz w:val="2"/>
      <w:szCs w:val="2"/>
    </w:rPr>
  </w:style>
  <w:style w:type="paragraph" w:styleId="Liststycke">
    <w:name w:val="List Paragraph"/>
    <w:basedOn w:val="Normal"/>
    <w:uiPriority w:val="34"/>
    <w:qFormat/>
    <w:rsid w:val="00387B48"/>
    <w:pPr>
      <w:ind w:left="720"/>
      <w:contextualSpacing/>
    </w:pPr>
  </w:style>
  <w:style w:type="character" w:styleId="Hyperlnk">
    <w:name w:val="Hyperlink"/>
    <w:basedOn w:val="Standardstycketeckensnitt"/>
    <w:uiPriority w:val="99"/>
    <w:unhideWhenUsed/>
    <w:rsid w:val="00387B48"/>
    <w:rPr>
      <w:color w:val="0000FF" w:themeColor="hyperlink"/>
      <w:u w:val="single"/>
    </w:rPr>
  </w:style>
  <w:style w:type="paragraph" w:customStyle="1" w:styleId="Default">
    <w:name w:val="Default"/>
    <w:rsid w:val="00387B48"/>
    <w:pPr>
      <w:autoSpaceDE w:val="0"/>
      <w:autoSpaceDN w:val="0"/>
      <w:adjustRightInd w:val="0"/>
    </w:pPr>
    <w:rPr>
      <w:rFonts w:ascii="Times New Roman" w:eastAsiaTheme="minorHAnsi" w:hAnsi="Times New Roman" w:cs="Times New Roman"/>
      <w:color w:val="000000"/>
    </w:rPr>
  </w:style>
  <w:style w:type="character" w:styleId="Platshllartext">
    <w:name w:val="Placeholder Text"/>
    <w:basedOn w:val="Standardstycketeckensnitt"/>
    <w:uiPriority w:val="99"/>
    <w:semiHidden/>
    <w:rsid w:val="00387B48"/>
    <w:rPr>
      <w:color w:val="808080"/>
    </w:rPr>
  </w:style>
  <w:style w:type="paragraph" w:styleId="Ballongtext">
    <w:name w:val="Balloon Text"/>
    <w:basedOn w:val="Normal"/>
    <w:link w:val="BallongtextChar"/>
    <w:uiPriority w:val="99"/>
    <w:semiHidden/>
    <w:unhideWhenUsed/>
    <w:rsid w:val="00D23DAC"/>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3DAC"/>
    <w:rPr>
      <w:rFonts w:ascii="Segoe UI" w:hAnsi="Segoe UI" w:cs="Segoe UI"/>
      <w:sz w:val="18"/>
      <w:szCs w:val="18"/>
    </w:rPr>
  </w:style>
  <w:style w:type="character" w:styleId="AnvndHyperlnk">
    <w:name w:val="FollowedHyperlink"/>
    <w:basedOn w:val="Standardstycketeckensnitt"/>
    <w:uiPriority w:val="99"/>
    <w:semiHidden/>
    <w:unhideWhenUsed/>
    <w:rsid w:val="0026207E"/>
    <w:rPr>
      <w:color w:val="800080" w:themeColor="followedHyperlink"/>
      <w:u w:val="single"/>
    </w:rPr>
  </w:style>
  <w:style w:type="paragraph" w:styleId="Fotnotstext">
    <w:name w:val="footnote text"/>
    <w:basedOn w:val="Normal"/>
    <w:link w:val="FotnotstextChar"/>
    <w:uiPriority w:val="99"/>
    <w:unhideWhenUsed/>
    <w:rsid w:val="009C6590"/>
    <w:pPr>
      <w:spacing w:after="0"/>
    </w:pPr>
    <w:rPr>
      <w:sz w:val="20"/>
    </w:rPr>
  </w:style>
  <w:style w:type="character" w:customStyle="1" w:styleId="FotnotstextChar">
    <w:name w:val="Fotnotstext Char"/>
    <w:basedOn w:val="Standardstycketeckensnitt"/>
    <w:link w:val="Fotnotstext"/>
    <w:uiPriority w:val="99"/>
    <w:rsid w:val="009C6590"/>
    <w:rPr>
      <w:sz w:val="20"/>
      <w:szCs w:val="20"/>
    </w:rPr>
  </w:style>
  <w:style w:type="character" w:styleId="Fotnotsreferens">
    <w:name w:val="footnote reference"/>
    <w:basedOn w:val="Standardstycketeckensnitt"/>
    <w:uiPriority w:val="99"/>
    <w:semiHidden/>
    <w:unhideWhenUsed/>
    <w:rsid w:val="009C6590"/>
    <w:rPr>
      <w:vertAlign w:val="superscript"/>
    </w:rPr>
  </w:style>
  <w:style w:type="character" w:customStyle="1" w:styleId="topdescriptionbody1">
    <w:name w:val="topdescription_body1"/>
    <w:basedOn w:val="Standardstycketeckensnitt"/>
    <w:rsid w:val="009C6590"/>
    <w:rPr>
      <w:color w:val="8B8D09"/>
      <w:sz w:val="23"/>
      <w:szCs w:val="23"/>
    </w:rPr>
  </w:style>
  <w:style w:type="character" w:styleId="Kommentarsreferens">
    <w:name w:val="annotation reference"/>
    <w:basedOn w:val="Standardstycketeckensnitt"/>
    <w:unhideWhenUsed/>
    <w:rsid w:val="00D546F3"/>
    <w:rPr>
      <w:sz w:val="16"/>
      <w:szCs w:val="16"/>
    </w:rPr>
  </w:style>
  <w:style w:type="paragraph" w:styleId="Kommentarer">
    <w:name w:val="annotation text"/>
    <w:basedOn w:val="Normal"/>
    <w:link w:val="KommentarerChar"/>
    <w:unhideWhenUsed/>
    <w:rsid w:val="00D546F3"/>
    <w:rPr>
      <w:sz w:val="20"/>
    </w:rPr>
  </w:style>
  <w:style w:type="character" w:customStyle="1" w:styleId="KommentarerChar">
    <w:name w:val="Kommentarer Char"/>
    <w:basedOn w:val="Standardstycketeckensnitt"/>
    <w:link w:val="Kommentarer"/>
    <w:rsid w:val="00D546F3"/>
    <w:rPr>
      <w:sz w:val="20"/>
      <w:szCs w:val="20"/>
    </w:rPr>
  </w:style>
  <w:style w:type="paragraph" w:styleId="Kommentarsmne">
    <w:name w:val="annotation subject"/>
    <w:basedOn w:val="Kommentarer"/>
    <w:next w:val="Kommentarer"/>
    <w:link w:val="KommentarsmneChar"/>
    <w:uiPriority w:val="99"/>
    <w:semiHidden/>
    <w:unhideWhenUsed/>
    <w:rsid w:val="00D546F3"/>
    <w:rPr>
      <w:b/>
      <w:bCs/>
    </w:rPr>
  </w:style>
  <w:style w:type="character" w:customStyle="1" w:styleId="KommentarsmneChar">
    <w:name w:val="Kommentarsämne Char"/>
    <w:basedOn w:val="KommentarerChar"/>
    <w:link w:val="Kommentarsmne"/>
    <w:uiPriority w:val="99"/>
    <w:semiHidden/>
    <w:rsid w:val="00D546F3"/>
    <w:rPr>
      <w:b/>
      <w:bCs/>
      <w:sz w:val="20"/>
      <w:szCs w:val="20"/>
    </w:rPr>
  </w:style>
  <w:style w:type="paragraph" w:styleId="Innehll6">
    <w:name w:val="toc 6"/>
    <w:basedOn w:val="Normal"/>
    <w:next w:val="Normal"/>
    <w:rsid w:val="000878AB"/>
    <w:pPr>
      <w:tabs>
        <w:tab w:val="right" w:leader="dot" w:pos="9062"/>
      </w:tabs>
      <w:suppressAutoHyphens/>
      <w:spacing w:after="0" w:line="280" w:lineRule="atLeast"/>
      <w:ind w:left="1701" w:hanging="1701"/>
      <w:jc w:val="both"/>
    </w:pPr>
    <w:rPr>
      <w:rFonts w:ascii="Arial" w:eastAsia="Times New Roman" w:hAnsi="Arial" w:cs="Arial"/>
      <w:noProof/>
      <w:sz w:val="20"/>
      <w:szCs w:val="24"/>
      <w:lang w:eastAsia="nl-NL" w:bidi="ar-SA"/>
    </w:rPr>
  </w:style>
  <w:style w:type="paragraph" w:customStyle="1" w:styleId="CM11">
    <w:name w:val="CM1+1"/>
    <w:basedOn w:val="Default"/>
    <w:next w:val="Default"/>
    <w:uiPriority w:val="99"/>
    <w:rsid w:val="00607D84"/>
    <w:rPr>
      <w:rFonts w:ascii="EUAlbertina" w:eastAsiaTheme="minorEastAsia" w:hAnsi="EUAlbertina" w:cstheme="minorBidi"/>
      <w:color w:val="auto"/>
      <w:lang w:val="sv-SE" w:bidi="ar-SA"/>
    </w:rPr>
  </w:style>
  <w:style w:type="paragraph" w:customStyle="1" w:styleId="CM31">
    <w:name w:val="CM3+1"/>
    <w:basedOn w:val="Default"/>
    <w:next w:val="Default"/>
    <w:uiPriority w:val="99"/>
    <w:rsid w:val="00607D84"/>
    <w:rPr>
      <w:rFonts w:ascii="EUAlbertina" w:eastAsiaTheme="minorEastAsia" w:hAnsi="EUAlbertina" w:cstheme="minorBidi"/>
      <w:color w:val="auto"/>
      <w:lang w:val="sv-SE" w:bidi="ar-SA"/>
    </w:rPr>
  </w:style>
  <w:style w:type="character" w:customStyle="1" w:styleId="hps">
    <w:name w:val="hps"/>
    <w:basedOn w:val="Standardstycketeckensnitt"/>
    <w:rsid w:val="000D0048"/>
  </w:style>
  <w:style w:type="paragraph" w:styleId="Sidhuvud">
    <w:name w:val="header"/>
    <w:basedOn w:val="Normal"/>
    <w:link w:val="SidhuvudChar"/>
    <w:uiPriority w:val="99"/>
    <w:unhideWhenUsed/>
    <w:rsid w:val="009F6425"/>
    <w:pPr>
      <w:tabs>
        <w:tab w:val="center" w:pos="4536"/>
        <w:tab w:val="right" w:pos="9072"/>
      </w:tabs>
      <w:spacing w:after="0"/>
    </w:pPr>
  </w:style>
  <w:style w:type="character" w:customStyle="1" w:styleId="SidhuvudChar">
    <w:name w:val="Sidhuvud Char"/>
    <w:basedOn w:val="Standardstycketeckensnitt"/>
    <w:link w:val="Sidhuvud"/>
    <w:uiPriority w:val="99"/>
    <w:rsid w:val="009F6425"/>
    <w:rPr>
      <w:sz w:val="22"/>
      <w:szCs w:val="20"/>
    </w:rPr>
  </w:style>
  <w:style w:type="paragraph" w:styleId="Sidfot">
    <w:name w:val="footer"/>
    <w:basedOn w:val="Normal"/>
    <w:link w:val="SidfotChar"/>
    <w:uiPriority w:val="99"/>
    <w:unhideWhenUsed/>
    <w:rsid w:val="009F6425"/>
    <w:pPr>
      <w:tabs>
        <w:tab w:val="center" w:pos="4536"/>
        <w:tab w:val="right" w:pos="9072"/>
      </w:tabs>
      <w:spacing w:after="0"/>
    </w:pPr>
  </w:style>
  <w:style w:type="character" w:customStyle="1" w:styleId="SidfotChar">
    <w:name w:val="Sidfot Char"/>
    <w:basedOn w:val="Standardstycketeckensnitt"/>
    <w:link w:val="Sidfot"/>
    <w:uiPriority w:val="99"/>
    <w:rsid w:val="009F6425"/>
    <w:rPr>
      <w:sz w:val="22"/>
      <w:szCs w:val="20"/>
    </w:rPr>
  </w:style>
  <w:style w:type="character" w:customStyle="1" w:styleId="Rubrik2Char">
    <w:name w:val="Rubrik 2 Char"/>
    <w:basedOn w:val="Standardstycketeckensnitt"/>
    <w:link w:val="Rubrik2"/>
    <w:uiPriority w:val="9"/>
    <w:rsid w:val="00E422DA"/>
    <w:rPr>
      <w:rFonts w:asciiTheme="majorHAnsi" w:eastAsiaTheme="majorEastAsia" w:hAnsiTheme="majorHAnsi" w:cstheme="majorBidi"/>
      <w:color w:val="365F91" w:themeColor="accent1" w:themeShade="BF"/>
      <w:sz w:val="26"/>
      <w:szCs w:val="26"/>
      <w:lang w:val="sv-SE" w:eastAsia="en-US" w:bidi="ar-SA"/>
    </w:rPr>
  </w:style>
  <w:style w:type="paragraph" w:styleId="Normalwebb">
    <w:name w:val="Normal (Web)"/>
    <w:basedOn w:val="Normal"/>
    <w:uiPriority w:val="99"/>
    <w:unhideWhenUsed/>
    <w:rsid w:val="00E422DA"/>
    <w:pPr>
      <w:spacing w:before="100" w:beforeAutospacing="1" w:after="100" w:afterAutospacing="1"/>
    </w:pPr>
    <w:rPr>
      <w:rFonts w:ascii="Times New Roman" w:eastAsiaTheme="minorHAnsi" w:hAnsi="Times New Roman" w:cs="Times New Roman"/>
      <w:sz w:val="24"/>
      <w:szCs w:val="24"/>
      <w:lang w:val="sv-SE" w:eastAsia="sv-SE" w:bidi="ar-SA"/>
    </w:rPr>
  </w:style>
  <w:style w:type="character" w:styleId="Betoning">
    <w:name w:val="Emphasis"/>
    <w:basedOn w:val="Standardstycketeckensnitt"/>
    <w:uiPriority w:val="20"/>
    <w:qFormat/>
    <w:rsid w:val="007A2B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117603">
      <w:bodyDiv w:val="1"/>
      <w:marLeft w:val="0"/>
      <w:marRight w:val="0"/>
      <w:marTop w:val="0"/>
      <w:marBottom w:val="0"/>
      <w:divBdr>
        <w:top w:val="none" w:sz="0" w:space="0" w:color="auto"/>
        <w:left w:val="none" w:sz="0" w:space="0" w:color="auto"/>
        <w:bottom w:val="none" w:sz="0" w:space="0" w:color="auto"/>
        <w:right w:val="none" w:sz="0" w:space="0" w:color="auto"/>
      </w:divBdr>
    </w:div>
    <w:div w:id="1009067806">
      <w:bodyDiv w:val="1"/>
      <w:marLeft w:val="0"/>
      <w:marRight w:val="0"/>
      <w:marTop w:val="0"/>
      <w:marBottom w:val="0"/>
      <w:divBdr>
        <w:top w:val="none" w:sz="0" w:space="0" w:color="auto"/>
        <w:left w:val="none" w:sz="0" w:space="0" w:color="auto"/>
        <w:bottom w:val="none" w:sz="0" w:space="0" w:color="auto"/>
        <w:right w:val="none" w:sz="0" w:space="0" w:color="auto"/>
      </w:divBdr>
    </w:div>
    <w:div w:id="18944627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hilda.Stenman@pmi.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3.png@01CFFEA5.A24F520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DE4FD-66D5-435F-860A-16897BC94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991</Words>
  <Characters>5258</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John Atherton Limited</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Atherton</dc:creator>
  <cp:keywords/>
  <dc:description/>
  <cp:lastModifiedBy>Stenman, Mathilda</cp:lastModifiedBy>
  <cp:revision>4</cp:revision>
  <cp:lastPrinted>2014-11-12T11:31:00Z</cp:lastPrinted>
  <dcterms:created xsi:type="dcterms:W3CDTF">2022-10-10T14:07:00Z</dcterms:created>
  <dcterms:modified xsi:type="dcterms:W3CDTF">2022-10-10T14:10:00Z</dcterms:modified>
</cp:coreProperties>
</file>