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C6BA5" w14:textId="0BEF10C2" w:rsidR="00A9496E" w:rsidRDefault="006F7EF1" w:rsidP="007A2EC6">
      <w:pPr>
        <w:pStyle w:val="Heading1"/>
        <w:spacing w:before="0" w:after="0" w:line="240" w:lineRule="auto"/>
        <w:jc w:val="center"/>
      </w:pPr>
      <w:bookmarkStart w:id="0" w:name="_Hlk214527543"/>
      <w:bookmarkEnd w:id="0"/>
      <w:r>
        <w:t xml:space="preserve">Reglugerð um jöfnunarframlög </w:t>
      </w:r>
    </w:p>
    <w:p w14:paraId="6D629474" w14:textId="77777777" w:rsidR="007A2EC6" w:rsidRPr="007A2EC6" w:rsidRDefault="007A2EC6" w:rsidP="007A2EC6"/>
    <w:p w14:paraId="2526A168" w14:textId="72FBE338" w:rsidR="00D05EBD" w:rsidRDefault="00D05EBD" w:rsidP="007A2EC6">
      <w:pPr>
        <w:pStyle w:val="ListParagraph"/>
        <w:spacing w:after="0" w:line="240" w:lineRule="auto"/>
        <w:ind w:left="0"/>
        <w:jc w:val="center"/>
      </w:pPr>
      <w:r>
        <w:t>1.gr.</w:t>
      </w:r>
    </w:p>
    <w:p w14:paraId="392CC644" w14:textId="15F8110B" w:rsidR="00D05EBD" w:rsidRPr="00D05EBD" w:rsidRDefault="00D05EBD" w:rsidP="007A2EC6">
      <w:pPr>
        <w:pStyle w:val="ListParagraph"/>
        <w:spacing w:after="0" w:line="240" w:lineRule="auto"/>
        <w:ind w:left="0"/>
        <w:jc w:val="center"/>
        <w:rPr>
          <w:i/>
          <w:iCs/>
        </w:rPr>
      </w:pPr>
      <w:r w:rsidRPr="00D05EBD">
        <w:rPr>
          <w:i/>
          <w:iCs/>
        </w:rPr>
        <w:t>Lagagrundvöllur og markmið.</w:t>
      </w:r>
    </w:p>
    <w:p w14:paraId="7EF45B33" w14:textId="6CB2C222" w:rsidR="006F7EF1" w:rsidRPr="007A2EC6" w:rsidRDefault="006F7EF1" w:rsidP="007A2EC6">
      <w:pPr>
        <w:spacing w:after="0" w:line="240" w:lineRule="auto"/>
        <w:jc w:val="both"/>
        <w:rPr>
          <w:rFonts w:ascii="Aptos" w:eastAsia="Aptos" w:hAnsi="Aptos" w:cs="Aptos"/>
          <w:color w:val="242424"/>
        </w:rPr>
      </w:pPr>
      <w:r w:rsidRPr="007A2EC6">
        <w:t>Reglugerð þessi er sett á grundvelli 6.-9. gr. laga nr. 56/2025 um Jöfnunarsjóð sveitarfélaga</w:t>
      </w:r>
      <w:r w:rsidR="13C500A8" w:rsidRPr="007A2EC6">
        <w:t xml:space="preserve"> til að vinna að því lögbundna hlutverki sjóðsins </w:t>
      </w:r>
      <w:r w:rsidR="13C500A8" w:rsidRPr="007A2EC6">
        <w:rPr>
          <w:rFonts w:ascii="Aptos" w:eastAsia="Aptos" w:hAnsi="Aptos" w:cs="Aptos"/>
          <w:color w:val="242424"/>
        </w:rPr>
        <w:t>að jafna mismunandi útgjaldaþörf og skatttekjur sveitarfélaga með framlögum úr sjóðnum</w:t>
      </w:r>
      <w:r w:rsidR="00EC0EC9" w:rsidRPr="007A2EC6">
        <w:rPr>
          <w:rFonts w:ascii="Aptos" w:eastAsia="Aptos" w:hAnsi="Aptos" w:cs="Aptos"/>
          <w:color w:val="242424"/>
        </w:rPr>
        <w:t>.</w:t>
      </w:r>
    </w:p>
    <w:p w14:paraId="20CE8D50" w14:textId="77777777" w:rsidR="007A2EC6" w:rsidRPr="007A2EC6" w:rsidRDefault="007A2EC6" w:rsidP="007A2EC6">
      <w:pPr>
        <w:spacing w:after="0" w:line="240" w:lineRule="auto"/>
        <w:jc w:val="both"/>
        <w:rPr>
          <w:rFonts w:ascii="Aptos" w:eastAsia="Aptos" w:hAnsi="Aptos" w:cs="Aptos"/>
          <w:color w:val="242424"/>
        </w:rPr>
      </w:pPr>
    </w:p>
    <w:p w14:paraId="1971B465" w14:textId="6811A452" w:rsidR="006F7EF1" w:rsidRPr="007A2EC6" w:rsidRDefault="006F7EF1" w:rsidP="007A2EC6">
      <w:pPr>
        <w:spacing w:after="0" w:line="240" w:lineRule="auto"/>
        <w:jc w:val="both"/>
        <w:rPr>
          <w:shd w:val="clear" w:color="auto" w:fill="FFFF00"/>
        </w:rPr>
      </w:pPr>
      <w:r w:rsidRPr="007A2EC6">
        <w:t>Eftir því sem við á fer um málsmeðferð og ákvarðanir á grundvelli þessarar reglugerðar samkvæmt reglugerð um Jöfnunarsjóð sveitarfélaga</w:t>
      </w:r>
      <w:r w:rsidR="007A2EC6">
        <w:t>, nr. x/2025.</w:t>
      </w:r>
    </w:p>
    <w:p w14:paraId="4EDD0B27" w14:textId="77777777" w:rsidR="00875DDA" w:rsidRDefault="00875DDA" w:rsidP="007A2EC6">
      <w:pPr>
        <w:spacing w:after="0" w:line="240" w:lineRule="auto"/>
        <w:jc w:val="center"/>
      </w:pPr>
    </w:p>
    <w:p w14:paraId="244E2044" w14:textId="4EE8AA60" w:rsidR="006F7EF1" w:rsidRPr="006F7EF1" w:rsidRDefault="00D05EBD" w:rsidP="007A2EC6">
      <w:pPr>
        <w:spacing w:after="0" w:line="240" w:lineRule="auto"/>
        <w:jc w:val="center"/>
      </w:pPr>
      <w:r>
        <w:t>2</w:t>
      </w:r>
      <w:r w:rsidR="006F7EF1">
        <w:t>.gr.</w:t>
      </w:r>
    </w:p>
    <w:p w14:paraId="3A224A47" w14:textId="2211EA16" w:rsidR="006F7EF1" w:rsidRPr="006F7EF1" w:rsidRDefault="006F7EF1" w:rsidP="007A2EC6">
      <w:pPr>
        <w:spacing w:after="0" w:line="240" w:lineRule="auto"/>
        <w:jc w:val="center"/>
      </w:pPr>
      <w:r w:rsidRPr="006F7EF1">
        <w:rPr>
          <w:i/>
          <w:iCs/>
        </w:rPr>
        <w:t>Almenn jöfnunarframlög.</w:t>
      </w:r>
    </w:p>
    <w:p w14:paraId="3EEC421B" w14:textId="10EC5FE5" w:rsidR="006F7EF1" w:rsidRDefault="006F7EF1" w:rsidP="007A2EC6">
      <w:pPr>
        <w:spacing w:after="0" w:line="240" w:lineRule="auto"/>
        <w:jc w:val="both"/>
      </w:pPr>
      <w:r w:rsidRPr="006F7EF1">
        <w:t xml:space="preserve">Til jöfnunarframlaga skal verja þeim tekjum sjóðsins skv. a- og b-lið 2. gr. </w:t>
      </w:r>
      <w:r>
        <w:t xml:space="preserve">laga nr. 56/2025 um Jöfnunarsjóð sveitarfélaga </w:t>
      </w:r>
      <w:r w:rsidRPr="006F7EF1">
        <w:t xml:space="preserve">sem eru umfram ráðstöfun </w:t>
      </w:r>
      <w:r>
        <w:t xml:space="preserve">til bundinna framlaga, </w:t>
      </w:r>
      <w:r w:rsidRPr="006F7EF1">
        <w:t>s</w:t>
      </w:r>
      <w:r>
        <w:t>br</w:t>
      </w:r>
      <w:r w:rsidRPr="006F7EF1">
        <w:t xml:space="preserve">. 4. </w:t>
      </w:r>
      <w:r>
        <w:t>gr. laganna og sérstakra framlaga, sbr.</w:t>
      </w:r>
      <w:r w:rsidRPr="006F7EF1">
        <w:t xml:space="preserve"> 5. gr.</w:t>
      </w:r>
      <w:r>
        <w:t xml:space="preserve"> laganna.</w:t>
      </w:r>
      <w:r w:rsidRPr="006F7EF1">
        <w:t xml:space="preserve"> Markmið jöfnunarframlaga er að jafna mismunandi útgjaldaþörf og skatttekjur sveitarfélaga.</w:t>
      </w:r>
    </w:p>
    <w:p w14:paraId="57278412" w14:textId="77777777" w:rsidR="007A2EC6" w:rsidRDefault="007A2EC6" w:rsidP="007A2EC6">
      <w:pPr>
        <w:spacing w:after="0" w:line="240" w:lineRule="auto"/>
        <w:jc w:val="both"/>
      </w:pPr>
    </w:p>
    <w:p w14:paraId="5088597D" w14:textId="22028301" w:rsidR="006F7EF1" w:rsidRPr="006F7EF1" w:rsidRDefault="006F7EF1" w:rsidP="007A2EC6">
      <w:pPr>
        <w:spacing w:after="0" w:line="240" w:lineRule="auto"/>
        <w:jc w:val="both"/>
      </w:pPr>
      <w:r w:rsidRPr="006F7EF1">
        <w:t>Útreikningur jöfnunarframlaga fer fram á grundvelli tveggja stoða:</w:t>
      </w:r>
    </w:p>
    <w:p w14:paraId="19DDE621" w14:textId="779F5079" w:rsidR="006F7EF1" w:rsidRPr="006F7EF1" w:rsidRDefault="006F7EF1" w:rsidP="007A2EC6">
      <w:pPr>
        <w:numPr>
          <w:ilvl w:val="0"/>
          <w:numId w:val="1"/>
        </w:numPr>
        <w:spacing w:after="0" w:line="240" w:lineRule="auto"/>
      </w:pPr>
      <w:r w:rsidRPr="006F7EF1">
        <w:t xml:space="preserve">Jöfnunar vegna mismunandi tekjuöflunarmöguleika og stærðarhagkvæmni, sbr. </w:t>
      </w:r>
      <w:r w:rsidR="00D05EBD">
        <w:t>4</w:t>
      </w:r>
      <w:r w:rsidRPr="006F7EF1">
        <w:t>. gr.</w:t>
      </w:r>
    </w:p>
    <w:p w14:paraId="70D25208" w14:textId="4FED111F" w:rsidR="006F7EF1" w:rsidRPr="006F7EF1" w:rsidRDefault="006F7EF1" w:rsidP="007A2EC6">
      <w:pPr>
        <w:numPr>
          <w:ilvl w:val="0"/>
          <w:numId w:val="2"/>
        </w:numPr>
        <w:spacing w:after="0" w:line="240" w:lineRule="auto"/>
      </w:pPr>
      <w:r w:rsidRPr="006F7EF1">
        <w:t xml:space="preserve">Jöfnunar vegna mismunandi útgjaldaþarfa, sbr. </w:t>
      </w:r>
      <w:r w:rsidR="00D05EBD">
        <w:t>5</w:t>
      </w:r>
      <w:r w:rsidRPr="006F7EF1">
        <w:t>. gr.</w:t>
      </w:r>
    </w:p>
    <w:p w14:paraId="23927036" w14:textId="77777777" w:rsidR="007A2EC6" w:rsidRDefault="007A2EC6" w:rsidP="007A2EC6">
      <w:pPr>
        <w:spacing w:after="0" w:line="240" w:lineRule="auto"/>
      </w:pPr>
    </w:p>
    <w:p w14:paraId="13A81C52" w14:textId="55687662" w:rsidR="00D05EBD" w:rsidRDefault="006F7EF1" w:rsidP="007A2EC6">
      <w:pPr>
        <w:spacing w:after="0" w:line="240" w:lineRule="auto"/>
      </w:pPr>
      <w:r w:rsidRPr="006F7EF1">
        <w:t>Almenn jöfnunarframlög til sveitarfélaga eru endanleg niðurstaða jöfnunar skv. 1. og 2. tölul. 2. mgr., sbr. þó 4. mgr.</w:t>
      </w:r>
    </w:p>
    <w:p w14:paraId="22A396CE" w14:textId="77777777" w:rsidR="007A2EC6" w:rsidRDefault="007A2EC6" w:rsidP="007A2EC6">
      <w:pPr>
        <w:spacing w:after="0" w:line="240" w:lineRule="auto"/>
        <w:jc w:val="both"/>
      </w:pPr>
    </w:p>
    <w:p w14:paraId="02E0A978" w14:textId="43E77C97" w:rsidR="00D05EBD" w:rsidRDefault="006F7EF1" w:rsidP="007A2EC6">
      <w:pPr>
        <w:spacing w:after="0" w:line="240" w:lineRule="auto"/>
        <w:jc w:val="both"/>
      </w:pPr>
      <w:r w:rsidRPr="006F7EF1">
        <w:t>Veita skal Reykjavíkurborg og Akureyrarbæ sérstakt jöfnunarframlag vegna höfuðstaðarálags sem skal nema 2,5% af þeirri fjárhæð sem varið er til jöfnunarframlaga skv. 1. mgr. Framlagið skiptist þannig að einu prósentustigi þess skal skipta jafnt á milli sveitarfélaganna og 1,5 prósentustigum skal skipta eftir fjölda íbúa þeirra 1. janúar ár hvert.</w:t>
      </w:r>
    </w:p>
    <w:p w14:paraId="4D0671AF" w14:textId="77777777" w:rsidR="00D05EBD" w:rsidRPr="006F7EF1" w:rsidRDefault="00D05EBD" w:rsidP="007A2EC6">
      <w:pPr>
        <w:spacing w:after="0" w:line="240" w:lineRule="auto"/>
        <w:jc w:val="both"/>
      </w:pPr>
    </w:p>
    <w:p w14:paraId="13DF93DA" w14:textId="036CDC39" w:rsidR="006F7EF1" w:rsidRPr="006F7EF1" w:rsidRDefault="00D05EBD" w:rsidP="007A2EC6">
      <w:pPr>
        <w:spacing w:after="0" w:line="240" w:lineRule="auto"/>
        <w:jc w:val="center"/>
      </w:pPr>
      <w:r>
        <w:t>3</w:t>
      </w:r>
      <w:r w:rsidR="006F7EF1">
        <w:t>.</w:t>
      </w:r>
      <w:r w:rsidR="006F7EF1" w:rsidRPr="006F7EF1">
        <w:t>gr.</w:t>
      </w:r>
    </w:p>
    <w:p w14:paraId="0337C766" w14:textId="77777777" w:rsidR="006F7EF1" w:rsidRPr="006F7EF1" w:rsidRDefault="006F7EF1" w:rsidP="007A2EC6">
      <w:pPr>
        <w:spacing w:after="0" w:line="240" w:lineRule="auto"/>
        <w:jc w:val="center"/>
      </w:pPr>
      <w:r w:rsidRPr="006F7EF1">
        <w:rPr>
          <w:i/>
          <w:iCs/>
        </w:rPr>
        <w:t>Grundvöllur jöfnunarframlaga.</w:t>
      </w:r>
    </w:p>
    <w:p w14:paraId="0DE9462F" w14:textId="128890AE" w:rsidR="006F7EF1" w:rsidRPr="006F7EF1" w:rsidRDefault="006F7EF1" w:rsidP="007A2EC6">
      <w:pPr>
        <w:spacing w:after="0" w:line="240" w:lineRule="auto"/>
      </w:pPr>
      <w:r w:rsidRPr="006F7EF1">
        <w:t>Til grundvallar útreikningi jöfnunarframlaga gerir ráðherra árlega skrá um:</w:t>
      </w:r>
    </w:p>
    <w:p w14:paraId="49364068" w14:textId="77777777" w:rsidR="006F7EF1" w:rsidRPr="006F7EF1" w:rsidRDefault="006F7EF1" w:rsidP="007A2EC6">
      <w:pPr>
        <w:numPr>
          <w:ilvl w:val="0"/>
          <w:numId w:val="3"/>
        </w:numPr>
        <w:spacing w:after="0" w:line="240" w:lineRule="auto"/>
        <w:jc w:val="both"/>
      </w:pPr>
      <w:r w:rsidRPr="006F7EF1">
        <w:t>Útsvarstekjur sveitarfélaga eins og þær hefðu verið árið áður, ef miðað hefði verið við fulla nýtingu álagningarhlutfalls útsvars.</w:t>
      </w:r>
    </w:p>
    <w:p w14:paraId="4151C3A0" w14:textId="05CFE928" w:rsidR="006F7EF1" w:rsidRPr="006F7EF1" w:rsidRDefault="006F7EF1" w:rsidP="007A2EC6">
      <w:pPr>
        <w:numPr>
          <w:ilvl w:val="0"/>
          <w:numId w:val="3"/>
        </w:numPr>
        <w:spacing w:after="0" w:line="240" w:lineRule="auto"/>
        <w:jc w:val="both"/>
      </w:pPr>
      <w:r w:rsidRPr="006F7EF1">
        <w:t>Allar fasteignaskattstekjur sveitarfélaga eins og þær hefðu verið á úthlutunarári, ef miðað hefði verið við hámark skatthlutfalls fasteignaskatts, að teknu tilliti til álags, sbr.</w:t>
      </w:r>
      <w:r w:rsidR="00724E98">
        <w:t xml:space="preserve"> 3. gr. laga um tekjustofna sveitarfélaga nr. 4/1995</w:t>
      </w:r>
      <w:r w:rsidRPr="006F7EF1">
        <w:t>, vegið með íbúafjölda.</w:t>
      </w:r>
    </w:p>
    <w:p w14:paraId="78CAB5E7" w14:textId="120DF7FC" w:rsidR="006F7EF1" w:rsidRPr="006F7EF1" w:rsidRDefault="006F7EF1" w:rsidP="007A2EC6">
      <w:pPr>
        <w:numPr>
          <w:ilvl w:val="0"/>
          <w:numId w:val="3"/>
        </w:numPr>
        <w:spacing w:after="0" w:line="240" w:lineRule="auto"/>
        <w:jc w:val="both"/>
      </w:pPr>
      <w:r w:rsidRPr="006F7EF1">
        <w:t>Hámarkstekjur</w:t>
      </w:r>
      <w:r w:rsidRPr="006F7EF1">
        <w:rPr>
          <w:i/>
          <w:iCs/>
        </w:rPr>
        <w:t>,</w:t>
      </w:r>
      <w:r w:rsidR="004939A7">
        <w:t xml:space="preserve"> </w:t>
      </w:r>
      <w:r w:rsidRPr="006F7EF1">
        <w:t>sem eru samtala útsvarstekna, sbr. a-lið, og fasteignaskattstekna, sbr. b- lið, deilt með íbúafjölda hvers sveitarfélags 1. janúar næstliðins árs.</w:t>
      </w:r>
    </w:p>
    <w:p w14:paraId="4269356A" w14:textId="77777777" w:rsidR="007A2EC6" w:rsidRDefault="007A2EC6" w:rsidP="007A2EC6">
      <w:pPr>
        <w:spacing w:after="0" w:line="240" w:lineRule="auto"/>
        <w:jc w:val="both"/>
      </w:pPr>
    </w:p>
    <w:p w14:paraId="3E0424F8" w14:textId="7D8A6C49" w:rsidR="00822DAA" w:rsidRDefault="006F7EF1" w:rsidP="007A2EC6">
      <w:pPr>
        <w:spacing w:after="0" w:line="240" w:lineRule="auto"/>
        <w:jc w:val="both"/>
      </w:pPr>
      <w:r w:rsidRPr="006F7EF1">
        <w:t>Við útreikning almennra jöfnunarframlaga skal sveitarfélögum skipt upp í þrjá stærðarflokka</w:t>
      </w:r>
      <w:r w:rsidR="00822DAA">
        <w:t>:</w:t>
      </w:r>
    </w:p>
    <w:p w14:paraId="4CE3215C" w14:textId="32715D90" w:rsidR="00822DAA" w:rsidRDefault="006F7EF1" w:rsidP="007A2EC6">
      <w:pPr>
        <w:pStyle w:val="ListParagraph"/>
        <w:numPr>
          <w:ilvl w:val="0"/>
          <w:numId w:val="8"/>
        </w:numPr>
        <w:spacing w:after="0" w:line="240" w:lineRule="auto"/>
        <w:jc w:val="both"/>
      </w:pPr>
      <w:r w:rsidRPr="00822DAA">
        <w:rPr>
          <w:i/>
          <w:iCs/>
        </w:rPr>
        <w:t>fámenn sveitarfélög</w:t>
      </w:r>
      <w:r w:rsidRPr="006F7EF1">
        <w:t xml:space="preserve"> með undir 2.000 íbúa, </w:t>
      </w:r>
    </w:p>
    <w:p w14:paraId="12FBAF49" w14:textId="77777777" w:rsidR="00822DAA" w:rsidRDefault="006F7EF1" w:rsidP="007A2EC6">
      <w:pPr>
        <w:pStyle w:val="ListParagraph"/>
        <w:numPr>
          <w:ilvl w:val="0"/>
          <w:numId w:val="8"/>
        </w:numPr>
        <w:spacing w:after="0" w:line="240" w:lineRule="auto"/>
        <w:jc w:val="both"/>
      </w:pPr>
      <w:r w:rsidRPr="00822DAA">
        <w:rPr>
          <w:i/>
          <w:iCs/>
        </w:rPr>
        <w:t>meðalstór sveitarfélög</w:t>
      </w:r>
      <w:r w:rsidRPr="006F7EF1">
        <w:t xml:space="preserve"> með 2.000–10.000 íbúa og </w:t>
      </w:r>
    </w:p>
    <w:p w14:paraId="50688200" w14:textId="40839519" w:rsidR="00D05EBD" w:rsidRDefault="006F7EF1" w:rsidP="007A2EC6">
      <w:pPr>
        <w:pStyle w:val="ListParagraph"/>
        <w:numPr>
          <w:ilvl w:val="0"/>
          <w:numId w:val="8"/>
        </w:numPr>
        <w:spacing w:after="0" w:line="240" w:lineRule="auto"/>
        <w:jc w:val="both"/>
      </w:pPr>
      <w:r w:rsidRPr="00822DAA">
        <w:rPr>
          <w:i/>
          <w:iCs/>
        </w:rPr>
        <w:t>fjölmenn sveitarfélög</w:t>
      </w:r>
      <w:r w:rsidRPr="006F7EF1">
        <w:t xml:space="preserve"> með yfir 10.000 íbúa.</w:t>
      </w:r>
    </w:p>
    <w:p w14:paraId="2C9CF452" w14:textId="381A1112" w:rsidR="00AE7C22" w:rsidRDefault="00AE7C22" w:rsidP="007A2EC6">
      <w:pPr>
        <w:spacing w:after="0" w:line="240" w:lineRule="auto"/>
      </w:pPr>
    </w:p>
    <w:p w14:paraId="129E87D9" w14:textId="1120A66A" w:rsidR="006F7EF1" w:rsidRPr="006F7EF1" w:rsidRDefault="00D05EBD" w:rsidP="007A2EC6">
      <w:pPr>
        <w:spacing w:after="0" w:line="240" w:lineRule="auto"/>
        <w:jc w:val="center"/>
      </w:pPr>
      <w:r>
        <w:t>4</w:t>
      </w:r>
      <w:r w:rsidR="006F7EF1">
        <w:t>.</w:t>
      </w:r>
      <w:r w:rsidR="006F7EF1" w:rsidRPr="006F7EF1">
        <w:t>gr.</w:t>
      </w:r>
    </w:p>
    <w:p w14:paraId="66CE4807" w14:textId="77777777" w:rsidR="006F7EF1" w:rsidRPr="006F7EF1" w:rsidRDefault="006F7EF1" w:rsidP="007A2EC6">
      <w:pPr>
        <w:spacing w:after="0" w:line="240" w:lineRule="auto"/>
        <w:jc w:val="center"/>
      </w:pPr>
      <w:r w:rsidRPr="006F7EF1">
        <w:rPr>
          <w:i/>
          <w:iCs/>
        </w:rPr>
        <w:t>Jöfnun vegna mismunandi tekjuöflunarmöguleika og stærðarhagkvæmni.</w:t>
      </w:r>
    </w:p>
    <w:p w14:paraId="12AE173A" w14:textId="10FBE029" w:rsidR="006F7EF1" w:rsidRPr="006F7EF1" w:rsidRDefault="006F7EF1" w:rsidP="007A2EC6">
      <w:pPr>
        <w:spacing w:after="0" w:line="240" w:lineRule="auto"/>
        <w:jc w:val="both"/>
      </w:pPr>
      <w:r w:rsidRPr="006F7EF1">
        <w:t xml:space="preserve">Jöfnun vegna mismunandi tekjuöflunarmöguleika og stærðarhagkvæmni byggist á hámarkstekjum sveitarfélaga á íbúa, sbr. c-lið 1. mgr. </w:t>
      </w:r>
      <w:r w:rsidR="00D05EBD">
        <w:t>3</w:t>
      </w:r>
      <w:r w:rsidRPr="006F7EF1">
        <w:t xml:space="preserve">. gr., stærðarhagkvæmni fjölmennra sveitarfélaga samanborið </w:t>
      </w:r>
      <w:r w:rsidRPr="006F7EF1">
        <w:lastRenderedPageBreak/>
        <w:t>við fámenn sveitarfélög og heildarfjárhæð til úthlutunar vegna mismunandi tekjuöflunarmöguleika og mismunandi útgjaldaþarfa. Útreikningur jöfnunar á þessum grundvelli skal fara fram á eftirfarandi hátt:</w:t>
      </w:r>
    </w:p>
    <w:p w14:paraId="3BBDC803" w14:textId="3C3C6937" w:rsidR="006F7EF1" w:rsidRPr="006F7EF1" w:rsidRDefault="006F7EF1" w:rsidP="007A2EC6">
      <w:pPr>
        <w:numPr>
          <w:ilvl w:val="0"/>
          <w:numId w:val="4"/>
        </w:numPr>
        <w:spacing w:after="0" w:line="240" w:lineRule="auto"/>
      </w:pPr>
      <w:r w:rsidRPr="006F7EF1">
        <w:t xml:space="preserve">Leggja skal til grundvallar hámarkstekjur sveitarfélags, sbr. c-lið 1. mgr. </w:t>
      </w:r>
      <w:r w:rsidR="00822DAA">
        <w:t>3</w:t>
      </w:r>
      <w:r w:rsidRPr="006F7EF1">
        <w:t>. gr.</w:t>
      </w:r>
    </w:p>
    <w:p w14:paraId="7AAF00EA" w14:textId="77777777" w:rsidR="006F7EF1" w:rsidRPr="006F7EF1" w:rsidRDefault="006F7EF1" w:rsidP="007A2EC6">
      <w:pPr>
        <w:numPr>
          <w:ilvl w:val="0"/>
          <w:numId w:val="4"/>
        </w:numPr>
        <w:spacing w:after="0" w:line="240" w:lineRule="auto"/>
        <w:jc w:val="both"/>
      </w:pPr>
      <w:r w:rsidRPr="006F7EF1">
        <w:t>Ákvarða skal tekjuhagkvæmniferil skv. c-, d- og e-lið. Tekjuhagkvæmniferill er tekjuviðmið sveitarfélags á hvern íbúa, að teknu tilliti til stærðarhagkvæmni.</w:t>
      </w:r>
    </w:p>
    <w:p w14:paraId="145DE2A6" w14:textId="77777777" w:rsidR="005B0CE4" w:rsidRDefault="006F7EF1" w:rsidP="007A2EC6">
      <w:pPr>
        <w:numPr>
          <w:ilvl w:val="0"/>
          <w:numId w:val="4"/>
        </w:numPr>
        <w:spacing w:after="0" w:line="240" w:lineRule="auto"/>
        <w:jc w:val="both"/>
      </w:pPr>
      <w:r w:rsidRPr="006F7EF1">
        <w:t xml:space="preserve">Tekjuhagkvæmniferill skal vera 23% hærri fyrir fámenn sveitarfélög en fjölmenn sveitarfélög, sbr. </w:t>
      </w:r>
      <w:r w:rsidR="00822DAA">
        <w:t xml:space="preserve">i. og iii.-liði </w:t>
      </w:r>
      <w:r w:rsidRPr="006F7EF1">
        <w:t xml:space="preserve">2. mgr. </w:t>
      </w:r>
      <w:r w:rsidR="00822DAA">
        <w:t>3</w:t>
      </w:r>
      <w:r w:rsidRPr="006F7EF1">
        <w:t>. gr.</w:t>
      </w:r>
    </w:p>
    <w:p w14:paraId="2426E276" w14:textId="77777777" w:rsidR="000A0EAF" w:rsidRDefault="006F7EF1" w:rsidP="002A5570">
      <w:pPr>
        <w:numPr>
          <w:ilvl w:val="0"/>
          <w:numId w:val="4"/>
        </w:numPr>
        <w:spacing w:after="0" w:line="240" w:lineRule="auto"/>
        <w:jc w:val="both"/>
      </w:pPr>
      <w:r w:rsidRPr="006F7EF1">
        <w:t xml:space="preserve">Tekjuhagkvæmniferill fyrir meðalstór sveitarfélög, sbr. </w:t>
      </w:r>
      <w:r w:rsidR="00822DAA">
        <w:t xml:space="preserve">ii.-lið </w:t>
      </w:r>
      <w:r w:rsidRPr="006F7EF1">
        <w:t xml:space="preserve">2. mgr. </w:t>
      </w:r>
      <w:r w:rsidR="00822DAA">
        <w:t>3</w:t>
      </w:r>
      <w:r w:rsidRPr="006F7EF1">
        <w:t>. gr., skal reiknaður á grundvelli reiknilíkans skv. 3. gr. viðauka</w:t>
      </w:r>
      <w:r w:rsidR="00001D88">
        <w:t>.</w:t>
      </w:r>
      <w:r w:rsidR="002A5570">
        <w:rPr>
          <w:rStyle w:val="FootnoteReference"/>
          <w:vertAlign w:val="baseline"/>
        </w:rPr>
        <w:t xml:space="preserve"> </w:t>
      </w:r>
    </w:p>
    <w:p w14:paraId="02D3D470" w14:textId="480FE090" w:rsidR="006F7EF1" w:rsidRPr="006F7EF1" w:rsidRDefault="006F7EF1" w:rsidP="002A5570">
      <w:pPr>
        <w:numPr>
          <w:ilvl w:val="0"/>
          <w:numId w:val="4"/>
        </w:numPr>
        <w:spacing w:after="0" w:line="240" w:lineRule="auto"/>
        <w:jc w:val="both"/>
      </w:pPr>
      <w:r w:rsidRPr="006F7EF1">
        <w:t>Tekjuhagkvæmniferill skal aðlagaður því fjármagni sem er til ráðstöfunar.</w:t>
      </w:r>
    </w:p>
    <w:p w14:paraId="138975D4" w14:textId="77777777" w:rsidR="006F7EF1" w:rsidRPr="006F7EF1" w:rsidRDefault="006F7EF1" w:rsidP="007A2EC6">
      <w:pPr>
        <w:numPr>
          <w:ilvl w:val="0"/>
          <w:numId w:val="4"/>
        </w:numPr>
        <w:spacing w:after="0" w:line="240" w:lineRule="auto"/>
        <w:jc w:val="both"/>
      </w:pPr>
      <w:r w:rsidRPr="006F7EF1">
        <w:t>Til jöfnunar getur komið ef hámarkstekjur, sbr. a-lið, eru undir viðmiðum tekjuhagkvæmniferils.</w:t>
      </w:r>
    </w:p>
    <w:p w14:paraId="1B79EEC8" w14:textId="77777777" w:rsidR="006F7EF1" w:rsidRPr="006F7EF1" w:rsidRDefault="006F7EF1" w:rsidP="007A2EC6">
      <w:pPr>
        <w:numPr>
          <w:ilvl w:val="0"/>
          <w:numId w:val="4"/>
        </w:numPr>
        <w:spacing w:after="0" w:line="240" w:lineRule="auto"/>
        <w:jc w:val="both"/>
      </w:pPr>
      <w:r w:rsidRPr="006F7EF1">
        <w:t>Sveitarfélög sem hafa hámarkstekjur sem eru lægri en tekjuhagkvæmniferill reiknast með jöfnun samkvæmt þessu ákvæði, sem nemur 80% af mismun á gildi tekjuhagkvæmniferils og hámarkstekjum, sbr. a-lið.</w:t>
      </w:r>
    </w:p>
    <w:p w14:paraId="2FCA31F1" w14:textId="62B581D6" w:rsidR="006F7EF1" w:rsidRDefault="006F7EF1" w:rsidP="007A2EC6">
      <w:pPr>
        <w:numPr>
          <w:ilvl w:val="0"/>
          <w:numId w:val="4"/>
        </w:numPr>
        <w:spacing w:after="0" w:line="240" w:lineRule="auto"/>
        <w:jc w:val="both"/>
      </w:pPr>
      <w:r w:rsidRPr="006F7EF1">
        <w:t>Jöfnun vegna tekjuöflunarmöguleika og stærðarhagkvæmni getur að hámarki numið 16 milljónustu hlutum ráðstöfunarfjármagns framlaganna fyrir sveitarfélög með undir 2.000 íbúa og 3,2 milljónustu hlutum ráðstöfunarfjármagns fyrir sveitarfélög með yfir 20.000 íbúa. Fyrir sveitarfélög með íbúatölu á bilinu 2.000</w:t>
      </w:r>
      <w:r w:rsidR="00FB1631">
        <w:t>-</w:t>
      </w:r>
      <w:r w:rsidRPr="006F7EF1">
        <w:t>20.000 skal hámarkið ákvarðað hlutfallslega út frá íbúafjölda á milli 16 og 3,2 milljónustu hluta.</w:t>
      </w:r>
    </w:p>
    <w:p w14:paraId="1E4EC5E6" w14:textId="29D33646" w:rsidR="00AE7C22" w:rsidRDefault="00AE7C22" w:rsidP="007A2EC6">
      <w:pPr>
        <w:spacing w:after="0" w:line="240" w:lineRule="auto"/>
      </w:pPr>
    </w:p>
    <w:p w14:paraId="1C23BA80" w14:textId="1C55B007" w:rsidR="006F7EF1" w:rsidRPr="006F7EF1" w:rsidRDefault="00FB1631" w:rsidP="007A2EC6">
      <w:pPr>
        <w:spacing w:after="0" w:line="240" w:lineRule="auto"/>
        <w:jc w:val="center"/>
      </w:pPr>
      <w:r>
        <w:t>5</w:t>
      </w:r>
      <w:r w:rsidR="006F7EF1" w:rsidRPr="006F7EF1">
        <w:t>. gr.</w:t>
      </w:r>
    </w:p>
    <w:p w14:paraId="21B6910D" w14:textId="77777777" w:rsidR="006F7EF1" w:rsidRPr="006F7EF1" w:rsidRDefault="006F7EF1" w:rsidP="007A2EC6">
      <w:pPr>
        <w:spacing w:after="0" w:line="240" w:lineRule="auto"/>
        <w:jc w:val="center"/>
      </w:pPr>
      <w:r w:rsidRPr="006F7EF1">
        <w:rPr>
          <w:i/>
          <w:iCs/>
        </w:rPr>
        <w:t>Jöfnun vegna mismunandi útgjaldaþarfa.</w:t>
      </w:r>
    </w:p>
    <w:p w14:paraId="73E75D50" w14:textId="5D26739F" w:rsidR="006F7EF1" w:rsidRPr="006F7EF1" w:rsidRDefault="006F7EF1" w:rsidP="007A2EC6">
      <w:pPr>
        <w:spacing w:after="0" w:line="240" w:lineRule="auto"/>
        <w:jc w:val="both"/>
      </w:pPr>
      <w:r>
        <w:t xml:space="preserve">Jöfnun vegna mismunandi útgjaldaþarfa byggist á hámarkstekjum sveitarfélags á hvern íbúa, ásamt jöfnun vegna mismunandi tekjuöflunarmöguleika og stærðarhagkvæmni, sbr. </w:t>
      </w:r>
      <w:r w:rsidR="62AD1920">
        <w:t>4</w:t>
      </w:r>
      <w:r>
        <w:t>. gr. Útreikningur jöfnunar á þessum grundvelli skal fara fram með eftirfarandi hætti:</w:t>
      </w:r>
    </w:p>
    <w:p w14:paraId="0DF3ABBE" w14:textId="18C8E270" w:rsidR="006F7EF1" w:rsidRPr="006F7EF1" w:rsidRDefault="006F7EF1" w:rsidP="007A2EC6">
      <w:pPr>
        <w:numPr>
          <w:ilvl w:val="0"/>
          <w:numId w:val="5"/>
        </w:numPr>
        <w:spacing w:after="0" w:line="240" w:lineRule="auto"/>
        <w:jc w:val="both"/>
      </w:pPr>
      <w:r>
        <w:t xml:space="preserve">Leggja skal til grundvallar hámarkstekjur sveitarfélags, sbr. c-lið 1. mgr. </w:t>
      </w:r>
      <w:r w:rsidR="47610595">
        <w:t>3</w:t>
      </w:r>
      <w:r>
        <w:t xml:space="preserve">. gr., aðlagaðar niðurstöðu jöfnunar vegna mismunandi tekjuöflunarmöguleika og stærðarhagkvæmni, sbr. </w:t>
      </w:r>
      <w:r w:rsidR="00FB1631">
        <w:t>4</w:t>
      </w:r>
      <w:r>
        <w:t>. gr.</w:t>
      </w:r>
    </w:p>
    <w:p w14:paraId="58105E3B" w14:textId="34B225A1" w:rsidR="006F7EF1" w:rsidRPr="006F7EF1" w:rsidRDefault="006F7EF1" w:rsidP="007A2EC6">
      <w:pPr>
        <w:numPr>
          <w:ilvl w:val="0"/>
          <w:numId w:val="5"/>
        </w:numPr>
        <w:spacing w:after="0" w:line="240" w:lineRule="auto"/>
        <w:jc w:val="both"/>
      </w:pPr>
      <w:r>
        <w:t>Reiknaður skal útgjaldastuðull fyrir hvert sveitarfélag. Útgjaldastuðull skal vera vegið meðaltal staðlaðra útgjaldabreytna, sbr. reiknilíkan skv. 1., 4. og 5.</w:t>
      </w:r>
      <w:r w:rsidR="58E6FFDF">
        <w:t xml:space="preserve"> gr.</w:t>
      </w:r>
      <w:r>
        <w:t xml:space="preserve"> </w:t>
      </w:r>
      <w:r w:rsidR="00FB1631">
        <w:t>viðauka</w:t>
      </w:r>
      <w:r>
        <w:t>.</w:t>
      </w:r>
    </w:p>
    <w:p w14:paraId="06FBDED8" w14:textId="0AC58C13" w:rsidR="006F7EF1" w:rsidRPr="006F7EF1" w:rsidRDefault="006F7EF1" w:rsidP="007A2EC6">
      <w:pPr>
        <w:numPr>
          <w:ilvl w:val="0"/>
          <w:numId w:val="5"/>
        </w:numPr>
        <w:spacing w:after="0" w:line="240" w:lineRule="auto"/>
        <w:jc w:val="both"/>
      </w:pPr>
      <w:r>
        <w:t xml:space="preserve">Útkoma hvers sveitarfélags skv. a-lið er margfölduð með útgjaldastuðli, sbr. b-lið, á grundvelli reiknilíkans skv. 5. gr. </w:t>
      </w:r>
      <w:r w:rsidR="00225523">
        <w:t>v</w:t>
      </w:r>
      <w:r>
        <w:t>iðauka</w:t>
      </w:r>
      <w:r w:rsidR="570A3B56">
        <w:t>.</w:t>
      </w:r>
    </w:p>
    <w:p w14:paraId="77775D86" w14:textId="77777777" w:rsidR="007A2EC6" w:rsidRDefault="007A2EC6" w:rsidP="007A2EC6">
      <w:pPr>
        <w:spacing w:after="0" w:line="240" w:lineRule="auto"/>
        <w:jc w:val="both"/>
      </w:pPr>
    </w:p>
    <w:p w14:paraId="435E0B30" w14:textId="394BC7C7" w:rsidR="009965EC" w:rsidRDefault="006F7EF1" w:rsidP="007A2EC6">
      <w:pPr>
        <w:spacing w:after="0" w:line="240" w:lineRule="auto"/>
        <w:jc w:val="both"/>
      </w:pPr>
      <w:r w:rsidRPr="006F7EF1">
        <w:t xml:space="preserve">Ef hámarkstekjur eru hærri en sem nemur tekjuhagkvæmniferli, sbr. b-lið </w:t>
      </w:r>
      <w:r w:rsidR="00FB1631">
        <w:t>4</w:t>
      </w:r>
      <w:r w:rsidRPr="006F7EF1">
        <w:t>. gr., skal miða grundvöll jöfnunar við tekjuhagkvæmniferil. Jöfnun skal þó ekki vera hærri en mismunur á reiknaðri útgjaldaþörf á mann og hámarkstekjum.</w:t>
      </w:r>
    </w:p>
    <w:p w14:paraId="2B3BFEED" w14:textId="77777777" w:rsidR="007A2EC6" w:rsidRDefault="007A2EC6" w:rsidP="007A2EC6">
      <w:pPr>
        <w:spacing w:after="0" w:line="240" w:lineRule="auto"/>
        <w:jc w:val="both"/>
      </w:pPr>
    </w:p>
    <w:p w14:paraId="356A487B" w14:textId="679E6A39" w:rsidR="00001D88" w:rsidRDefault="00001D88" w:rsidP="00EF7FCD">
      <w:pPr>
        <w:spacing w:after="0" w:line="240" w:lineRule="auto"/>
        <w:jc w:val="center"/>
        <w:rPr>
          <w:b/>
          <w:bCs/>
        </w:rPr>
      </w:pPr>
      <w:r w:rsidRPr="00001D88">
        <w:rPr>
          <w:b/>
          <w:bCs/>
        </w:rPr>
        <w:t>Ákvæði til bráðabirgða.</w:t>
      </w:r>
    </w:p>
    <w:p w14:paraId="187759B5" w14:textId="6CA81AD1" w:rsidR="00001D88" w:rsidRPr="009965EC" w:rsidRDefault="00001D88" w:rsidP="00EF7FCD">
      <w:pPr>
        <w:pStyle w:val="ListParagraph"/>
        <w:numPr>
          <w:ilvl w:val="1"/>
          <w:numId w:val="3"/>
        </w:numPr>
        <w:spacing w:after="0" w:line="240" w:lineRule="auto"/>
        <w:ind w:left="0" w:firstLine="0"/>
        <w:jc w:val="center"/>
        <w:rPr>
          <w:b/>
          <w:bCs/>
        </w:rPr>
      </w:pPr>
      <w:r w:rsidRPr="009965EC">
        <w:rPr>
          <w:b/>
          <w:bCs/>
        </w:rPr>
        <w:t>Aðlögun að breytingum á jöfnunarframlögum</w:t>
      </w:r>
    </w:p>
    <w:p w14:paraId="4E21D23F" w14:textId="37AF9793" w:rsidR="00001D88" w:rsidRDefault="00001D88" w:rsidP="007A2EC6">
      <w:pPr>
        <w:spacing w:after="0" w:line="240" w:lineRule="auto"/>
        <w:jc w:val="both"/>
      </w:pPr>
      <w:r w:rsidRPr="00001D88">
        <w:t xml:space="preserve">Þrátt fyrir </w:t>
      </w:r>
      <w:r>
        <w:t>ákvæði 2.-5. gr.</w:t>
      </w:r>
      <w:r w:rsidRPr="00001D88">
        <w:t xml:space="preserve"> og viðauka við </w:t>
      </w:r>
      <w:r>
        <w:t xml:space="preserve">reglugerð þessa </w:t>
      </w:r>
      <w:r w:rsidRPr="00001D88">
        <w:t xml:space="preserve">skulu framlög til hvers sveitarfélags árið 2026 ekki nema lægri fjárhæð en 85% af fasteignaskatts-, tekjujöfnunar- og útgjaldajöfnunarframlagi sem úthlutað var til viðkomandi sveitarfélags árið 2025, að undanskildu fækkunarframlagi útgjaldajöfnunarframlaga. </w:t>
      </w:r>
    </w:p>
    <w:p w14:paraId="6656B532" w14:textId="77777777" w:rsidR="007A2EC6" w:rsidRDefault="007A2EC6" w:rsidP="007A2EC6">
      <w:pPr>
        <w:spacing w:after="0" w:line="240" w:lineRule="auto"/>
        <w:jc w:val="both"/>
      </w:pPr>
    </w:p>
    <w:p w14:paraId="3A1BF29A" w14:textId="2772345B" w:rsidR="00001D88" w:rsidRDefault="00001D88" w:rsidP="007A2EC6">
      <w:pPr>
        <w:spacing w:after="0" w:line="240" w:lineRule="auto"/>
        <w:jc w:val="both"/>
      </w:pPr>
      <w:r w:rsidRPr="00001D88">
        <w:t xml:space="preserve">Árið 2027 skal hlutfallið vera 70%, 55% árið 2028 og 40% árið 2029, en við útreikning hlutfallsins skal uppreikna framlögin árið 2025 skv. 1. mgr. með vísitölu neysluverðs fyrir hvert ár miðað við nóvember árið á undan. </w:t>
      </w:r>
    </w:p>
    <w:p w14:paraId="1A91DAA2" w14:textId="77777777" w:rsidR="007A2EC6" w:rsidRPr="00162F20" w:rsidRDefault="007A2EC6" w:rsidP="007A2EC6">
      <w:pPr>
        <w:spacing w:after="0" w:line="240" w:lineRule="auto"/>
        <w:jc w:val="both"/>
        <w:rPr>
          <w:strike/>
        </w:rPr>
      </w:pPr>
    </w:p>
    <w:p w14:paraId="1C51E6DB" w14:textId="39284F73" w:rsidR="00001D88" w:rsidRPr="00001D88" w:rsidRDefault="00001D88" w:rsidP="007A2EC6">
      <w:pPr>
        <w:pStyle w:val="ListParagraph"/>
        <w:numPr>
          <w:ilvl w:val="1"/>
          <w:numId w:val="3"/>
        </w:numPr>
        <w:spacing w:after="0" w:line="240" w:lineRule="auto"/>
        <w:ind w:left="890"/>
        <w:jc w:val="center"/>
        <w:rPr>
          <w:b/>
          <w:bCs/>
        </w:rPr>
      </w:pPr>
      <w:r w:rsidRPr="00001D88">
        <w:rPr>
          <w:b/>
          <w:bCs/>
        </w:rPr>
        <w:t>Sérákvæði varðandi höfuðstaðaálag, sbr. 4. mgr. 2. gr.</w:t>
      </w:r>
    </w:p>
    <w:p w14:paraId="2F7E3705" w14:textId="6EA9AB9C" w:rsidR="00B126F9" w:rsidRPr="007A2EC6" w:rsidRDefault="00001D88" w:rsidP="007A2EC6">
      <w:pPr>
        <w:spacing w:after="0" w:line="240" w:lineRule="auto"/>
        <w:jc w:val="both"/>
      </w:pPr>
      <w:r w:rsidRPr="00001D88">
        <w:lastRenderedPageBreak/>
        <w:t xml:space="preserve">Þrátt fyrir 4. mgr. </w:t>
      </w:r>
      <w:r w:rsidR="00FB1631">
        <w:t>2</w:t>
      </w:r>
      <w:r w:rsidRPr="00001D88">
        <w:t xml:space="preserve">. gr. skulu framlög vegna höfuðstaðarálags nema 1% af þeim tekjum sem er varið til jöfnunarframlaga skv. 1. mgr. </w:t>
      </w:r>
      <w:r w:rsidR="00FB1631">
        <w:t>2</w:t>
      </w:r>
      <w:r w:rsidRPr="00001D88">
        <w:t>. gr. á árinu 2026 og 1,75% á árinu 2027.</w:t>
      </w:r>
    </w:p>
    <w:p w14:paraId="25D81BA7" w14:textId="77777777" w:rsidR="007A2EC6" w:rsidRDefault="007A2EC6">
      <w:pPr>
        <w:rPr>
          <w:b/>
          <w:bCs/>
        </w:rPr>
      </w:pPr>
      <w:r>
        <w:rPr>
          <w:b/>
          <w:bCs/>
        </w:rPr>
        <w:br w:type="page"/>
      </w:r>
    </w:p>
    <w:p w14:paraId="3EE063D8" w14:textId="687D3145" w:rsidR="006820F9" w:rsidRPr="006820F9" w:rsidRDefault="006820F9" w:rsidP="007A2EC6">
      <w:pPr>
        <w:spacing w:after="0" w:line="240" w:lineRule="auto"/>
        <w:rPr>
          <w:b/>
          <w:bCs/>
        </w:rPr>
      </w:pPr>
      <w:r w:rsidRPr="7CBCBDD1">
        <w:rPr>
          <w:b/>
          <w:bCs/>
        </w:rPr>
        <w:lastRenderedPageBreak/>
        <w:t>Viðauki.</w:t>
      </w:r>
    </w:p>
    <w:p w14:paraId="3C85A8EA" w14:textId="16B5C8E1" w:rsidR="006820F9" w:rsidRDefault="006820F9" w:rsidP="007A2EC6">
      <w:pPr>
        <w:spacing w:after="0" w:line="240" w:lineRule="auto"/>
        <w:jc w:val="center"/>
      </w:pPr>
      <w:r w:rsidRPr="006820F9">
        <w:t>1.gr.</w:t>
      </w:r>
    </w:p>
    <w:p w14:paraId="051C5855" w14:textId="2CC82EA9" w:rsidR="006820F9" w:rsidRPr="006820F9" w:rsidRDefault="006820F9" w:rsidP="007A2EC6">
      <w:pPr>
        <w:spacing w:after="0" w:line="240" w:lineRule="auto"/>
        <w:jc w:val="center"/>
        <w:rPr>
          <w:i/>
          <w:iCs/>
        </w:rPr>
      </w:pPr>
      <w:r w:rsidRPr="006820F9">
        <w:rPr>
          <w:i/>
          <w:iCs/>
        </w:rPr>
        <w:t>Útgjaldabreytur og vogir þeirra.</w:t>
      </w:r>
    </w:p>
    <w:p w14:paraId="5C5C5BD4" w14:textId="29A4B852" w:rsidR="006820F9" w:rsidRDefault="006820F9" w:rsidP="007A2EC6">
      <w:pPr>
        <w:spacing w:after="0" w:line="240" w:lineRule="auto"/>
        <w:jc w:val="both"/>
      </w:pPr>
      <w:r w:rsidRPr="006820F9">
        <w:t xml:space="preserve">Miða skal við eftirfarandi útgjaldabreytur og vogir þeirra fyrir jöfnun vegna mismunandi útgjaldaþarfa, sbr. </w:t>
      </w:r>
      <w:r w:rsidR="002A5602">
        <w:t>5</w:t>
      </w:r>
      <w:r w:rsidRPr="006820F9">
        <w:t>. gr.</w:t>
      </w:r>
      <w:r w:rsidR="002A5602">
        <w:t>:</w:t>
      </w:r>
    </w:p>
    <w:p w14:paraId="23D0AD24" w14:textId="41F000C3" w:rsidR="006820F9" w:rsidRDefault="006820F9" w:rsidP="007A2EC6">
      <w:pPr>
        <w:spacing w:after="0" w:line="240" w:lineRule="auto"/>
        <w:jc w:val="both"/>
      </w:pPr>
    </w:p>
    <w:tbl>
      <w:tblPr>
        <w:tblW w:w="6140" w:type="dxa"/>
        <w:jc w:val="center"/>
        <w:tblLook w:val="04A0" w:firstRow="1" w:lastRow="0" w:firstColumn="1" w:lastColumn="0" w:noHBand="0" w:noVBand="1"/>
      </w:tblPr>
      <w:tblGrid>
        <w:gridCol w:w="5180"/>
        <w:gridCol w:w="960"/>
      </w:tblGrid>
      <w:tr w:rsidR="00F06B00" w:rsidRPr="00F06B00" w14:paraId="13B11456" w14:textId="77777777" w:rsidTr="00F06B00">
        <w:trPr>
          <w:trHeight w:val="300"/>
          <w:jc w:val="center"/>
        </w:trPr>
        <w:tc>
          <w:tcPr>
            <w:tcW w:w="5180" w:type="dxa"/>
            <w:tcBorders>
              <w:top w:val="single" w:sz="4" w:space="0" w:color="auto"/>
              <w:left w:val="nil"/>
              <w:bottom w:val="single" w:sz="4" w:space="0" w:color="auto"/>
              <w:right w:val="nil"/>
            </w:tcBorders>
            <w:shd w:val="clear" w:color="000000" w:fill="FFFFFF"/>
            <w:noWrap/>
            <w:vAlign w:val="bottom"/>
            <w:hideMark/>
          </w:tcPr>
          <w:p w14:paraId="761A746B" w14:textId="77777777" w:rsidR="00F06B00" w:rsidRPr="00F06B00" w:rsidRDefault="00F06B00" w:rsidP="007A2EC6">
            <w:pPr>
              <w:spacing w:after="0" w:line="240" w:lineRule="auto"/>
              <w:rPr>
                <w:rFonts w:ascii="Calibri" w:eastAsia="Times New Roman" w:hAnsi="Calibri" w:cs="Calibri"/>
                <w:b/>
                <w:bCs/>
                <w:color w:val="000000"/>
                <w:kern w:val="0"/>
                <w14:ligatures w14:val="none"/>
              </w:rPr>
            </w:pPr>
            <w:r w:rsidRPr="00F06B00">
              <w:rPr>
                <w:rFonts w:ascii="Calibri" w:eastAsia="Times New Roman" w:hAnsi="Calibri" w:cs="Calibri"/>
                <w:b/>
                <w:bCs/>
                <w:color w:val="000000"/>
                <w:kern w:val="0"/>
                <w14:ligatures w14:val="none"/>
              </w:rPr>
              <w:t>Útgjaldabreyta</w:t>
            </w:r>
          </w:p>
        </w:tc>
        <w:tc>
          <w:tcPr>
            <w:tcW w:w="960" w:type="dxa"/>
            <w:tcBorders>
              <w:top w:val="single" w:sz="4" w:space="0" w:color="auto"/>
              <w:left w:val="nil"/>
              <w:bottom w:val="single" w:sz="4" w:space="0" w:color="auto"/>
              <w:right w:val="nil"/>
            </w:tcBorders>
            <w:shd w:val="clear" w:color="000000" w:fill="FFFFFF"/>
            <w:noWrap/>
            <w:vAlign w:val="bottom"/>
            <w:hideMark/>
          </w:tcPr>
          <w:p w14:paraId="6FF135FD" w14:textId="77777777" w:rsidR="00F06B00" w:rsidRPr="00F06B00" w:rsidRDefault="00F06B00" w:rsidP="007A2EC6">
            <w:pPr>
              <w:spacing w:after="0" w:line="240" w:lineRule="auto"/>
              <w:jc w:val="center"/>
              <w:rPr>
                <w:rFonts w:ascii="Calibri" w:eastAsia="Times New Roman" w:hAnsi="Calibri" w:cs="Calibri"/>
                <w:b/>
                <w:bCs/>
                <w:color w:val="000000"/>
                <w:kern w:val="0"/>
                <w14:ligatures w14:val="none"/>
              </w:rPr>
            </w:pPr>
            <w:r w:rsidRPr="00F06B00">
              <w:rPr>
                <w:rFonts w:ascii="Calibri" w:eastAsia="Times New Roman" w:hAnsi="Calibri" w:cs="Calibri"/>
                <w:b/>
                <w:bCs/>
                <w:color w:val="000000"/>
                <w:kern w:val="0"/>
                <w14:ligatures w14:val="none"/>
              </w:rPr>
              <w:t>Vogir</w:t>
            </w:r>
          </w:p>
        </w:tc>
      </w:tr>
      <w:tr w:rsidR="00F06B00" w:rsidRPr="00F06B00" w14:paraId="0ADFE76B"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0B65F09A"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íbúa 5 ára og yngri</w:t>
            </w:r>
          </w:p>
        </w:tc>
        <w:tc>
          <w:tcPr>
            <w:tcW w:w="960" w:type="dxa"/>
            <w:tcBorders>
              <w:top w:val="nil"/>
              <w:left w:val="nil"/>
              <w:bottom w:val="nil"/>
              <w:right w:val="nil"/>
            </w:tcBorders>
            <w:shd w:val="clear" w:color="000000" w:fill="FFFFFF"/>
            <w:noWrap/>
            <w:vAlign w:val="bottom"/>
            <w:hideMark/>
          </w:tcPr>
          <w:p w14:paraId="60CBF0C0"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18%</w:t>
            </w:r>
          </w:p>
        </w:tc>
      </w:tr>
      <w:tr w:rsidR="00F06B00" w:rsidRPr="00F06B00" w14:paraId="2CFAE208"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4ABDBC67"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6-15 ára íbúa</w:t>
            </w:r>
          </w:p>
        </w:tc>
        <w:tc>
          <w:tcPr>
            <w:tcW w:w="960" w:type="dxa"/>
            <w:tcBorders>
              <w:top w:val="nil"/>
              <w:left w:val="nil"/>
              <w:bottom w:val="nil"/>
              <w:right w:val="nil"/>
            </w:tcBorders>
            <w:shd w:val="clear" w:color="000000" w:fill="FFFFFF"/>
            <w:noWrap/>
            <w:vAlign w:val="bottom"/>
            <w:hideMark/>
          </w:tcPr>
          <w:p w14:paraId="6BF18EA9"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13%</w:t>
            </w:r>
          </w:p>
        </w:tc>
      </w:tr>
      <w:tr w:rsidR="00F06B00" w:rsidRPr="00F06B00" w14:paraId="021F82E5"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2FBE1178"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67-80 ára íbúa</w:t>
            </w:r>
          </w:p>
        </w:tc>
        <w:tc>
          <w:tcPr>
            <w:tcW w:w="960" w:type="dxa"/>
            <w:tcBorders>
              <w:top w:val="nil"/>
              <w:left w:val="nil"/>
              <w:bottom w:val="nil"/>
              <w:right w:val="nil"/>
            </w:tcBorders>
            <w:shd w:val="clear" w:color="000000" w:fill="FFFFFF"/>
            <w:noWrap/>
            <w:vAlign w:val="bottom"/>
            <w:hideMark/>
          </w:tcPr>
          <w:p w14:paraId="29B0E3CA"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4%</w:t>
            </w:r>
          </w:p>
        </w:tc>
      </w:tr>
      <w:tr w:rsidR="00F06B00" w:rsidRPr="00F06B00" w14:paraId="3839F567"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0DED3BC0"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íbúa eldri en 81 árs</w:t>
            </w:r>
          </w:p>
        </w:tc>
        <w:tc>
          <w:tcPr>
            <w:tcW w:w="960" w:type="dxa"/>
            <w:tcBorders>
              <w:top w:val="nil"/>
              <w:left w:val="nil"/>
              <w:bottom w:val="nil"/>
              <w:right w:val="nil"/>
            </w:tcBorders>
            <w:shd w:val="clear" w:color="000000" w:fill="FFFFFF"/>
            <w:noWrap/>
            <w:vAlign w:val="bottom"/>
            <w:hideMark/>
          </w:tcPr>
          <w:p w14:paraId="6119DCD6"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3%</w:t>
            </w:r>
          </w:p>
        </w:tc>
      </w:tr>
      <w:tr w:rsidR="00F06B00" w:rsidRPr="00F06B00" w14:paraId="6C2E8A35"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22884D55"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barna 5 ára og yngri af erlendum uppruna</w:t>
            </w:r>
          </w:p>
        </w:tc>
        <w:tc>
          <w:tcPr>
            <w:tcW w:w="960" w:type="dxa"/>
            <w:tcBorders>
              <w:top w:val="nil"/>
              <w:left w:val="nil"/>
              <w:bottom w:val="nil"/>
              <w:right w:val="nil"/>
            </w:tcBorders>
            <w:shd w:val="clear" w:color="000000" w:fill="FFFFFF"/>
            <w:noWrap/>
            <w:vAlign w:val="bottom"/>
            <w:hideMark/>
          </w:tcPr>
          <w:p w14:paraId="620B7258"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6%</w:t>
            </w:r>
          </w:p>
        </w:tc>
      </w:tr>
      <w:tr w:rsidR="00F06B00" w:rsidRPr="00F06B00" w14:paraId="3F50C324"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50791734"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Fjarlægðir í kílómetrum milli útmarka sveitarfélaga</w:t>
            </w:r>
          </w:p>
        </w:tc>
        <w:tc>
          <w:tcPr>
            <w:tcW w:w="960" w:type="dxa"/>
            <w:tcBorders>
              <w:top w:val="nil"/>
              <w:left w:val="nil"/>
              <w:bottom w:val="nil"/>
              <w:right w:val="nil"/>
            </w:tcBorders>
            <w:shd w:val="clear" w:color="000000" w:fill="FFFFFF"/>
            <w:noWrap/>
            <w:vAlign w:val="bottom"/>
            <w:hideMark/>
          </w:tcPr>
          <w:p w14:paraId="507BFAC9"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5%</w:t>
            </w:r>
          </w:p>
        </w:tc>
      </w:tr>
      <w:tr w:rsidR="00F06B00" w:rsidRPr="00F06B00" w14:paraId="60DCCD03"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185B18EB"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Fjöldi byggðakjarna í sveitarfélagi, að hámarki fjórir</w:t>
            </w:r>
          </w:p>
        </w:tc>
        <w:tc>
          <w:tcPr>
            <w:tcW w:w="960" w:type="dxa"/>
            <w:tcBorders>
              <w:top w:val="nil"/>
              <w:left w:val="nil"/>
              <w:bottom w:val="nil"/>
              <w:right w:val="nil"/>
            </w:tcBorders>
            <w:shd w:val="clear" w:color="000000" w:fill="FFFFFF"/>
            <w:noWrap/>
            <w:vAlign w:val="bottom"/>
            <w:hideMark/>
          </w:tcPr>
          <w:p w14:paraId="79D7A4DE"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13%</w:t>
            </w:r>
          </w:p>
        </w:tc>
      </w:tr>
      <w:tr w:rsidR="00F06B00" w:rsidRPr="00F06B00" w14:paraId="1CC2B1B7"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11B1C961"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Fækkun íbúa umfram 1% að meðaltali síðustu þrjú ár</w:t>
            </w:r>
          </w:p>
        </w:tc>
        <w:tc>
          <w:tcPr>
            <w:tcW w:w="960" w:type="dxa"/>
            <w:tcBorders>
              <w:top w:val="nil"/>
              <w:left w:val="nil"/>
              <w:bottom w:val="nil"/>
              <w:right w:val="nil"/>
            </w:tcBorders>
            <w:shd w:val="clear" w:color="000000" w:fill="FFFFFF"/>
            <w:noWrap/>
            <w:vAlign w:val="bottom"/>
            <w:hideMark/>
          </w:tcPr>
          <w:p w14:paraId="6C87472E"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3%</w:t>
            </w:r>
          </w:p>
        </w:tc>
      </w:tr>
      <w:tr w:rsidR="00F06B00" w:rsidRPr="00F06B00" w14:paraId="32B56A14"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742872A6"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Fjölgun íbúa umfram 2,5% að meðaltali síðustu þrjú ár</w:t>
            </w:r>
          </w:p>
        </w:tc>
        <w:tc>
          <w:tcPr>
            <w:tcW w:w="960" w:type="dxa"/>
            <w:tcBorders>
              <w:top w:val="nil"/>
              <w:left w:val="nil"/>
              <w:bottom w:val="nil"/>
              <w:right w:val="nil"/>
            </w:tcBorders>
            <w:shd w:val="clear" w:color="000000" w:fill="FFFFFF"/>
            <w:noWrap/>
            <w:vAlign w:val="bottom"/>
            <w:hideMark/>
          </w:tcPr>
          <w:p w14:paraId="4EC33AD9"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5%</w:t>
            </w:r>
          </w:p>
        </w:tc>
      </w:tr>
      <w:tr w:rsidR="00F06B00" w:rsidRPr="00F06B00" w14:paraId="5F473D30"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74B35389" w14:textId="0695E10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 xml:space="preserve">Snjómokstur, </w:t>
            </w:r>
            <w:r w:rsidR="001D0314">
              <w:rPr>
                <w:rFonts w:ascii="Calibri" w:eastAsia="Times New Roman" w:hAnsi="Calibri" w:cs="Calibri"/>
                <w:color w:val="000000"/>
                <w:kern w:val="0"/>
                <w14:ligatures w14:val="none"/>
              </w:rPr>
              <w:t>km</w:t>
            </w:r>
          </w:p>
        </w:tc>
        <w:tc>
          <w:tcPr>
            <w:tcW w:w="960" w:type="dxa"/>
            <w:tcBorders>
              <w:top w:val="nil"/>
              <w:left w:val="nil"/>
              <w:bottom w:val="nil"/>
              <w:right w:val="nil"/>
            </w:tcBorders>
            <w:shd w:val="clear" w:color="000000" w:fill="FFFFFF"/>
            <w:noWrap/>
            <w:vAlign w:val="bottom"/>
            <w:hideMark/>
          </w:tcPr>
          <w:p w14:paraId="1E98998B"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4%</w:t>
            </w:r>
          </w:p>
        </w:tc>
      </w:tr>
      <w:tr w:rsidR="00F06B00" w:rsidRPr="00F06B00" w14:paraId="589D0BA7"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4B035685"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Sérstakar samgönguhindranir</w:t>
            </w:r>
          </w:p>
        </w:tc>
        <w:tc>
          <w:tcPr>
            <w:tcW w:w="960" w:type="dxa"/>
            <w:tcBorders>
              <w:top w:val="nil"/>
              <w:left w:val="nil"/>
              <w:bottom w:val="nil"/>
              <w:right w:val="nil"/>
            </w:tcBorders>
            <w:shd w:val="clear" w:color="000000" w:fill="FFFFFF"/>
            <w:noWrap/>
            <w:vAlign w:val="bottom"/>
            <w:hideMark/>
          </w:tcPr>
          <w:p w14:paraId="5A1AFE5D"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3%</w:t>
            </w:r>
          </w:p>
        </w:tc>
      </w:tr>
      <w:tr w:rsidR="00F06B00" w:rsidRPr="00F06B00" w14:paraId="7786EEFA"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1BD4E5A7"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Stærðarhagkvæmni grunnskóla</w:t>
            </w:r>
          </w:p>
        </w:tc>
        <w:tc>
          <w:tcPr>
            <w:tcW w:w="960" w:type="dxa"/>
            <w:tcBorders>
              <w:top w:val="nil"/>
              <w:left w:val="nil"/>
              <w:bottom w:val="nil"/>
              <w:right w:val="nil"/>
            </w:tcBorders>
            <w:shd w:val="clear" w:color="000000" w:fill="FFFFFF"/>
            <w:noWrap/>
            <w:vAlign w:val="bottom"/>
            <w:hideMark/>
          </w:tcPr>
          <w:p w14:paraId="517B054B"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8%</w:t>
            </w:r>
          </w:p>
        </w:tc>
      </w:tr>
      <w:tr w:rsidR="00F06B00" w:rsidRPr="00F06B00" w14:paraId="12B5866E" w14:textId="77777777" w:rsidTr="00F06B00">
        <w:trPr>
          <w:trHeight w:val="300"/>
          <w:jc w:val="center"/>
        </w:trPr>
        <w:tc>
          <w:tcPr>
            <w:tcW w:w="5180" w:type="dxa"/>
            <w:tcBorders>
              <w:top w:val="nil"/>
              <w:left w:val="nil"/>
              <w:bottom w:val="single" w:sz="4" w:space="0" w:color="auto"/>
              <w:right w:val="nil"/>
            </w:tcBorders>
            <w:shd w:val="clear" w:color="000000" w:fill="FFFFFF"/>
            <w:noWrap/>
            <w:vAlign w:val="bottom"/>
            <w:hideMark/>
          </w:tcPr>
          <w:p w14:paraId="0E8AD9C5" w14:textId="77777777" w:rsidR="00F06B00" w:rsidRPr="00F06B00" w:rsidRDefault="00F06B00" w:rsidP="007A2EC6">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Lágt fasteignamat</w:t>
            </w:r>
          </w:p>
        </w:tc>
        <w:tc>
          <w:tcPr>
            <w:tcW w:w="960" w:type="dxa"/>
            <w:tcBorders>
              <w:top w:val="nil"/>
              <w:left w:val="nil"/>
              <w:bottom w:val="single" w:sz="4" w:space="0" w:color="auto"/>
              <w:right w:val="nil"/>
            </w:tcBorders>
            <w:shd w:val="clear" w:color="000000" w:fill="FFFFFF"/>
            <w:noWrap/>
            <w:vAlign w:val="bottom"/>
            <w:hideMark/>
          </w:tcPr>
          <w:p w14:paraId="7FD1123C" w14:textId="77777777" w:rsidR="00F06B00" w:rsidRPr="00F06B00" w:rsidRDefault="00F06B00" w:rsidP="007A2EC6">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15%</w:t>
            </w:r>
          </w:p>
        </w:tc>
      </w:tr>
      <w:tr w:rsidR="00F06B00" w:rsidRPr="00F06B00" w14:paraId="35432320"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58F2DC89" w14:textId="77777777" w:rsidR="00F06B00" w:rsidRPr="00F06B00" w:rsidRDefault="00F06B00" w:rsidP="007A2EC6">
            <w:pPr>
              <w:spacing w:after="0" w:line="240" w:lineRule="auto"/>
              <w:rPr>
                <w:rFonts w:ascii="Calibri" w:eastAsia="Times New Roman" w:hAnsi="Calibri" w:cs="Calibri"/>
                <w:b/>
                <w:bCs/>
                <w:color w:val="000000"/>
                <w:kern w:val="0"/>
                <w14:ligatures w14:val="none"/>
              </w:rPr>
            </w:pPr>
            <w:r w:rsidRPr="00F06B00">
              <w:rPr>
                <w:rFonts w:ascii="Calibri" w:eastAsia="Times New Roman" w:hAnsi="Calibri" w:cs="Calibri"/>
                <w:b/>
                <w:bCs/>
                <w:color w:val="000000"/>
                <w:kern w:val="0"/>
                <w14:ligatures w14:val="none"/>
              </w:rPr>
              <w:t>Samtals</w:t>
            </w:r>
          </w:p>
        </w:tc>
        <w:tc>
          <w:tcPr>
            <w:tcW w:w="960" w:type="dxa"/>
            <w:tcBorders>
              <w:top w:val="nil"/>
              <w:left w:val="nil"/>
              <w:bottom w:val="nil"/>
              <w:right w:val="nil"/>
            </w:tcBorders>
            <w:shd w:val="clear" w:color="000000" w:fill="FFFFFF"/>
            <w:noWrap/>
            <w:vAlign w:val="bottom"/>
            <w:hideMark/>
          </w:tcPr>
          <w:p w14:paraId="780364E8" w14:textId="77777777" w:rsidR="00F06B00" w:rsidRPr="00F06B00" w:rsidRDefault="00F06B00" w:rsidP="007A2EC6">
            <w:pPr>
              <w:spacing w:after="0" w:line="240" w:lineRule="auto"/>
              <w:jc w:val="center"/>
              <w:rPr>
                <w:rFonts w:ascii="Calibri" w:eastAsia="Times New Roman" w:hAnsi="Calibri" w:cs="Calibri"/>
                <w:b/>
                <w:bCs/>
                <w:color w:val="000000"/>
                <w:kern w:val="0"/>
                <w14:ligatures w14:val="none"/>
              </w:rPr>
            </w:pPr>
            <w:r w:rsidRPr="00F06B00">
              <w:rPr>
                <w:rFonts w:ascii="Calibri" w:eastAsia="Times New Roman" w:hAnsi="Calibri" w:cs="Calibri"/>
                <w:b/>
                <w:bCs/>
                <w:color w:val="000000"/>
                <w:kern w:val="0"/>
                <w14:ligatures w14:val="none"/>
              </w:rPr>
              <w:t>100%</w:t>
            </w:r>
          </w:p>
        </w:tc>
      </w:tr>
    </w:tbl>
    <w:p w14:paraId="1395DE96" w14:textId="77777777" w:rsidR="00F06B00" w:rsidRDefault="00F06B00" w:rsidP="007A2EC6">
      <w:pPr>
        <w:spacing w:after="0" w:line="240" w:lineRule="auto"/>
        <w:jc w:val="both"/>
      </w:pPr>
    </w:p>
    <w:p w14:paraId="1552D1C8" w14:textId="77777777" w:rsidR="007A2EC6" w:rsidRDefault="007A2EC6" w:rsidP="007A2EC6">
      <w:pPr>
        <w:pStyle w:val="ListParagraph"/>
        <w:spacing w:after="0" w:line="240" w:lineRule="auto"/>
        <w:jc w:val="center"/>
      </w:pPr>
    </w:p>
    <w:p w14:paraId="6A85B81D" w14:textId="7E29669F" w:rsidR="006820F9" w:rsidRDefault="006820F9" w:rsidP="007A2EC6">
      <w:pPr>
        <w:pStyle w:val="ListParagraph"/>
        <w:spacing w:after="0" w:line="240" w:lineRule="auto"/>
        <w:ind w:left="0"/>
        <w:jc w:val="center"/>
      </w:pPr>
      <w:r>
        <w:t>2.</w:t>
      </w:r>
      <w:r w:rsidRPr="006820F9">
        <w:t>gr.</w:t>
      </w:r>
    </w:p>
    <w:p w14:paraId="5760925C" w14:textId="72339B79" w:rsidR="006820F9" w:rsidRDefault="006820F9" w:rsidP="007A2EC6">
      <w:pPr>
        <w:spacing w:after="0" w:line="240" w:lineRule="auto"/>
        <w:jc w:val="center"/>
        <w:rPr>
          <w:i/>
          <w:iCs/>
        </w:rPr>
      </w:pPr>
      <w:r w:rsidRPr="006820F9">
        <w:rPr>
          <w:i/>
          <w:iCs/>
        </w:rPr>
        <w:t>Skýringar á útgjaldabreytum</w:t>
      </w:r>
      <w:r>
        <w:rPr>
          <w:i/>
          <w:iCs/>
        </w:rPr>
        <w:t>.</w:t>
      </w:r>
    </w:p>
    <w:p w14:paraId="7A908406" w14:textId="1EAD5455" w:rsidR="006820F9" w:rsidRPr="002A5602" w:rsidRDefault="006820F9" w:rsidP="007A2EC6">
      <w:pPr>
        <w:spacing w:after="0" w:line="240" w:lineRule="auto"/>
      </w:pPr>
      <w:r w:rsidRPr="002A5602">
        <w:t>Við útreikning jöfnunarframlaga er unnið út frá eftirfarandi forsendum:</w:t>
      </w:r>
    </w:p>
    <w:p w14:paraId="12127A59" w14:textId="77777777" w:rsidR="007A2EC6" w:rsidRDefault="006820F9" w:rsidP="007A2EC6">
      <w:pPr>
        <w:pStyle w:val="ListParagraph"/>
        <w:numPr>
          <w:ilvl w:val="0"/>
          <w:numId w:val="12"/>
        </w:numPr>
        <w:spacing w:after="0" w:line="240" w:lineRule="auto"/>
        <w:jc w:val="both"/>
      </w:pPr>
      <w:r w:rsidRPr="002A5602">
        <w:t>Hlutfall íbúa eftir aldri: Hlutfall íbúa á viðkomandi aldursbili af heildaríbúafjölda sveitarfélags.</w:t>
      </w:r>
    </w:p>
    <w:p w14:paraId="6F57CCE4" w14:textId="77777777" w:rsidR="007A2EC6" w:rsidRDefault="006820F9" w:rsidP="007A2EC6">
      <w:pPr>
        <w:pStyle w:val="ListParagraph"/>
        <w:numPr>
          <w:ilvl w:val="0"/>
          <w:numId w:val="12"/>
        </w:numPr>
        <w:spacing w:after="0" w:line="240" w:lineRule="auto"/>
        <w:jc w:val="both"/>
      </w:pPr>
      <w:r w:rsidRPr="002A5602">
        <w:t>Hlutfall barna 5 ára og yngri af erlendum uppruna: Við útreikninginn skal miða við fjölda barna með erlent ríkisfang, fjölda barna með íslenskt ríkisfang sem fæddust erlendis og fjölda barna þar sem ríkisfang annars foreldris er erlent</w:t>
      </w:r>
      <w:r w:rsidR="003C0267" w:rsidRPr="002A5602">
        <w:t xml:space="preserve"> samkvæmt tölum Hagstof</w:t>
      </w:r>
      <w:r w:rsidR="00516F05" w:rsidRPr="002A5602">
        <w:t>unnar</w:t>
      </w:r>
      <w:r w:rsidRPr="002A5602">
        <w:t>.</w:t>
      </w:r>
      <w:r w:rsidRPr="006820F9">
        <w:t xml:space="preserve"> </w:t>
      </w:r>
    </w:p>
    <w:p w14:paraId="671F3DD4" w14:textId="77777777" w:rsidR="007A2EC6" w:rsidRDefault="006820F9" w:rsidP="007A2EC6">
      <w:pPr>
        <w:pStyle w:val="ListParagraph"/>
        <w:numPr>
          <w:ilvl w:val="0"/>
          <w:numId w:val="12"/>
        </w:numPr>
        <w:spacing w:after="0" w:line="240" w:lineRule="auto"/>
        <w:jc w:val="both"/>
      </w:pPr>
      <w:r w:rsidRPr="006820F9">
        <w:t xml:space="preserve">Fjarlægðir í kílómetrum milli útmarka sveitarfélaga: Lagðir eru saman akstursleggir frá nyrstu, syðstu, austustu og vestustu byggð (lögbýli) í sveitarfélagi að stærsta byggðarkjarna þess. Sé enginn byggðarkjarni skal þess í stað miða við landfræðilega miðju sveitarfélagsins. Hver akstursleggur skal einungis talinn einu sinni við útreikninginn. </w:t>
      </w:r>
    </w:p>
    <w:p w14:paraId="2336BD0F" w14:textId="77777777" w:rsidR="007A2EC6" w:rsidRDefault="006820F9" w:rsidP="007A2EC6">
      <w:pPr>
        <w:pStyle w:val="ListParagraph"/>
        <w:numPr>
          <w:ilvl w:val="0"/>
          <w:numId w:val="12"/>
        </w:numPr>
        <w:spacing w:after="0" w:line="240" w:lineRule="auto"/>
        <w:jc w:val="both"/>
      </w:pPr>
      <w:r w:rsidRPr="006820F9">
        <w:t xml:space="preserve">Fjöldi byggðarkjarna í sveitarfélaginu: Miða skal við fjölda byggðarkjarna samkvæmt skilgreiningu Hagstofunnar, umfram einn og að hámarki fjóra. Þó skal eingöngu miða við byggðarkjarna með íbúafjölda yfir 50 íbúa. </w:t>
      </w:r>
    </w:p>
    <w:p w14:paraId="1DC092BA" w14:textId="77777777" w:rsidR="007A2EC6" w:rsidRDefault="006820F9" w:rsidP="007A2EC6">
      <w:pPr>
        <w:pStyle w:val="ListParagraph"/>
        <w:numPr>
          <w:ilvl w:val="0"/>
          <w:numId w:val="12"/>
        </w:numPr>
        <w:spacing w:after="0" w:line="240" w:lineRule="auto"/>
        <w:jc w:val="both"/>
      </w:pPr>
      <w:r w:rsidRPr="006820F9">
        <w:t>Fækkun íbúa umfram 1%: Miðað er við meðaltalsfækkun síðustu þriggja ára, að því marki sem hún er umfram 1%</w:t>
      </w:r>
      <w:r w:rsidR="00516F05">
        <w:t xml:space="preserve"> </w:t>
      </w:r>
      <w:r w:rsidR="00516F05" w:rsidRPr="002776D9">
        <w:t>samkvæmt tölum Hagstofunnar</w:t>
      </w:r>
      <w:r w:rsidRPr="002776D9">
        <w:t>.</w:t>
      </w:r>
      <w:r w:rsidRPr="006820F9">
        <w:t xml:space="preserve"> </w:t>
      </w:r>
    </w:p>
    <w:p w14:paraId="4F6CD342" w14:textId="77777777" w:rsidR="007A2EC6" w:rsidRDefault="006820F9" w:rsidP="007A2EC6">
      <w:pPr>
        <w:pStyle w:val="ListParagraph"/>
        <w:numPr>
          <w:ilvl w:val="0"/>
          <w:numId w:val="12"/>
        </w:numPr>
        <w:spacing w:after="0" w:line="240" w:lineRule="auto"/>
        <w:jc w:val="both"/>
      </w:pPr>
      <w:r w:rsidRPr="006820F9">
        <w:t>Fjölgun íbúa umfram 2,5%: Miða skal við meðaltalsfjölgun síðustu þriggja ára, að því marki sem hún er umfram 2,5%</w:t>
      </w:r>
      <w:r w:rsidR="00815055">
        <w:t xml:space="preserve"> </w:t>
      </w:r>
      <w:r w:rsidR="00815055" w:rsidRPr="002776D9">
        <w:t>samkvæmt tölum Hagstofunnar</w:t>
      </w:r>
      <w:r w:rsidRPr="002776D9">
        <w:t>.</w:t>
      </w:r>
    </w:p>
    <w:p w14:paraId="559BB1EA" w14:textId="77777777" w:rsidR="007A2EC6" w:rsidRDefault="006820F9" w:rsidP="007A2EC6">
      <w:pPr>
        <w:pStyle w:val="ListParagraph"/>
        <w:numPr>
          <w:ilvl w:val="0"/>
          <w:numId w:val="12"/>
        </w:numPr>
        <w:spacing w:after="0" w:line="240" w:lineRule="auto"/>
        <w:jc w:val="both"/>
      </w:pPr>
      <w:r w:rsidRPr="006820F9">
        <w:t xml:space="preserve">Snjómokstur, km: Samanlagður kílómetrafjöldi þeirra vega í þéttbýli þar sem sveitarfélag er veghaldari. Þessi stuðull á eingöngu við um þau sveitarfélög sem eru að meiri hluta flatarmáls norðan 64,8° norðlægrar breiddargráðu. </w:t>
      </w:r>
    </w:p>
    <w:p w14:paraId="3A3F6FF3" w14:textId="77777777" w:rsidR="007A2EC6" w:rsidRDefault="006820F9" w:rsidP="007A2EC6">
      <w:pPr>
        <w:pStyle w:val="ListParagraph"/>
        <w:numPr>
          <w:ilvl w:val="0"/>
          <w:numId w:val="12"/>
        </w:numPr>
        <w:spacing w:after="0" w:line="240" w:lineRule="auto"/>
        <w:jc w:val="both"/>
      </w:pPr>
      <w:r w:rsidRPr="006820F9">
        <w:t xml:space="preserve">Sérstakar samgönguhindranir: Miðað er við hlutfall íbúa í sveitarfélagi sem búa á eyjum. </w:t>
      </w:r>
    </w:p>
    <w:p w14:paraId="7999C853" w14:textId="0BAADD20" w:rsidR="007A2EC6" w:rsidRDefault="006820F9" w:rsidP="007A2EC6">
      <w:pPr>
        <w:pStyle w:val="ListParagraph"/>
        <w:numPr>
          <w:ilvl w:val="0"/>
          <w:numId w:val="12"/>
        </w:numPr>
        <w:spacing w:after="0" w:line="240" w:lineRule="auto"/>
        <w:jc w:val="both"/>
      </w:pPr>
      <w:r>
        <w:t xml:space="preserve">Stærðarhagkvæmni grunnskóla: Miðast við niðurstöðu úr reiknilíkani Jöfnunarsjóðs, sem er ætlað að lýsa best hagkvæmni grunnskóla til að finna heildarútgjaldaþörf hvers sveitarfélags vegna reksturs grunnskóla sem reiknuð er á grundvelli 3. mgr. 10. gr. og 21. </w:t>
      </w:r>
      <w:r w:rsidR="1886549F">
        <w:t>gr. laga um Jöfnunarsjóð sveitarfélaga</w:t>
      </w:r>
      <w:r w:rsidR="00410B33">
        <w:t>.</w:t>
      </w:r>
      <w:r w:rsidR="1886549F">
        <w:t xml:space="preserve"> </w:t>
      </w:r>
      <w:r>
        <w:t xml:space="preserve">Líta má á niðurstöðu reiknilíkansins um stærðarhagkvæmni sem útreiknaðan kennslustundafjölda á hvern nemanda vegna almennrar kennslu í grunnskólum. </w:t>
      </w:r>
    </w:p>
    <w:p w14:paraId="64BE24C3" w14:textId="6CB1BC82" w:rsidR="006820F9" w:rsidRDefault="006820F9" w:rsidP="007A2EC6">
      <w:pPr>
        <w:pStyle w:val="ListParagraph"/>
        <w:numPr>
          <w:ilvl w:val="0"/>
          <w:numId w:val="12"/>
        </w:numPr>
        <w:spacing w:after="0" w:line="240" w:lineRule="auto"/>
        <w:jc w:val="both"/>
      </w:pPr>
      <w:r w:rsidRPr="006820F9">
        <w:lastRenderedPageBreak/>
        <w:t>Lágt fasteignamat: Byggist á hlutfallslegum mismun á fasteignamati á viðmiðunareign milli sveitarfélaga. Viðmiðunareign er 25 ára steinsteypt einbýlishús á einni hæð af hefðbundinni gerð þar sem íbúðarflatarmál er 113,1 fm og bílskúr 48 fm og stendur á 808 fm lóð. Miða skal við fasteignamat viðmiðunareignar að því marki sem það er umfram 60% lægra en hjá því sveitarfélagi sem var með hæsta fasteignamat viðmiðunareignar árið á undan. Stuðullinn reiknast eingöngu fyrir sveitarfélög með að minnsta kosti einn byggðarkjarna.</w:t>
      </w:r>
    </w:p>
    <w:p w14:paraId="6599A139" w14:textId="77777777" w:rsidR="00523E6D" w:rsidRDefault="00523E6D" w:rsidP="007A2EC6">
      <w:pPr>
        <w:spacing w:after="0" w:line="240" w:lineRule="auto"/>
        <w:jc w:val="both"/>
        <w:rPr>
          <w:i/>
          <w:iCs/>
        </w:rPr>
      </w:pPr>
    </w:p>
    <w:p w14:paraId="2A2EB833" w14:textId="615C27A9" w:rsidR="00523E6D" w:rsidRDefault="007A2EC6" w:rsidP="007A2EC6">
      <w:pPr>
        <w:spacing w:after="0" w:line="240" w:lineRule="auto"/>
        <w:jc w:val="center"/>
      </w:pPr>
      <w:r>
        <w:t xml:space="preserve">3. </w:t>
      </w:r>
      <w:r w:rsidR="00523E6D" w:rsidRPr="00523E6D">
        <w:t>gr.</w:t>
      </w:r>
    </w:p>
    <w:p w14:paraId="1087D527" w14:textId="4C08CE0C" w:rsidR="005B0CE4" w:rsidRPr="005B0CE4" w:rsidRDefault="005B0CE4" w:rsidP="007A2EC6">
      <w:pPr>
        <w:pStyle w:val="ListParagraph"/>
        <w:spacing w:after="0" w:line="240" w:lineRule="auto"/>
        <w:ind w:left="0"/>
        <w:jc w:val="center"/>
        <w:rPr>
          <w:i/>
          <w:iCs/>
        </w:rPr>
      </w:pPr>
      <w:r>
        <w:rPr>
          <w:i/>
          <w:iCs/>
        </w:rPr>
        <w:t>Tekjuhagkvæmniferill.</w:t>
      </w:r>
    </w:p>
    <w:p w14:paraId="24EDBD4D" w14:textId="035B4605" w:rsidR="00523E6D" w:rsidRDefault="00284829" w:rsidP="007A2EC6">
      <w:pPr>
        <w:spacing w:after="0" w:line="240" w:lineRule="auto"/>
      </w:pPr>
      <w:r>
        <w:t xml:space="preserve">Tekjuhagkvæmniferill meðalstórra sveitarfélaga, sbr. </w:t>
      </w:r>
      <w:r w:rsidR="00EE796C">
        <w:t xml:space="preserve">d-lið </w:t>
      </w:r>
      <w:r w:rsidR="00FA77F0">
        <w:t>4. gr.</w:t>
      </w:r>
      <w:r w:rsidR="000A77E8">
        <w:t xml:space="preserve">, er fundinn með eftirfarandi reiknilíkani: </w:t>
      </w:r>
    </w:p>
    <w:p w14:paraId="5F99CD23" w14:textId="77777777" w:rsidR="007A2EC6" w:rsidRDefault="007A2EC6" w:rsidP="007A2EC6">
      <w:pPr>
        <w:spacing w:after="0" w:line="240" w:lineRule="auto"/>
      </w:pPr>
    </w:p>
    <w:p w14:paraId="0956EA8B" w14:textId="66707E0E" w:rsidR="009D0ECB" w:rsidRPr="00284829" w:rsidRDefault="00F30C86" w:rsidP="007A2EC6">
      <w:pPr>
        <w:spacing w:after="0" w:line="240" w:lineRule="auto"/>
      </w:pPr>
      <m:oMathPara>
        <m:oMath>
          <m:sSub>
            <m:sSubPr>
              <m:ctrlPr>
                <w:rPr>
                  <w:rFonts w:ascii="Cambria Math" w:hAnsi="Cambria Math"/>
                  <w:i/>
                </w:rPr>
              </m:ctrlPr>
            </m:sSubPr>
            <m:e>
              <m:r>
                <w:rPr>
                  <w:rFonts w:ascii="Cambria Math" w:hAnsi="Cambria Math"/>
                </w:rPr>
                <m:t>T</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10.000</m:t>
                  </m:r>
                </m:sub>
              </m:sSub>
              <m:r>
                <w:rPr>
                  <w:rFonts w:ascii="Cambria Math" w:hAnsi="Cambria Math"/>
                </w:rPr>
                <m:t>-</m:t>
              </m:r>
              <m:d>
                <m:dPr>
                  <m:ctrlPr>
                    <w:rPr>
                      <w:rFonts w:ascii="Cambria Math" w:hAnsi="Cambria Math"/>
                      <w:i/>
                    </w:rPr>
                  </m:ctrlPr>
                </m:dPr>
                <m:e>
                  <m:r>
                    <w:rPr>
                      <w:rFonts w:ascii="Cambria Math" w:hAnsi="Cambria Math"/>
                    </w:rPr>
                    <m:t>1+0,23</m:t>
                  </m:r>
                </m:e>
              </m:d>
              <m:sSub>
                <m:sSubPr>
                  <m:ctrlPr>
                    <w:rPr>
                      <w:rFonts w:ascii="Cambria Math" w:hAnsi="Cambria Math"/>
                      <w:i/>
                    </w:rPr>
                  </m:ctrlPr>
                </m:sSubPr>
                <m:e>
                  <m:r>
                    <w:rPr>
                      <w:rFonts w:ascii="Cambria Math" w:hAnsi="Cambria Math"/>
                    </w:rPr>
                    <m:t>T</m:t>
                  </m:r>
                </m:e>
                <m:sub>
                  <m:r>
                    <w:rPr>
                      <w:rFonts w:ascii="Cambria Math" w:hAnsi="Cambria Math"/>
                    </w:rPr>
                    <m:t>10.000</m:t>
                  </m:r>
                </m:sub>
              </m:sSub>
            </m:num>
            <m:den>
              <m:r>
                <w:rPr>
                  <w:rFonts w:ascii="Cambria Math" w:hAnsi="Cambria Math"/>
                </w:rPr>
                <m:t>8.000</m:t>
              </m:r>
            </m:den>
          </m:f>
          <m:d>
            <m:dPr>
              <m:ctrlPr>
                <w:rPr>
                  <w:rFonts w:ascii="Cambria Math" w:hAnsi="Cambria Math"/>
                  <w:i/>
                </w:rPr>
              </m:ctrlPr>
            </m:dPr>
            <m:e>
              <m:r>
                <w:rPr>
                  <w:rFonts w:ascii="Cambria Math" w:hAnsi="Cambria Math"/>
                </w:rPr>
                <m:t>p-2.000</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10.000</m:t>
              </m:r>
            </m:sub>
          </m:sSub>
        </m:oMath>
      </m:oMathPara>
    </w:p>
    <w:p w14:paraId="36C6CAB5" w14:textId="77777777" w:rsidR="007A2EC6" w:rsidRDefault="007A2EC6" w:rsidP="007A2EC6">
      <w:pPr>
        <w:spacing w:after="0" w:line="240" w:lineRule="auto"/>
        <w:jc w:val="both"/>
        <w:rPr>
          <w:rFonts w:eastAsiaTheme="minorEastAsia"/>
        </w:rPr>
      </w:pPr>
    </w:p>
    <w:p w14:paraId="095D8D3F" w14:textId="24ADB35D" w:rsidR="00717DBB" w:rsidRPr="00284829" w:rsidRDefault="00717DBB" w:rsidP="007A2EC6">
      <w:pPr>
        <w:spacing w:after="0" w:line="240" w:lineRule="auto"/>
        <w:jc w:val="both"/>
      </w:pPr>
      <w:r>
        <w:rPr>
          <w:rFonts w:eastAsiaTheme="minorEastAsia"/>
        </w:rPr>
        <w:t xml:space="preserve">þar sem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Pr>
          <w:rFonts w:eastAsiaTheme="minorEastAsia"/>
        </w:rPr>
        <w:t xml:space="preserve"> táknar tekjuhagkvæmniferil fyrir sveitarfélag með íbúafjöldann </w:t>
      </w:r>
      <m:oMath>
        <m:r>
          <w:rPr>
            <w:rFonts w:ascii="Cambria Math" w:eastAsiaTheme="minorEastAsia" w:hAnsi="Cambria Math"/>
          </w:rPr>
          <m:t>p</m:t>
        </m:r>
      </m:oMath>
      <w:r>
        <w:rPr>
          <w:rFonts w:eastAsiaTheme="minorEastAsia"/>
        </w:rPr>
        <w:t xml:space="preserve"> og talan </w:t>
      </w:r>
      <w:r w:rsidR="00F82651">
        <w:rPr>
          <w:rFonts w:eastAsiaTheme="minorEastAsia"/>
        </w:rPr>
        <w:t>0,23 táknar hlutfall stærðarhagkvæmni. Formúlan lýsir línulegri lækkun ferilsins á íbúafjölda</w:t>
      </w:r>
      <w:r w:rsidR="00A64229">
        <w:rPr>
          <w:rFonts w:eastAsiaTheme="minorEastAsia"/>
        </w:rPr>
        <w:t xml:space="preserve">bilinu </w:t>
      </w:r>
      <w:r w:rsidR="009D2AF8">
        <w:rPr>
          <w:rFonts w:eastAsiaTheme="minorEastAsia"/>
        </w:rPr>
        <w:t>2.000 til 10.000</w:t>
      </w:r>
      <w:r w:rsidR="001276AD">
        <w:rPr>
          <w:rFonts w:eastAsiaTheme="minorEastAsia"/>
        </w:rPr>
        <w:t>.</w:t>
      </w:r>
    </w:p>
    <w:p w14:paraId="1B4C8F7F" w14:textId="77777777" w:rsidR="007A2EC6" w:rsidRDefault="007A2EC6" w:rsidP="007A2EC6">
      <w:pPr>
        <w:spacing w:after="0" w:line="240" w:lineRule="auto"/>
      </w:pPr>
    </w:p>
    <w:p w14:paraId="60EDA823" w14:textId="5AD43D9D" w:rsidR="009D2AF8" w:rsidRDefault="007A2EC6" w:rsidP="007A2EC6">
      <w:pPr>
        <w:spacing w:after="0" w:line="240" w:lineRule="auto"/>
        <w:jc w:val="center"/>
      </w:pPr>
      <w:r>
        <w:t xml:space="preserve">4. </w:t>
      </w:r>
      <w:r w:rsidR="009D2AF8" w:rsidRPr="009D2AF8">
        <w:t>gr.</w:t>
      </w:r>
    </w:p>
    <w:p w14:paraId="5E1B339C" w14:textId="0953F9B5" w:rsidR="003020DB" w:rsidRPr="003020DB" w:rsidRDefault="003020DB" w:rsidP="007A2EC6">
      <w:pPr>
        <w:pStyle w:val="ListParagraph"/>
        <w:spacing w:after="0" w:line="240" w:lineRule="auto"/>
        <w:ind w:left="0"/>
        <w:jc w:val="center"/>
        <w:rPr>
          <w:i/>
          <w:iCs/>
        </w:rPr>
      </w:pPr>
      <w:r>
        <w:rPr>
          <w:i/>
          <w:iCs/>
        </w:rPr>
        <w:t>Stöðlun útgjaldabreyta.</w:t>
      </w:r>
    </w:p>
    <w:p w14:paraId="5E0E076E" w14:textId="2A5F8EB5" w:rsidR="009D2AF8" w:rsidRDefault="009D2AF8" w:rsidP="007A2EC6">
      <w:pPr>
        <w:spacing w:after="0" w:line="240" w:lineRule="auto"/>
      </w:pPr>
      <w:r>
        <w:t xml:space="preserve">Hver útgjaldabreyta sbr. </w:t>
      </w:r>
      <w:r w:rsidR="00F54CB1">
        <w:t xml:space="preserve">1. gr. viðauka er stöðluð, sbr. </w:t>
      </w:r>
      <w:r w:rsidR="005477BC">
        <w:t xml:space="preserve">b-lið </w:t>
      </w:r>
      <w:r w:rsidR="00B21CCE">
        <w:t>5. gr.</w:t>
      </w:r>
      <w:r w:rsidR="00AD4C54">
        <w:t>, þannig að hún hafi meðaltalið 0 og staðalfrávikið 1, sbr. eftirfarandi reiknilíkan:</w:t>
      </w:r>
    </w:p>
    <w:p w14:paraId="2EF28B2C" w14:textId="77777777" w:rsidR="007A2EC6" w:rsidRDefault="007A2EC6" w:rsidP="007A2EC6">
      <w:pPr>
        <w:spacing w:after="0" w:line="240" w:lineRule="auto"/>
      </w:pPr>
    </w:p>
    <w:p w14:paraId="04017298" w14:textId="799E8E91" w:rsidR="00AD4C54" w:rsidRPr="003E3E7E" w:rsidRDefault="008C15A0" w:rsidP="007A2EC6">
      <w:pPr>
        <w:spacing w:after="0" w:line="240" w:lineRule="auto"/>
        <w:rPr>
          <w:rFonts w:eastAsiaTheme="minorEastAsia"/>
        </w:rPr>
      </w:pPr>
      <m:oMathPara>
        <m:oMathParaPr>
          <m:jc m:val="center"/>
        </m:oMathParaPr>
        <m:oMath>
          <m:r>
            <w:rPr>
              <w:rFonts w:ascii="Cambria Math" w:hAnsi="Cambria Math"/>
            </w:rPr>
            <m:t>z=</m:t>
          </m:r>
          <m:f>
            <m:fPr>
              <m:ctrlPr>
                <w:rPr>
                  <w:rFonts w:ascii="Cambria Math" w:hAnsi="Cambria Math"/>
                  <w:i/>
                </w:rPr>
              </m:ctrlPr>
            </m:fPr>
            <m:num>
              <m:r>
                <w:rPr>
                  <w:rFonts w:ascii="Cambria Math" w:hAnsi="Cambria Math"/>
                </w:rPr>
                <m:t>x-μ</m:t>
              </m:r>
            </m:num>
            <m:den>
              <m:r>
                <w:rPr>
                  <w:rFonts w:ascii="Cambria Math" w:hAnsi="Cambria Math"/>
                </w:rPr>
                <m:t>σ</m:t>
              </m:r>
            </m:den>
          </m:f>
        </m:oMath>
      </m:oMathPara>
    </w:p>
    <w:p w14:paraId="76781BAA" w14:textId="77777777" w:rsidR="007A2EC6" w:rsidRDefault="007A2EC6" w:rsidP="007A2EC6">
      <w:pPr>
        <w:spacing w:after="0" w:line="240" w:lineRule="auto"/>
        <w:rPr>
          <w:rFonts w:eastAsiaTheme="minorEastAsia"/>
        </w:rPr>
      </w:pPr>
    </w:p>
    <w:p w14:paraId="2F09E19A" w14:textId="29D1F386" w:rsidR="007D5E22" w:rsidRDefault="0010099E" w:rsidP="007A2EC6">
      <w:pPr>
        <w:spacing w:after="0" w:line="240" w:lineRule="auto"/>
        <w:rPr>
          <w:rFonts w:eastAsiaTheme="minorEastAsia"/>
        </w:rPr>
      </w:pPr>
      <w:r>
        <w:rPr>
          <w:rFonts w:eastAsiaTheme="minorEastAsia"/>
        </w:rPr>
        <w:t xml:space="preserve">þar sem </w:t>
      </w:r>
      <m:oMath>
        <m:r>
          <w:rPr>
            <w:rFonts w:ascii="Cambria Math" w:eastAsiaTheme="minorEastAsia" w:hAnsi="Cambria Math"/>
          </w:rPr>
          <m:t>x</m:t>
        </m:r>
      </m:oMath>
      <w:r w:rsidR="006B5758">
        <w:rPr>
          <w:rFonts w:eastAsiaTheme="minorEastAsia"/>
        </w:rPr>
        <w:t xml:space="preserve"> er útgjaldabreyta</w:t>
      </w:r>
      <w:r w:rsidR="00BF361F">
        <w:rPr>
          <w:rFonts w:eastAsiaTheme="minorEastAsia"/>
        </w:rPr>
        <w:t xml:space="preserve">, </w:t>
      </w:r>
      <m:oMath>
        <m:r>
          <w:rPr>
            <w:rFonts w:ascii="Cambria Math" w:eastAsiaTheme="minorEastAsia" w:hAnsi="Cambria Math"/>
          </w:rPr>
          <m:t>μ</m:t>
        </m:r>
      </m:oMath>
      <w:r w:rsidR="00BF361F">
        <w:rPr>
          <w:rFonts w:eastAsiaTheme="minorEastAsia"/>
        </w:rPr>
        <w:t xml:space="preserve"> er meðaltal sömu breytu og </w:t>
      </w:r>
      <m:oMath>
        <m:r>
          <w:rPr>
            <w:rFonts w:ascii="Cambria Math" w:eastAsiaTheme="minorEastAsia" w:hAnsi="Cambria Math"/>
          </w:rPr>
          <m:t>σ</m:t>
        </m:r>
      </m:oMath>
      <w:r w:rsidR="00BF361F">
        <w:rPr>
          <w:rFonts w:eastAsiaTheme="minorEastAsia"/>
        </w:rPr>
        <w:t xml:space="preserve"> er staðalfrávik hennar. Tilgangur s</w:t>
      </w:r>
      <w:r w:rsidR="00E21D3F">
        <w:rPr>
          <w:rFonts w:eastAsiaTheme="minorEastAsia"/>
        </w:rPr>
        <w:t xml:space="preserve">töðlunarinnar er að umbreyta </w:t>
      </w:r>
      <w:r w:rsidR="00F66679">
        <w:rPr>
          <w:rFonts w:eastAsiaTheme="minorEastAsia"/>
        </w:rPr>
        <w:t xml:space="preserve">breytunum þannig að taka megi vegið meðaltal þeirra. </w:t>
      </w:r>
    </w:p>
    <w:p w14:paraId="2C3E595B" w14:textId="77777777" w:rsidR="00606C54" w:rsidRPr="00284829" w:rsidRDefault="00606C54" w:rsidP="007A2EC6">
      <w:pPr>
        <w:spacing w:after="0" w:line="240" w:lineRule="auto"/>
      </w:pPr>
    </w:p>
    <w:p w14:paraId="40037BBE" w14:textId="66FC4BAD" w:rsidR="00F66679" w:rsidRDefault="007A2EC6" w:rsidP="007A2EC6">
      <w:pPr>
        <w:spacing w:after="0" w:line="240" w:lineRule="auto"/>
        <w:jc w:val="center"/>
      </w:pPr>
      <w:r>
        <w:t xml:space="preserve">5. </w:t>
      </w:r>
      <w:r w:rsidR="00F66679" w:rsidRPr="00F66679">
        <w:t>gr.</w:t>
      </w:r>
    </w:p>
    <w:p w14:paraId="12D0A62F" w14:textId="5EF2DA18" w:rsidR="003020DB" w:rsidRPr="003020DB" w:rsidRDefault="003020DB" w:rsidP="007A2EC6">
      <w:pPr>
        <w:pStyle w:val="ListParagraph"/>
        <w:spacing w:after="0" w:line="240" w:lineRule="auto"/>
        <w:ind w:left="0"/>
        <w:jc w:val="center"/>
        <w:rPr>
          <w:i/>
          <w:iCs/>
        </w:rPr>
      </w:pPr>
      <w:r>
        <w:rPr>
          <w:i/>
          <w:iCs/>
        </w:rPr>
        <w:t>Útgjaldastuðull sveitarfélaga.</w:t>
      </w:r>
    </w:p>
    <w:p w14:paraId="06C3B4DB" w14:textId="0E2129F3" w:rsidR="00F66679" w:rsidRDefault="00F66679" w:rsidP="007A2EC6">
      <w:pPr>
        <w:spacing w:after="0" w:line="240" w:lineRule="auto"/>
      </w:pPr>
      <w:r>
        <w:t xml:space="preserve">Útgjaldastuðull hvers sveitarfélags, sbr. </w:t>
      </w:r>
      <w:r w:rsidR="00CF334E">
        <w:t>b-lið 5. gr.</w:t>
      </w:r>
      <w:r w:rsidR="0053228F">
        <w:t>, er fundinn með eftirfarandi reiknilíkani:</w:t>
      </w:r>
    </w:p>
    <w:p w14:paraId="295318B5" w14:textId="77777777" w:rsidR="007A2EC6" w:rsidRDefault="007A2EC6" w:rsidP="007A2EC6">
      <w:pPr>
        <w:spacing w:after="0" w:line="240" w:lineRule="auto"/>
      </w:pPr>
    </w:p>
    <w:p w14:paraId="21DDFB20" w14:textId="0DF42E0A" w:rsidR="0053228F" w:rsidRPr="00055B21" w:rsidRDefault="007C56CE" w:rsidP="007A2EC6">
      <w:pPr>
        <w:spacing w:after="0" w:line="240" w:lineRule="auto"/>
        <w:rPr>
          <w:rFonts w:eastAsiaTheme="minorEastAsia"/>
        </w:rPr>
      </w:pPr>
      <m:oMathPara>
        <m:oMath>
          <m:r>
            <w:rPr>
              <w:rFonts w:ascii="Cambria Math" w:hAnsi="Cambria Math"/>
            </w:rPr>
            <m:t>u=1+0,2s ∑</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sub>
          </m:sSub>
          <m:sSub>
            <m:sSubPr>
              <m:ctrlPr>
                <w:rPr>
                  <w:rFonts w:ascii="Cambria Math" w:hAnsi="Cambria Math"/>
                  <w:i/>
                </w:rPr>
              </m:ctrlPr>
            </m:sSubPr>
            <m:e>
              <m:r>
                <w:rPr>
                  <w:rFonts w:ascii="Cambria Math" w:hAnsi="Cambria Math"/>
                </w:rPr>
                <m:t>w</m:t>
              </m:r>
            </m:e>
            <m:sub>
              <m:r>
                <w:rPr>
                  <w:rFonts w:ascii="Cambria Math" w:hAnsi="Cambria Math"/>
                </w:rPr>
                <m:t>i</m:t>
              </m:r>
            </m:sub>
          </m:sSub>
        </m:oMath>
      </m:oMathPara>
    </w:p>
    <w:p w14:paraId="1AA06560" w14:textId="77777777" w:rsidR="007A2EC6" w:rsidRDefault="007A2EC6" w:rsidP="007A2EC6">
      <w:pPr>
        <w:spacing w:after="0" w:line="240" w:lineRule="auto"/>
        <w:jc w:val="both"/>
        <w:rPr>
          <w:rFonts w:eastAsiaTheme="minorEastAsia"/>
        </w:rPr>
      </w:pPr>
    </w:p>
    <w:p w14:paraId="7B0FBE60" w14:textId="165DDCEF" w:rsidR="008A72D6" w:rsidRDefault="00055B21" w:rsidP="007A2EC6">
      <w:pPr>
        <w:spacing w:after="0" w:line="240" w:lineRule="auto"/>
        <w:jc w:val="both"/>
        <w:rPr>
          <w:rFonts w:eastAsiaTheme="minorEastAsia"/>
        </w:rPr>
      </w:pPr>
      <w:r>
        <w:rPr>
          <w:rFonts w:eastAsiaTheme="minorEastAsia"/>
        </w:rPr>
        <w:t xml:space="preserve">þar sem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m:t>
            </m:r>
          </m:sub>
        </m:sSub>
      </m:oMath>
      <w:r w:rsidR="003E5427">
        <w:rPr>
          <w:rFonts w:eastAsiaTheme="minorEastAsia"/>
        </w:rPr>
        <w:t xml:space="preserve"> er útgjaldabreyta</w:t>
      </w:r>
      <w:r w:rsidR="00451C6D">
        <w:rPr>
          <w:rFonts w:eastAsiaTheme="minorEastAsia"/>
        </w:rPr>
        <w:t xml:space="preserve"> </w:t>
      </w:r>
      <m:oMath>
        <m:r>
          <w:rPr>
            <w:rFonts w:ascii="Cambria Math" w:eastAsiaTheme="minorEastAsia" w:hAnsi="Cambria Math"/>
          </w:rPr>
          <m:t>i</m:t>
        </m:r>
      </m:oMath>
      <w:r w:rsidR="00957D2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oMath>
      <w:r w:rsidR="00462099">
        <w:rPr>
          <w:rFonts w:eastAsiaTheme="minorEastAsia"/>
        </w:rPr>
        <w:t xml:space="preserve"> er vægi útgjaldabreytu i og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r>
          <w:rPr>
            <w:rFonts w:ascii="Cambria Math" w:eastAsiaTheme="minorEastAsia" w:hAnsi="Cambria Math"/>
          </w:rPr>
          <m:t>=1</m:t>
        </m:r>
      </m:oMath>
      <w:r w:rsidR="00F935CA">
        <w:rPr>
          <w:rFonts w:eastAsiaTheme="minorEastAsia"/>
        </w:rPr>
        <w:t xml:space="preserve">. Talan 0,2 táknar styrk útgjaldastuðulsins </w:t>
      </w:r>
      <w:r w:rsidR="008967D8">
        <w:rPr>
          <w:rFonts w:eastAsiaTheme="minorEastAsia"/>
        </w:rPr>
        <w:t xml:space="preserve">í líkaninu. Stuðulinn </w:t>
      </w:r>
      <m:oMath>
        <m:r>
          <w:rPr>
            <w:rFonts w:ascii="Cambria Math" w:eastAsiaTheme="minorEastAsia" w:hAnsi="Cambria Math"/>
          </w:rPr>
          <m:t>s</m:t>
        </m:r>
      </m:oMath>
      <w:r w:rsidR="008967D8">
        <w:rPr>
          <w:rFonts w:eastAsiaTheme="minorEastAsia"/>
        </w:rPr>
        <w:t xml:space="preserve"> tekur gildi 1 fyrir sveitarfélög þar sem færri en 6.000 íbúar </w:t>
      </w:r>
      <w:r w:rsidR="008A72D6">
        <w:rPr>
          <w:rFonts w:eastAsiaTheme="minorEastAsia"/>
        </w:rPr>
        <w:t>búa, gildið 0,5 fyrir sveitarfélög þar sem fleiri en 8.000 íbúar búa en fyrir sveitarfélög með íbúafjölda á bilinu 6.001 til 7.999 gildir formúlan:</w:t>
      </w:r>
    </w:p>
    <w:p w14:paraId="29F1741F" w14:textId="77777777" w:rsidR="007A2EC6" w:rsidRDefault="007A2EC6" w:rsidP="007A2EC6">
      <w:pPr>
        <w:spacing w:after="0" w:line="240" w:lineRule="auto"/>
        <w:jc w:val="both"/>
        <w:rPr>
          <w:rFonts w:eastAsiaTheme="minorEastAsia"/>
        </w:rPr>
      </w:pPr>
    </w:p>
    <w:p w14:paraId="5B71D2A7" w14:textId="42A15A54" w:rsidR="008A72D6" w:rsidRPr="009943D1" w:rsidRDefault="008A72D6" w:rsidP="007A2EC6">
      <w:pPr>
        <w:spacing w:after="0" w:line="240" w:lineRule="auto"/>
        <w:rPr>
          <w:rFonts w:eastAsiaTheme="minorEastAsia"/>
        </w:rPr>
      </w:pPr>
      <m:oMathPara>
        <m:oMath>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4.000</m:t>
              </m:r>
            </m:den>
          </m:f>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oMath>
      </m:oMathPara>
    </w:p>
    <w:p w14:paraId="46C8AAC1" w14:textId="77777777" w:rsidR="007A2EC6" w:rsidRDefault="007A2EC6" w:rsidP="007A2EC6">
      <w:pPr>
        <w:spacing w:after="0" w:line="240" w:lineRule="auto"/>
        <w:jc w:val="both"/>
        <w:rPr>
          <w:rFonts w:eastAsiaTheme="minorEastAsia"/>
        </w:rPr>
      </w:pPr>
    </w:p>
    <w:p w14:paraId="1AB26594" w14:textId="2F00A50D" w:rsidR="009943D1" w:rsidRPr="009943D1" w:rsidRDefault="009943D1" w:rsidP="007A2EC6">
      <w:pPr>
        <w:spacing w:after="0" w:line="240" w:lineRule="auto"/>
        <w:jc w:val="both"/>
        <w:rPr>
          <w:rFonts w:eastAsiaTheme="minorEastAsia"/>
        </w:rPr>
      </w:pPr>
      <w:r>
        <w:rPr>
          <w:rFonts w:eastAsiaTheme="minorEastAsia"/>
        </w:rPr>
        <w:t xml:space="preserve">Tilgangur formúlunnar er að taka vegið meðaltal útgjaldabreytna og stýra styrk útgjaldastuðulsins í líkaninu. </w:t>
      </w:r>
    </w:p>
    <w:p w14:paraId="3BF8136F" w14:textId="77777777" w:rsidR="0053228F" w:rsidRPr="00284829" w:rsidRDefault="0053228F" w:rsidP="007A2EC6">
      <w:pPr>
        <w:spacing w:after="0" w:line="240" w:lineRule="auto"/>
      </w:pPr>
    </w:p>
    <w:sectPr w:rsidR="0053228F" w:rsidRPr="0028482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51F97" w14:textId="77777777" w:rsidR="00F30C86" w:rsidRDefault="00F30C86" w:rsidP="006F7EF1">
      <w:pPr>
        <w:spacing w:after="0" w:line="240" w:lineRule="auto"/>
      </w:pPr>
      <w:r>
        <w:separator/>
      </w:r>
    </w:p>
  </w:endnote>
  <w:endnote w:type="continuationSeparator" w:id="0">
    <w:p w14:paraId="7CD5FACA" w14:textId="77777777" w:rsidR="00F30C86" w:rsidRDefault="00F30C86" w:rsidP="006F7EF1">
      <w:pPr>
        <w:spacing w:after="0" w:line="240" w:lineRule="auto"/>
      </w:pPr>
      <w:r>
        <w:continuationSeparator/>
      </w:r>
    </w:p>
  </w:endnote>
  <w:endnote w:type="continuationNotice" w:id="1">
    <w:p w14:paraId="673163E5" w14:textId="77777777" w:rsidR="00F30C86" w:rsidRDefault="00F30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691180"/>
      <w:docPartObj>
        <w:docPartGallery w:val="Page Numbers (Bottom of Page)"/>
        <w:docPartUnique/>
      </w:docPartObj>
    </w:sdtPr>
    <w:sdtEndPr>
      <w:rPr>
        <w:noProof/>
      </w:rPr>
    </w:sdtEndPr>
    <w:sdtContent>
      <w:p w14:paraId="23C79A63" w14:textId="7E2545CE" w:rsidR="00AE7C22" w:rsidRDefault="00AE7C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5DAC3" w14:textId="77777777" w:rsidR="00AE7C22" w:rsidRDefault="00AE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CB095" w14:textId="77777777" w:rsidR="00F30C86" w:rsidRDefault="00F30C86" w:rsidP="006F7EF1">
      <w:pPr>
        <w:spacing w:after="0" w:line="240" w:lineRule="auto"/>
      </w:pPr>
      <w:r>
        <w:separator/>
      </w:r>
    </w:p>
  </w:footnote>
  <w:footnote w:type="continuationSeparator" w:id="0">
    <w:p w14:paraId="486CD279" w14:textId="77777777" w:rsidR="00F30C86" w:rsidRDefault="00F30C86" w:rsidP="006F7EF1">
      <w:pPr>
        <w:spacing w:after="0" w:line="240" w:lineRule="auto"/>
      </w:pPr>
      <w:r>
        <w:continuationSeparator/>
      </w:r>
    </w:p>
  </w:footnote>
  <w:footnote w:type="continuationNotice" w:id="1">
    <w:p w14:paraId="73515BF3" w14:textId="77777777" w:rsidR="00F30C86" w:rsidRDefault="00F30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B377" w14:textId="4517D57E" w:rsidR="00956273" w:rsidRPr="007A2EC6" w:rsidRDefault="00956273">
    <w:pPr>
      <w:pStyle w:val="Header"/>
      <w:rPr>
        <w:b/>
        <w:bCs/>
      </w:rPr>
    </w:pPr>
    <w:r w:rsidRPr="00956273">
      <w:rPr>
        <w:b/>
        <w:bCs/>
      </w:rPr>
      <w:t>Drög að nýrri reglugerð um jöfnunarframlög – til birtingar í samráðsgátt.</w:t>
    </w:r>
    <w:r>
      <w:rPr>
        <w:b/>
        <w:bCs/>
      </w:rPr>
      <w:t xml:space="preserve"> Dags. 26.11.2025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2664"/>
    <w:multiLevelType w:val="multilevel"/>
    <w:tmpl w:val="0AAEFE98"/>
    <w:lvl w:ilvl="0">
      <w:start w:val="1"/>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1D4C49"/>
    <w:multiLevelType w:val="hybridMultilevel"/>
    <w:tmpl w:val="80547824"/>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F593F59"/>
    <w:multiLevelType w:val="hybridMultilevel"/>
    <w:tmpl w:val="FBA6A25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2E4B2B66"/>
    <w:multiLevelType w:val="multilevel"/>
    <w:tmpl w:val="2544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30E62"/>
    <w:multiLevelType w:val="hybridMultilevel"/>
    <w:tmpl w:val="E4345A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41284C77"/>
    <w:multiLevelType w:val="multilevel"/>
    <w:tmpl w:val="90D26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17C724F"/>
    <w:multiLevelType w:val="hybridMultilevel"/>
    <w:tmpl w:val="4BB6E4B2"/>
    <w:lvl w:ilvl="0" w:tplc="38DE109A">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493F26F2"/>
    <w:multiLevelType w:val="multilevel"/>
    <w:tmpl w:val="A31E2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C145D96"/>
    <w:multiLevelType w:val="hybridMultilevel"/>
    <w:tmpl w:val="1CD4373C"/>
    <w:lvl w:ilvl="0" w:tplc="254A100C">
      <w:start w:val="1"/>
      <w:numFmt w:val="low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5EC446FD"/>
    <w:multiLevelType w:val="hybridMultilevel"/>
    <w:tmpl w:val="26F84598"/>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FAD2F4F"/>
    <w:multiLevelType w:val="hybridMultilevel"/>
    <w:tmpl w:val="28CC749A"/>
    <w:lvl w:ilvl="0" w:tplc="8D382238">
      <w:start w:val="4"/>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1" w15:restartNumberingAfterBreak="0">
    <w:nsid w:val="64AA0DC1"/>
    <w:multiLevelType w:val="multilevel"/>
    <w:tmpl w:val="8F44B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lvlOverride w:ilvl="0">
      <w:startOverride w:val="1"/>
    </w:lvlOverride>
  </w:num>
  <w:num w:numId="2">
    <w:abstractNumId w:val="3"/>
    <w:lvlOverride w:ilvl="0">
      <w:startOverride w:val="2"/>
    </w:lvlOverride>
  </w:num>
  <w:num w:numId="3">
    <w:abstractNumId w:val="0"/>
    <w:lvlOverride w:ilvl="0">
      <w:startOverride w:val="1"/>
    </w:lvlOverride>
  </w:num>
  <w:num w:numId="4">
    <w:abstractNumId w:val="7"/>
    <w:lvlOverride w:ilvl="0">
      <w:startOverride w:val="1"/>
    </w:lvlOverride>
  </w:num>
  <w:num w:numId="5">
    <w:abstractNumId w:val="5"/>
    <w:lvlOverride w:ilvl="0">
      <w:startOverride w:val="1"/>
    </w:lvlOverride>
  </w:num>
  <w:num w:numId="6">
    <w:abstractNumId w:val="11"/>
    <w:lvlOverride w:ilvl="0">
      <w:startOverride w:val="1"/>
    </w:lvlOverride>
  </w:num>
  <w:num w:numId="7">
    <w:abstractNumId w:val="2"/>
  </w:num>
  <w:num w:numId="8">
    <w:abstractNumId w:val="8"/>
  </w:num>
  <w:num w:numId="9">
    <w:abstractNumId w:val="4"/>
  </w:num>
  <w:num w:numId="10">
    <w:abstractNumId w:val="6"/>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F1"/>
    <w:rsid w:val="00001D88"/>
    <w:rsid w:val="00026C41"/>
    <w:rsid w:val="00032C48"/>
    <w:rsid w:val="00055B21"/>
    <w:rsid w:val="00063F85"/>
    <w:rsid w:val="00071879"/>
    <w:rsid w:val="0007206E"/>
    <w:rsid w:val="00076232"/>
    <w:rsid w:val="000A0EAF"/>
    <w:rsid w:val="000A63A2"/>
    <w:rsid w:val="000A77E8"/>
    <w:rsid w:val="000F669B"/>
    <w:rsid w:val="0010099E"/>
    <w:rsid w:val="001276AD"/>
    <w:rsid w:val="00153ADF"/>
    <w:rsid w:val="00153DE8"/>
    <w:rsid w:val="00162F20"/>
    <w:rsid w:val="001749E4"/>
    <w:rsid w:val="0018341F"/>
    <w:rsid w:val="0019788A"/>
    <w:rsid w:val="001A5611"/>
    <w:rsid w:val="001C1F5E"/>
    <w:rsid w:val="001C696F"/>
    <w:rsid w:val="001D0314"/>
    <w:rsid w:val="001E626C"/>
    <w:rsid w:val="001F7A9A"/>
    <w:rsid w:val="00225523"/>
    <w:rsid w:val="002364F3"/>
    <w:rsid w:val="00247CBF"/>
    <w:rsid w:val="002776D9"/>
    <w:rsid w:val="00284829"/>
    <w:rsid w:val="00284BBF"/>
    <w:rsid w:val="002A3A97"/>
    <w:rsid w:val="002A5570"/>
    <w:rsid w:val="002A5602"/>
    <w:rsid w:val="002B3204"/>
    <w:rsid w:val="002C7535"/>
    <w:rsid w:val="002D0AA9"/>
    <w:rsid w:val="002E20A5"/>
    <w:rsid w:val="002E237A"/>
    <w:rsid w:val="002F0732"/>
    <w:rsid w:val="002F0BEE"/>
    <w:rsid w:val="002F5554"/>
    <w:rsid w:val="003020DB"/>
    <w:rsid w:val="0030549C"/>
    <w:rsid w:val="0034733A"/>
    <w:rsid w:val="00351357"/>
    <w:rsid w:val="0036404F"/>
    <w:rsid w:val="00376092"/>
    <w:rsid w:val="003A6EE5"/>
    <w:rsid w:val="003B19D9"/>
    <w:rsid w:val="003C0267"/>
    <w:rsid w:val="003C1587"/>
    <w:rsid w:val="003D0BD8"/>
    <w:rsid w:val="003E3E7E"/>
    <w:rsid w:val="003E5427"/>
    <w:rsid w:val="003F14D1"/>
    <w:rsid w:val="003F389C"/>
    <w:rsid w:val="003F64BD"/>
    <w:rsid w:val="00410B33"/>
    <w:rsid w:val="00424FD4"/>
    <w:rsid w:val="00440AB9"/>
    <w:rsid w:val="00451C6D"/>
    <w:rsid w:val="00462099"/>
    <w:rsid w:val="004939A7"/>
    <w:rsid w:val="00493D93"/>
    <w:rsid w:val="00497AE6"/>
    <w:rsid w:val="004C0B1D"/>
    <w:rsid w:val="004E7FD0"/>
    <w:rsid w:val="00516F05"/>
    <w:rsid w:val="00523E6D"/>
    <w:rsid w:val="0053228F"/>
    <w:rsid w:val="0053724C"/>
    <w:rsid w:val="005477BC"/>
    <w:rsid w:val="00562932"/>
    <w:rsid w:val="00584511"/>
    <w:rsid w:val="0059722C"/>
    <w:rsid w:val="005A0EC0"/>
    <w:rsid w:val="005B0CE4"/>
    <w:rsid w:val="005C3918"/>
    <w:rsid w:val="005D4D03"/>
    <w:rsid w:val="005F23E9"/>
    <w:rsid w:val="005F2FE2"/>
    <w:rsid w:val="00603CBF"/>
    <w:rsid w:val="00606C54"/>
    <w:rsid w:val="0062310D"/>
    <w:rsid w:val="006523F0"/>
    <w:rsid w:val="0066124E"/>
    <w:rsid w:val="006820F9"/>
    <w:rsid w:val="00696AAD"/>
    <w:rsid w:val="006A3526"/>
    <w:rsid w:val="006B5758"/>
    <w:rsid w:val="006D44B5"/>
    <w:rsid w:val="006F7EF1"/>
    <w:rsid w:val="00717DBB"/>
    <w:rsid w:val="00724E98"/>
    <w:rsid w:val="007338BC"/>
    <w:rsid w:val="007355F4"/>
    <w:rsid w:val="00752747"/>
    <w:rsid w:val="0076126C"/>
    <w:rsid w:val="00765DBA"/>
    <w:rsid w:val="007921FD"/>
    <w:rsid w:val="00795783"/>
    <w:rsid w:val="007A2EC6"/>
    <w:rsid w:val="007A7AE6"/>
    <w:rsid w:val="007B15B1"/>
    <w:rsid w:val="007C56CE"/>
    <w:rsid w:val="007D5E22"/>
    <w:rsid w:val="007E7B7D"/>
    <w:rsid w:val="007F29AC"/>
    <w:rsid w:val="007F6628"/>
    <w:rsid w:val="008101E9"/>
    <w:rsid w:val="00815055"/>
    <w:rsid w:val="00822DAA"/>
    <w:rsid w:val="00837F62"/>
    <w:rsid w:val="00870868"/>
    <w:rsid w:val="00875DDA"/>
    <w:rsid w:val="00880800"/>
    <w:rsid w:val="00892BFA"/>
    <w:rsid w:val="008967D8"/>
    <w:rsid w:val="008A438B"/>
    <w:rsid w:val="008A443A"/>
    <w:rsid w:val="008A59C4"/>
    <w:rsid w:val="008A72D6"/>
    <w:rsid w:val="008C15A0"/>
    <w:rsid w:val="008D6782"/>
    <w:rsid w:val="008E08B2"/>
    <w:rsid w:val="008F196F"/>
    <w:rsid w:val="008F627F"/>
    <w:rsid w:val="008F6325"/>
    <w:rsid w:val="008F659F"/>
    <w:rsid w:val="0090328A"/>
    <w:rsid w:val="009168CC"/>
    <w:rsid w:val="00956273"/>
    <w:rsid w:val="00957D29"/>
    <w:rsid w:val="00962A31"/>
    <w:rsid w:val="00975347"/>
    <w:rsid w:val="00994036"/>
    <w:rsid w:val="009943D1"/>
    <w:rsid w:val="009965EC"/>
    <w:rsid w:val="00996BFF"/>
    <w:rsid w:val="009A1FA5"/>
    <w:rsid w:val="009D0ECB"/>
    <w:rsid w:val="009D2AF8"/>
    <w:rsid w:val="009D6607"/>
    <w:rsid w:val="009E61B3"/>
    <w:rsid w:val="009F6BE7"/>
    <w:rsid w:val="00A02BB3"/>
    <w:rsid w:val="00A03F0C"/>
    <w:rsid w:val="00A11654"/>
    <w:rsid w:val="00A1293D"/>
    <w:rsid w:val="00A321C8"/>
    <w:rsid w:val="00A526C8"/>
    <w:rsid w:val="00A64229"/>
    <w:rsid w:val="00A77E06"/>
    <w:rsid w:val="00A9496E"/>
    <w:rsid w:val="00AA53F2"/>
    <w:rsid w:val="00AB2D0F"/>
    <w:rsid w:val="00AC667C"/>
    <w:rsid w:val="00AD0BF4"/>
    <w:rsid w:val="00AD4622"/>
    <w:rsid w:val="00AD4C54"/>
    <w:rsid w:val="00AE16E7"/>
    <w:rsid w:val="00AE2F07"/>
    <w:rsid w:val="00AE7C22"/>
    <w:rsid w:val="00B064CD"/>
    <w:rsid w:val="00B126F9"/>
    <w:rsid w:val="00B21CCE"/>
    <w:rsid w:val="00B31828"/>
    <w:rsid w:val="00B3268F"/>
    <w:rsid w:val="00B3581F"/>
    <w:rsid w:val="00B43C2B"/>
    <w:rsid w:val="00B51967"/>
    <w:rsid w:val="00B564D3"/>
    <w:rsid w:val="00B614C3"/>
    <w:rsid w:val="00B87833"/>
    <w:rsid w:val="00BC5C9E"/>
    <w:rsid w:val="00BF16E8"/>
    <w:rsid w:val="00BF361F"/>
    <w:rsid w:val="00C04145"/>
    <w:rsid w:val="00C74418"/>
    <w:rsid w:val="00CB47E6"/>
    <w:rsid w:val="00CD3197"/>
    <w:rsid w:val="00CD53A5"/>
    <w:rsid w:val="00CF334E"/>
    <w:rsid w:val="00CF36DA"/>
    <w:rsid w:val="00D05EBD"/>
    <w:rsid w:val="00D34FCB"/>
    <w:rsid w:val="00D5255C"/>
    <w:rsid w:val="00D535B5"/>
    <w:rsid w:val="00D5766B"/>
    <w:rsid w:val="00D602B5"/>
    <w:rsid w:val="00D64282"/>
    <w:rsid w:val="00D735DA"/>
    <w:rsid w:val="00DA68DF"/>
    <w:rsid w:val="00E00E73"/>
    <w:rsid w:val="00E17F84"/>
    <w:rsid w:val="00E21D3F"/>
    <w:rsid w:val="00E30E1D"/>
    <w:rsid w:val="00E43F01"/>
    <w:rsid w:val="00E70038"/>
    <w:rsid w:val="00E93283"/>
    <w:rsid w:val="00EA3123"/>
    <w:rsid w:val="00EB00E9"/>
    <w:rsid w:val="00EC0EC9"/>
    <w:rsid w:val="00EC2CBD"/>
    <w:rsid w:val="00EE796C"/>
    <w:rsid w:val="00EF3003"/>
    <w:rsid w:val="00EF7FCD"/>
    <w:rsid w:val="00F06B00"/>
    <w:rsid w:val="00F30C86"/>
    <w:rsid w:val="00F33BEE"/>
    <w:rsid w:val="00F54CB1"/>
    <w:rsid w:val="00F66679"/>
    <w:rsid w:val="00F670F8"/>
    <w:rsid w:val="00F72CC2"/>
    <w:rsid w:val="00F82651"/>
    <w:rsid w:val="00F853F4"/>
    <w:rsid w:val="00F935CA"/>
    <w:rsid w:val="00FA77F0"/>
    <w:rsid w:val="00FB1631"/>
    <w:rsid w:val="00FB5CF7"/>
    <w:rsid w:val="00FC4827"/>
    <w:rsid w:val="00FE761E"/>
    <w:rsid w:val="0285D4C2"/>
    <w:rsid w:val="094F8C33"/>
    <w:rsid w:val="0E42FF78"/>
    <w:rsid w:val="0E455533"/>
    <w:rsid w:val="13C500A8"/>
    <w:rsid w:val="1886549F"/>
    <w:rsid w:val="26EB02E0"/>
    <w:rsid w:val="299F0EEA"/>
    <w:rsid w:val="2DB7D7FC"/>
    <w:rsid w:val="3E51D3EF"/>
    <w:rsid w:val="41924FAD"/>
    <w:rsid w:val="43941882"/>
    <w:rsid w:val="47610595"/>
    <w:rsid w:val="4C568FB1"/>
    <w:rsid w:val="570A3B56"/>
    <w:rsid w:val="58E6FFDF"/>
    <w:rsid w:val="5EB64B03"/>
    <w:rsid w:val="62AD1920"/>
    <w:rsid w:val="636D6BB6"/>
    <w:rsid w:val="70C25E99"/>
    <w:rsid w:val="7533B1AC"/>
    <w:rsid w:val="79D2B3D5"/>
    <w:rsid w:val="7A724022"/>
    <w:rsid w:val="7CBCB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3011"/>
  <w15:chartTrackingRefBased/>
  <w15:docId w15:val="{B2B0F060-D38E-4698-88AC-B3C9011C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s-IS"/>
    </w:rPr>
  </w:style>
  <w:style w:type="paragraph" w:styleId="Heading1">
    <w:name w:val="heading 1"/>
    <w:basedOn w:val="Normal"/>
    <w:next w:val="Normal"/>
    <w:link w:val="Heading1Char"/>
    <w:uiPriority w:val="9"/>
    <w:qFormat/>
    <w:rsid w:val="006F7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F1"/>
    <w:rPr>
      <w:rFonts w:asciiTheme="majorHAnsi" w:eastAsiaTheme="majorEastAsia" w:hAnsiTheme="majorHAnsi" w:cstheme="majorBidi"/>
      <w:color w:val="0F4761" w:themeColor="accent1" w:themeShade="BF"/>
      <w:sz w:val="40"/>
      <w:szCs w:val="40"/>
      <w:lang w:val="is-IS"/>
    </w:rPr>
  </w:style>
  <w:style w:type="character" w:customStyle="1" w:styleId="Heading2Char">
    <w:name w:val="Heading 2 Char"/>
    <w:basedOn w:val="DefaultParagraphFont"/>
    <w:link w:val="Heading2"/>
    <w:uiPriority w:val="9"/>
    <w:semiHidden/>
    <w:rsid w:val="006F7EF1"/>
    <w:rPr>
      <w:rFonts w:asciiTheme="majorHAnsi" w:eastAsiaTheme="majorEastAsia" w:hAnsiTheme="majorHAnsi" w:cstheme="majorBidi"/>
      <w:color w:val="0F4761" w:themeColor="accent1" w:themeShade="BF"/>
      <w:sz w:val="32"/>
      <w:szCs w:val="32"/>
      <w:lang w:val="is-IS"/>
    </w:rPr>
  </w:style>
  <w:style w:type="character" w:customStyle="1" w:styleId="Heading3Char">
    <w:name w:val="Heading 3 Char"/>
    <w:basedOn w:val="DefaultParagraphFont"/>
    <w:link w:val="Heading3"/>
    <w:uiPriority w:val="9"/>
    <w:semiHidden/>
    <w:rsid w:val="006F7EF1"/>
    <w:rPr>
      <w:rFonts w:eastAsiaTheme="majorEastAsia" w:cstheme="majorBidi"/>
      <w:color w:val="0F4761" w:themeColor="accent1" w:themeShade="BF"/>
      <w:sz w:val="28"/>
      <w:szCs w:val="28"/>
      <w:lang w:val="is-IS"/>
    </w:rPr>
  </w:style>
  <w:style w:type="character" w:customStyle="1" w:styleId="Heading4Char">
    <w:name w:val="Heading 4 Char"/>
    <w:basedOn w:val="DefaultParagraphFont"/>
    <w:link w:val="Heading4"/>
    <w:uiPriority w:val="9"/>
    <w:semiHidden/>
    <w:rsid w:val="006F7EF1"/>
    <w:rPr>
      <w:rFonts w:eastAsiaTheme="majorEastAsia" w:cstheme="majorBidi"/>
      <w:i/>
      <w:iCs/>
      <w:color w:val="0F4761" w:themeColor="accent1" w:themeShade="BF"/>
      <w:lang w:val="is-IS"/>
    </w:rPr>
  </w:style>
  <w:style w:type="character" w:customStyle="1" w:styleId="Heading5Char">
    <w:name w:val="Heading 5 Char"/>
    <w:basedOn w:val="DefaultParagraphFont"/>
    <w:link w:val="Heading5"/>
    <w:uiPriority w:val="9"/>
    <w:semiHidden/>
    <w:rsid w:val="006F7EF1"/>
    <w:rPr>
      <w:rFonts w:eastAsiaTheme="majorEastAsia" w:cstheme="majorBidi"/>
      <w:color w:val="0F4761" w:themeColor="accent1" w:themeShade="BF"/>
      <w:lang w:val="is-IS"/>
    </w:rPr>
  </w:style>
  <w:style w:type="character" w:customStyle="1" w:styleId="Heading6Char">
    <w:name w:val="Heading 6 Char"/>
    <w:basedOn w:val="DefaultParagraphFont"/>
    <w:link w:val="Heading6"/>
    <w:uiPriority w:val="9"/>
    <w:semiHidden/>
    <w:rsid w:val="006F7EF1"/>
    <w:rPr>
      <w:rFonts w:eastAsiaTheme="majorEastAsia" w:cstheme="majorBidi"/>
      <w:i/>
      <w:iCs/>
      <w:color w:val="595959" w:themeColor="text1" w:themeTint="A6"/>
      <w:lang w:val="is-IS"/>
    </w:rPr>
  </w:style>
  <w:style w:type="character" w:customStyle="1" w:styleId="Heading7Char">
    <w:name w:val="Heading 7 Char"/>
    <w:basedOn w:val="DefaultParagraphFont"/>
    <w:link w:val="Heading7"/>
    <w:uiPriority w:val="9"/>
    <w:semiHidden/>
    <w:rsid w:val="006F7EF1"/>
    <w:rPr>
      <w:rFonts w:eastAsiaTheme="majorEastAsia" w:cstheme="majorBidi"/>
      <w:color w:val="595959" w:themeColor="text1" w:themeTint="A6"/>
      <w:lang w:val="is-IS"/>
    </w:rPr>
  </w:style>
  <w:style w:type="character" w:customStyle="1" w:styleId="Heading8Char">
    <w:name w:val="Heading 8 Char"/>
    <w:basedOn w:val="DefaultParagraphFont"/>
    <w:link w:val="Heading8"/>
    <w:uiPriority w:val="9"/>
    <w:semiHidden/>
    <w:rsid w:val="006F7EF1"/>
    <w:rPr>
      <w:rFonts w:eastAsiaTheme="majorEastAsia" w:cstheme="majorBidi"/>
      <w:i/>
      <w:iCs/>
      <w:color w:val="272727" w:themeColor="text1" w:themeTint="D8"/>
      <w:lang w:val="is-IS"/>
    </w:rPr>
  </w:style>
  <w:style w:type="character" w:customStyle="1" w:styleId="Heading9Char">
    <w:name w:val="Heading 9 Char"/>
    <w:basedOn w:val="DefaultParagraphFont"/>
    <w:link w:val="Heading9"/>
    <w:uiPriority w:val="9"/>
    <w:semiHidden/>
    <w:rsid w:val="006F7EF1"/>
    <w:rPr>
      <w:rFonts w:eastAsiaTheme="majorEastAsia" w:cstheme="majorBidi"/>
      <w:color w:val="272727" w:themeColor="text1" w:themeTint="D8"/>
      <w:lang w:val="is-IS"/>
    </w:rPr>
  </w:style>
  <w:style w:type="paragraph" w:styleId="Title">
    <w:name w:val="Title"/>
    <w:basedOn w:val="Normal"/>
    <w:next w:val="Normal"/>
    <w:link w:val="TitleChar"/>
    <w:uiPriority w:val="10"/>
    <w:qFormat/>
    <w:rsid w:val="006F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EF1"/>
    <w:rPr>
      <w:rFonts w:asciiTheme="majorHAnsi" w:eastAsiaTheme="majorEastAsia" w:hAnsiTheme="majorHAnsi" w:cstheme="majorBidi"/>
      <w:spacing w:val="-10"/>
      <w:kern w:val="28"/>
      <w:sz w:val="56"/>
      <w:szCs w:val="56"/>
      <w:lang w:val="is-IS"/>
    </w:rPr>
  </w:style>
  <w:style w:type="paragraph" w:styleId="Subtitle">
    <w:name w:val="Subtitle"/>
    <w:basedOn w:val="Normal"/>
    <w:next w:val="Normal"/>
    <w:link w:val="SubtitleChar"/>
    <w:uiPriority w:val="11"/>
    <w:qFormat/>
    <w:rsid w:val="006F7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EF1"/>
    <w:rPr>
      <w:rFonts w:eastAsiaTheme="majorEastAsia" w:cstheme="majorBidi"/>
      <w:color w:val="595959" w:themeColor="text1" w:themeTint="A6"/>
      <w:spacing w:val="15"/>
      <w:sz w:val="28"/>
      <w:szCs w:val="28"/>
      <w:lang w:val="is-IS"/>
    </w:rPr>
  </w:style>
  <w:style w:type="paragraph" w:styleId="Quote">
    <w:name w:val="Quote"/>
    <w:basedOn w:val="Normal"/>
    <w:next w:val="Normal"/>
    <w:link w:val="QuoteChar"/>
    <w:uiPriority w:val="29"/>
    <w:qFormat/>
    <w:rsid w:val="006F7EF1"/>
    <w:pPr>
      <w:spacing w:before="160"/>
      <w:jc w:val="center"/>
    </w:pPr>
    <w:rPr>
      <w:i/>
      <w:iCs/>
      <w:color w:val="404040" w:themeColor="text1" w:themeTint="BF"/>
    </w:rPr>
  </w:style>
  <w:style w:type="character" w:customStyle="1" w:styleId="QuoteChar">
    <w:name w:val="Quote Char"/>
    <w:basedOn w:val="DefaultParagraphFont"/>
    <w:link w:val="Quote"/>
    <w:uiPriority w:val="29"/>
    <w:rsid w:val="006F7EF1"/>
    <w:rPr>
      <w:i/>
      <w:iCs/>
      <w:color w:val="404040" w:themeColor="text1" w:themeTint="BF"/>
      <w:lang w:val="is-IS"/>
    </w:rPr>
  </w:style>
  <w:style w:type="paragraph" w:styleId="ListParagraph">
    <w:name w:val="List Paragraph"/>
    <w:basedOn w:val="Normal"/>
    <w:uiPriority w:val="34"/>
    <w:qFormat/>
    <w:rsid w:val="006F7EF1"/>
    <w:pPr>
      <w:ind w:left="720"/>
      <w:contextualSpacing/>
    </w:pPr>
  </w:style>
  <w:style w:type="character" w:styleId="IntenseEmphasis">
    <w:name w:val="Intense Emphasis"/>
    <w:basedOn w:val="DefaultParagraphFont"/>
    <w:uiPriority w:val="21"/>
    <w:qFormat/>
    <w:rsid w:val="006F7EF1"/>
    <w:rPr>
      <w:i/>
      <w:iCs/>
      <w:color w:val="0F4761" w:themeColor="accent1" w:themeShade="BF"/>
    </w:rPr>
  </w:style>
  <w:style w:type="paragraph" w:styleId="IntenseQuote">
    <w:name w:val="Intense Quote"/>
    <w:basedOn w:val="Normal"/>
    <w:next w:val="Normal"/>
    <w:link w:val="IntenseQuoteChar"/>
    <w:uiPriority w:val="30"/>
    <w:qFormat/>
    <w:rsid w:val="006F7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EF1"/>
    <w:rPr>
      <w:i/>
      <w:iCs/>
      <w:color w:val="0F4761" w:themeColor="accent1" w:themeShade="BF"/>
      <w:lang w:val="is-IS"/>
    </w:rPr>
  </w:style>
  <w:style w:type="character" w:styleId="IntenseReference">
    <w:name w:val="Intense Reference"/>
    <w:basedOn w:val="DefaultParagraphFont"/>
    <w:uiPriority w:val="32"/>
    <w:qFormat/>
    <w:rsid w:val="006F7EF1"/>
    <w:rPr>
      <w:b/>
      <w:bCs/>
      <w:smallCaps/>
      <w:color w:val="0F4761" w:themeColor="accent1" w:themeShade="BF"/>
      <w:spacing w:val="5"/>
    </w:rPr>
  </w:style>
  <w:style w:type="character" w:styleId="Hyperlink">
    <w:name w:val="Hyperlink"/>
    <w:basedOn w:val="DefaultParagraphFont"/>
    <w:uiPriority w:val="99"/>
    <w:unhideWhenUsed/>
    <w:rsid w:val="006F7EF1"/>
    <w:rPr>
      <w:color w:val="467886" w:themeColor="hyperlink"/>
      <w:u w:val="single"/>
    </w:rPr>
  </w:style>
  <w:style w:type="character" w:styleId="UnresolvedMention">
    <w:name w:val="Unresolved Mention"/>
    <w:basedOn w:val="DefaultParagraphFont"/>
    <w:uiPriority w:val="99"/>
    <w:semiHidden/>
    <w:unhideWhenUsed/>
    <w:rsid w:val="006F7EF1"/>
    <w:rPr>
      <w:color w:val="605E5C"/>
      <w:shd w:val="clear" w:color="auto" w:fill="E1DFDD"/>
    </w:rPr>
  </w:style>
  <w:style w:type="paragraph" w:styleId="FootnoteText">
    <w:name w:val="footnote text"/>
    <w:basedOn w:val="Normal"/>
    <w:link w:val="FootnoteTextChar"/>
    <w:uiPriority w:val="99"/>
    <w:semiHidden/>
    <w:unhideWhenUsed/>
    <w:rsid w:val="006F7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EF1"/>
    <w:rPr>
      <w:sz w:val="20"/>
      <w:szCs w:val="20"/>
      <w:lang w:val="is-IS"/>
    </w:rPr>
  </w:style>
  <w:style w:type="character" w:styleId="FootnoteReference">
    <w:name w:val="footnote reference"/>
    <w:basedOn w:val="DefaultParagraphFont"/>
    <w:uiPriority w:val="99"/>
    <w:semiHidden/>
    <w:unhideWhenUsed/>
    <w:rsid w:val="006F7EF1"/>
    <w:rPr>
      <w:vertAlign w:val="superscript"/>
    </w:rPr>
  </w:style>
  <w:style w:type="paragraph" w:styleId="Header">
    <w:name w:val="header"/>
    <w:basedOn w:val="Normal"/>
    <w:link w:val="HeaderChar"/>
    <w:uiPriority w:val="99"/>
    <w:unhideWhenUsed/>
    <w:rsid w:val="00AE7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C22"/>
    <w:rPr>
      <w:lang w:val="is-IS"/>
    </w:rPr>
  </w:style>
  <w:style w:type="paragraph" w:styleId="Footer">
    <w:name w:val="footer"/>
    <w:basedOn w:val="Normal"/>
    <w:link w:val="FooterChar"/>
    <w:uiPriority w:val="99"/>
    <w:unhideWhenUsed/>
    <w:rsid w:val="00AE7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C22"/>
    <w:rPr>
      <w:lang w:val="is-IS"/>
    </w:rPr>
  </w:style>
  <w:style w:type="character" w:styleId="CommentReference">
    <w:name w:val="annotation reference"/>
    <w:basedOn w:val="DefaultParagraphFont"/>
    <w:uiPriority w:val="99"/>
    <w:semiHidden/>
    <w:unhideWhenUsed/>
    <w:rsid w:val="00892BFA"/>
    <w:rPr>
      <w:sz w:val="16"/>
      <w:szCs w:val="16"/>
    </w:rPr>
  </w:style>
  <w:style w:type="paragraph" w:styleId="CommentText">
    <w:name w:val="annotation text"/>
    <w:basedOn w:val="Normal"/>
    <w:link w:val="CommentTextChar"/>
    <w:uiPriority w:val="99"/>
    <w:semiHidden/>
    <w:unhideWhenUsed/>
    <w:rsid w:val="00892BFA"/>
    <w:pPr>
      <w:spacing w:line="240" w:lineRule="auto"/>
    </w:pPr>
    <w:rPr>
      <w:sz w:val="20"/>
      <w:szCs w:val="20"/>
    </w:rPr>
  </w:style>
  <w:style w:type="character" w:customStyle="1" w:styleId="CommentTextChar">
    <w:name w:val="Comment Text Char"/>
    <w:basedOn w:val="DefaultParagraphFont"/>
    <w:link w:val="CommentText"/>
    <w:uiPriority w:val="99"/>
    <w:semiHidden/>
    <w:rsid w:val="00892BFA"/>
    <w:rPr>
      <w:sz w:val="20"/>
      <w:szCs w:val="20"/>
      <w:lang w:val="is-IS"/>
    </w:rPr>
  </w:style>
  <w:style w:type="paragraph" w:styleId="CommentSubject">
    <w:name w:val="annotation subject"/>
    <w:basedOn w:val="CommentText"/>
    <w:next w:val="CommentText"/>
    <w:link w:val="CommentSubjectChar"/>
    <w:uiPriority w:val="99"/>
    <w:semiHidden/>
    <w:unhideWhenUsed/>
    <w:rsid w:val="00892BFA"/>
    <w:rPr>
      <w:b/>
      <w:bCs/>
    </w:rPr>
  </w:style>
  <w:style w:type="character" w:customStyle="1" w:styleId="CommentSubjectChar">
    <w:name w:val="Comment Subject Char"/>
    <w:basedOn w:val="CommentTextChar"/>
    <w:link w:val="CommentSubject"/>
    <w:uiPriority w:val="99"/>
    <w:semiHidden/>
    <w:rsid w:val="00892BFA"/>
    <w:rPr>
      <w:b/>
      <w:bCs/>
      <w:sz w:val="20"/>
      <w:szCs w:val="20"/>
      <w:lang w:val="is-IS"/>
    </w:rPr>
  </w:style>
  <w:style w:type="paragraph" w:styleId="BalloonText">
    <w:name w:val="Balloon Text"/>
    <w:basedOn w:val="Normal"/>
    <w:link w:val="BalloonTextChar"/>
    <w:uiPriority w:val="99"/>
    <w:semiHidden/>
    <w:unhideWhenUsed/>
    <w:rsid w:val="00892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FA"/>
    <w:rPr>
      <w:rFonts w:ascii="Segoe UI" w:hAnsi="Segoe UI" w:cs="Segoe UI"/>
      <w:sz w:val="18"/>
      <w:szCs w:val="18"/>
      <w:lang w:val="is-IS"/>
    </w:rPr>
  </w:style>
  <w:style w:type="character" w:styleId="PlaceholderText">
    <w:name w:val="Placeholder Text"/>
    <w:basedOn w:val="DefaultParagraphFont"/>
    <w:uiPriority w:val="99"/>
    <w:semiHidden/>
    <w:rsid w:val="00717DBB"/>
    <w:rPr>
      <w:color w:val="808080"/>
    </w:rPr>
  </w:style>
  <w:style w:type="character" w:styleId="Strong">
    <w:name w:val="Strong"/>
    <w:basedOn w:val="DefaultParagraphFont"/>
    <w:uiPriority w:val="22"/>
    <w:qFormat/>
    <w:rsid w:val="003F1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1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C79C5894C5740843607A630688004" ma:contentTypeVersion="3" ma:contentTypeDescription="Create a new document." ma:contentTypeScope="" ma:versionID="dd6c9159f9d320e395b30941e05d25c1">
  <xsd:schema xmlns:xsd="http://www.w3.org/2001/XMLSchema" xmlns:xs="http://www.w3.org/2001/XMLSchema" xmlns:p="http://schemas.microsoft.com/office/2006/metadata/properties" xmlns:ns2="135b2b45-627f-4c8d-9b1b-4872a3c419ea" targetNamespace="http://schemas.microsoft.com/office/2006/metadata/properties" ma:root="true" ma:fieldsID="15cb96e9b967f056c0738ae6039fe0b3" ns2:_="">
    <xsd:import namespace="135b2b45-627f-4c8d-9b1b-4872a3c419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2b45-627f-4c8d-9b1b-4872a3c41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BC34-1B6B-4E35-8E8A-712D0CEFEA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C9042F-25C3-4CE8-B15E-DE8164A3DF49}">
  <ds:schemaRefs>
    <ds:schemaRef ds:uri="http://schemas.microsoft.com/sharepoint/v3/contenttype/forms"/>
  </ds:schemaRefs>
</ds:datastoreItem>
</file>

<file path=customXml/itemProps3.xml><?xml version="1.0" encoding="utf-8"?>
<ds:datastoreItem xmlns:ds="http://schemas.openxmlformats.org/officeDocument/2006/customXml" ds:itemID="{60FACA87-D3E7-4349-8C8D-649DA7B42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b2b45-627f-4c8d-9b1b-4872a3c41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DE112-FE87-4E70-A092-240194AF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1609</Words>
  <Characters>9175</Characters>
  <Application>Microsoft Office Word</Application>
  <DocSecurity>0</DocSecurity>
  <Lines>76</Lines>
  <Paragraphs>21</Paragraphs>
  <ScaleCrop>false</ScaleCrop>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Gudjon Bragason</dc:creator>
  <cp:keywords/>
  <dc:description/>
  <cp:lastModifiedBy>Ólöf Sunna Jónsdóttir</cp:lastModifiedBy>
  <cp:revision>9</cp:revision>
  <cp:lastPrinted>2025-11-24T11:23:00Z</cp:lastPrinted>
  <dcterms:created xsi:type="dcterms:W3CDTF">2025-12-05T09:37:00Z</dcterms:created>
  <dcterms:modified xsi:type="dcterms:W3CDTF">2025-12-05T10:13:00Z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0x010100FA7C79C5894C5740843607A630688004</vt:lpwstr>
  </property>
  <property fmtid="{D5CDD505-2E9C-101B-9397-08002B2CF9AE}" pid="3" name="MSIP_Label_4d8b67f9-f4c8-4356-80b8-97d601b9597d_Enabled">
    <vt:lpwstr>true</vt:lpwstr>
  </property>
  <property fmtid="{D5CDD505-2E9C-101B-9397-08002B2CF9AE}" pid="4" name="MSIP_Label_4d8b67f9-f4c8-4356-80b8-97d601b9597d_SetDate">
    <vt:lpwstr>2025-11-21T08:50:08Z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651738c2-a2c6-4adf-b08f-34d0c004c01a</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y fmtid="{D5CDD505-2E9C-101B-9397-08002B2CF9AE}" pid="11" name="MediaServiceImageTags">
    <vt:lpwstr/>
  </property>
</Properties>
</file>