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E676E" w14:textId="72148746" w:rsidR="00AB59ED" w:rsidRPr="00181897" w:rsidRDefault="00AB59ED" w:rsidP="00AB59ED">
      <w:pPr>
        <w:rPr>
          <w:rFonts w:ascii="Times New Roman" w:hAnsi="Times New Roman" w:cs="Times New Roman"/>
        </w:rPr>
      </w:pPr>
      <w:bookmarkStart w:id="0" w:name="_Hlk61443345"/>
      <w:r w:rsidRPr="00181897">
        <w:rPr>
          <w:rFonts w:ascii="Times New Roman" w:hAnsi="Times New Roman" w:cs="Times New Roman"/>
          <w:b/>
          <w:bCs/>
          <w:color w:val="242424"/>
          <w:shd w:val="clear" w:color="auto" w:fill="FFFFFF"/>
        </w:rPr>
        <w:t xml:space="preserve">Frumvarp </w:t>
      </w:r>
      <w:r w:rsidR="00D63CBF" w:rsidRPr="00181897">
        <w:rPr>
          <w:rFonts w:ascii="Times New Roman" w:hAnsi="Times New Roman" w:cs="Times New Roman"/>
          <w:b/>
          <w:bCs/>
          <w:color w:val="242424"/>
          <w:shd w:val="clear" w:color="auto" w:fill="FFFFFF"/>
        </w:rPr>
        <w:t>um</w:t>
      </w:r>
      <w:r w:rsidRPr="00181897">
        <w:rPr>
          <w:rFonts w:ascii="Times New Roman" w:hAnsi="Times New Roman" w:cs="Times New Roman"/>
          <w:b/>
          <w:bCs/>
          <w:color w:val="242424"/>
          <w:shd w:val="clear" w:color="auto" w:fill="FFFFFF"/>
        </w:rPr>
        <w:t xml:space="preserve"> </w:t>
      </w:r>
      <w:r w:rsidR="00D63CBF" w:rsidRPr="00181897">
        <w:rPr>
          <w:rFonts w:ascii="Times New Roman" w:hAnsi="Times New Roman" w:cs="Times New Roman"/>
          <w:b/>
          <w:bCs/>
          <w:color w:val="242424"/>
          <w:shd w:val="clear" w:color="auto" w:fill="FFFFFF"/>
        </w:rPr>
        <w:t>kosningar.</w:t>
      </w:r>
      <w:r w:rsidRPr="00181897">
        <w:rPr>
          <w:rFonts w:ascii="Times New Roman" w:hAnsi="Times New Roman" w:cs="Times New Roman"/>
          <w:color w:val="242424"/>
        </w:rPr>
        <w:br/>
      </w:r>
    </w:p>
    <w:tbl>
      <w:tblPr>
        <w:tblStyle w:val="TableGrid"/>
        <w:tblW w:w="11335" w:type="dxa"/>
        <w:tblLayout w:type="fixed"/>
        <w:tblLook w:val="04A0" w:firstRow="1" w:lastRow="0" w:firstColumn="1" w:lastColumn="0" w:noHBand="0" w:noVBand="1"/>
      </w:tblPr>
      <w:tblGrid>
        <w:gridCol w:w="5382"/>
        <w:gridCol w:w="5953"/>
      </w:tblGrid>
      <w:tr w:rsidR="00AB59ED" w:rsidRPr="00181897" w14:paraId="713A983E" w14:textId="77777777" w:rsidTr="008B72A4">
        <w:tc>
          <w:tcPr>
            <w:tcW w:w="5382" w:type="dxa"/>
          </w:tcPr>
          <w:p w14:paraId="72B2CD89" w14:textId="03CBF2A4" w:rsidR="00AB59ED" w:rsidRPr="00181897" w:rsidRDefault="00D63CBF" w:rsidP="00B44CB7">
            <w:pPr>
              <w:rPr>
                <w:rFonts w:ascii="Times New Roman" w:hAnsi="Times New Roman" w:cs="Times New Roman"/>
                <w:b/>
                <w:bCs/>
                <w:color w:val="242424"/>
                <w:shd w:val="clear" w:color="auto" w:fill="FFFFFF"/>
              </w:rPr>
            </w:pPr>
            <w:r w:rsidRPr="00181897">
              <w:rPr>
                <w:rFonts w:ascii="Times New Roman" w:hAnsi="Times New Roman" w:cs="Times New Roman"/>
                <w:b/>
                <w:bCs/>
                <w:color w:val="242424"/>
                <w:shd w:val="clear" w:color="auto" w:fill="FFFFFF"/>
              </w:rPr>
              <w:t>Sveitarstjórnarlög</w:t>
            </w:r>
          </w:p>
        </w:tc>
        <w:tc>
          <w:tcPr>
            <w:tcW w:w="5953" w:type="dxa"/>
          </w:tcPr>
          <w:p w14:paraId="5083F429" w14:textId="5A52CFBD" w:rsidR="00AB59ED" w:rsidRPr="00181897" w:rsidRDefault="00AB59ED" w:rsidP="00B44CB7">
            <w:pPr>
              <w:rPr>
                <w:rFonts w:ascii="Times New Roman" w:hAnsi="Times New Roman" w:cs="Times New Roman"/>
                <w:b/>
                <w:bCs/>
                <w:color w:val="242424"/>
                <w:shd w:val="clear" w:color="auto" w:fill="FFFFFF"/>
              </w:rPr>
            </w:pPr>
            <w:r w:rsidRPr="00181897">
              <w:rPr>
                <w:rFonts w:ascii="Times New Roman" w:hAnsi="Times New Roman" w:cs="Times New Roman"/>
                <w:b/>
                <w:bCs/>
                <w:color w:val="242424"/>
                <w:shd w:val="clear" w:color="auto" w:fill="FFFFFF"/>
              </w:rPr>
              <w:t>Frumvarp</w:t>
            </w:r>
            <w:r w:rsidR="00D63CBF" w:rsidRPr="00181897">
              <w:rPr>
                <w:rFonts w:ascii="Times New Roman" w:hAnsi="Times New Roman" w:cs="Times New Roman"/>
                <w:b/>
                <w:bCs/>
                <w:color w:val="242424"/>
                <w:shd w:val="clear" w:color="auto" w:fill="FFFFFF"/>
              </w:rPr>
              <w:t xml:space="preserve"> um kosningar</w:t>
            </w:r>
          </w:p>
        </w:tc>
      </w:tr>
      <w:tr w:rsidR="00AB59ED" w:rsidRPr="00181897" w14:paraId="7EB32CB3" w14:textId="77777777" w:rsidTr="008B72A4">
        <w:tc>
          <w:tcPr>
            <w:tcW w:w="5382" w:type="dxa"/>
          </w:tcPr>
          <w:p w14:paraId="6FEF6A12" w14:textId="24288D2E" w:rsidR="005740C2" w:rsidRPr="00181897" w:rsidRDefault="005740C2" w:rsidP="00B44CB7">
            <w:pPr>
              <w:rPr>
                <w:rFonts w:ascii="Times New Roman" w:hAnsi="Times New Roman" w:cs="Times New Roman"/>
                <w:color w:val="242424"/>
                <w:shd w:val="clear" w:color="auto" w:fill="FFFFFF"/>
              </w:rPr>
            </w:pPr>
          </w:p>
        </w:tc>
        <w:tc>
          <w:tcPr>
            <w:tcW w:w="5953" w:type="dxa"/>
          </w:tcPr>
          <w:p w14:paraId="4EC535F1" w14:textId="5661C393" w:rsidR="00AB59ED" w:rsidRPr="00181897" w:rsidRDefault="00D63CBF" w:rsidP="00B44CB7">
            <w:pPr>
              <w:rPr>
                <w:rFonts w:ascii="Times New Roman" w:hAnsi="Times New Roman" w:cs="Times New Roman"/>
                <w:color w:val="242424"/>
                <w:shd w:val="clear" w:color="auto" w:fill="FFFFFF"/>
              </w:rPr>
            </w:pPr>
            <w:r w:rsidRPr="00181897">
              <w:rPr>
                <w:rFonts w:ascii="Times New Roman" w:hAnsi="Times New Roman" w:cs="Times New Roman"/>
                <w:color w:val="242424"/>
                <w:shd w:val="clear" w:color="auto" w:fill="FFFFFF"/>
              </w:rPr>
              <w:t>breytingar</w:t>
            </w:r>
          </w:p>
        </w:tc>
      </w:tr>
      <w:tr w:rsidR="005740C2" w:rsidRPr="00181897" w14:paraId="3F7D2694" w14:textId="77777777" w:rsidTr="008B72A4">
        <w:tc>
          <w:tcPr>
            <w:tcW w:w="5382" w:type="dxa"/>
          </w:tcPr>
          <w:p w14:paraId="3154AEC1" w14:textId="6DC423DD" w:rsidR="005740C2" w:rsidRPr="00181897" w:rsidRDefault="005740C2" w:rsidP="00AB59ED">
            <w:pPr>
              <w:rPr>
                <w:rFonts w:ascii="Times New Roman" w:hAnsi="Times New Roman" w:cs="Times New Roman"/>
                <w:noProof/>
              </w:rPr>
            </w:pPr>
            <w:r>
              <w:rPr>
                <w:noProof/>
              </w:rPr>
              <w:drawing>
                <wp:inline distT="0" distB="0" distL="0" distR="0" wp14:anchorId="18A0B9EB" wp14:editId="69091DBF">
                  <wp:extent cx="101600" cy="10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rFonts w:ascii="Droid Serif" w:hAnsi="Droid Serif" w:cs="Droid Serif"/>
                <w:color w:val="242424"/>
                <w:shd w:val="clear" w:color="auto" w:fill="FFFFFF"/>
              </w:rPr>
              <w:t> </w:t>
            </w:r>
            <w:r>
              <w:rPr>
                <w:rFonts w:ascii="Droid Serif" w:hAnsi="Droid Serif" w:cs="Droid Serif"/>
                <w:b/>
                <w:bCs/>
                <w:color w:val="242424"/>
                <w:shd w:val="clear" w:color="auto" w:fill="FFFFFF"/>
              </w:rPr>
              <w:t>18. gr.</w:t>
            </w:r>
            <w:r>
              <w:rPr>
                <w:rFonts w:ascii="Droid Serif" w:hAnsi="Droid Serif" w:cs="Droid Serif"/>
                <w:color w:val="242424"/>
                <w:shd w:val="clear" w:color="auto" w:fill="FFFFFF"/>
              </w:rPr>
              <w:t> </w:t>
            </w:r>
            <w:r>
              <w:rPr>
                <w:rStyle w:val="Emphasis"/>
                <w:rFonts w:ascii="Droid Serif" w:hAnsi="Droid Serif" w:cs="Droid Serif"/>
                <w:color w:val="242424"/>
                <w:shd w:val="clear" w:color="auto" w:fill="FFFFFF"/>
              </w:rPr>
              <w:t>Tvær umræður í sveitarstjórn.</w:t>
            </w:r>
            <w:r>
              <w:rPr>
                <w:rFonts w:ascii="Droid Serif" w:hAnsi="Droid Serif" w:cs="Droid Serif"/>
                <w:color w:val="242424"/>
              </w:rPr>
              <w:br/>
            </w:r>
            <w:r>
              <w:rPr>
                <w:noProof/>
              </w:rPr>
              <w:drawing>
                <wp:inline distT="0" distB="0" distL="0" distR="0" wp14:anchorId="1DC71D21" wp14:editId="7AB52E50">
                  <wp:extent cx="101600" cy="101600"/>
                  <wp:effectExtent l="0" t="0" r="0" b="0"/>
                  <wp:docPr id="10"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rFonts w:ascii="Droid Serif" w:hAnsi="Droid Serif" w:cs="Droid Serif"/>
                <w:color w:val="242424"/>
                <w:shd w:val="clear" w:color="auto" w:fill="FFFFFF"/>
              </w:rPr>
              <w:t> Sveitarstjórn skal hafa tvær umræður, með a.m.k. einnar viku millibili, um:</w:t>
            </w:r>
            <w:r>
              <w:rPr>
                <w:rFonts w:ascii="Droid Serif" w:hAnsi="Droid Serif" w:cs="Droid Serif"/>
                <w:color w:val="242424"/>
              </w:rPr>
              <w:br/>
            </w:r>
            <w:r>
              <w:rPr>
                <w:rFonts w:ascii="Droid Serif" w:hAnsi="Droid Serif" w:cs="Droid Serif"/>
                <w:color w:val="242424"/>
                <w:shd w:val="clear" w:color="auto" w:fill="FFFFFF"/>
              </w:rPr>
              <w:t>    1. samþykktir og aðrar reglur sem samkvæmt lögum eiga að hljóta staðfestingu ráðherra,</w:t>
            </w:r>
            <w:r>
              <w:rPr>
                <w:rFonts w:ascii="Droid Serif" w:hAnsi="Droid Serif" w:cs="Droid Serif"/>
                <w:color w:val="242424"/>
              </w:rPr>
              <w:br/>
            </w:r>
            <w:r>
              <w:rPr>
                <w:rFonts w:ascii="Droid Serif" w:hAnsi="Droid Serif" w:cs="Droid Serif"/>
                <w:color w:val="242424"/>
                <w:shd w:val="clear" w:color="auto" w:fill="FFFFFF"/>
              </w:rPr>
              <w:t>    2. staðfestingu ársreiknings,</w:t>
            </w:r>
            <w:r>
              <w:rPr>
                <w:rFonts w:ascii="Droid Serif" w:hAnsi="Droid Serif" w:cs="Droid Serif"/>
                <w:color w:val="242424"/>
              </w:rPr>
              <w:br/>
            </w:r>
            <w:r>
              <w:rPr>
                <w:rFonts w:ascii="Droid Serif" w:hAnsi="Droid Serif" w:cs="Droid Serif"/>
                <w:color w:val="242424"/>
                <w:shd w:val="clear" w:color="auto" w:fill="FFFFFF"/>
              </w:rPr>
              <w:t>    3. stefnumarkandi áætlanir sem gilda eiga til lengri tíma og taka til sveitarfélags í heild eða meiri hluta þess,</w:t>
            </w:r>
            <w:r>
              <w:rPr>
                <w:rFonts w:ascii="Droid Serif" w:hAnsi="Droid Serif" w:cs="Droid Serif"/>
                <w:color w:val="242424"/>
              </w:rPr>
              <w:br/>
            </w:r>
            <w:r>
              <w:rPr>
                <w:rFonts w:ascii="Droid Serif" w:hAnsi="Droid Serif" w:cs="Droid Serif"/>
                <w:color w:val="242424"/>
                <w:shd w:val="clear" w:color="auto" w:fill="FFFFFF"/>
              </w:rPr>
              <w:t>    4. tillögu um sameiningu við annað sveitarfélag skv. 2. mgr. 120. gr.</w:t>
            </w:r>
            <w:r>
              <w:rPr>
                <w:rFonts w:ascii="Droid Serif" w:hAnsi="Droid Serif" w:cs="Droid Serif"/>
                <w:color w:val="242424"/>
              </w:rPr>
              <w:br/>
            </w:r>
            <w:r>
              <w:rPr>
                <w:noProof/>
              </w:rPr>
              <w:drawing>
                <wp:inline distT="0" distB="0" distL="0" distR="0" wp14:anchorId="13BE9D2A" wp14:editId="12A00F87">
                  <wp:extent cx="101600" cy="101600"/>
                  <wp:effectExtent l="0" t="0" r="0" b="0"/>
                  <wp:docPr id="16" name="G1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rFonts w:ascii="Droid Serif" w:hAnsi="Droid Serif" w:cs="Droid Serif"/>
                <w:color w:val="242424"/>
                <w:shd w:val="clear" w:color="auto" w:fill="FFFFFF"/>
              </w:rPr>
              <w:t> Sveitarstjórn skal hafa tvær umræður, með a.m.k. tveggja vikna millibili, um fjárhagsáætlanir sveitarfélagsins skv. 62. gr. Ákvæði þetta gildir þó ekki um samþykkt viðauka við fjárhagsáætlanir.</w:t>
            </w:r>
          </w:p>
        </w:tc>
        <w:tc>
          <w:tcPr>
            <w:tcW w:w="5953" w:type="dxa"/>
          </w:tcPr>
          <w:p w14:paraId="18C1022D" w14:textId="399621F7" w:rsidR="005740C2" w:rsidRPr="00181897" w:rsidRDefault="005740C2" w:rsidP="00AB59ED">
            <w:pPr>
              <w:rPr>
                <w:rFonts w:ascii="Times New Roman" w:hAnsi="Times New Roman" w:cs="Times New Roman"/>
                <w:noProof/>
              </w:rPr>
            </w:pPr>
            <w:r>
              <w:rPr>
                <w:noProof/>
              </w:rPr>
              <w:drawing>
                <wp:inline distT="0" distB="0" distL="0" distR="0" wp14:anchorId="73FB6C62" wp14:editId="0F79F3D3">
                  <wp:extent cx="101600" cy="10160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rFonts w:ascii="Droid Serif" w:hAnsi="Droid Serif" w:cs="Droid Serif"/>
                <w:color w:val="242424"/>
                <w:shd w:val="clear" w:color="auto" w:fill="FFFFFF"/>
              </w:rPr>
              <w:t> </w:t>
            </w:r>
            <w:r>
              <w:rPr>
                <w:rFonts w:ascii="Droid Serif" w:hAnsi="Droid Serif" w:cs="Droid Serif"/>
                <w:b/>
                <w:bCs/>
                <w:color w:val="242424"/>
                <w:shd w:val="clear" w:color="auto" w:fill="FFFFFF"/>
              </w:rPr>
              <w:t>18. gr.</w:t>
            </w:r>
            <w:r>
              <w:rPr>
                <w:rFonts w:ascii="Droid Serif" w:hAnsi="Droid Serif" w:cs="Droid Serif"/>
                <w:color w:val="242424"/>
                <w:shd w:val="clear" w:color="auto" w:fill="FFFFFF"/>
              </w:rPr>
              <w:t> </w:t>
            </w:r>
            <w:r>
              <w:rPr>
                <w:rStyle w:val="Emphasis"/>
                <w:rFonts w:ascii="Droid Serif" w:hAnsi="Droid Serif" w:cs="Droid Serif"/>
                <w:color w:val="242424"/>
                <w:shd w:val="clear" w:color="auto" w:fill="FFFFFF"/>
              </w:rPr>
              <w:t>Tvær umræður í sveitarstjórn.</w:t>
            </w:r>
            <w:r>
              <w:rPr>
                <w:rFonts w:ascii="Droid Serif" w:hAnsi="Droid Serif" w:cs="Droid Serif"/>
                <w:color w:val="242424"/>
              </w:rPr>
              <w:br/>
            </w:r>
            <w:r>
              <w:rPr>
                <w:noProof/>
              </w:rPr>
              <w:drawing>
                <wp:inline distT="0" distB="0" distL="0" distR="0" wp14:anchorId="548BA1D2" wp14:editId="0BCBC9A9">
                  <wp:extent cx="101600" cy="101600"/>
                  <wp:effectExtent l="0" t="0" r="0" b="0"/>
                  <wp:docPr id="232"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rFonts w:ascii="Droid Serif" w:hAnsi="Droid Serif" w:cs="Droid Serif"/>
                <w:color w:val="242424"/>
                <w:shd w:val="clear" w:color="auto" w:fill="FFFFFF"/>
              </w:rPr>
              <w:t> Sveitarstjórn skal hafa tvær umræður, með a.m.k. einnar viku millibili, um:</w:t>
            </w:r>
            <w:r>
              <w:rPr>
                <w:rFonts w:ascii="Droid Serif" w:hAnsi="Droid Serif" w:cs="Droid Serif"/>
                <w:color w:val="242424"/>
              </w:rPr>
              <w:br/>
            </w:r>
            <w:r>
              <w:rPr>
                <w:rFonts w:ascii="Droid Serif" w:hAnsi="Droid Serif" w:cs="Droid Serif"/>
                <w:color w:val="242424"/>
                <w:shd w:val="clear" w:color="auto" w:fill="FFFFFF"/>
              </w:rPr>
              <w:t>    1. samþykktir og aðrar reglur sem samkvæmt lögum eiga að hljóta staðfestingu ráðherra,</w:t>
            </w:r>
            <w:r>
              <w:rPr>
                <w:rFonts w:ascii="Droid Serif" w:hAnsi="Droid Serif" w:cs="Droid Serif"/>
                <w:color w:val="242424"/>
              </w:rPr>
              <w:br/>
            </w:r>
            <w:r>
              <w:rPr>
                <w:rFonts w:ascii="Droid Serif" w:hAnsi="Droid Serif" w:cs="Droid Serif"/>
                <w:color w:val="242424"/>
                <w:shd w:val="clear" w:color="auto" w:fill="FFFFFF"/>
              </w:rPr>
              <w:t>    2. staðfestingu ársreiknings,</w:t>
            </w:r>
            <w:r>
              <w:rPr>
                <w:rFonts w:ascii="Droid Serif" w:hAnsi="Droid Serif" w:cs="Droid Serif"/>
                <w:color w:val="242424"/>
              </w:rPr>
              <w:br/>
            </w:r>
            <w:r>
              <w:rPr>
                <w:rFonts w:ascii="Droid Serif" w:hAnsi="Droid Serif" w:cs="Droid Serif"/>
                <w:color w:val="242424"/>
                <w:shd w:val="clear" w:color="auto" w:fill="FFFFFF"/>
              </w:rPr>
              <w:t>    3. stefnumarkandi áætlanir sem gilda eiga til lengri tíma og taka til sveitarfélags í heild eða meiri hluta þess,</w:t>
            </w:r>
            <w:r>
              <w:rPr>
                <w:rFonts w:ascii="Droid Serif" w:hAnsi="Droid Serif" w:cs="Droid Serif"/>
                <w:color w:val="242424"/>
              </w:rPr>
              <w:br/>
            </w:r>
            <w:r>
              <w:rPr>
                <w:rFonts w:ascii="Droid Serif" w:hAnsi="Droid Serif" w:cs="Droid Serif"/>
                <w:color w:val="242424"/>
                <w:shd w:val="clear" w:color="auto" w:fill="FFFFFF"/>
              </w:rPr>
              <w:t>    4. </w:t>
            </w:r>
            <w:r w:rsidRPr="005740C2">
              <w:rPr>
                <w:rFonts w:ascii="Droid Serif" w:hAnsi="Droid Serif" w:cs="Droid Serif"/>
                <w:color w:val="242424"/>
                <w:highlight w:val="yellow"/>
                <w:shd w:val="clear" w:color="auto" w:fill="FFFFFF"/>
              </w:rPr>
              <w:t xml:space="preserve">tillögu um </w:t>
            </w:r>
            <w:r w:rsidRPr="005740C2">
              <w:rPr>
                <w:rFonts w:ascii="Droid Serif" w:hAnsi="Droid Serif" w:cs="Droid Serif"/>
                <w:color w:val="242424"/>
                <w:highlight w:val="yellow"/>
                <w:shd w:val="clear" w:color="auto" w:fill="FFFFFF"/>
              </w:rPr>
              <w:t>kjósa samstarfsnefnd vegna sameiningu sveitarfélaga</w:t>
            </w:r>
            <w:r w:rsidRPr="005740C2">
              <w:rPr>
                <w:rFonts w:ascii="Droid Serif" w:hAnsi="Droid Serif" w:cs="Droid Serif"/>
                <w:color w:val="242424"/>
                <w:highlight w:val="yellow"/>
                <w:shd w:val="clear" w:color="auto" w:fill="FFFFFF"/>
              </w:rPr>
              <w:t xml:space="preserve"> skv. </w:t>
            </w:r>
            <w:r w:rsidRPr="005740C2">
              <w:rPr>
                <w:rFonts w:ascii="Droid Serif" w:hAnsi="Droid Serif" w:cs="Droid Serif"/>
                <w:color w:val="242424"/>
                <w:highlight w:val="yellow"/>
                <w:shd w:val="clear" w:color="auto" w:fill="FFFFFF"/>
              </w:rPr>
              <w:t>1</w:t>
            </w:r>
            <w:r w:rsidRPr="005740C2">
              <w:rPr>
                <w:rFonts w:ascii="Droid Serif" w:hAnsi="Droid Serif" w:cs="Droid Serif"/>
                <w:color w:val="242424"/>
                <w:highlight w:val="yellow"/>
                <w:shd w:val="clear" w:color="auto" w:fill="FFFFFF"/>
              </w:rPr>
              <w:t>. mgr. 120. gr.</w:t>
            </w:r>
            <w:r>
              <w:rPr>
                <w:rFonts w:ascii="Droid Serif" w:hAnsi="Droid Serif" w:cs="Droid Serif"/>
                <w:color w:val="242424"/>
              </w:rPr>
              <w:br/>
            </w:r>
            <w:r>
              <w:rPr>
                <w:noProof/>
              </w:rPr>
              <w:drawing>
                <wp:inline distT="0" distB="0" distL="0" distR="0" wp14:anchorId="2404201A" wp14:editId="4D5058C4">
                  <wp:extent cx="101600" cy="101600"/>
                  <wp:effectExtent l="0" t="0" r="0" b="0"/>
                  <wp:docPr id="240" name="G1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rFonts w:ascii="Droid Serif" w:hAnsi="Droid Serif" w:cs="Droid Serif"/>
                <w:color w:val="242424"/>
                <w:shd w:val="clear" w:color="auto" w:fill="FFFFFF"/>
              </w:rPr>
              <w:t> Sveitarstjórn skal hafa tvær umræður, með a.m.k. tveggja vikna millibili, um fjárhagsáætlanir sveitarfélagsins skv. 62. gr. Ákvæði þetta gildir þó ekki um samþykkt viðauka við fjárhagsáætlanir.</w:t>
            </w:r>
          </w:p>
        </w:tc>
      </w:tr>
      <w:tr w:rsidR="00AB59ED" w:rsidRPr="00181897" w14:paraId="7BAC55A9" w14:textId="77777777" w:rsidTr="008B72A4">
        <w:tc>
          <w:tcPr>
            <w:tcW w:w="5382" w:type="dxa"/>
          </w:tcPr>
          <w:p w14:paraId="3AC6BA2D" w14:textId="32271039" w:rsidR="00AB59ED" w:rsidRPr="00181897" w:rsidRDefault="00AB59ED" w:rsidP="00AB59ED">
            <w:pPr>
              <w:rPr>
                <w:rFonts w:ascii="Times New Roman" w:hAnsi="Times New Roman" w:cs="Times New Roman"/>
                <w:b/>
                <w:bCs/>
                <w:color w:val="242424"/>
                <w:shd w:val="clear" w:color="auto" w:fill="FFFFFF"/>
              </w:rPr>
            </w:pPr>
            <w:r w:rsidRPr="00181897">
              <w:rPr>
                <w:rFonts w:ascii="Times New Roman" w:hAnsi="Times New Roman" w:cs="Times New Roman"/>
                <w:noProof/>
              </w:rPr>
              <w:drawing>
                <wp:inline distT="0" distB="0" distL="0" distR="0" wp14:anchorId="05FF458F" wp14:editId="2D1C3E91">
                  <wp:extent cx="104140" cy="1041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w:t>
            </w:r>
            <w:r w:rsidRPr="00181897">
              <w:rPr>
                <w:rFonts w:ascii="Times New Roman" w:hAnsi="Times New Roman" w:cs="Times New Roman"/>
                <w:b/>
                <w:bCs/>
                <w:color w:val="242424"/>
                <w:shd w:val="clear" w:color="auto" w:fill="FFFFFF"/>
              </w:rPr>
              <w:t>38. gr.</w:t>
            </w:r>
            <w:r w:rsidRPr="00181897">
              <w:rPr>
                <w:rFonts w:ascii="Times New Roman" w:hAnsi="Times New Roman" w:cs="Times New Roman"/>
                <w:color w:val="242424"/>
                <w:shd w:val="clear" w:color="auto" w:fill="FFFFFF"/>
              </w:rPr>
              <w:t> </w:t>
            </w:r>
            <w:r w:rsidRPr="00181897">
              <w:rPr>
                <w:rStyle w:val="Emphasis"/>
                <w:rFonts w:ascii="Times New Roman" w:hAnsi="Times New Roman" w:cs="Times New Roman"/>
                <w:color w:val="242424"/>
                <w:shd w:val="clear" w:color="auto" w:fill="FFFFFF"/>
              </w:rPr>
              <w:t>Nefnd fyrir hluta sveitarfélags.</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2F98FC52" wp14:editId="1B149FBF">
                  <wp:extent cx="104140" cy="104140"/>
                  <wp:effectExtent l="0" t="0" r="0" b="0"/>
                  <wp:docPr id="13" name="G3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Sveitarstjórn getur kosið nefnd til að fara með afmörkuð málefni eða málaflokka í hluta sveitarfélags.</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01412095" wp14:editId="3A8B9E77">
                  <wp:extent cx="104140" cy="104140"/>
                  <wp:effectExtent l="0" t="0" r="0" b="0"/>
                  <wp:docPr id="14" name="G3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Ef mælt er fyrir um kosningu slíkrar nefndar í lögum eða samþykkt um stjórn sveitarfélags telst hún til fastanefnda sveitarstjórnar.</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194B06C3" wp14:editId="6E4F2960">
                  <wp:extent cx="104140" cy="104140"/>
                  <wp:effectExtent l="0" t="0" r="0" b="0"/>
                  <wp:docPr id="15" name="G3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xml:space="preserve"> Í samþykkt um stjórn sveitarfélags má ákveða að nefnd samkvæmt þessari grein skuli kosin af íbúum viðkomandi hluta sveitarfélags sem kosningarrétt eiga samkvæmt lögum um kosningar </w:t>
            </w:r>
            <w:r w:rsidRPr="00181897">
              <w:rPr>
                <w:rFonts w:ascii="Times New Roman" w:hAnsi="Times New Roman" w:cs="Times New Roman"/>
                <w:strike/>
                <w:color w:val="242424"/>
                <w:shd w:val="clear" w:color="auto" w:fill="FFFFFF"/>
              </w:rPr>
              <w:t>til sveitarstjórna</w:t>
            </w:r>
            <w:r w:rsidRPr="00181897">
              <w:rPr>
                <w:rFonts w:ascii="Times New Roman" w:hAnsi="Times New Roman" w:cs="Times New Roman"/>
                <w:color w:val="242424"/>
                <w:shd w:val="clear" w:color="auto" w:fill="FFFFFF"/>
              </w:rPr>
              <w:t>. Eru þá jafnframt aðeins kjörgengir í nefndina íbúar viðkomandi hluta sveitarfélagsins.</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6DF32D1A" wp14:editId="25162792">
                  <wp:extent cx="104140" cy="104140"/>
                  <wp:effectExtent l="0" t="0" r="0" b="0"/>
                  <wp:docPr id="29" name="G3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xml:space="preserve"> Ákvörðun skv. 3. mgr. er háð samþykki ráðuneytisins og er m.a. háð því skilyrði að hægt sé að gefa út kjörskrárstofn fyrir þann hluta sveitarfélagsins sem um </w:t>
            </w:r>
            <w:r w:rsidRPr="00181897">
              <w:rPr>
                <w:rFonts w:ascii="Times New Roman" w:hAnsi="Times New Roman" w:cs="Times New Roman"/>
                <w:color w:val="242424"/>
                <w:shd w:val="clear" w:color="auto" w:fill="FFFFFF"/>
              </w:rPr>
              <w:lastRenderedPageBreak/>
              <w:t xml:space="preserve">ræðir, sbr. </w:t>
            </w:r>
            <w:r w:rsidRPr="00181897">
              <w:rPr>
                <w:rFonts w:ascii="Times New Roman" w:hAnsi="Times New Roman" w:cs="Times New Roman"/>
                <w:strike/>
                <w:color w:val="242424"/>
                <w:shd w:val="clear" w:color="auto" w:fill="FFFFFF"/>
              </w:rPr>
              <w:t>4. gr.</w:t>
            </w:r>
            <w:r w:rsidRPr="00181897">
              <w:rPr>
                <w:rFonts w:ascii="Times New Roman" w:hAnsi="Times New Roman" w:cs="Times New Roman"/>
                <w:color w:val="242424"/>
                <w:shd w:val="clear" w:color="auto" w:fill="FFFFFF"/>
              </w:rPr>
              <w:t xml:space="preserve"> laga um kosningar </w:t>
            </w:r>
            <w:r w:rsidRPr="00181897">
              <w:rPr>
                <w:rFonts w:ascii="Times New Roman" w:hAnsi="Times New Roman" w:cs="Times New Roman"/>
                <w:strike/>
                <w:color w:val="242424"/>
                <w:shd w:val="clear" w:color="auto" w:fill="FFFFFF"/>
              </w:rPr>
              <w:t xml:space="preserve">til sveitarstjórna. </w:t>
            </w:r>
            <w:r w:rsidRPr="00181897">
              <w:rPr>
                <w:rFonts w:ascii="Times New Roman" w:hAnsi="Times New Roman" w:cs="Times New Roman"/>
                <w:color w:val="242424"/>
                <w:shd w:val="clear" w:color="auto" w:fill="FFFFFF"/>
              </w:rPr>
              <w:t xml:space="preserve">Um kosningu samkvæmt grein þessari gilda að öðru leyti ákvæði </w:t>
            </w:r>
            <w:r w:rsidR="002B0BF2" w:rsidRPr="00181897">
              <w:rPr>
                <w:rFonts w:ascii="Times New Roman" w:hAnsi="Times New Roman" w:cs="Times New Roman"/>
                <w:color w:val="242424"/>
                <w:shd w:val="clear" w:color="auto" w:fill="FFFFFF"/>
              </w:rPr>
              <w:t xml:space="preserve">kosningalaga. </w:t>
            </w:r>
            <w:r w:rsidRPr="00181897">
              <w:rPr>
                <w:rFonts w:ascii="Times New Roman" w:hAnsi="Times New Roman" w:cs="Times New Roman"/>
                <w:strike/>
                <w:color w:val="242424"/>
                <w:shd w:val="clear" w:color="auto" w:fill="FFFFFF"/>
              </w:rPr>
              <w:t>þeirra laga.</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5DF8DFE2" wp14:editId="2FB1C4C2">
                  <wp:extent cx="104140" cy="104140"/>
                  <wp:effectExtent l="0" t="0" r="0" b="0"/>
                  <wp:docPr id="224" name="G3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Ákvæði 44., 45. og 49. gr. gilda ekki um skipun nefndar sem er kosin skv. 3. mgr. Að öðru leyti gilda um störf slíkrar nefndar, kjörgengi, réttindi og skyldur nefndarmanna og aðra þætti ákvæði þessara laga eftir því sem við getur átt.</w:t>
            </w:r>
          </w:p>
        </w:tc>
        <w:tc>
          <w:tcPr>
            <w:tcW w:w="5953" w:type="dxa"/>
          </w:tcPr>
          <w:p w14:paraId="74E12098" w14:textId="265FFAC1" w:rsidR="00AB59ED" w:rsidRPr="00181897" w:rsidRDefault="00AB59ED" w:rsidP="00AB59ED">
            <w:pPr>
              <w:rPr>
                <w:rFonts w:ascii="Times New Roman" w:hAnsi="Times New Roman" w:cs="Times New Roman"/>
                <w:color w:val="242424"/>
                <w:shd w:val="clear" w:color="auto" w:fill="FFFFFF"/>
              </w:rPr>
            </w:pPr>
            <w:r w:rsidRPr="00181897">
              <w:rPr>
                <w:rFonts w:ascii="Times New Roman" w:hAnsi="Times New Roman" w:cs="Times New Roman"/>
                <w:noProof/>
              </w:rPr>
              <w:lastRenderedPageBreak/>
              <w:drawing>
                <wp:inline distT="0" distB="0" distL="0" distR="0" wp14:anchorId="52D72DB7" wp14:editId="2401AB89">
                  <wp:extent cx="104140" cy="10414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w:t>
            </w:r>
            <w:r w:rsidRPr="00181897">
              <w:rPr>
                <w:rFonts w:ascii="Times New Roman" w:hAnsi="Times New Roman" w:cs="Times New Roman"/>
                <w:b/>
                <w:bCs/>
                <w:color w:val="242424"/>
                <w:shd w:val="clear" w:color="auto" w:fill="FFFFFF"/>
              </w:rPr>
              <w:t>38. gr.</w:t>
            </w:r>
            <w:r w:rsidRPr="00181897">
              <w:rPr>
                <w:rFonts w:ascii="Times New Roman" w:hAnsi="Times New Roman" w:cs="Times New Roman"/>
                <w:color w:val="242424"/>
                <w:shd w:val="clear" w:color="auto" w:fill="FFFFFF"/>
              </w:rPr>
              <w:t> </w:t>
            </w:r>
            <w:r w:rsidRPr="00181897">
              <w:rPr>
                <w:rStyle w:val="Emphasis"/>
                <w:rFonts w:ascii="Times New Roman" w:hAnsi="Times New Roman" w:cs="Times New Roman"/>
                <w:color w:val="242424"/>
                <w:shd w:val="clear" w:color="auto" w:fill="FFFFFF"/>
              </w:rPr>
              <w:t>Nefnd fyrir hluta sveitarfélags.</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6F1E6961" wp14:editId="7CBD9A6E">
                  <wp:extent cx="104140" cy="104140"/>
                  <wp:effectExtent l="0" t="0" r="0" b="0"/>
                  <wp:docPr id="238" name="G3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Sveitarstjórn getur kosið nefnd til að fara með afmörkuð málefni eða málaflokka í hluta sveitarfélags.</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10DA7941" wp14:editId="286A7FDE">
                  <wp:extent cx="104140" cy="104140"/>
                  <wp:effectExtent l="0" t="0" r="0" b="0"/>
                  <wp:docPr id="3" name="G3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Ef mælt er fyrir um kosningu slíkrar nefndar í lögum eða samþykkt um stjórn sveitarfélags telst hún til fastanefnda sveitarstjórnar.</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18B8258B" wp14:editId="6B84FA51">
                  <wp:extent cx="104140" cy="104140"/>
                  <wp:effectExtent l="0" t="0" r="0" b="0"/>
                  <wp:docPr id="4" name="G3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xml:space="preserve"> Í samþykkt um stjórn sveitarfélags má ákveða að nefnd samkvæmt þessari grein skuli kosin af íbúum viðkomandi hluta sveitarfélags sem kosningarrétt eiga samkvæmt </w:t>
            </w:r>
            <w:r w:rsidR="00181897">
              <w:rPr>
                <w:rFonts w:ascii="Times New Roman" w:hAnsi="Times New Roman" w:cs="Times New Roman"/>
                <w:color w:val="242424"/>
                <w:shd w:val="clear" w:color="auto" w:fill="FFFFFF"/>
              </w:rPr>
              <w:t>kosningalögum</w:t>
            </w:r>
            <w:r w:rsidRPr="00181897">
              <w:rPr>
                <w:rFonts w:ascii="Times New Roman" w:hAnsi="Times New Roman" w:cs="Times New Roman"/>
                <w:color w:val="242424"/>
                <w:shd w:val="clear" w:color="auto" w:fill="FFFFFF"/>
              </w:rPr>
              <w:t xml:space="preserve">. </w:t>
            </w:r>
            <w:r w:rsidRPr="00181897">
              <w:rPr>
                <w:rFonts w:ascii="Times New Roman" w:hAnsi="Times New Roman" w:cs="Times New Roman"/>
                <w:strike/>
                <w:color w:val="242424"/>
                <w:highlight w:val="yellow"/>
                <w:shd w:val="clear" w:color="auto" w:fill="FFFFFF"/>
              </w:rPr>
              <w:t>Eru þá jafnframt aðeins kjörgengir í nefndina íbúar viðkomandi hluta sveitarfélagsins.</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6783F7CD" wp14:editId="4CC64F69">
                  <wp:extent cx="104140" cy="104140"/>
                  <wp:effectExtent l="0" t="0" r="0" b="0"/>
                  <wp:docPr id="239" name="G3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Ákvörðun skv. 3. mgr. er háð samþykki ráðuneytisins og er m.a. háð því skilyrði að hægt sé að gefa út kjörskrárstofn fyrir þann hluta sveitarfélagsins sem um ræðir</w:t>
            </w:r>
            <w:r w:rsidR="00B24C3C">
              <w:rPr>
                <w:rFonts w:ascii="Times New Roman" w:hAnsi="Times New Roman" w:cs="Times New Roman"/>
                <w:color w:val="242424"/>
                <w:shd w:val="clear" w:color="auto" w:fill="FFFFFF"/>
              </w:rPr>
              <w:t>.</w:t>
            </w:r>
            <w:r w:rsidRPr="00181897">
              <w:rPr>
                <w:rFonts w:ascii="Times New Roman" w:hAnsi="Times New Roman" w:cs="Times New Roman"/>
                <w:color w:val="242424"/>
                <w:shd w:val="clear" w:color="auto" w:fill="FFFFFF"/>
              </w:rPr>
              <w:t xml:space="preserve">. </w:t>
            </w:r>
            <w:r w:rsidRPr="00181897">
              <w:rPr>
                <w:rFonts w:ascii="Times New Roman" w:hAnsi="Times New Roman" w:cs="Times New Roman"/>
                <w:color w:val="242424"/>
                <w:highlight w:val="yellow"/>
                <w:shd w:val="clear" w:color="auto" w:fill="FFFFFF"/>
              </w:rPr>
              <w:t>Við framkvæmd atkvæðagreiðslu samkvæmt þessari grein skal að öðru leyti far</w:t>
            </w:r>
            <w:r w:rsidR="002B0BF2" w:rsidRPr="00181897">
              <w:rPr>
                <w:rFonts w:ascii="Times New Roman" w:hAnsi="Times New Roman" w:cs="Times New Roman"/>
                <w:color w:val="242424"/>
                <w:highlight w:val="yellow"/>
                <w:shd w:val="clear" w:color="auto" w:fill="FFFFFF"/>
              </w:rPr>
              <w:t>a</w:t>
            </w:r>
            <w:r w:rsidRPr="00181897">
              <w:rPr>
                <w:rFonts w:ascii="Times New Roman" w:hAnsi="Times New Roman" w:cs="Times New Roman"/>
                <w:color w:val="242424"/>
                <w:highlight w:val="yellow"/>
                <w:shd w:val="clear" w:color="auto" w:fill="FFFFFF"/>
              </w:rPr>
              <w:t xml:space="preserve"> </w:t>
            </w:r>
            <w:r w:rsidRPr="00181897">
              <w:rPr>
                <w:rFonts w:ascii="Times New Roman" w:hAnsi="Times New Roman" w:cs="Times New Roman"/>
                <w:color w:val="242424"/>
                <w:highlight w:val="yellow"/>
                <w:shd w:val="clear" w:color="auto" w:fill="FFFFFF"/>
              </w:rPr>
              <w:lastRenderedPageBreak/>
              <w:t>eftir</w:t>
            </w:r>
            <w:r w:rsidR="002B0BF2" w:rsidRPr="00181897">
              <w:rPr>
                <w:rFonts w:ascii="Times New Roman" w:hAnsi="Times New Roman" w:cs="Times New Roman"/>
                <w:color w:val="242424"/>
                <w:highlight w:val="yellow"/>
                <w:shd w:val="clear" w:color="auto" w:fill="FFFFFF"/>
              </w:rPr>
              <w:t xml:space="preserve"> </w:t>
            </w:r>
            <w:r w:rsidR="0054542D" w:rsidRPr="00181897">
              <w:rPr>
                <w:rFonts w:ascii="Times New Roman" w:hAnsi="Times New Roman" w:cs="Times New Roman"/>
                <w:color w:val="242424"/>
                <w:highlight w:val="yellow"/>
                <w:shd w:val="clear" w:color="auto" w:fill="FFFFFF"/>
              </w:rPr>
              <w:t>133. gr.</w:t>
            </w:r>
            <w:r w:rsidR="002B0BF2" w:rsidRPr="00181897">
              <w:rPr>
                <w:rFonts w:ascii="Times New Roman" w:hAnsi="Times New Roman" w:cs="Times New Roman"/>
                <w:color w:val="242424"/>
                <w:highlight w:val="yellow"/>
                <w:shd w:val="clear" w:color="auto" w:fill="FFFFFF"/>
              </w:rPr>
              <w:t xml:space="preserve"> og reglum sem sveitarstjórn setur sér um íbúakosningar.</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6EE1441C" wp14:editId="52FEE5A0">
                  <wp:extent cx="104140" cy="104140"/>
                  <wp:effectExtent l="0" t="0" r="0" b="0"/>
                  <wp:docPr id="253" name="G3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Ákvæði 44., 45. og 49. gr. gilda ekki um skipun nefndar sem er kosin skv. 3. mgr. Að öðru leyti gilda um störf slíkrar nefndar, kjörgengi, réttindi og skyldur nefndarmanna og aðra þætti ákvæði þessara laga eftir því sem við getur átt.</w:t>
            </w:r>
          </w:p>
        </w:tc>
      </w:tr>
      <w:tr w:rsidR="00AB59ED" w:rsidRPr="00181897" w14:paraId="0E45144F" w14:textId="77777777" w:rsidTr="008B72A4">
        <w:tc>
          <w:tcPr>
            <w:tcW w:w="5382" w:type="dxa"/>
          </w:tcPr>
          <w:p w14:paraId="68F0FFDE" w14:textId="4C01E2C9" w:rsidR="002B0BF2" w:rsidRPr="00181897" w:rsidRDefault="00AB59ED" w:rsidP="002B0BF2">
            <w:pPr>
              <w:rPr>
                <w:rFonts w:ascii="Times New Roman" w:hAnsi="Times New Roman" w:cs="Times New Roman"/>
                <w:color w:val="242424"/>
                <w:shd w:val="clear" w:color="auto" w:fill="FFFFFF"/>
              </w:rPr>
            </w:pPr>
            <w:r w:rsidRPr="00181897">
              <w:rPr>
                <w:rFonts w:ascii="Times New Roman" w:hAnsi="Times New Roman" w:cs="Times New Roman"/>
                <w:b/>
                <w:bCs/>
                <w:color w:val="242424"/>
                <w:shd w:val="clear" w:color="auto" w:fill="FFFFFF"/>
              </w:rPr>
              <w:lastRenderedPageBreak/>
              <w:t>107. gr.</w:t>
            </w:r>
            <w:r w:rsidRPr="00181897">
              <w:rPr>
                <w:rFonts w:ascii="Times New Roman" w:hAnsi="Times New Roman" w:cs="Times New Roman"/>
                <w:color w:val="242424"/>
                <w:shd w:val="clear" w:color="auto" w:fill="FFFFFF"/>
              </w:rPr>
              <w:t> </w:t>
            </w:r>
            <w:r w:rsidRPr="00181897">
              <w:rPr>
                <w:rStyle w:val="Emphasis"/>
                <w:rFonts w:ascii="Times New Roman" w:hAnsi="Times New Roman" w:cs="Times New Roman"/>
                <w:color w:val="242424"/>
                <w:shd w:val="clear" w:color="auto" w:fill="FFFFFF"/>
              </w:rPr>
              <w:t>Íbúakosningar.</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24DC5F8B" wp14:editId="354A20A1">
                  <wp:extent cx="104140" cy="104140"/>
                  <wp:effectExtent l="0" t="0" r="0" b="0"/>
                  <wp:docPr id="227" name="G10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Sveitarstjórn ákveður hvort fram skuli fara almenn atkvæðagreiðsla meðal íbúa sveitarfélagsins um einstök málefni þess, sbr. þó 108. gr.</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77D27EC0" wp14:editId="615589C7">
                  <wp:extent cx="104140" cy="104140"/>
                  <wp:effectExtent l="0" t="0" r="0" b="0"/>
                  <wp:docPr id="228" name="G10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Til atkvæðagreiðslu skv. 1. mgr. skal boða með a.m.k. fjögurra vikna fyrirvara með opinberri auglýsingu. Samhliða skal sveitarstjórn opinberlega kynna þá tillögu sem borin verður undir atkvæði og þær upplýsingar sem kjósendum eru nauðsynlegar til að geta tekið til hennar upplýsta afstöðu.</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29938537" wp14:editId="1B6A545E">
                  <wp:extent cx="104140" cy="104140"/>
                  <wp:effectExtent l="0" t="0" r="0" b="0"/>
                  <wp:docPr id="229" name="G10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xml:space="preserve"> Rétt til þátttöku í atkvæðagreiðslu skv. 1. mgr. eiga þeir sem kosningarrétt eiga í sveitarfélaginu samkvæmt lögum um kosningar til sveitarstjórna. Sveitarstjórn skal gera kjörskrá fyrir atkvæðagreiðsluna. Um gerð hennar og auglýsingu gilda ákvæði </w:t>
            </w:r>
            <w:r w:rsidR="002B0BF2" w:rsidRPr="00181897">
              <w:rPr>
                <w:rFonts w:ascii="Times New Roman" w:hAnsi="Times New Roman" w:cs="Times New Roman"/>
                <w:color w:val="242424"/>
                <w:shd w:val="clear" w:color="auto" w:fill="FFFFFF"/>
              </w:rPr>
              <w:t xml:space="preserve">kosningalaga. </w:t>
            </w:r>
            <w:r w:rsidRPr="00181897">
              <w:rPr>
                <w:rFonts w:ascii="Times New Roman" w:hAnsi="Times New Roman" w:cs="Times New Roman"/>
                <w:strike/>
                <w:color w:val="242424"/>
                <w:shd w:val="clear" w:color="auto" w:fill="FFFFFF"/>
              </w:rPr>
              <w:t>4.–7. gr. og 9.–11. gr. laga um kosningar til sveitarstjórna.</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59335544" wp14:editId="215AF79C">
                  <wp:extent cx="104140" cy="104140"/>
                  <wp:effectExtent l="0" t="0" r="0" b="0"/>
                  <wp:docPr id="230" name="G10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Atkvæðagreiðsla skal vera leynileg og atkvæðisréttur jafn.</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39D9D059" wp14:editId="741AB468">
                  <wp:extent cx="104140" cy="104140"/>
                  <wp:effectExtent l="0" t="0" r="0" b="0"/>
                  <wp:docPr id="231" name="G10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Atkvæðagreiðsla samkvæmt þessari grein, sem og 108. gr., er ráðgefandi nema sveitarstjórn ákveði að hún skuli binda hendur hennar til loka kjörtímabils. Í auglýsingu skv. 2. mgr. skal koma fram hvort atkvæðagreiðsla er bindandi. Slíka ákvörðun má binda skilyrði um að tiltekið hlutfall þeirra sem voru á kjörskrá hafi tekið þátt í atkvæðagreiðslu.</w:t>
            </w:r>
          </w:p>
          <w:p w14:paraId="09EB6E21" w14:textId="78B57DA7" w:rsidR="002B0BF2" w:rsidRPr="00181897" w:rsidRDefault="002B0BF2" w:rsidP="002B0BF2">
            <w:pPr>
              <w:shd w:val="clear" w:color="auto" w:fill="FFFFFF"/>
              <w:rPr>
                <w:rFonts w:ascii="Times New Roman" w:eastAsia="Times New Roman" w:hAnsi="Times New Roman" w:cs="Times New Roman"/>
                <w:color w:val="242424"/>
                <w:lang w:eastAsia="is-IS"/>
              </w:rPr>
            </w:pPr>
            <w:r w:rsidRPr="00181897">
              <w:rPr>
                <w:rFonts w:ascii="Times New Roman" w:hAnsi="Times New Roman" w:cs="Times New Roman"/>
                <w:noProof/>
              </w:rPr>
              <w:drawing>
                <wp:inline distT="0" distB="0" distL="0" distR="0" wp14:anchorId="65A275F0" wp14:editId="24936536">
                  <wp:extent cx="104140" cy="104140"/>
                  <wp:effectExtent l="0" t="0" r="0" b="0"/>
                  <wp:docPr id="226" name="G10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eastAsia="Times New Roman" w:hAnsi="Times New Roman" w:cs="Times New Roman"/>
                <w:color w:val="242424"/>
                <w:highlight w:val="yellow"/>
                <w:lang w:eastAsia="is-IS"/>
              </w:rPr>
              <w:t xml:space="preserve">Kærur um ólögmæti íbúakosninga skulu sendar úrskurðarnefnd kosningamála til úrlausnar innan sjö daga </w:t>
            </w:r>
            <w:r w:rsidRPr="00181897">
              <w:rPr>
                <w:rFonts w:ascii="Times New Roman" w:eastAsia="Times New Roman" w:hAnsi="Times New Roman" w:cs="Times New Roman"/>
                <w:color w:val="242424"/>
                <w:highlight w:val="yellow"/>
                <w:lang w:eastAsia="is-IS"/>
              </w:rPr>
              <w:lastRenderedPageBreak/>
              <w:t>frá því að lýst var úrslitum kosninga. Úrskurðarnefnd kosningamála skal úrskurða innan fjögurra vikna frá því að kæra berst, nema mál sé mjög umfangsmikið og skal þá úrskurða innan sex vikna.</w:t>
            </w:r>
          </w:p>
          <w:p w14:paraId="1D5F2AB5" w14:textId="241F8830" w:rsidR="00AB59ED" w:rsidRPr="00181897" w:rsidRDefault="002B0BF2" w:rsidP="002B0BF2">
            <w:pPr>
              <w:shd w:val="clear" w:color="auto" w:fill="FFFFFF"/>
              <w:spacing w:after="300"/>
              <w:rPr>
                <w:rFonts w:ascii="Times New Roman" w:eastAsia="Times New Roman" w:hAnsi="Times New Roman" w:cs="Times New Roman"/>
                <w:color w:val="242424"/>
                <w:lang w:eastAsia="is-IS"/>
              </w:rPr>
            </w:pPr>
            <w:r w:rsidRPr="00181897">
              <w:rPr>
                <w:rFonts w:ascii="Times New Roman" w:hAnsi="Times New Roman" w:cs="Times New Roman"/>
                <w:noProof/>
              </w:rPr>
              <w:drawing>
                <wp:inline distT="0" distB="0" distL="0" distR="0" wp14:anchorId="68B8506F" wp14:editId="01F2A6FE">
                  <wp:extent cx="104140" cy="104140"/>
                  <wp:effectExtent l="0" t="0" r="0" b="0"/>
                  <wp:docPr id="31" name="G10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00AB59ED" w:rsidRPr="00181897">
              <w:rPr>
                <w:rFonts w:ascii="Times New Roman" w:hAnsi="Times New Roman" w:cs="Times New Roman"/>
                <w:color w:val="242424"/>
                <w:shd w:val="clear" w:color="auto" w:fill="FFFFFF"/>
              </w:rPr>
              <w:t>Við framkvæmd atkvæðagreiðslu samkvæmt þessari grein skal að öðru leyti farið eftir meginreglum laga um kosningar til sveitarstjórna eftir því sem við getur átt.</w:t>
            </w:r>
            <w:r w:rsidR="00AB59ED" w:rsidRPr="00181897">
              <w:rPr>
                <w:rFonts w:ascii="Times New Roman" w:hAnsi="Times New Roman" w:cs="Times New Roman"/>
                <w:color w:val="242424"/>
              </w:rPr>
              <w:br/>
            </w:r>
          </w:p>
        </w:tc>
        <w:tc>
          <w:tcPr>
            <w:tcW w:w="5953" w:type="dxa"/>
          </w:tcPr>
          <w:p w14:paraId="785BA0CB" w14:textId="4B237316" w:rsidR="002B0BF2" w:rsidRPr="00181897" w:rsidRDefault="00AB59ED" w:rsidP="002B0BF2">
            <w:pPr>
              <w:rPr>
                <w:rFonts w:ascii="Times New Roman" w:hAnsi="Times New Roman" w:cs="Times New Roman"/>
                <w:color w:val="242424"/>
                <w:shd w:val="clear" w:color="auto" w:fill="FFFFFF"/>
              </w:rPr>
            </w:pPr>
            <w:r w:rsidRPr="00181897">
              <w:rPr>
                <w:rFonts w:ascii="Times New Roman" w:hAnsi="Times New Roman" w:cs="Times New Roman"/>
                <w:b/>
                <w:bCs/>
                <w:color w:val="242424"/>
                <w:shd w:val="clear" w:color="auto" w:fill="FFFFFF"/>
              </w:rPr>
              <w:lastRenderedPageBreak/>
              <w:t>107. gr</w:t>
            </w:r>
            <w:r w:rsidRPr="00181897">
              <w:rPr>
                <w:rFonts w:ascii="Times New Roman" w:hAnsi="Times New Roman" w:cs="Times New Roman"/>
                <w:b/>
                <w:bCs/>
                <w:color w:val="242424"/>
                <w:highlight w:val="yellow"/>
                <w:shd w:val="clear" w:color="auto" w:fill="FFFFFF"/>
              </w:rPr>
              <w:t>.</w:t>
            </w:r>
            <w:r w:rsidRPr="00181897">
              <w:rPr>
                <w:rFonts w:ascii="Times New Roman" w:hAnsi="Times New Roman" w:cs="Times New Roman"/>
                <w:color w:val="242424"/>
                <w:highlight w:val="yellow"/>
                <w:shd w:val="clear" w:color="auto" w:fill="FFFFFF"/>
              </w:rPr>
              <w:t> </w:t>
            </w:r>
            <w:r w:rsidRPr="00181897">
              <w:rPr>
                <w:rStyle w:val="Emphasis"/>
                <w:rFonts w:ascii="Times New Roman" w:hAnsi="Times New Roman" w:cs="Times New Roman"/>
                <w:color w:val="242424"/>
                <w:highlight w:val="yellow"/>
                <w:shd w:val="clear" w:color="auto" w:fill="FFFFFF"/>
              </w:rPr>
              <w:t>Íbúakosningar</w:t>
            </w:r>
            <w:r w:rsidR="002B0BF2" w:rsidRPr="00181897">
              <w:rPr>
                <w:rStyle w:val="Emphasis"/>
                <w:rFonts w:ascii="Times New Roman" w:hAnsi="Times New Roman" w:cs="Times New Roman"/>
                <w:color w:val="242424"/>
                <w:highlight w:val="yellow"/>
                <w:shd w:val="clear" w:color="auto" w:fill="FFFFFF"/>
              </w:rPr>
              <w:t xml:space="preserve"> um einstök málefni</w:t>
            </w:r>
            <w:r w:rsidRPr="00181897">
              <w:rPr>
                <w:rStyle w:val="Emphasis"/>
                <w:rFonts w:ascii="Times New Roman" w:hAnsi="Times New Roman" w:cs="Times New Roman"/>
                <w:color w:val="242424"/>
                <w:highlight w:val="yellow"/>
                <w:shd w:val="clear" w:color="auto" w:fill="FFFFFF"/>
              </w:rPr>
              <w:t>.</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764B9042" wp14:editId="4BEA2AF6">
                  <wp:extent cx="104140" cy="104140"/>
                  <wp:effectExtent l="0" t="0" r="0" b="0"/>
                  <wp:docPr id="47" name="G10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Sveitarstjórn ákveður hvort fram skuli fara almenn atkvæðagreiðsla meðal íbúa sveitarfélagsins um einstök málefni þess, sbr. þó 108. gr.</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717F0A4A" wp14:editId="31BA9A71">
                  <wp:extent cx="104140" cy="104140"/>
                  <wp:effectExtent l="0" t="0" r="0" b="0"/>
                  <wp:docPr id="9" name="G10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xml:space="preserve"> Til atkvæðagreiðslu skv. 1. mgr. skal boða með a.m.k. </w:t>
            </w:r>
            <w:r w:rsidR="002A252F">
              <w:rPr>
                <w:rFonts w:ascii="Times New Roman" w:hAnsi="Times New Roman" w:cs="Times New Roman"/>
                <w:color w:val="242424"/>
                <w:shd w:val="clear" w:color="auto" w:fill="FFFFFF"/>
              </w:rPr>
              <w:t>36 daga</w:t>
            </w:r>
            <w:r w:rsidRPr="00181897">
              <w:rPr>
                <w:rFonts w:ascii="Times New Roman" w:hAnsi="Times New Roman" w:cs="Times New Roman"/>
                <w:color w:val="242424"/>
                <w:shd w:val="clear" w:color="auto" w:fill="FFFFFF"/>
              </w:rPr>
              <w:t xml:space="preserve"> fyrirvara með opinberri auglýsingu. Samhliða skal sveitarstjórn opinberlega kynna þá tillögu sem borin verður undir atkvæði og þær upplýsingar sem kjósendum eru nauðsynlegar til að geta tekið til hennar upplýsta afstöðu.</w:t>
            </w:r>
            <w:r w:rsidR="002B0BF2" w:rsidRPr="00181897">
              <w:rPr>
                <w:rFonts w:ascii="Times New Roman" w:hAnsi="Times New Roman" w:cs="Times New Roman"/>
                <w:color w:val="242424"/>
                <w:shd w:val="clear" w:color="auto" w:fill="FFFFFF"/>
              </w:rPr>
              <w:t xml:space="preserve"> </w:t>
            </w:r>
          </w:p>
          <w:p w14:paraId="0CF8D91E" w14:textId="2E8FFE0F" w:rsidR="00F47569" w:rsidRPr="00181897" w:rsidRDefault="00AB59ED" w:rsidP="002B0BF2">
            <w:pPr>
              <w:rPr>
                <w:rFonts w:ascii="Times New Roman" w:hAnsi="Times New Roman" w:cs="Times New Roman"/>
                <w:strike/>
                <w:color w:val="242424"/>
                <w:highlight w:val="yellow"/>
                <w:shd w:val="clear" w:color="auto" w:fill="FFFFFF"/>
              </w:rPr>
            </w:pPr>
            <w:r w:rsidRPr="00181897">
              <w:rPr>
                <w:rFonts w:ascii="Times New Roman" w:hAnsi="Times New Roman" w:cs="Times New Roman"/>
                <w:color w:val="242424"/>
                <w:highlight w:val="yellow"/>
                <w:shd w:val="clear" w:color="auto" w:fill="FFFFFF"/>
              </w:rPr>
              <w:t> </w:t>
            </w:r>
            <w:r w:rsidRPr="00181897">
              <w:rPr>
                <w:rFonts w:ascii="Times New Roman" w:hAnsi="Times New Roman" w:cs="Times New Roman"/>
                <w:strike/>
                <w:color w:val="242424"/>
                <w:highlight w:val="yellow"/>
                <w:shd w:val="clear" w:color="auto" w:fill="FFFFFF"/>
              </w:rPr>
              <w:t>Rétt til þátttöku í atkvæðagreiðslu skv. 1. mgr. eiga þeir sem kosningarrétt eiga í sveitarfélaginu samkvæmt lögum um kosningar til sveitarstjórna. Sveitarstjórn skal gera kjörskrá fyrir atkvæðagreiðsluna. Um gerð hennar og auglýsingu gilda ákvæði 4.–7. gr. og 9.–11. gr. laga um kosningar til sveitarstjórna.</w:t>
            </w:r>
            <w:r w:rsidR="00375E17" w:rsidRPr="00181897">
              <w:rPr>
                <w:rFonts w:ascii="Times New Roman" w:hAnsi="Times New Roman" w:cs="Times New Roman"/>
                <w:strike/>
                <w:color w:val="242424"/>
                <w:highlight w:val="yellow"/>
                <w:shd w:val="clear" w:color="auto" w:fill="FFFFFF"/>
              </w:rPr>
              <w:t xml:space="preserve"> </w:t>
            </w:r>
          </w:p>
          <w:p w14:paraId="37B2DF98" w14:textId="77777777" w:rsidR="002B0BF2" w:rsidRPr="00181897" w:rsidRDefault="00AB59ED" w:rsidP="002B0BF2">
            <w:pPr>
              <w:rPr>
                <w:rFonts w:ascii="Times New Roman" w:hAnsi="Times New Roman" w:cs="Times New Roman"/>
                <w:noProof/>
              </w:rPr>
            </w:pPr>
            <w:r w:rsidRPr="00181897">
              <w:rPr>
                <w:rFonts w:ascii="Times New Roman" w:hAnsi="Times New Roman" w:cs="Times New Roman"/>
                <w:strike/>
                <w:color w:val="242424"/>
                <w:highlight w:val="yellow"/>
                <w:shd w:val="clear" w:color="auto" w:fill="FFFFFF"/>
              </w:rPr>
              <w:t>Atkvæðagreiðsla skal vera leynileg og atkvæðisréttur jafn.</w:t>
            </w:r>
          </w:p>
          <w:p w14:paraId="11820113" w14:textId="17DD2D08" w:rsidR="002B0BF2" w:rsidRPr="00181897" w:rsidRDefault="002B0BF2" w:rsidP="002B0BF2">
            <w:pPr>
              <w:rPr>
                <w:rFonts w:ascii="Times New Roman" w:hAnsi="Times New Roman" w:cs="Times New Roman"/>
                <w:color w:val="242424"/>
                <w:shd w:val="clear" w:color="auto" w:fill="FFFFFF"/>
              </w:rPr>
            </w:pPr>
            <w:r w:rsidRPr="00181897">
              <w:rPr>
                <w:rFonts w:ascii="Times New Roman" w:hAnsi="Times New Roman" w:cs="Times New Roman"/>
                <w:noProof/>
              </w:rPr>
              <w:drawing>
                <wp:inline distT="0" distB="0" distL="0" distR="0" wp14:anchorId="1B154D65" wp14:editId="1B46EC18">
                  <wp:extent cx="104140" cy="104140"/>
                  <wp:effectExtent l="0" t="0" r="0" b="0"/>
                  <wp:docPr id="30" name="G10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00AB59ED" w:rsidRPr="00181897">
              <w:rPr>
                <w:rFonts w:ascii="Times New Roman" w:hAnsi="Times New Roman" w:cs="Times New Roman"/>
                <w:color w:val="242424"/>
                <w:shd w:val="clear" w:color="auto" w:fill="FFFFFF"/>
              </w:rPr>
              <w:t> Atkvæðagreiðsla samkvæmt þessari grein, sem og 108. gr., er ráðgefandi nema sveitarstjórn ákveði að hún skuli binda hendur hennar til loka kjörtímabils. Í auglýsingu skv. 2. mgr. skal koma fram hvort atkvæðagreiðsla er bindandi. Slíka ákvörðun má binda skilyrði um að tiltekið hlutfall þeirra sem voru á kjörskrá hafi tekið þátt í atkvæðagreiðslu.</w:t>
            </w:r>
          </w:p>
          <w:p w14:paraId="6E51412A" w14:textId="097AA9F4" w:rsidR="002B0BF2" w:rsidRPr="00181897" w:rsidRDefault="002B0BF2" w:rsidP="002B0BF2">
            <w:pPr>
              <w:shd w:val="clear" w:color="auto" w:fill="FFFFFF"/>
              <w:rPr>
                <w:rFonts w:ascii="Times New Roman" w:eastAsia="Times New Roman" w:hAnsi="Times New Roman" w:cs="Times New Roman"/>
                <w:strike/>
                <w:color w:val="242424"/>
                <w:lang w:eastAsia="is-IS"/>
              </w:rPr>
            </w:pPr>
            <w:r w:rsidRPr="00181897">
              <w:rPr>
                <w:rFonts w:ascii="Times New Roman" w:eastAsia="Times New Roman" w:hAnsi="Times New Roman" w:cs="Times New Roman"/>
                <w:strike/>
                <w:color w:val="242424"/>
                <w:highlight w:val="yellow"/>
                <w:lang w:eastAsia="is-IS"/>
              </w:rPr>
              <w:t>Kærur um ólögmæti íbúakosninga skulu sendar úrskurðarnefnd kosningamála til úrlausnar innan sjö daga frá því að lýst var úrslitum kosninga. Úrskurðarnefnd kosningamála skal úrskurða innan fjögurra vikna frá því að kæra berst, nema mál sé mjög umfangsmikið og skal þá úrskurða innan sex vikna.</w:t>
            </w:r>
          </w:p>
          <w:p w14:paraId="66F63466" w14:textId="6F376B58" w:rsidR="00AB59ED" w:rsidRPr="00181897" w:rsidRDefault="00AB59ED" w:rsidP="002B0BF2">
            <w:pPr>
              <w:rPr>
                <w:rFonts w:ascii="Times New Roman" w:hAnsi="Times New Roman" w:cs="Times New Roman"/>
                <w:b/>
                <w:bCs/>
                <w:color w:val="242424"/>
                <w:shd w:val="clear" w:color="auto" w:fill="FFFFFF"/>
              </w:rPr>
            </w:pPr>
            <w:r w:rsidRPr="00181897">
              <w:rPr>
                <w:rFonts w:ascii="Times New Roman" w:hAnsi="Times New Roman" w:cs="Times New Roman"/>
                <w:color w:val="242424"/>
                <w:highlight w:val="yellow"/>
                <w:shd w:val="clear" w:color="auto" w:fill="FFFFFF"/>
              </w:rPr>
              <w:lastRenderedPageBreak/>
              <w:t xml:space="preserve">Við framkvæmd </w:t>
            </w:r>
            <w:r w:rsidR="002B0BF2" w:rsidRPr="00181897">
              <w:rPr>
                <w:rFonts w:ascii="Times New Roman" w:hAnsi="Times New Roman" w:cs="Times New Roman"/>
                <w:color w:val="242424"/>
                <w:highlight w:val="yellow"/>
                <w:shd w:val="clear" w:color="auto" w:fill="FFFFFF"/>
              </w:rPr>
              <w:t>atkvæðagreiðslu skv. þessari grein</w:t>
            </w:r>
            <w:r w:rsidR="0054542D" w:rsidRPr="00181897">
              <w:rPr>
                <w:rFonts w:ascii="Times New Roman" w:hAnsi="Times New Roman" w:cs="Times New Roman"/>
                <w:color w:val="242424"/>
                <w:highlight w:val="yellow"/>
                <w:shd w:val="clear" w:color="auto" w:fill="FFFFFF"/>
              </w:rPr>
              <w:t xml:space="preserve"> </w:t>
            </w:r>
            <w:r w:rsidRPr="00181897">
              <w:rPr>
                <w:rFonts w:ascii="Times New Roman" w:hAnsi="Times New Roman" w:cs="Times New Roman"/>
                <w:color w:val="242424"/>
                <w:highlight w:val="yellow"/>
                <w:shd w:val="clear" w:color="auto" w:fill="FFFFFF"/>
              </w:rPr>
              <w:t>skal að öðru leyti farið eftir</w:t>
            </w:r>
            <w:r w:rsidR="0054542D" w:rsidRPr="00181897">
              <w:rPr>
                <w:rFonts w:ascii="Times New Roman" w:hAnsi="Times New Roman" w:cs="Times New Roman"/>
                <w:color w:val="242424"/>
                <w:highlight w:val="yellow"/>
                <w:shd w:val="clear" w:color="auto" w:fill="FFFFFF"/>
              </w:rPr>
              <w:t xml:space="preserve"> </w:t>
            </w:r>
            <w:r w:rsidR="002B0BF2" w:rsidRPr="00181897">
              <w:rPr>
                <w:rFonts w:ascii="Times New Roman" w:hAnsi="Times New Roman" w:cs="Times New Roman"/>
                <w:color w:val="242424"/>
                <w:highlight w:val="yellow"/>
                <w:shd w:val="clear" w:color="auto" w:fill="FFFFFF"/>
              </w:rPr>
              <w:t>ákvæðum 133. gr. og reglum sem sveitastjórn setur sér um íbúakosningar.</w:t>
            </w:r>
            <w:r w:rsidRPr="00181897">
              <w:rPr>
                <w:rFonts w:ascii="Times New Roman" w:hAnsi="Times New Roman" w:cs="Times New Roman"/>
                <w:color w:val="242424"/>
              </w:rPr>
              <w:br/>
            </w:r>
          </w:p>
        </w:tc>
      </w:tr>
      <w:tr w:rsidR="00AB59ED" w:rsidRPr="00181897" w14:paraId="387A4B43" w14:textId="77777777" w:rsidTr="008B72A4">
        <w:tc>
          <w:tcPr>
            <w:tcW w:w="5382" w:type="dxa"/>
          </w:tcPr>
          <w:p w14:paraId="0B28D9B8" w14:textId="489A735A" w:rsidR="00AB59ED" w:rsidRPr="00181897" w:rsidRDefault="00AB59ED" w:rsidP="00AB59ED">
            <w:pPr>
              <w:rPr>
                <w:rFonts w:ascii="Times New Roman" w:hAnsi="Times New Roman" w:cs="Times New Roman"/>
                <w:color w:val="242424"/>
                <w:shd w:val="clear" w:color="auto" w:fill="FFFFFF"/>
              </w:rPr>
            </w:pPr>
            <w:r w:rsidRPr="00181897">
              <w:rPr>
                <w:rFonts w:ascii="Times New Roman" w:hAnsi="Times New Roman" w:cs="Times New Roman"/>
                <w:b/>
                <w:bCs/>
                <w:color w:val="242424"/>
                <w:shd w:val="clear" w:color="auto" w:fill="FFFFFF"/>
              </w:rPr>
              <w:lastRenderedPageBreak/>
              <w:t>XII. kafli.</w:t>
            </w:r>
            <w:r w:rsidRPr="00181897">
              <w:rPr>
                <w:rFonts w:ascii="Times New Roman" w:hAnsi="Times New Roman" w:cs="Times New Roman"/>
                <w:color w:val="242424"/>
                <w:shd w:val="clear" w:color="auto" w:fill="FFFFFF"/>
              </w:rPr>
              <w:t> </w:t>
            </w:r>
            <w:r w:rsidRPr="00181897">
              <w:rPr>
                <w:rFonts w:ascii="Times New Roman" w:hAnsi="Times New Roman" w:cs="Times New Roman"/>
                <w:b/>
                <w:bCs/>
                <w:color w:val="242424"/>
                <w:shd w:val="clear" w:color="auto" w:fill="FFFFFF"/>
              </w:rPr>
              <w:t>Sameining sveitarfélaga.</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68480CF9" wp14:editId="2F269F06">
                  <wp:extent cx="104140" cy="1041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w:t>
            </w:r>
            <w:r w:rsidRPr="00181897">
              <w:rPr>
                <w:rFonts w:ascii="Times New Roman" w:hAnsi="Times New Roman" w:cs="Times New Roman"/>
                <w:b/>
                <w:bCs/>
                <w:color w:val="242424"/>
                <w:shd w:val="clear" w:color="auto" w:fill="FFFFFF"/>
              </w:rPr>
              <w:t>119. gr.</w:t>
            </w:r>
            <w:r w:rsidRPr="00181897">
              <w:rPr>
                <w:rFonts w:ascii="Times New Roman" w:hAnsi="Times New Roman" w:cs="Times New Roman"/>
                <w:color w:val="242424"/>
                <w:shd w:val="clear" w:color="auto" w:fill="FFFFFF"/>
              </w:rPr>
              <w:t> </w:t>
            </w:r>
            <w:r w:rsidRPr="00181897">
              <w:rPr>
                <w:rStyle w:val="Emphasis"/>
                <w:rFonts w:ascii="Times New Roman" w:hAnsi="Times New Roman" w:cs="Times New Roman"/>
                <w:color w:val="242424"/>
                <w:shd w:val="clear" w:color="auto" w:fill="FFFFFF"/>
              </w:rPr>
              <w:t>Sameining sveitarfélaga.</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77AF789A" wp14:editId="21B29A77">
                  <wp:extent cx="104140" cy="104140"/>
                  <wp:effectExtent l="0" t="0" r="0" b="0"/>
                  <wp:docPr id="21" name="G1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9M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Þegar tvær eða fleiri sveitarstjórnir hafa ákveðið að kanna möguleika á sameiningu viðkomandi sveitarfélaga skulu þær kjósa samstarfsnefnd til þess að annast athugun málsins. Skal hvor eða hver sveitarstjórn kjósa tvo fulltrúa eða fleiri í nefndina eftir samkomulagi. Nefndin kýs formann úr sínum hópi.</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5BDC9E12" wp14:editId="39A90662">
                  <wp:extent cx="104140" cy="104140"/>
                  <wp:effectExtent l="0" t="0" r="0" b="0"/>
                  <wp:docPr id="233" name="G1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9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Þegar samstarfsnefnd hefur skilað áliti sínu um sameiningu skulu viðkomandi sveitarstjórnir taka málið á dagskrá. Skal hafa tvær umræður um málið án atkvæðagreiðslu.</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2466C262" wp14:editId="153BE8D8">
                  <wp:extent cx="104140" cy="104140"/>
                  <wp:effectExtent l="0" t="0" r="0" b="0"/>
                  <wp:docPr id="234" name="G11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9M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Að lokinni umræðu sveitarstjórna skal fara fram atkvæðagreiðsla meðal íbúa sveitarfélaganna um sameininguna. Viðkomandi sveitarstjórnir ákveða sameiginlega hvenær atkvæðagreiðsla fer fram og skal kosið sama dag í öllum viðkomandi sveitarfélögum.</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366065A2" wp14:editId="2B27D66A">
                  <wp:extent cx="104140" cy="104140"/>
                  <wp:effectExtent l="0" t="0" r="0" b="0"/>
                  <wp:docPr id="235" name="G11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9M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xml:space="preserve"> Samstarfsnefndin eða viðkomandi sveitarstjórnir skulu kynna íbúum sveitarfélaganna þá tillögu sem greiða skal atkvæði um og helstu forsendur hennar með a.m.k. tveggja mánaða fyrirvara, svo sem með kynningarfundum og/eða dreifibréfum. Tillagan skal innan sama frests auglýst opinberlega í </w:t>
            </w:r>
            <w:proofErr w:type="spellStart"/>
            <w:r w:rsidRPr="00181897">
              <w:rPr>
                <w:rFonts w:ascii="Times New Roman" w:hAnsi="Times New Roman" w:cs="Times New Roman"/>
                <w:color w:val="242424"/>
                <w:shd w:val="clear" w:color="auto" w:fill="FFFFFF"/>
              </w:rPr>
              <w:t>Lögbirtingablaði</w:t>
            </w:r>
            <w:proofErr w:type="spellEnd"/>
            <w:r w:rsidRPr="00181897">
              <w:rPr>
                <w:rFonts w:ascii="Times New Roman" w:hAnsi="Times New Roman" w:cs="Times New Roman"/>
                <w:color w:val="242424"/>
                <w:shd w:val="clear" w:color="auto" w:fill="FFFFFF"/>
              </w:rPr>
              <w:t xml:space="preserve"> og í fjölmiðlum.</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32595CD4" wp14:editId="294AECF6">
                  <wp:extent cx="104140" cy="104140"/>
                  <wp:effectExtent l="0" t="0" r="0" b="0"/>
                  <wp:docPr id="236" name="G11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9M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xml:space="preserve"> Sveitarstjórn lætur gera atkvæðaseðil til afnota við atkvæðagreiðsluna. Form atkvæðaseðils skal staðfest af ráðuneytinu. Um atkvæðagreiðslur samkvæmt þessari </w:t>
            </w:r>
            <w:r w:rsidRPr="00181897">
              <w:rPr>
                <w:rFonts w:ascii="Times New Roman" w:hAnsi="Times New Roman" w:cs="Times New Roman"/>
                <w:color w:val="242424"/>
                <w:shd w:val="clear" w:color="auto" w:fill="FFFFFF"/>
              </w:rPr>
              <w:lastRenderedPageBreak/>
              <w:t>grein fer eftir ákvæðum laga um kosningar til sveitarstjórna eftir því sem við getur átt. Ekki er heimilt að hefja talningu atkvæða fyrr en öllum kjörstöðum hefur verið lokað í þeim sveitarfélögum sem taka þátt í atkvæðagreiðslu um sameiningartillögu.</w:t>
            </w:r>
          </w:p>
        </w:tc>
        <w:tc>
          <w:tcPr>
            <w:tcW w:w="5953" w:type="dxa"/>
          </w:tcPr>
          <w:p w14:paraId="760BA9B4" w14:textId="0DB304FE" w:rsidR="00AB59ED" w:rsidRPr="00181897" w:rsidRDefault="00AB59ED" w:rsidP="00AB59ED">
            <w:pPr>
              <w:tabs>
                <w:tab w:val="left" w:pos="1144"/>
              </w:tabs>
              <w:rPr>
                <w:rFonts w:ascii="Times New Roman" w:hAnsi="Times New Roman" w:cs="Times New Roman"/>
              </w:rPr>
            </w:pPr>
            <w:r w:rsidRPr="00181897">
              <w:rPr>
                <w:rFonts w:ascii="Times New Roman" w:hAnsi="Times New Roman" w:cs="Times New Roman"/>
                <w:b/>
                <w:bCs/>
                <w:color w:val="242424"/>
                <w:shd w:val="clear" w:color="auto" w:fill="FFFFFF"/>
              </w:rPr>
              <w:lastRenderedPageBreak/>
              <w:t>XII. kafli.</w:t>
            </w:r>
            <w:r w:rsidRPr="00181897">
              <w:rPr>
                <w:rFonts w:ascii="Times New Roman" w:hAnsi="Times New Roman" w:cs="Times New Roman"/>
                <w:color w:val="242424"/>
                <w:shd w:val="clear" w:color="auto" w:fill="FFFFFF"/>
              </w:rPr>
              <w:t> </w:t>
            </w:r>
            <w:r w:rsidRPr="00181897">
              <w:rPr>
                <w:rFonts w:ascii="Times New Roman" w:hAnsi="Times New Roman" w:cs="Times New Roman"/>
                <w:b/>
                <w:bCs/>
                <w:color w:val="242424"/>
                <w:shd w:val="clear" w:color="auto" w:fill="FFFFFF"/>
              </w:rPr>
              <w:t>Sameining sveitarfélaga.</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4F90434E" wp14:editId="6C72DC74">
                  <wp:extent cx="104140" cy="10414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w:t>
            </w:r>
            <w:r w:rsidRPr="00181897">
              <w:rPr>
                <w:rFonts w:ascii="Times New Roman" w:hAnsi="Times New Roman" w:cs="Times New Roman"/>
                <w:b/>
                <w:bCs/>
                <w:color w:val="242424"/>
                <w:shd w:val="clear" w:color="auto" w:fill="FFFFFF"/>
              </w:rPr>
              <w:t>119. gr.</w:t>
            </w:r>
            <w:r w:rsidRPr="00181897">
              <w:rPr>
                <w:rFonts w:ascii="Times New Roman" w:hAnsi="Times New Roman" w:cs="Times New Roman"/>
                <w:color w:val="242424"/>
                <w:shd w:val="clear" w:color="auto" w:fill="FFFFFF"/>
              </w:rPr>
              <w:t> </w:t>
            </w:r>
            <w:r w:rsidRPr="00181897">
              <w:rPr>
                <w:rStyle w:val="Emphasis"/>
                <w:rFonts w:ascii="Times New Roman" w:hAnsi="Times New Roman" w:cs="Times New Roman"/>
                <w:color w:val="242424"/>
                <w:shd w:val="clear" w:color="auto" w:fill="FFFFFF"/>
              </w:rPr>
              <w:t>Sameining sveitarfélaga.</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0D80352C" wp14:editId="0A84832C">
                  <wp:extent cx="104140" cy="104140"/>
                  <wp:effectExtent l="0" t="0" r="0" b="0"/>
                  <wp:docPr id="41" name="G1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9M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Þegar tvær eða fleiri sveitarstjórnir hafa ákveðið að kanna möguleika á sameiningu viðkomandi sveitarfélaga skulu þær kjósa samstarfsnefnd til þess að annast athugun málsin</w:t>
            </w:r>
            <w:r w:rsidR="00B068A1">
              <w:rPr>
                <w:rFonts w:ascii="Times New Roman" w:hAnsi="Times New Roman" w:cs="Times New Roman"/>
                <w:color w:val="242424"/>
                <w:shd w:val="clear" w:color="auto" w:fill="FFFFFF"/>
              </w:rPr>
              <w:t xml:space="preserve">s. </w:t>
            </w:r>
            <w:r w:rsidRPr="00181897">
              <w:rPr>
                <w:rFonts w:ascii="Times New Roman" w:hAnsi="Times New Roman" w:cs="Times New Roman"/>
                <w:color w:val="242424"/>
                <w:shd w:val="clear" w:color="auto" w:fill="FFFFFF"/>
              </w:rPr>
              <w:t>Skal hvor eða hver sveitarstjórn kjósa tvo fulltrúa eða fleiri í nefndina eftir samkomulagi. Nefndin kýs formann úr sínum hópi.</w:t>
            </w:r>
            <w:r w:rsidR="002A252F">
              <w:rPr>
                <w:rFonts w:ascii="Times New Roman" w:hAnsi="Times New Roman" w:cs="Times New Roman"/>
                <w:color w:val="242424"/>
                <w:shd w:val="clear" w:color="auto" w:fill="FFFFFF"/>
              </w:rPr>
              <w:t xml:space="preserve"> </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18A8EC94" wp14:editId="2388A915">
                  <wp:extent cx="104140" cy="104140"/>
                  <wp:effectExtent l="0" t="0" r="0" b="0"/>
                  <wp:docPr id="42" name="G1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9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xml:space="preserve"> Þegar samstarfsnefnd hefur skilað áliti sínu um sameiningu skulu viðkomandi sveitarstjórnir taka málið á dagskrá. Skal hafa </w:t>
            </w:r>
            <w:r w:rsidR="002A252F" w:rsidRPr="005F5B6B">
              <w:rPr>
                <w:rFonts w:ascii="Times New Roman" w:hAnsi="Times New Roman" w:cs="Times New Roman"/>
                <w:color w:val="242424"/>
                <w:highlight w:val="yellow"/>
                <w:shd w:val="clear" w:color="auto" w:fill="FFFFFF"/>
              </w:rPr>
              <w:t>eina</w:t>
            </w:r>
            <w:r w:rsidR="002A252F" w:rsidRPr="005F5B6B">
              <w:rPr>
                <w:rFonts w:ascii="Times New Roman" w:hAnsi="Times New Roman" w:cs="Times New Roman"/>
                <w:color w:val="242424"/>
                <w:highlight w:val="yellow"/>
                <w:shd w:val="clear" w:color="auto" w:fill="FFFFFF"/>
              </w:rPr>
              <w:t xml:space="preserve"> </w:t>
            </w:r>
            <w:r w:rsidRPr="005F5B6B">
              <w:rPr>
                <w:rFonts w:ascii="Times New Roman" w:hAnsi="Times New Roman" w:cs="Times New Roman"/>
                <w:color w:val="242424"/>
                <w:highlight w:val="yellow"/>
                <w:shd w:val="clear" w:color="auto" w:fill="FFFFFF"/>
              </w:rPr>
              <w:t>umræðu</w:t>
            </w:r>
            <w:r w:rsidRPr="00181897">
              <w:rPr>
                <w:rFonts w:ascii="Times New Roman" w:hAnsi="Times New Roman" w:cs="Times New Roman"/>
                <w:color w:val="242424"/>
                <w:shd w:val="clear" w:color="auto" w:fill="FFFFFF"/>
              </w:rPr>
              <w:t xml:space="preserve"> um málið án atkvæðagreiðslu.</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4CCB50C3" wp14:editId="2EE62348">
                  <wp:extent cx="104140" cy="104140"/>
                  <wp:effectExtent l="0" t="0" r="0" b="0"/>
                  <wp:docPr id="43" name="G11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9M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Að lokinni umræðu sveitarstjórna skal fara fram atkvæðagreiðsla meðal íbúa sveitarfélaganna um sameininguna. Viðkomandi sveitarstjórnir ákveða sameiginlega hvenær atkvæðagreiðsla fer fram og skal kosið sama dag í öllum viðkomandi sveitarfélögum.</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4DE43DD9" wp14:editId="48258C9E">
                  <wp:extent cx="104140" cy="104140"/>
                  <wp:effectExtent l="0" t="0" r="0" b="0"/>
                  <wp:docPr id="44" name="G11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9M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Samstarfsnefndin eða viðkomandi sveitarstjórnir skulu kynna íbúum sveitarfélaganna þá tillögu sem greiða skal atkvæði um og helstu forsendur hennar með a.m.k</w:t>
            </w:r>
            <w:r w:rsidRPr="005F5B6B">
              <w:rPr>
                <w:rFonts w:ascii="Times New Roman" w:hAnsi="Times New Roman" w:cs="Times New Roman"/>
                <w:color w:val="242424"/>
                <w:highlight w:val="yellow"/>
                <w:shd w:val="clear" w:color="auto" w:fill="FFFFFF"/>
              </w:rPr>
              <w:t xml:space="preserve">. </w:t>
            </w:r>
            <w:r w:rsidR="002A252F" w:rsidRPr="005F5B6B">
              <w:rPr>
                <w:rFonts w:ascii="Times New Roman" w:hAnsi="Times New Roman" w:cs="Times New Roman"/>
                <w:color w:val="242424"/>
                <w:highlight w:val="yellow"/>
                <w:shd w:val="clear" w:color="auto" w:fill="FFFFFF"/>
              </w:rPr>
              <w:t>36 daga</w:t>
            </w:r>
            <w:r w:rsidRPr="00181897">
              <w:rPr>
                <w:rFonts w:ascii="Times New Roman" w:hAnsi="Times New Roman" w:cs="Times New Roman"/>
                <w:color w:val="242424"/>
                <w:shd w:val="clear" w:color="auto" w:fill="FFFFFF"/>
              </w:rPr>
              <w:t xml:space="preserve"> fyrirvara, svo sem með kynningarfundum og/eða dreifibréfum. Tillagan skal innan sama frests auglýst opinberlega í </w:t>
            </w:r>
            <w:proofErr w:type="spellStart"/>
            <w:r w:rsidRPr="00181897">
              <w:rPr>
                <w:rFonts w:ascii="Times New Roman" w:hAnsi="Times New Roman" w:cs="Times New Roman"/>
                <w:color w:val="242424"/>
                <w:shd w:val="clear" w:color="auto" w:fill="FFFFFF"/>
              </w:rPr>
              <w:t>Lögbirtingablaði</w:t>
            </w:r>
            <w:proofErr w:type="spellEnd"/>
            <w:r w:rsidRPr="00181897">
              <w:rPr>
                <w:rFonts w:ascii="Times New Roman" w:hAnsi="Times New Roman" w:cs="Times New Roman"/>
                <w:color w:val="242424"/>
                <w:shd w:val="clear" w:color="auto" w:fill="FFFFFF"/>
              </w:rPr>
              <w:t xml:space="preserve"> og í fjölmiðlum.</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63905A9E" wp14:editId="33F15BB5">
                  <wp:extent cx="104140" cy="104140"/>
                  <wp:effectExtent l="0" t="0" r="0" b="0"/>
                  <wp:docPr id="45" name="G11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9M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xml:space="preserve"> Sveitarstjórn lætur gera atkvæðaseðil til afnota við atkvæðagreiðsluna. Form atkvæðaseðils skal staðfest af ráðuneytinu. </w:t>
            </w:r>
            <w:r w:rsidR="0098328C" w:rsidRPr="00181897">
              <w:rPr>
                <w:rFonts w:ascii="Times New Roman" w:hAnsi="Times New Roman" w:cs="Times New Roman"/>
                <w:color w:val="242424"/>
                <w:highlight w:val="yellow"/>
                <w:shd w:val="clear" w:color="auto" w:fill="FFFFFF"/>
              </w:rPr>
              <w:t>Við framkvæmd atkvæðagreiðslu samkvæmt þessari grein skal að öðru leyti farið eftir</w:t>
            </w:r>
            <w:r w:rsidR="001D5A7F" w:rsidRPr="00181897">
              <w:rPr>
                <w:rFonts w:ascii="Times New Roman" w:hAnsi="Times New Roman" w:cs="Times New Roman"/>
                <w:color w:val="242424"/>
                <w:highlight w:val="yellow"/>
                <w:shd w:val="clear" w:color="auto" w:fill="FFFFFF"/>
              </w:rPr>
              <w:t xml:space="preserve"> </w:t>
            </w:r>
            <w:r w:rsidR="002B0BF2" w:rsidRPr="00181897">
              <w:rPr>
                <w:rFonts w:ascii="Times New Roman" w:hAnsi="Times New Roman" w:cs="Times New Roman"/>
                <w:color w:val="242424"/>
                <w:highlight w:val="yellow"/>
                <w:shd w:val="clear" w:color="auto" w:fill="FFFFFF"/>
              </w:rPr>
              <w:t>ákvæðum</w:t>
            </w:r>
            <w:r w:rsidR="0054542D" w:rsidRPr="00181897">
              <w:rPr>
                <w:rFonts w:ascii="Times New Roman" w:hAnsi="Times New Roman" w:cs="Times New Roman"/>
                <w:color w:val="242424"/>
                <w:highlight w:val="yellow"/>
                <w:shd w:val="clear" w:color="auto" w:fill="FFFFFF"/>
              </w:rPr>
              <w:t xml:space="preserve"> 133. gr</w:t>
            </w:r>
            <w:r w:rsidR="0098328C" w:rsidRPr="00181897">
              <w:rPr>
                <w:rFonts w:ascii="Times New Roman" w:hAnsi="Times New Roman" w:cs="Times New Roman"/>
                <w:color w:val="242424"/>
                <w:highlight w:val="yellow"/>
                <w:shd w:val="clear" w:color="auto" w:fill="FFFFFF"/>
              </w:rPr>
              <w:t>.</w:t>
            </w:r>
            <w:r w:rsidR="002B0BF2" w:rsidRPr="00181897">
              <w:rPr>
                <w:rFonts w:ascii="Times New Roman" w:hAnsi="Times New Roman" w:cs="Times New Roman"/>
                <w:color w:val="242424"/>
                <w:highlight w:val="yellow"/>
                <w:shd w:val="clear" w:color="auto" w:fill="FFFFFF"/>
              </w:rPr>
              <w:t xml:space="preserve"> og reglum sem sveitarstjórn setur sér um íbúakosningar.</w:t>
            </w:r>
            <w:r w:rsidR="002B0BF2" w:rsidRPr="00181897">
              <w:rPr>
                <w:rFonts w:ascii="Times New Roman" w:hAnsi="Times New Roman" w:cs="Times New Roman"/>
                <w:color w:val="242424"/>
                <w:shd w:val="clear" w:color="auto" w:fill="FFFFFF"/>
              </w:rPr>
              <w:t xml:space="preserve"> </w:t>
            </w:r>
            <w:r w:rsidRPr="00181897">
              <w:rPr>
                <w:rFonts w:ascii="Times New Roman" w:hAnsi="Times New Roman" w:cs="Times New Roman"/>
                <w:color w:val="242424"/>
                <w:shd w:val="clear" w:color="auto" w:fill="FFFFFF"/>
              </w:rPr>
              <w:t xml:space="preserve">Ekki er </w:t>
            </w:r>
            <w:r w:rsidRPr="00181897">
              <w:rPr>
                <w:rFonts w:ascii="Times New Roman" w:hAnsi="Times New Roman" w:cs="Times New Roman"/>
                <w:color w:val="242424"/>
                <w:shd w:val="clear" w:color="auto" w:fill="FFFFFF"/>
              </w:rPr>
              <w:lastRenderedPageBreak/>
              <w:t>heimilt að hefja talningu atkvæða fyrr en öllum kjörstöðum hefur verið lokað í þeim sveitarfélögum sem taka þátt í atkvæðagreiðslu um sameiningartillögu.</w:t>
            </w:r>
          </w:p>
        </w:tc>
      </w:tr>
      <w:tr w:rsidR="00500C85" w:rsidRPr="00181897" w14:paraId="37C79ED0" w14:textId="77777777" w:rsidTr="008B72A4">
        <w:tc>
          <w:tcPr>
            <w:tcW w:w="5382" w:type="dxa"/>
          </w:tcPr>
          <w:p w14:paraId="633DC4FA" w14:textId="6E3B88F4" w:rsidR="00500C85" w:rsidRPr="00181897" w:rsidRDefault="00500C85">
            <w:pPr>
              <w:rPr>
                <w:rFonts w:ascii="Times New Roman" w:hAnsi="Times New Roman" w:cs="Times New Roman"/>
              </w:rPr>
            </w:pPr>
          </w:p>
        </w:tc>
        <w:tc>
          <w:tcPr>
            <w:tcW w:w="5953" w:type="dxa"/>
          </w:tcPr>
          <w:p w14:paraId="5B3F35F3" w14:textId="77777777" w:rsidR="002B0BF2" w:rsidRPr="00181897" w:rsidRDefault="002B0BF2">
            <w:pPr>
              <w:rPr>
                <w:rFonts w:ascii="Times New Roman" w:hAnsi="Times New Roman" w:cs="Times New Roman"/>
                <w:b/>
                <w:bCs/>
              </w:rPr>
            </w:pPr>
          </w:p>
          <w:p w14:paraId="3026BA03" w14:textId="3C59C74A" w:rsidR="00500C85" w:rsidRPr="00181897" w:rsidRDefault="008B72A4">
            <w:pPr>
              <w:rPr>
                <w:rFonts w:ascii="Times New Roman" w:hAnsi="Times New Roman" w:cs="Times New Roman"/>
                <w:b/>
                <w:bCs/>
              </w:rPr>
            </w:pPr>
            <w:r w:rsidRPr="00181897">
              <w:rPr>
                <w:rFonts w:ascii="Times New Roman" w:hAnsi="Times New Roman" w:cs="Times New Roman"/>
                <w:b/>
                <w:bCs/>
              </w:rPr>
              <w:t xml:space="preserve">Nýtt ákvæði </w:t>
            </w:r>
            <w:r w:rsidR="00AE046D" w:rsidRPr="00181897">
              <w:rPr>
                <w:rFonts w:ascii="Times New Roman" w:hAnsi="Times New Roman" w:cs="Times New Roman"/>
                <w:b/>
                <w:bCs/>
              </w:rPr>
              <w:t>133. gr.</w:t>
            </w:r>
          </w:p>
          <w:p w14:paraId="29F7F7B6" w14:textId="618003E9" w:rsidR="002B0BF2" w:rsidRPr="00181897" w:rsidRDefault="002B0BF2">
            <w:pPr>
              <w:rPr>
                <w:rFonts w:ascii="Times New Roman" w:hAnsi="Times New Roman" w:cs="Times New Roman"/>
                <w:i/>
                <w:iCs/>
              </w:rPr>
            </w:pPr>
            <w:r w:rsidRPr="00181897">
              <w:rPr>
                <w:rFonts w:ascii="Times New Roman" w:hAnsi="Times New Roman" w:cs="Times New Roman"/>
                <w:i/>
                <w:iCs/>
              </w:rPr>
              <w:t>Í</w:t>
            </w:r>
            <w:r w:rsidR="00354336" w:rsidRPr="00181897">
              <w:rPr>
                <w:rFonts w:ascii="Times New Roman" w:hAnsi="Times New Roman" w:cs="Times New Roman"/>
                <w:i/>
                <w:iCs/>
              </w:rPr>
              <w:t>búakosninga</w:t>
            </w:r>
            <w:r w:rsidRPr="00181897">
              <w:rPr>
                <w:rFonts w:ascii="Times New Roman" w:hAnsi="Times New Roman" w:cs="Times New Roman"/>
                <w:i/>
                <w:iCs/>
              </w:rPr>
              <w:t>r sveitarfélaga</w:t>
            </w:r>
          </w:p>
          <w:p w14:paraId="08591171" w14:textId="5CD5542A" w:rsidR="002B0BF2" w:rsidRPr="00181897" w:rsidRDefault="002A252F" w:rsidP="00C54B5E">
            <w:pPr>
              <w:rPr>
                <w:rFonts w:ascii="Times New Roman" w:hAnsi="Times New Roman" w:cs="Times New Roman"/>
                <w:color w:val="242424"/>
                <w:szCs w:val="21"/>
              </w:rPr>
            </w:pPr>
            <w:r>
              <w:rPr>
                <w:rFonts w:ascii="Times New Roman" w:hAnsi="Times New Roman" w:cs="Times New Roman"/>
              </w:rPr>
              <w:pict w14:anchorId="094F38A1">
                <v:shape id="G119M2" o:spid="_x0000_i1028" type="#_x0000_t75" style="width:8pt;height:8pt;visibility:visible;mso-wrap-style:square" o:bullet="t">
                  <v:imagedata r:id="rId9" o:title=""/>
                </v:shape>
              </w:pict>
            </w:r>
            <w:r w:rsidR="002B0BF2" w:rsidRPr="00181897">
              <w:rPr>
                <w:rFonts w:ascii="Times New Roman" w:hAnsi="Times New Roman" w:cs="Times New Roman"/>
              </w:rPr>
              <w:t xml:space="preserve"> </w:t>
            </w:r>
            <w:r w:rsidR="00181897" w:rsidRPr="00181897">
              <w:rPr>
                <w:rFonts w:ascii="Times New Roman" w:hAnsi="Times New Roman" w:cs="Times New Roman"/>
                <w:szCs w:val="21"/>
              </w:rPr>
              <w:t>Sveitarfélög skulu setja sér reglur um framkvæmd íbúakosninga sem fram fara á vegum þeirra,</w:t>
            </w:r>
            <w:r w:rsidR="00181897" w:rsidRPr="00181897">
              <w:rPr>
                <w:rFonts w:ascii="Times New Roman" w:hAnsi="Times New Roman" w:cs="Times New Roman"/>
                <w:color w:val="242424"/>
                <w:szCs w:val="21"/>
                <w:shd w:val="clear" w:color="auto" w:fill="FFFFFF"/>
              </w:rPr>
              <w:t xml:space="preserve"> sbr. 4. mgr. 38. gr., 4. mgr. 107. gr. og 5. mgr. 119. gr. Reglurnar skulu birtar í Stjórnartíðindum eigi síðar en á sama tíma og </w:t>
            </w:r>
            <w:r w:rsidR="005F5B6B">
              <w:rPr>
                <w:rFonts w:ascii="Times New Roman" w:hAnsi="Times New Roman" w:cs="Times New Roman"/>
                <w:color w:val="242424"/>
                <w:szCs w:val="21"/>
                <w:shd w:val="clear" w:color="auto" w:fill="FFFFFF"/>
              </w:rPr>
              <w:t>íbúakosning</w:t>
            </w:r>
            <w:r w:rsidR="00181897" w:rsidRPr="00181897">
              <w:rPr>
                <w:rFonts w:ascii="Times New Roman" w:hAnsi="Times New Roman" w:cs="Times New Roman"/>
                <w:color w:val="242424"/>
                <w:szCs w:val="21"/>
                <w:shd w:val="clear" w:color="auto" w:fill="FFFFFF"/>
              </w:rPr>
              <w:t xml:space="preserve"> er auglýst íbúum sveitarfélagsins. </w:t>
            </w:r>
            <w:r w:rsidR="00365DA4" w:rsidRPr="00365DA4">
              <w:rPr>
                <w:rFonts w:ascii="Times New Roman" w:hAnsi="Times New Roman" w:cs="Times New Roman"/>
                <w:color w:val="242424"/>
                <w:szCs w:val="21"/>
                <w:shd w:val="clear" w:color="auto" w:fill="FFFFFF"/>
              </w:rPr>
              <w:t>Óheimilt að auglýsa atkvæðagreiðslu sem ekki fer fram á grundvelli sveitarstjórnarlaga undir heitinu íbúakosning.</w:t>
            </w:r>
            <w:r w:rsidR="002B0BF2" w:rsidRPr="00181897">
              <w:rPr>
                <w:rFonts w:ascii="Times New Roman" w:hAnsi="Times New Roman" w:cs="Times New Roman"/>
                <w:color w:val="242424"/>
              </w:rPr>
              <w:br/>
            </w:r>
            <w:r w:rsidR="002B0BF2" w:rsidRPr="00181897">
              <w:rPr>
                <w:rFonts w:ascii="Times New Roman" w:hAnsi="Times New Roman" w:cs="Times New Roman"/>
                <w:noProof/>
              </w:rPr>
              <w:drawing>
                <wp:inline distT="0" distB="0" distL="0" distR="0" wp14:anchorId="42B1479F" wp14:editId="26158724">
                  <wp:extent cx="104140" cy="104140"/>
                  <wp:effectExtent l="0" t="0" r="0" b="0"/>
                  <wp:docPr id="18" name="G1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9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002B0BF2" w:rsidRPr="00181897">
              <w:rPr>
                <w:rFonts w:ascii="Times New Roman" w:hAnsi="Times New Roman" w:cs="Times New Roman"/>
                <w:color w:val="242424"/>
                <w:shd w:val="clear" w:color="auto" w:fill="FFFFFF"/>
              </w:rPr>
              <w:t xml:space="preserve">Atkvæðagreiðsla í íbúakosningu skal vera leynileg og atkvæðisréttur jafn. </w:t>
            </w:r>
          </w:p>
          <w:p w14:paraId="6EE2BB5A" w14:textId="65E89F5A" w:rsidR="002B0BF2" w:rsidRPr="00181897" w:rsidRDefault="002B0BF2" w:rsidP="002B0BF2">
            <w:pPr>
              <w:rPr>
                <w:rFonts w:ascii="Times New Roman" w:hAnsi="Times New Roman" w:cs="Times New Roman"/>
                <w:color w:val="242424"/>
                <w:shd w:val="clear" w:color="auto" w:fill="FFFFFF"/>
              </w:rPr>
            </w:pPr>
            <w:r w:rsidRPr="00181897">
              <w:rPr>
                <w:rFonts w:ascii="Times New Roman" w:hAnsi="Times New Roman" w:cs="Times New Roman"/>
                <w:noProof/>
              </w:rPr>
              <w:drawing>
                <wp:inline distT="0" distB="0" distL="0" distR="0" wp14:anchorId="39B6081F" wp14:editId="17626515">
                  <wp:extent cx="104140" cy="104140"/>
                  <wp:effectExtent l="0" t="0" r="0" b="0"/>
                  <wp:docPr id="17" name="G1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9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xml:space="preserve">Rétt til þátttöku í íbúakosningu eiga þeir sem kosningarrétt eiga í sveitarfélaginu samkvæmt kosningalögum. </w:t>
            </w:r>
            <w:r w:rsidR="00C54B5E">
              <w:rPr>
                <w:rFonts w:ascii="Times New Roman" w:hAnsi="Times New Roman" w:cs="Times New Roman"/>
                <w:color w:val="242424"/>
                <w:shd w:val="clear" w:color="auto" w:fill="FFFFFF"/>
              </w:rPr>
              <w:t xml:space="preserve">Þjóðskrá </w:t>
            </w:r>
            <w:r w:rsidRPr="00181897">
              <w:rPr>
                <w:rFonts w:ascii="Times New Roman" w:hAnsi="Times New Roman" w:cs="Times New Roman"/>
                <w:color w:val="242424"/>
                <w:shd w:val="clear" w:color="auto" w:fill="FFFFFF"/>
              </w:rPr>
              <w:t>skal gera kjörskrá fyrir atkvæðagreiðsluna og um gerð hennar</w:t>
            </w:r>
            <w:r w:rsidR="00EA2C0E">
              <w:rPr>
                <w:rFonts w:ascii="Times New Roman" w:hAnsi="Times New Roman" w:cs="Times New Roman"/>
                <w:color w:val="242424"/>
                <w:shd w:val="clear" w:color="auto" w:fill="FFFFFF"/>
              </w:rPr>
              <w:t xml:space="preserve"> </w:t>
            </w:r>
            <w:r w:rsidRPr="00181897">
              <w:rPr>
                <w:rFonts w:ascii="Times New Roman" w:hAnsi="Times New Roman" w:cs="Times New Roman"/>
                <w:color w:val="242424"/>
                <w:shd w:val="clear" w:color="auto" w:fill="FFFFFF"/>
              </w:rPr>
              <w:t>gilda ákvæði kosningalaga. Sveitarstjórn er heimilt að miða kosningaaldur í íbúakosningu við 16 ár.</w:t>
            </w:r>
          </w:p>
          <w:p w14:paraId="0A0C77DA" w14:textId="6401ED5C" w:rsidR="00C63F66" w:rsidRPr="00181897" w:rsidRDefault="002B0BF2">
            <w:pPr>
              <w:rPr>
                <w:rFonts w:ascii="Times New Roman" w:hAnsi="Times New Roman" w:cs="Times New Roman"/>
              </w:rPr>
            </w:pPr>
            <w:r w:rsidRPr="00181897">
              <w:rPr>
                <w:rFonts w:ascii="Times New Roman" w:hAnsi="Times New Roman" w:cs="Times New Roman"/>
                <w:noProof/>
              </w:rPr>
              <w:drawing>
                <wp:inline distT="0" distB="0" distL="0" distR="0" wp14:anchorId="79F20FFC" wp14:editId="565C3F84">
                  <wp:extent cx="104140" cy="104140"/>
                  <wp:effectExtent l="0" t="0" r="0" b="0"/>
                  <wp:docPr id="19" name="G1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9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00C63F66" w:rsidRPr="00181897">
              <w:rPr>
                <w:rFonts w:ascii="Times New Roman" w:hAnsi="Times New Roman" w:cs="Times New Roman"/>
              </w:rPr>
              <w:t xml:space="preserve">Til að tryggja að </w:t>
            </w:r>
            <w:r w:rsidRPr="00181897">
              <w:rPr>
                <w:rFonts w:ascii="Times New Roman" w:hAnsi="Times New Roman" w:cs="Times New Roman"/>
              </w:rPr>
              <w:t>íbúakosning</w:t>
            </w:r>
            <w:r w:rsidR="00AF3849" w:rsidRPr="00181897">
              <w:rPr>
                <w:rFonts w:ascii="Times New Roman" w:hAnsi="Times New Roman" w:cs="Times New Roman"/>
              </w:rPr>
              <w:t xml:space="preserve"> sem fram f</w:t>
            </w:r>
            <w:r w:rsidRPr="00181897">
              <w:rPr>
                <w:rFonts w:ascii="Times New Roman" w:hAnsi="Times New Roman" w:cs="Times New Roman"/>
              </w:rPr>
              <w:t>er</w:t>
            </w:r>
            <w:r w:rsidR="00AF3849" w:rsidRPr="00181897">
              <w:rPr>
                <w:rFonts w:ascii="Times New Roman" w:hAnsi="Times New Roman" w:cs="Times New Roman"/>
              </w:rPr>
              <w:t xml:space="preserve"> á vegum</w:t>
            </w:r>
            <w:r w:rsidR="00C63F66" w:rsidRPr="00181897">
              <w:rPr>
                <w:rFonts w:ascii="Times New Roman" w:hAnsi="Times New Roman" w:cs="Times New Roman"/>
              </w:rPr>
              <w:t xml:space="preserve"> sveitarféla</w:t>
            </w:r>
            <w:r w:rsidRPr="00181897">
              <w:rPr>
                <w:rFonts w:ascii="Times New Roman" w:hAnsi="Times New Roman" w:cs="Times New Roman"/>
              </w:rPr>
              <w:t>gs</w:t>
            </w:r>
            <w:r w:rsidR="006E34B4" w:rsidRPr="00181897">
              <w:rPr>
                <w:rFonts w:ascii="Times New Roman" w:hAnsi="Times New Roman" w:cs="Times New Roman"/>
              </w:rPr>
              <w:t xml:space="preserve"> </w:t>
            </w:r>
            <w:r w:rsidR="00C63F66" w:rsidRPr="00181897">
              <w:rPr>
                <w:rFonts w:ascii="Times New Roman" w:hAnsi="Times New Roman" w:cs="Times New Roman"/>
              </w:rPr>
              <w:t>uppfylli grundvallarskilyrð</w:t>
            </w:r>
            <w:r w:rsidR="00AF3849" w:rsidRPr="00181897">
              <w:rPr>
                <w:rFonts w:ascii="Times New Roman" w:hAnsi="Times New Roman" w:cs="Times New Roman"/>
              </w:rPr>
              <w:t>i</w:t>
            </w:r>
            <w:r w:rsidR="00C63F66" w:rsidRPr="00181897">
              <w:rPr>
                <w:rFonts w:ascii="Times New Roman" w:hAnsi="Times New Roman" w:cs="Times New Roman"/>
              </w:rPr>
              <w:t xml:space="preserve"> um lýðræðislegar kosningar</w:t>
            </w:r>
            <w:r w:rsidR="00AF3849" w:rsidRPr="00181897">
              <w:rPr>
                <w:rFonts w:ascii="Times New Roman" w:hAnsi="Times New Roman" w:cs="Times New Roman"/>
              </w:rPr>
              <w:t>,</w:t>
            </w:r>
            <w:r w:rsidR="00C63F66" w:rsidRPr="00181897">
              <w:rPr>
                <w:rFonts w:ascii="Times New Roman" w:hAnsi="Times New Roman" w:cs="Times New Roman"/>
              </w:rPr>
              <w:t xml:space="preserve"> skal r</w:t>
            </w:r>
            <w:r w:rsidR="008B72A4" w:rsidRPr="00181897">
              <w:rPr>
                <w:rFonts w:ascii="Times New Roman" w:hAnsi="Times New Roman" w:cs="Times New Roman"/>
              </w:rPr>
              <w:t xml:space="preserve">áðuneytið </w:t>
            </w:r>
            <w:r w:rsidRPr="00181897">
              <w:rPr>
                <w:rFonts w:ascii="Times New Roman" w:hAnsi="Times New Roman" w:cs="Times New Roman"/>
              </w:rPr>
              <w:t>mæla fyrir um í reglugerð þau</w:t>
            </w:r>
            <w:r w:rsidR="001A6DA7" w:rsidRPr="00181897">
              <w:rPr>
                <w:rFonts w:ascii="Times New Roman" w:hAnsi="Times New Roman" w:cs="Times New Roman"/>
              </w:rPr>
              <w:t xml:space="preserve"> </w:t>
            </w:r>
            <w:r w:rsidR="00B44CB7" w:rsidRPr="00181897">
              <w:rPr>
                <w:rFonts w:ascii="Times New Roman" w:hAnsi="Times New Roman" w:cs="Times New Roman"/>
              </w:rPr>
              <w:t>lágmarks</w:t>
            </w:r>
            <w:r w:rsidR="001A6DA7" w:rsidRPr="00181897">
              <w:rPr>
                <w:rFonts w:ascii="Times New Roman" w:hAnsi="Times New Roman" w:cs="Times New Roman"/>
              </w:rPr>
              <w:t xml:space="preserve">atriði sem fram skulu koma í reglum sveitarfélaga um </w:t>
            </w:r>
            <w:r w:rsidR="008832FC" w:rsidRPr="00181897">
              <w:rPr>
                <w:rFonts w:ascii="Times New Roman" w:hAnsi="Times New Roman" w:cs="Times New Roman"/>
              </w:rPr>
              <w:t>íbúa</w:t>
            </w:r>
            <w:r w:rsidR="001A6DA7" w:rsidRPr="00181897">
              <w:rPr>
                <w:rFonts w:ascii="Times New Roman" w:hAnsi="Times New Roman" w:cs="Times New Roman"/>
              </w:rPr>
              <w:t>kosningar.</w:t>
            </w:r>
          </w:p>
          <w:p w14:paraId="487EC728" w14:textId="2616CC44" w:rsidR="008B72A4" w:rsidRPr="00181897" w:rsidRDefault="002B0BF2" w:rsidP="00F47569">
            <w:pPr>
              <w:rPr>
                <w:rFonts w:ascii="Times New Roman" w:hAnsi="Times New Roman" w:cs="Times New Roman"/>
                <w:color w:val="242424"/>
                <w:shd w:val="clear" w:color="auto" w:fill="FFFFFF"/>
              </w:rPr>
            </w:pPr>
            <w:r w:rsidRPr="00181897">
              <w:rPr>
                <w:rFonts w:ascii="Times New Roman" w:hAnsi="Times New Roman" w:cs="Times New Roman"/>
                <w:noProof/>
              </w:rPr>
              <w:drawing>
                <wp:inline distT="0" distB="0" distL="0" distR="0" wp14:anchorId="5345243A" wp14:editId="1E8B9BD7">
                  <wp:extent cx="104140" cy="104140"/>
                  <wp:effectExtent l="0" t="0" r="0" b="0"/>
                  <wp:docPr id="22" name="G1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9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008B72A4" w:rsidRPr="00181897">
              <w:rPr>
                <w:rFonts w:ascii="Times New Roman" w:hAnsi="Times New Roman" w:cs="Times New Roman"/>
              </w:rPr>
              <w:t>Í reglugerð</w:t>
            </w:r>
            <w:r w:rsidRPr="00181897">
              <w:rPr>
                <w:rFonts w:ascii="Times New Roman" w:hAnsi="Times New Roman" w:cs="Times New Roman"/>
              </w:rPr>
              <w:t>inni</w:t>
            </w:r>
            <w:r w:rsidR="001A6DA7" w:rsidRPr="00181897">
              <w:rPr>
                <w:rFonts w:ascii="Times New Roman" w:hAnsi="Times New Roman" w:cs="Times New Roman"/>
              </w:rPr>
              <w:t xml:space="preserve"> skal m.a. koma fram</w:t>
            </w:r>
            <w:r w:rsidRPr="00181897">
              <w:rPr>
                <w:rFonts w:ascii="Times New Roman" w:hAnsi="Times New Roman" w:cs="Times New Roman"/>
              </w:rPr>
              <w:t xml:space="preserve"> </w:t>
            </w:r>
            <w:r w:rsidR="001A6DA7" w:rsidRPr="00181897">
              <w:rPr>
                <w:rFonts w:ascii="Times New Roman" w:hAnsi="Times New Roman" w:cs="Times New Roman"/>
              </w:rPr>
              <w:t>hvaða reglur sveitarfélög geta sett sér um</w:t>
            </w:r>
            <w:r w:rsidR="00C63F66" w:rsidRPr="00181897">
              <w:rPr>
                <w:rFonts w:ascii="Times New Roman" w:hAnsi="Times New Roman" w:cs="Times New Roman"/>
              </w:rPr>
              <w:t xml:space="preserve"> undirbúning, </w:t>
            </w:r>
            <w:r w:rsidR="003A2E19" w:rsidRPr="00181897">
              <w:rPr>
                <w:rFonts w:ascii="Times New Roman" w:hAnsi="Times New Roman" w:cs="Times New Roman"/>
              </w:rPr>
              <w:t xml:space="preserve">framkvæmd </w:t>
            </w:r>
            <w:r w:rsidR="00C63F66" w:rsidRPr="00181897">
              <w:rPr>
                <w:rFonts w:ascii="Times New Roman" w:hAnsi="Times New Roman" w:cs="Times New Roman"/>
              </w:rPr>
              <w:t xml:space="preserve">og fyrirkomulag </w:t>
            </w:r>
            <w:r w:rsidR="003A2E19" w:rsidRPr="00181897">
              <w:rPr>
                <w:rFonts w:ascii="Times New Roman" w:hAnsi="Times New Roman" w:cs="Times New Roman"/>
              </w:rPr>
              <w:t>kosninga</w:t>
            </w:r>
            <w:r w:rsidR="001A6DA7" w:rsidRPr="00181897">
              <w:rPr>
                <w:rFonts w:ascii="Times New Roman" w:hAnsi="Times New Roman" w:cs="Times New Roman"/>
                <w:color w:val="242424"/>
                <w:shd w:val="clear" w:color="auto" w:fill="FFFFFF"/>
              </w:rPr>
              <w:t>, þ.m.t. um hvort að kosning skuli vera bundinn eða óbundinn,</w:t>
            </w:r>
            <w:r w:rsidR="00636D2C" w:rsidRPr="00181897">
              <w:rPr>
                <w:rFonts w:ascii="Times New Roman" w:hAnsi="Times New Roman" w:cs="Times New Roman"/>
                <w:color w:val="242424"/>
                <w:shd w:val="clear" w:color="auto" w:fill="FFFFFF"/>
              </w:rPr>
              <w:t xml:space="preserve"> kjörgengi frambjóðanda, starfshætti kjörstjórnar</w:t>
            </w:r>
            <w:r w:rsidRPr="00181897">
              <w:rPr>
                <w:rFonts w:ascii="Times New Roman" w:hAnsi="Times New Roman" w:cs="Times New Roman"/>
                <w:color w:val="242424"/>
                <w:shd w:val="clear" w:color="auto" w:fill="FFFFFF"/>
              </w:rPr>
              <w:t xml:space="preserve">, framkvæmd talningar </w:t>
            </w:r>
            <w:r w:rsidR="001A6DA7" w:rsidRPr="00181897">
              <w:rPr>
                <w:rFonts w:ascii="Times New Roman" w:hAnsi="Times New Roman" w:cs="Times New Roman"/>
                <w:color w:val="242424"/>
                <w:shd w:val="clear" w:color="auto" w:fill="FFFFFF"/>
              </w:rPr>
              <w:t>og öll önnur atriði sem mikilvægt</w:t>
            </w:r>
            <w:r w:rsidR="008832FC" w:rsidRPr="00181897">
              <w:rPr>
                <w:rFonts w:ascii="Times New Roman" w:hAnsi="Times New Roman" w:cs="Times New Roman"/>
                <w:color w:val="242424"/>
                <w:shd w:val="clear" w:color="auto" w:fill="FFFFFF"/>
              </w:rPr>
              <w:t xml:space="preserve"> er</w:t>
            </w:r>
            <w:r w:rsidR="001A6DA7" w:rsidRPr="00181897">
              <w:rPr>
                <w:rFonts w:ascii="Times New Roman" w:hAnsi="Times New Roman" w:cs="Times New Roman"/>
                <w:color w:val="242424"/>
                <w:shd w:val="clear" w:color="auto" w:fill="FFFFFF"/>
              </w:rPr>
              <w:t xml:space="preserve"> að fram komi í reglum </w:t>
            </w:r>
            <w:r w:rsidR="00636D2C" w:rsidRPr="00181897">
              <w:rPr>
                <w:rFonts w:ascii="Times New Roman" w:hAnsi="Times New Roman" w:cs="Times New Roman"/>
                <w:color w:val="242424"/>
                <w:shd w:val="clear" w:color="auto" w:fill="FFFFFF"/>
              </w:rPr>
              <w:t xml:space="preserve">sveitarfélaga </w:t>
            </w:r>
            <w:r w:rsidR="001A6DA7" w:rsidRPr="00181897">
              <w:rPr>
                <w:rFonts w:ascii="Times New Roman" w:hAnsi="Times New Roman" w:cs="Times New Roman"/>
                <w:color w:val="242424"/>
                <w:shd w:val="clear" w:color="auto" w:fill="FFFFFF"/>
              </w:rPr>
              <w:t xml:space="preserve">um </w:t>
            </w:r>
            <w:r w:rsidR="00354336" w:rsidRPr="00181897">
              <w:rPr>
                <w:rFonts w:ascii="Times New Roman" w:hAnsi="Times New Roman" w:cs="Times New Roman"/>
                <w:color w:val="242424"/>
                <w:shd w:val="clear" w:color="auto" w:fill="FFFFFF"/>
              </w:rPr>
              <w:t>íbúa</w:t>
            </w:r>
            <w:r w:rsidR="001A6DA7" w:rsidRPr="00181897">
              <w:rPr>
                <w:rFonts w:ascii="Times New Roman" w:hAnsi="Times New Roman" w:cs="Times New Roman"/>
                <w:color w:val="242424"/>
                <w:shd w:val="clear" w:color="auto" w:fill="FFFFFF"/>
              </w:rPr>
              <w:t>kosning</w:t>
            </w:r>
            <w:r w:rsidR="00354336" w:rsidRPr="00181897">
              <w:rPr>
                <w:rFonts w:ascii="Times New Roman" w:hAnsi="Times New Roman" w:cs="Times New Roman"/>
                <w:color w:val="242424"/>
                <w:shd w:val="clear" w:color="auto" w:fill="FFFFFF"/>
              </w:rPr>
              <w:t>ar.</w:t>
            </w:r>
            <w:r w:rsidR="001A6DA7" w:rsidRPr="00181897">
              <w:rPr>
                <w:rFonts w:ascii="Times New Roman" w:hAnsi="Times New Roman" w:cs="Times New Roman"/>
                <w:color w:val="242424"/>
                <w:shd w:val="clear" w:color="auto" w:fill="FFFFFF"/>
              </w:rPr>
              <w:t xml:space="preserve"> </w:t>
            </w:r>
          </w:p>
          <w:p w14:paraId="53BA93DE" w14:textId="71850427" w:rsidR="002B0BF2" w:rsidRPr="00181897" w:rsidRDefault="002B0BF2" w:rsidP="002B0BF2">
            <w:pPr>
              <w:shd w:val="clear" w:color="auto" w:fill="FFFFFF"/>
              <w:spacing w:after="300"/>
              <w:rPr>
                <w:rFonts w:ascii="Times New Roman" w:eastAsia="Times New Roman" w:hAnsi="Times New Roman" w:cs="Times New Roman"/>
                <w:color w:val="242424"/>
                <w:lang w:eastAsia="is-IS"/>
              </w:rPr>
            </w:pPr>
            <w:r w:rsidRPr="00181897">
              <w:rPr>
                <w:rFonts w:ascii="Times New Roman" w:hAnsi="Times New Roman" w:cs="Times New Roman"/>
                <w:noProof/>
              </w:rPr>
              <w:drawing>
                <wp:inline distT="0" distB="0" distL="0" distR="0" wp14:anchorId="16FD49D3" wp14:editId="0E05EEA9">
                  <wp:extent cx="104140" cy="104140"/>
                  <wp:effectExtent l="0" t="0" r="0" b="0"/>
                  <wp:docPr id="23" name="G1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9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eastAsia="Times New Roman" w:hAnsi="Times New Roman" w:cs="Times New Roman"/>
                <w:color w:val="242424"/>
                <w:lang w:eastAsia="is-IS"/>
              </w:rPr>
              <w:t xml:space="preserve">Kærur um ólögmæti íbúakosninga skulu sendar úrskurðarnefnd kosningamála til úrlausnar innan sjö daga frá því að lýst var </w:t>
            </w:r>
            <w:r w:rsidRPr="00181897">
              <w:rPr>
                <w:rFonts w:ascii="Times New Roman" w:eastAsia="Times New Roman" w:hAnsi="Times New Roman" w:cs="Times New Roman"/>
                <w:color w:val="242424"/>
                <w:lang w:eastAsia="is-IS"/>
              </w:rPr>
              <w:lastRenderedPageBreak/>
              <w:t>úrslitum kosninga. Úrskurðarnefnd kosningamála skal úrskurða innan fjögurra vikna frá því að kæra berst, nema mál sé mjög umfangsmikið og skal þá úrskurða innan sex vikna.</w:t>
            </w:r>
          </w:p>
        </w:tc>
      </w:tr>
      <w:tr w:rsidR="00500C85" w:rsidRPr="00181897" w14:paraId="0A256395" w14:textId="77777777" w:rsidTr="008B72A4">
        <w:tc>
          <w:tcPr>
            <w:tcW w:w="5382" w:type="dxa"/>
          </w:tcPr>
          <w:p w14:paraId="112AE983" w14:textId="28BB7F8F" w:rsidR="002B0BF2" w:rsidRPr="00181897" w:rsidRDefault="002B0BF2" w:rsidP="002B0BF2">
            <w:pPr>
              <w:rPr>
                <w:rFonts w:ascii="Times New Roman" w:hAnsi="Times New Roman" w:cs="Times New Roman"/>
                <w:b/>
                <w:bCs/>
                <w:color w:val="242424"/>
                <w:shd w:val="clear" w:color="auto" w:fill="FFFFFF"/>
              </w:rPr>
            </w:pPr>
            <w:r w:rsidRPr="00181897">
              <w:rPr>
                <w:rFonts w:ascii="Times New Roman" w:hAnsi="Times New Roman" w:cs="Times New Roman"/>
                <w:b/>
                <w:bCs/>
                <w:color w:val="242424"/>
                <w:shd w:val="clear" w:color="auto" w:fill="FFFFFF"/>
              </w:rPr>
              <w:lastRenderedPageBreak/>
              <w:t>Bráðabirgðaákvæði V.</w:t>
            </w:r>
          </w:p>
          <w:p w14:paraId="00247260" w14:textId="31547C22" w:rsidR="00500C85" w:rsidRPr="00181897" w:rsidRDefault="002B0BF2" w:rsidP="002B0BF2">
            <w:pPr>
              <w:rPr>
                <w:rFonts w:ascii="Times New Roman" w:hAnsi="Times New Roman" w:cs="Times New Roman"/>
              </w:rPr>
            </w:pPr>
            <w:r w:rsidRPr="00181897">
              <w:rPr>
                <w:rFonts w:ascii="Times New Roman" w:hAnsi="Times New Roman" w:cs="Times New Roman"/>
                <w:color w:val="242424"/>
                <w:shd w:val="clear" w:color="auto" w:fill="FFFFFF"/>
              </w:rPr>
              <w:t>Í þeim tilgangi að styðja við framkvæmd rafræns lýðræðis í sveitarfélögum getur ráðherra heimilað, að beiðni viðkomandi sveitarstjórnar, að íbúakosning á grundvelli X. kafla sveitarstjórnarlaga fari eingöngu fram með rafrænum hætti og að kjörskrá vegna íbúakosninga verði rafræn.</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74C3C29E" wp14:editId="150E0FED">
                  <wp:extent cx="101600" cy="101600"/>
                  <wp:effectExtent l="0" t="0" r="0" b="0"/>
                  <wp:docPr id="2" name="B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Ráðuneytið skal í reglugerð </w:t>
            </w:r>
            <w:r w:rsidRPr="00181897">
              <w:rPr>
                <w:rFonts w:ascii="Times New Roman" w:hAnsi="Times New Roman" w:cs="Times New Roman"/>
                <w:color w:val="242424"/>
                <w:sz w:val="14"/>
                <w:szCs w:val="14"/>
                <w:shd w:val="clear" w:color="auto" w:fill="FFFFFF"/>
                <w:vertAlign w:val="superscript"/>
              </w:rPr>
              <w:t>1)</w:t>
            </w:r>
            <w:r w:rsidRPr="00181897">
              <w:rPr>
                <w:rFonts w:ascii="Times New Roman" w:hAnsi="Times New Roman" w:cs="Times New Roman"/>
                <w:color w:val="242424"/>
                <w:shd w:val="clear" w:color="auto" w:fill="FFFFFF"/>
              </w:rPr>
              <w:t xml:space="preserve"> mæla nánar fyrir um undirbúning, framkvæmd og fyrirkomulag rafrænna kosninga og gerð rafrænnar kjörskrár, þar á meðal um gerð og notkun rafrænnar kjörskrár, viðmiðunardag kjörskrár, auglýsingu um kjörskrá og heimild til breytingar á henni, um skipan og starfshætti kjörstjórna, meðferð kjörgagna, tímafresti, öryggi við framkvæmd sem tryggir leynd kosninga, gerð kosningakerfa, </w:t>
            </w:r>
            <w:proofErr w:type="spellStart"/>
            <w:r w:rsidRPr="00181897">
              <w:rPr>
                <w:rFonts w:ascii="Times New Roman" w:hAnsi="Times New Roman" w:cs="Times New Roman"/>
                <w:color w:val="242424"/>
                <w:shd w:val="clear" w:color="auto" w:fill="FFFFFF"/>
              </w:rPr>
              <w:t>dulkóðun</w:t>
            </w:r>
            <w:proofErr w:type="spellEnd"/>
            <w:r w:rsidRPr="00181897">
              <w:rPr>
                <w:rFonts w:ascii="Times New Roman" w:hAnsi="Times New Roman" w:cs="Times New Roman"/>
                <w:color w:val="242424"/>
                <w:shd w:val="clear" w:color="auto" w:fill="FFFFFF"/>
              </w:rPr>
              <w:t xml:space="preserve"> og framkvæmd öryggisúttektar, kröfur til auðkenningar, framkvæmd talningar, kosningakærur og eyðingu gagna úr kosningakerfum að afloknum kosningum. Að öðru leyti gilda ákvæði 107. gr. um framkvæmd rafrænna íbúakosninga og gerð rafrænnar kjörskrár.</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5785B98F" wp14:editId="402C8136">
                  <wp:extent cx="101600" cy="101600"/>
                  <wp:effectExtent l="0" t="0" r="0" b="0"/>
                  <wp:docPr id="8" name="B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M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Í reglugerðinni skal einnig mælt fyrir um hlutverk Þjóðskrár Íslands, þar á meðal um gerð og umsjón vefsvæðis, auðkenningu, uppflettingu í þjóðskrá og talningu. Þjóðskrá Íslands er heimilt að taka gjald í samræmi við gjaldskrá stofnunarinnar fyrir þá þjónustu sem stofnunin veitir vegna undirbúnings og framkvæmdar rafrænna íbúakosninga skv. 1. mgr. og rafrænna undirskriftasafnana skv. 108. gr., svo og fyrir gerð rafrænnar kjörskrár skv. 1. mgr.</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0665BB6E" wp14:editId="07D41107">
                  <wp:extent cx="101600" cy="101600"/>
                  <wp:effectExtent l="0" t="0" r="0" b="0"/>
                  <wp:docPr id="11" name="B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M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xml:space="preserve"> Sveitarstjórn er heimilt að beita ákvæðum reglugerðarinnar við framkvæmd rafrænna íbúakannana </w:t>
            </w:r>
            <w:r w:rsidRPr="00181897">
              <w:rPr>
                <w:rFonts w:ascii="Times New Roman" w:hAnsi="Times New Roman" w:cs="Times New Roman"/>
                <w:color w:val="242424"/>
                <w:shd w:val="clear" w:color="auto" w:fill="FFFFFF"/>
              </w:rPr>
              <w:lastRenderedPageBreak/>
              <w:t>eftir því sem við á.</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6D9DF782" wp14:editId="602D1862">
                  <wp:extent cx="101600" cy="101600"/>
                  <wp:effectExtent l="0" t="0" r="0" b="0"/>
                  <wp:docPr id="5" name="B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M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Sveitarstjórn er heimilt, að fengnu samþykki ráðherra, að miða kosningaaldur í íbúakosningu við 16 ár.</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3D0D3FA5" wp14:editId="404F60D4">
                  <wp:extent cx="101600" cy="101600"/>
                  <wp:effectExtent l="0" t="0" r="0" b="0"/>
                  <wp:docPr id="6" name="B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M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Til að vera ráðherra til ráðgjafar og til að fylgjast með framkvæmd rafrænna íbúakosninga og gerð rafrænnar kjörskrár sem og að sinna öðrum verkefnum sem ráðherra felur henni á þessu sviði skal ráðherra skipa þriggja manna ráðgjafanefnd. Einn skal skipa samkvæmt tilnefningu Sambands íslenskra sveitarfélaga og tvo án tilnefningar. Þrír varamenn skulu skipaðir með sama hætti. Ráðherra skipar formann nefndarinnar.</w:t>
            </w:r>
            <w:r w:rsidRPr="00181897">
              <w:rPr>
                <w:rFonts w:ascii="Times New Roman" w:hAnsi="Times New Roman" w:cs="Times New Roman"/>
                <w:color w:val="242424"/>
              </w:rPr>
              <w:br/>
            </w:r>
            <w:r w:rsidRPr="00181897">
              <w:rPr>
                <w:rFonts w:ascii="Times New Roman" w:hAnsi="Times New Roman" w:cs="Times New Roman"/>
                <w:noProof/>
              </w:rPr>
              <w:drawing>
                <wp:inline distT="0" distB="0" distL="0" distR="0" wp14:anchorId="40426E39" wp14:editId="4F8B45F1">
                  <wp:extent cx="101600" cy="101600"/>
                  <wp:effectExtent l="0" t="0" r="0" b="0"/>
                  <wp:docPr id="7" name="B4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M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[Ákvæði þetta gildir til 31. maí 2023.] </w:t>
            </w:r>
            <w:r w:rsidRPr="00181897">
              <w:rPr>
                <w:rFonts w:ascii="Times New Roman" w:hAnsi="Times New Roman" w:cs="Times New Roman"/>
                <w:color w:val="242424"/>
                <w:sz w:val="14"/>
                <w:szCs w:val="14"/>
                <w:shd w:val="clear" w:color="auto" w:fill="FFFFFF"/>
                <w:vertAlign w:val="superscript"/>
              </w:rPr>
              <w:t>2)</w:t>
            </w:r>
            <w:r w:rsidRPr="00181897">
              <w:rPr>
                <w:rFonts w:ascii="Times New Roman" w:hAnsi="Times New Roman" w:cs="Times New Roman"/>
                <w:color w:val="242424"/>
                <w:shd w:val="clear" w:color="auto" w:fill="FFFFFF"/>
              </w:rPr>
              <w:t>]</w:t>
            </w:r>
          </w:p>
        </w:tc>
        <w:tc>
          <w:tcPr>
            <w:tcW w:w="5953" w:type="dxa"/>
          </w:tcPr>
          <w:p w14:paraId="27CAE064" w14:textId="64B44243" w:rsidR="002B0BF2" w:rsidRPr="00181897" w:rsidRDefault="002B0BF2" w:rsidP="002B0BF2">
            <w:pPr>
              <w:pStyle w:val="ListParagraph"/>
              <w:numPr>
                <w:ilvl w:val="0"/>
                <w:numId w:val="5"/>
              </w:numPr>
              <w:rPr>
                <w:rFonts w:ascii="Times New Roman" w:hAnsi="Times New Roman" w:cs="Times New Roman"/>
                <w:b/>
                <w:bCs/>
              </w:rPr>
            </w:pPr>
            <w:r w:rsidRPr="00181897">
              <w:rPr>
                <w:rFonts w:ascii="Times New Roman" w:hAnsi="Times New Roman" w:cs="Times New Roman"/>
                <w:b/>
                <w:bCs/>
              </w:rPr>
              <w:lastRenderedPageBreak/>
              <w:t>Nýtt ákvæði 134. gr.</w:t>
            </w:r>
          </w:p>
          <w:p w14:paraId="2A61A439" w14:textId="66941549" w:rsidR="00500C85" w:rsidRPr="00181897" w:rsidRDefault="002B0BF2">
            <w:pPr>
              <w:rPr>
                <w:rFonts w:ascii="Times New Roman" w:hAnsi="Times New Roman" w:cs="Times New Roman"/>
                <w:i/>
                <w:iCs/>
              </w:rPr>
            </w:pPr>
            <w:r w:rsidRPr="00181897">
              <w:rPr>
                <w:rFonts w:ascii="Times New Roman" w:hAnsi="Times New Roman" w:cs="Times New Roman"/>
                <w:i/>
                <w:iCs/>
              </w:rPr>
              <w:t>Rafræn íbúakosning</w:t>
            </w:r>
          </w:p>
          <w:p w14:paraId="5404AC7E" w14:textId="4839E08C" w:rsidR="002B0BF2" w:rsidRPr="00181897" w:rsidRDefault="002B0BF2">
            <w:pPr>
              <w:rPr>
                <w:rFonts w:ascii="Times New Roman" w:hAnsi="Times New Roman" w:cs="Times New Roman"/>
              </w:rPr>
            </w:pPr>
            <w:r w:rsidRPr="00181897">
              <w:rPr>
                <w:rFonts w:ascii="Times New Roman" w:hAnsi="Times New Roman" w:cs="Times New Roman"/>
                <w:noProof/>
              </w:rPr>
              <w:drawing>
                <wp:inline distT="0" distB="0" distL="0" distR="0" wp14:anchorId="0FD0064E" wp14:editId="3A8E8BBE">
                  <wp:extent cx="104140" cy="104140"/>
                  <wp:effectExtent l="0" t="0" r="0" b="0"/>
                  <wp:docPr id="24" name="G1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9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00181897" w:rsidRPr="00181897">
              <w:rPr>
                <w:rFonts w:ascii="Times New Roman" w:hAnsi="Times New Roman" w:cs="Times New Roman"/>
                <w:color w:val="242424"/>
                <w:shd w:val="clear" w:color="auto" w:fill="FFFFFF"/>
              </w:rPr>
              <w:t xml:space="preserve"> </w:t>
            </w:r>
            <w:r w:rsidR="00E55686" w:rsidRPr="00032F51">
              <w:rPr>
                <w:rFonts w:ascii="Times New Roman" w:hAnsi="Times New Roman" w:cs="Times New Roman"/>
                <w:color w:val="242424"/>
                <w:highlight w:val="yellow"/>
                <w:shd w:val="clear" w:color="auto" w:fill="FFFFFF"/>
              </w:rPr>
              <w:t>Ráðuneytið getur heimilað</w:t>
            </w:r>
            <w:r w:rsidR="00032F51">
              <w:rPr>
                <w:rFonts w:ascii="Times New Roman" w:hAnsi="Times New Roman" w:cs="Times New Roman"/>
                <w:color w:val="242424"/>
                <w:highlight w:val="yellow"/>
                <w:shd w:val="clear" w:color="auto" w:fill="FFFFFF"/>
              </w:rPr>
              <w:t xml:space="preserve">, </w:t>
            </w:r>
            <w:r w:rsidR="00C72863" w:rsidRPr="00032F51">
              <w:rPr>
                <w:rFonts w:ascii="Times New Roman" w:hAnsi="Times New Roman" w:cs="Times New Roman"/>
                <w:color w:val="242424"/>
                <w:highlight w:val="yellow"/>
                <w:shd w:val="clear" w:color="auto" w:fill="FFFFFF"/>
              </w:rPr>
              <w:t xml:space="preserve">að beiðni viðkomandi sveitarstjórnar, </w:t>
            </w:r>
            <w:r w:rsidR="00181897" w:rsidRPr="00032F51">
              <w:rPr>
                <w:rFonts w:ascii="Times New Roman" w:hAnsi="Times New Roman" w:cs="Times New Roman"/>
                <w:color w:val="242424"/>
                <w:highlight w:val="yellow"/>
                <w:shd w:val="clear" w:color="auto" w:fill="FFFFFF"/>
              </w:rPr>
              <w:t>að íbúakosning skv. 133. gr. fari fram með rafrænum hætti og að kjörskrá vegna íbúakosninga verði rafræn.</w:t>
            </w:r>
            <w:r w:rsidR="00E53924" w:rsidRPr="00032F51">
              <w:rPr>
                <w:rFonts w:ascii="Times New Roman" w:hAnsi="Times New Roman" w:cs="Times New Roman"/>
                <w:color w:val="242424"/>
                <w:highlight w:val="yellow"/>
                <w:shd w:val="clear" w:color="auto" w:fill="FFFFFF"/>
              </w:rPr>
              <w:t xml:space="preserve"> </w:t>
            </w:r>
            <w:r w:rsidR="00E55686" w:rsidRPr="00032F51">
              <w:rPr>
                <w:rFonts w:ascii="Times New Roman" w:hAnsi="Times New Roman" w:cs="Times New Roman"/>
                <w:color w:val="242424"/>
                <w:highlight w:val="yellow"/>
                <w:shd w:val="clear" w:color="auto" w:fill="FFFFFF"/>
              </w:rPr>
              <w:t xml:space="preserve">Samþykki ráðuneytisins er háð staðfestingu Þjóðskrár Íslands </w:t>
            </w:r>
            <w:r w:rsidR="00B24C3C" w:rsidRPr="00032F51">
              <w:rPr>
                <w:rFonts w:ascii="Times New Roman" w:hAnsi="Times New Roman" w:cs="Times New Roman"/>
                <w:color w:val="242424"/>
                <w:highlight w:val="yellow"/>
                <w:shd w:val="clear" w:color="auto" w:fill="FFFFFF"/>
              </w:rPr>
              <w:t>á því að</w:t>
            </w:r>
            <w:r w:rsidR="00E55686" w:rsidRPr="00032F51">
              <w:rPr>
                <w:rFonts w:ascii="Times New Roman" w:hAnsi="Times New Roman" w:cs="Times New Roman"/>
                <w:color w:val="242424"/>
                <w:highlight w:val="yellow"/>
                <w:shd w:val="clear" w:color="auto" w:fill="FFFFFF"/>
              </w:rPr>
              <w:t xml:space="preserve"> </w:t>
            </w:r>
            <w:r w:rsidR="00B24C3C" w:rsidRPr="00032F51">
              <w:rPr>
                <w:rFonts w:ascii="Times New Roman" w:hAnsi="Times New Roman" w:cs="Times New Roman"/>
                <w:color w:val="242424"/>
                <w:highlight w:val="yellow"/>
                <w:shd w:val="clear" w:color="auto" w:fill="FFFFFF"/>
              </w:rPr>
              <w:t xml:space="preserve">kosningin </w:t>
            </w:r>
            <w:r w:rsidR="00E55686" w:rsidRPr="00032F51">
              <w:rPr>
                <w:rFonts w:ascii="Times New Roman" w:hAnsi="Times New Roman" w:cs="Times New Roman"/>
                <w:color w:val="242424"/>
                <w:highlight w:val="yellow"/>
                <w:shd w:val="clear" w:color="auto" w:fill="FFFFFF"/>
              </w:rPr>
              <w:t>geti farið fram í samræmi við reglugerð um rafrænar íbúakosningar, sbr. 2. mgr.</w:t>
            </w:r>
            <w:r w:rsidR="00E55686">
              <w:rPr>
                <w:rFonts w:ascii="Times New Roman" w:hAnsi="Times New Roman" w:cs="Times New Roman"/>
                <w:color w:val="242424"/>
                <w:shd w:val="clear" w:color="auto" w:fill="FFFFFF"/>
              </w:rPr>
              <w:t xml:space="preserve"> </w:t>
            </w:r>
          </w:p>
          <w:p w14:paraId="6D276507" w14:textId="4D304EC0" w:rsidR="002B0BF2" w:rsidRPr="00181897" w:rsidRDefault="002B0BF2">
            <w:pPr>
              <w:rPr>
                <w:rFonts w:ascii="Times New Roman" w:hAnsi="Times New Roman" w:cs="Times New Roman"/>
                <w:color w:val="242424"/>
                <w:shd w:val="clear" w:color="auto" w:fill="FFFFFF"/>
              </w:rPr>
            </w:pPr>
            <w:r w:rsidRPr="00181897">
              <w:rPr>
                <w:rFonts w:ascii="Times New Roman" w:hAnsi="Times New Roman" w:cs="Times New Roman"/>
                <w:noProof/>
              </w:rPr>
              <w:drawing>
                <wp:inline distT="0" distB="0" distL="0" distR="0" wp14:anchorId="11C65FA8" wp14:editId="02505BB8">
                  <wp:extent cx="104140" cy="104140"/>
                  <wp:effectExtent l="0" t="0" r="0" b="0"/>
                  <wp:docPr id="25" name="G1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9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xml:space="preserve">Ráðuneytið skal í reglugerð mæla nánar fyrir </w:t>
            </w:r>
            <w:r w:rsidRPr="00032F51">
              <w:rPr>
                <w:rFonts w:ascii="Times New Roman" w:hAnsi="Times New Roman" w:cs="Times New Roman"/>
                <w:color w:val="242424"/>
                <w:highlight w:val="yellow"/>
                <w:shd w:val="clear" w:color="auto" w:fill="FFFFFF"/>
              </w:rPr>
              <w:t>um</w:t>
            </w:r>
            <w:r w:rsidR="00E55686" w:rsidRPr="00032F51">
              <w:rPr>
                <w:rFonts w:ascii="Times New Roman" w:hAnsi="Times New Roman" w:cs="Times New Roman"/>
                <w:color w:val="242424"/>
                <w:highlight w:val="yellow"/>
                <w:shd w:val="clear" w:color="auto" w:fill="FFFFFF"/>
              </w:rPr>
              <w:t xml:space="preserve"> hlutverk Þjóðskrár Íslands vegna rafrænna íbúakosninga</w:t>
            </w:r>
            <w:r w:rsidR="00E55686">
              <w:rPr>
                <w:rFonts w:ascii="Times New Roman" w:hAnsi="Times New Roman" w:cs="Times New Roman"/>
                <w:color w:val="242424"/>
                <w:shd w:val="clear" w:color="auto" w:fill="FFFFFF"/>
              </w:rPr>
              <w:t>,</w:t>
            </w:r>
            <w:r w:rsidRPr="00181897">
              <w:rPr>
                <w:rFonts w:ascii="Times New Roman" w:hAnsi="Times New Roman" w:cs="Times New Roman"/>
                <w:color w:val="242424"/>
                <w:shd w:val="clear" w:color="auto" w:fill="FFFFFF"/>
              </w:rPr>
              <w:t xml:space="preserve"> undirbúning, framkvæmd og fyrirkomulag rafrænna kosninga og gerð rafrænnar kjörskrár, þar á meðal um gerð og notkun rafrænnar kjörskrár, viðmiðunardag kjörskrár, auglýsingu um kjörskrá og heimild til breytingar á henni, um skipan og starfshætti kjörstjórna, meðferð kjörgagna, tímafresti, öryggi við framkvæmd sem tryggir leynd kosninga, gerð kosningakerfa, </w:t>
            </w:r>
            <w:proofErr w:type="spellStart"/>
            <w:r w:rsidRPr="00181897">
              <w:rPr>
                <w:rFonts w:ascii="Times New Roman" w:hAnsi="Times New Roman" w:cs="Times New Roman"/>
                <w:color w:val="242424"/>
                <w:shd w:val="clear" w:color="auto" w:fill="FFFFFF"/>
              </w:rPr>
              <w:t>dulkóðun</w:t>
            </w:r>
            <w:proofErr w:type="spellEnd"/>
            <w:r w:rsidRPr="00181897">
              <w:rPr>
                <w:rFonts w:ascii="Times New Roman" w:hAnsi="Times New Roman" w:cs="Times New Roman"/>
                <w:color w:val="242424"/>
                <w:shd w:val="clear" w:color="auto" w:fill="FFFFFF"/>
              </w:rPr>
              <w:t xml:space="preserve"> og framkvæmd öryggisúttektar, kröfur til auðkenningar, framkvæmd talningar, kosningakærur og eyðingu gagna úr kosningakerfum að afloknum kosningum. Að öðru leyti gilda ákvæði 133. gr. um framkvæmd rafrænna íbúakosninga og gerð rafrænnar kjörskrár.</w:t>
            </w:r>
          </w:p>
          <w:p w14:paraId="2D264587" w14:textId="5E05D00D" w:rsidR="002B0BF2" w:rsidRPr="00181897" w:rsidRDefault="002B0BF2">
            <w:pPr>
              <w:rPr>
                <w:rFonts w:ascii="Times New Roman" w:hAnsi="Times New Roman" w:cs="Times New Roman"/>
                <w:color w:val="242424"/>
                <w:shd w:val="clear" w:color="auto" w:fill="FFFFFF"/>
              </w:rPr>
            </w:pPr>
            <w:r w:rsidRPr="00032F51">
              <w:rPr>
                <w:rFonts w:ascii="Times New Roman" w:hAnsi="Times New Roman" w:cs="Times New Roman"/>
                <w:strike/>
                <w:noProof/>
                <w:highlight w:val="yellow"/>
              </w:rPr>
              <w:drawing>
                <wp:inline distT="0" distB="0" distL="0" distR="0" wp14:anchorId="7BABBAF8" wp14:editId="0630B329">
                  <wp:extent cx="104140" cy="104140"/>
                  <wp:effectExtent l="0" t="0" r="0" b="0"/>
                  <wp:docPr id="26" name="G1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9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032F51">
              <w:rPr>
                <w:rFonts w:ascii="Times New Roman" w:hAnsi="Times New Roman" w:cs="Times New Roman"/>
                <w:strike/>
                <w:color w:val="242424"/>
                <w:highlight w:val="yellow"/>
                <w:shd w:val="clear" w:color="auto" w:fill="FFFFFF"/>
              </w:rPr>
              <w:t>Í reglugerðinni skal einnig mælt fyrir um hlutverk Þjóðskrár Íslands, þar á meðal um gerð og umsjón vefsvæðis, auðkenningu, uppflettingu í þjóðskrá og talningu.</w:t>
            </w:r>
            <w:r w:rsidRPr="00181897">
              <w:rPr>
                <w:rFonts w:ascii="Times New Roman" w:hAnsi="Times New Roman" w:cs="Times New Roman"/>
                <w:color w:val="242424"/>
                <w:shd w:val="clear" w:color="auto" w:fill="FFFFFF"/>
              </w:rPr>
              <w:t xml:space="preserve"> Þjóðskrá Íslands er heimilt að taka gjald í samræmi við gjaldskrá stofnunarinnar fyrir þá þjónustu sem stofnunin veitir vegna undirbúnings og framkvæmdar rafrænna íbúakosninga skv. 1. mgr. og rafrænna undirskriftasafnana skv. 108. gr., svo og fyrir gerð rafrænnar kjörskrár skv. 1. mgr.</w:t>
            </w:r>
          </w:p>
          <w:p w14:paraId="44420770" w14:textId="64E529DC" w:rsidR="002B0BF2" w:rsidRPr="00181897" w:rsidRDefault="002B0BF2">
            <w:pPr>
              <w:rPr>
                <w:rFonts w:ascii="Times New Roman" w:hAnsi="Times New Roman" w:cs="Times New Roman"/>
                <w:color w:val="242424"/>
                <w:shd w:val="clear" w:color="auto" w:fill="FFFFFF"/>
              </w:rPr>
            </w:pPr>
            <w:r w:rsidRPr="00181897">
              <w:rPr>
                <w:rFonts w:ascii="Times New Roman" w:hAnsi="Times New Roman" w:cs="Times New Roman"/>
                <w:noProof/>
              </w:rPr>
              <w:drawing>
                <wp:inline distT="0" distB="0" distL="0" distR="0" wp14:anchorId="4683C2F9" wp14:editId="47DBB36E">
                  <wp:extent cx="104140" cy="104140"/>
                  <wp:effectExtent l="0" t="0" r="0" b="0"/>
                  <wp:docPr id="27" name="G1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9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Sveitarstjórn er heimilt að beita ákvæðum reglugerðarinnar við framkvæmd rafrænna íbúakannana eftir því sem við á.</w:t>
            </w:r>
          </w:p>
          <w:p w14:paraId="11447411" w14:textId="28363C01" w:rsidR="002B0BF2" w:rsidRPr="00181897" w:rsidRDefault="002B0BF2">
            <w:pPr>
              <w:rPr>
                <w:rFonts w:ascii="Times New Roman" w:hAnsi="Times New Roman" w:cs="Times New Roman"/>
              </w:rPr>
            </w:pPr>
            <w:r w:rsidRPr="00181897">
              <w:rPr>
                <w:rFonts w:ascii="Times New Roman" w:hAnsi="Times New Roman" w:cs="Times New Roman"/>
                <w:noProof/>
              </w:rPr>
              <w:lastRenderedPageBreak/>
              <w:drawing>
                <wp:inline distT="0" distB="0" distL="0" distR="0" wp14:anchorId="187B8D90" wp14:editId="56F27A45">
                  <wp:extent cx="104140" cy="104140"/>
                  <wp:effectExtent l="0" t="0" r="0" b="0"/>
                  <wp:docPr id="28" name="G1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9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181897">
              <w:rPr>
                <w:rFonts w:ascii="Times New Roman" w:hAnsi="Times New Roman" w:cs="Times New Roman"/>
                <w:color w:val="242424"/>
                <w:shd w:val="clear" w:color="auto" w:fill="FFFFFF"/>
              </w:rPr>
              <w:t xml:space="preserve">Til að vera ráðherra til ráðgjafar og til að fylgjast með framkvæmd rafrænna íbúakosninga og gerð rafrænnar kjörskrár sem og að sinna öðrum verkefnum sem ráðherra felur henni á þessu sviði </w:t>
            </w:r>
            <w:proofErr w:type="spellStart"/>
            <w:r w:rsidRPr="00032F51">
              <w:rPr>
                <w:rFonts w:ascii="Times New Roman" w:hAnsi="Times New Roman" w:cs="Times New Roman"/>
                <w:strike/>
                <w:color w:val="242424"/>
                <w:shd w:val="clear" w:color="auto" w:fill="FFFFFF"/>
              </w:rPr>
              <w:t>skal</w:t>
            </w:r>
            <w:r w:rsidR="00032F51" w:rsidRPr="00032F51">
              <w:rPr>
                <w:rFonts w:ascii="Times New Roman" w:hAnsi="Times New Roman" w:cs="Times New Roman"/>
                <w:color w:val="242424"/>
                <w:highlight w:val="yellow"/>
                <w:shd w:val="clear" w:color="auto" w:fill="FFFFFF"/>
              </w:rPr>
              <w:t>getur</w:t>
            </w:r>
            <w:proofErr w:type="spellEnd"/>
            <w:r w:rsidR="00032F51" w:rsidRPr="00181897">
              <w:rPr>
                <w:rFonts w:ascii="Times New Roman" w:hAnsi="Times New Roman" w:cs="Times New Roman"/>
                <w:color w:val="242424"/>
                <w:shd w:val="clear" w:color="auto" w:fill="FFFFFF"/>
              </w:rPr>
              <w:t xml:space="preserve"> </w:t>
            </w:r>
            <w:r w:rsidRPr="00181897">
              <w:rPr>
                <w:rFonts w:ascii="Times New Roman" w:hAnsi="Times New Roman" w:cs="Times New Roman"/>
                <w:color w:val="242424"/>
                <w:shd w:val="clear" w:color="auto" w:fill="FFFFFF"/>
              </w:rPr>
              <w:t>ráðherra skipa þriggja manna ráðgjafanefnd. Einn skal skipa samkvæmt tilnefningu Sambands íslenskra sveitarfélaga og tvo án tilnefningar. Þrír varamenn skulu skipaðir með sama hætti. Ráðherra skipar formann nefndarinnar.</w:t>
            </w:r>
          </w:p>
        </w:tc>
      </w:tr>
    </w:tbl>
    <w:p w14:paraId="7DFFA01C" w14:textId="77777777" w:rsidR="00636D2C" w:rsidRPr="00181897" w:rsidRDefault="00636D2C">
      <w:pPr>
        <w:rPr>
          <w:rFonts w:ascii="Times New Roman" w:hAnsi="Times New Roman" w:cs="Times New Roman"/>
        </w:rPr>
      </w:pPr>
    </w:p>
    <w:p w14:paraId="03676C64" w14:textId="77777777" w:rsidR="00636D2C" w:rsidRPr="00181897" w:rsidRDefault="00636D2C">
      <w:pPr>
        <w:rPr>
          <w:rFonts w:ascii="Times New Roman" w:hAnsi="Times New Roman" w:cs="Times New Roman"/>
        </w:rPr>
      </w:pPr>
    </w:p>
    <w:p w14:paraId="24A703AC" w14:textId="6441258C" w:rsidR="008B72A4" w:rsidRPr="00181897" w:rsidRDefault="004B26FC">
      <w:pPr>
        <w:rPr>
          <w:rFonts w:ascii="Times New Roman" w:hAnsi="Times New Roman" w:cs="Times New Roman"/>
          <w:color w:val="242424"/>
          <w:shd w:val="clear" w:color="auto" w:fill="FFFFFF"/>
        </w:rPr>
      </w:pPr>
      <w:r w:rsidRPr="00181897">
        <w:rPr>
          <w:rFonts w:ascii="Times New Roman" w:hAnsi="Times New Roman" w:cs="Times New Roman"/>
          <w:color w:val="242424"/>
          <w:shd w:val="clear" w:color="auto" w:fill="FFFFFF"/>
        </w:rPr>
        <w:t>.</w:t>
      </w:r>
      <w:bookmarkEnd w:id="0"/>
    </w:p>
    <w:sectPr w:rsidR="008B72A4" w:rsidRPr="00181897" w:rsidSect="00B44CB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erif">
    <w:altName w:val="Cambria"/>
    <w:charset w:val="00"/>
    <w:family w:val="roman"/>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2" type="#_x0000_t75" style="width:8pt;height:8pt;visibility:visible" o:bullet="t">
        <v:imagedata r:id="rId1" o:title=""/>
      </v:shape>
    </w:pict>
  </w:numPicBullet>
  <w:numPicBullet w:numPicBulletId="1">
    <w:pict>
      <v:shape id="_x0000_i1223" type="#_x0000_t75" style="width:8pt;height:8pt;visibility:visible" o:bullet="t">
        <v:imagedata r:id="rId2" o:title=""/>
      </v:shape>
    </w:pict>
  </w:numPicBullet>
  <w:numPicBullet w:numPicBulletId="2">
    <w:pict>
      <v:shape id="_x0000_i1224" type="#_x0000_t75" style="width:11pt;height:11pt;visibility:visible;mso-wrap-style:square" o:bullet="t">
        <v:imagedata r:id="rId3" o:title=""/>
      </v:shape>
    </w:pict>
  </w:numPicBullet>
  <w:abstractNum w:abstractNumId="0" w15:restartNumberingAfterBreak="0">
    <w:nsid w:val="00AF7587"/>
    <w:multiLevelType w:val="hybridMultilevel"/>
    <w:tmpl w:val="AD4252B0"/>
    <w:lvl w:ilvl="0" w:tplc="040F000F">
      <w:start w:val="7"/>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0E4228B9"/>
    <w:multiLevelType w:val="hybridMultilevel"/>
    <w:tmpl w:val="F00EFD62"/>
    <w:lvl w:ilvl="0" w:tplc="1F205BDE">
      <w:start w:val="1"/>
      <w:numFmt w:val="bullet"/>
      <w:lvlText w:val=""/>
      <w:lvlPicBulletId w:val="1"/>
      <w:lvlJc w:val="left"/>
      <w:pPr>
        <w:tabs>
          <w:tab w:val="num" w:pos="720"/>
        </w:tabs>
        <w:ind w:left="720" w:hanging="360"/>
      </w:pPr>
      <w:rPr>
        <w:rFonts w:ascii="Symbol" w:hAnsi="Symbol" w:hint="default"/>
      </w:rPr>
    </w:lvl>
    <w:lvl w:ilvl="1" w:tplc="BF328B4A" w:tentative="1">
      <w:start w:val="1"/>
      <w:numFmt w:val="bullet"/>
      <w:lvlText w:val=""/>
      <w:lvlJc w:val="left"/>
      <w:pPr>
        <w:tabs>
          <w:tab w:val="num" w:pos="1440"/>
        </w:tabs>
        <w:ind w:left="1440" w:hanging="360"/>
      </w:pPr>
      <w:rPr>
        <w:rFonts w:ascii="Symbol" w:hAnsi="Symbol" w:hint="default"/>
      </w:rPr>
    </w:lvl>
    <w:lvl w:ilvl="2" w:tplc="F98AAC34" w:tentative="1">
      <w:start w:val="1"/>
      <w:numFmt w:val="bullet"/>
      <w:lvlText w:val=""/>
      <w:lvlJc w:val="left"/>
      <w:pPr>
        <w:tabs>
          <w:tab w:val="num" w:pos="2160"/>
        </w:tabs>
        <w:ind w:left="2160" w:hanging="360"/>
      </w:pPr>
      <w:rPr>
        <w:rFonts w:ascii="Symbol" w:hAnsi="Symbol" w:hint="default"/>
      </w:rPr>
    </w:lvl>
    <w:lvl w:ilvl="3" w:tplc="E3FE1B6A" w:tentative="1">
      <w:start w:val="1"/>
      <w:numFmt w:val="bullet"/>
      <w:lvlText w:val=""/>
      <w:lvlJc w:val="left"/>
      <w:pPr>
        <w:tabs>
          <w:tab w:val="num" w:pos="2880"/>
        </w:tabs>
        <w:ind w:left="2880" w:hanging="360"/>
      </w:pPr>
      <w:rPr>
        <w:rFonts w:ascii="Symbol" w:hAnsi="Symbol" w:hint="default"/>
      </w:rPr>
    </w:lvl>
    <w:lvl w:ilvl="4" w:tplc="0C100090" w:tentative="1">
      <w:start w:val="1"/>
      <w:numFmt w:val="bullet"/>
      <w:lvlText w:val=""/>
      <w:lvlJc w:val="left"/>
      <w:pPr>
        <w:tabs>
          <w:tab w:val="num" w:pos="3600"/>
        </w:tabs>
        <w:ind w:left="3600" w:hanging="360"/>
      </w:pPr>
      <w:rPr>
        <w:rFonts w:ascii="Symbol" w:hAnsi="Symbol" w:hint="default"/>
      </w:rPr>
    </w:lvl>
    <w:lvl w:ilvl="5" w:tplc="114E5D90" w:tentative="1">
      <w:start w:val="1"/>
      <w:numFmt w:val="bullet"/>
      <w:lvlText w:val=""/>
      <w:lvlJc w:val="left"/>
      <w:pPr>
        <w:tabs>
          <w:tab w:val="num" w:pos="4320"/>
        </w:tabs>
        <w:ind w:left="4320" w:hanging="360"/>
      </w:pPr>
      <w:rPr>
        <w:rFonts w:ascii="Symbol" w:hAnsi="Symbol" w:hint="default"/>
      </w:rPr>
    </w:lvl>
    <w:lvl w:ilvl="6" w:tplc="E1307528" w:tentative="1">
      <w:start w:val="1"/>
      <w:numFmt w:val="bullet"/>
      <w:lvlText w:val=""/>
      <w:lvlJc w:val="left"/>
      <w:pPr>
        <w:tabs>
          <w:tab w:val="num" w:pos="5040"/>
        </w:tabs>
        <w:ind w:left="5040" w:hanging="360"/>
      </w:pPr>
      <w:rPr>
        <w:rFonts w:ascii="Symbol" w:hAnsi="Symbol" w:hint="default"/>
      </w:rPr>
    </w:lvl>
    <w:lvl w:ilvl="7" w:tplc="E800CA96" w:tentative="1">
      <w:start w:val="1"/>
      <w:numFmt w:val="bullet"/>
      <w:lvlText w:val=""/>
      <w:lvlJc w:val="left"/>
      <w:pPr>
        <w:tabs>
          <w:tab w:val="num" w:pos="5760"/>
        </w:tabs>
        <w:ind w:left="5760" w:hanging="360"/>
      </w:pPr>
      <w:rPr>
        <w:rFonts w:ascii="Symbol" w:hAnsi="Symbol" w:hint="default"/>
      </w:rPr>
    </w:lvl>
    <w:lvl w:ilvl="8" w:tplc="6ADA8A4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6CD476A"/>
    <w:multiLevelType w:val="hybridMultilevel"/>
    <w:tmpl w:val="E428883C"/>
    <w:lvl w:ilvl="0" w:tplc="0FFA5EDA">
      <w:start w:val="1"/>
      <w:numFmt w:val="bullet"/>
      <w:lvlText w:val=""/>
      <w:lvlPicBulletId w:val="2"/>
      <w:lvlJc w:val="left"/>
      <w:pPr>
        <w:tabs>
          <w:tab w:val="num" w:pos="720"/>
        </w:tabs>
        <w:ind w:left="720" w:hanging="360"/>
      </w:pPr>
      <w:rPr>
        <w:rFonts w:ascii="Symbol" w:hAnsi="Symbol" w:hint="default"/>
      </w:rPr>
    </w:lvl>
    <w:lvl w:ilvl="1" w:tplc="6F883748" w:tentative="1">
      <w:start w:val="1"/>
      <w:numFmt w:val="bullet"/>
      <w:lvlText w:val=""/>
      <w:lvlJc w:val="left"/>
      <w:pPr>
        <w:tabs>
          <w:tab w:val="num" w:pos="1440"/>
        </w:tabs>
        <w:ind w:left="1440" w:hanging="360"/>
      </w:pPr>
      <w:rPr>
        <w:rFonts w:ascii="Symbol" w:hAnsi="Symbol" w:hint="default"/>
      </w:rPr>
    </w:lvl>
    <w:lvl w:ilvl="2" w:tplc="1A6C1EBE" w:tentative="1">
      <w:start w:val="1"/>
      <w:numFmt w:val="bullet"/>
      <w:lvlText w:val=""/>
      <w:lvlJc w:val="left"/>
      <w:pPr>
        <w:tabs>
          <w:tab w:val="num" w:pos="2160"/>
        </w:tabs>
        <w:ind w:left="2160" w:hanging="360"/>
      </w:pPr>
      <w:rPr>
        <w:rFonts w:ascii="Symbol" w:hAnsi="Symbol" w:hint="default"/>
      </w:rPr>
    </w:lvl>
    <w:lvl w:ilvl="3" w:tplc="BC56C5E4" w:tentative="1">
      <w:start w:val="1"/>
      <w:numFmt w:val="bullet"/>
      <w:lvlText w:val=""/>
      <w:lvlJc w:val="left"/>
      <w:pPr>
        <w:tabs>
          <w:tab w:val="num" w:pos="2880"/>
        </w:tabs>
        <w:ind w:left="2880" w:hanging="360"/>
      </w:pPr>
      <w:rPr>
        <w:rFonts w:ascii="Symbol" w:hAnsi="Symbol" w:hint="default"/>
      </w:rPr>
    </w:lvl>
    <w:lvl w:ilvl="4" w:tplc="388A8CBA" w:tentative="1">
      <w:start w:val="1"/>
      <w:numFmt w:val="bullet"/>
      <w:lvlText w:val=""/>
      <w:lvlJc w:val="left"/>
      <w:pPr>
        <w:tabs>
          <w:tab w:val="num" w:pos="3600"/>
        </w:tabs>
        <w:ind w:left="3600" w:hanging="360"/>
      </w:pPr>
      <w:rPr>
        <w:rFonts w:ascii="Symbol" w:hAnsi="Symbol" w:hint="default"/>
      </w:rPr>
    </w:lvl>
    <w:lvl w:ilvl="5" w:tplc="520E70A2" w:tentative="1">
      <w:start w:val="1"/>
      <w:numFmt w:val="bullet"/>
      <w:lvlText w:val=""/>
      <w:lvlJc w:val="left"/>
      <w:pPr>
        <w:tabs>
          <w:tab w:val="num" w:pos="4320"/>
        </w:tabs>
        <w:ind w:left="4320" w:hanging="360"/>
      </w:pPr>
      <w:rPr>
        <w:rFonts w:ascii="Symbol" w:hAnsi="Symbol" w:hint="default"/>
      </w:rPr>
    </w:lvl>
    <w:lvl w:ilvl="6" w:tplc="69AC4C44" w:tentative="1">
      <w:start w:val="1"/>
      <w:numFmt w:val="bullet"/>
      <w:lvlText w:val=""/>
      <w:lvlJc w:val="left"/>
      <w:pPr>
        <w:tabs>
          <w:tab w:val="num" w:pos="5040"/>
        </w:tabs>
        <w:ind w:left="5040" w:hanging="360"/>
      </w:pPr>
      <w:rPr>
        <w:rFonts w:ascii="Symbol" w:hAnsi="Symbol" w:hint="default"/>
      </w:rPr>
    </w:lvl>
    <w:lvl w:ilvl="7" w:tplc="39D28124" w:tentative="1">
      <w:start w:val="1"/>
      <w:numFmt w:val="bullet"/>
      <w:lvlText w:val=""/>
      <w:lvlJc w:val="left"/>
      <w:pPr>
        <w:tabs>
          <w:tab w:val="num" w:pos="5760"/>
        </w:tabs>
        <w:ind w:left="5760" w:hanging="360"/>
      </w:pPr>
      <w:rPr>
        <w:rFonts w:ascii="Symbol" w:hAnsi="Symbol" w:hint="default"/>
      </w:rPr>
    </w:lvl>
    <w:lvl w:ilvl="8" w:tplc="B086B7D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E644493"/>
    <w:multiLevelType w:val="hybridMultilevel"/>
    <w:tmpl w:val="0DF4C230"/>
    <w:lvl w:ilvl="0" w:tplc="326A9554">
      <w:start w:val="1"/>
      <w:numFmt w:val="bullet"/>
      <w:lvlText w:val=""/>
      <w:lvlPicBulletId w:val="0"/>
      <w:lvlJc w:val="left"/>
      <w:pPr>
        <w:tabs>
          <w:tab w:val="num" w:pos="720"/>
        </w:tabs>
        <w:ind w:left="720" w:hanging="360"/>
      </w:pPr>
      <w:rPr>
        <w:rFonts w:ascii="Symbol" w:hAnsi="Symbol" w:hint="default"/>
      </w:rPr>
    </w:lvl>
    <w:lvl w:ilvl="1" w:tplc="4D648AEE" w:tentative="1">
      <w:start w:val="1"/>
      <w:numFmt w:val="bullet"/>
      <w:lvlText w:val=""/>
      <w:lvlJc w:val="left"/>
      <w:pPr>
        <w:tabs>
          <w:tab w:val="num" w:pos="1440"/>
        </w:tabs>
        <w:ind w:left="1440" w:hanging="360"/>
      </w:pPr>
      <w:rPr>
        <w:rFonts w:ascii="Symbol" w:hAnsi="Symbol" w:hint="default"/>
      </w:rPr>
    </w:lvl>
    <w:lvl w:ilvl="2" w:tplc="6186EA58" w:tentative="1">
      <w:start w:val="1"/>
      <w:numFmt w:val="bullet"/>
      <w:lvlText w:val=""/>
      <w:lvlJc w:val="left"/>
      <w:pPr>
        <w:tabs>
          <w:tab w:val="num" w:pos="2160"/>
        </w:tabs>
        <w:ind w:left="2160" w:hanging="360"/>
      </w:pPr>
      <w:rPr>
        <w:rFonts w:ascii="Symbol" w:hAnsi="Symbol" w:hint="default"/>
      </w:rPr>
    </w:lvl>
    <w:lvl w:ilvl="3" w:tplc="D5326BA6" w:tentative="1">
      <w:start w:val="1"/>
      <w:numFmt w:val="bullet"/>
      <w:lvlText w:val=""/>
      <w:lvlJc w:val="left"/>
      <w:pPr>
        <w:tabs>
          <w:tab w:val="num" w:pos="2880"/>
        </w:tabs>
        <w:ind w:left="2880" w:hanging="360"/>
      </w:pPr>
      <w:rPr>
        <w:rFonts w:ascii="Symbol" w:hAnsi="Symbol" w:hint="default"/>
      </w:rPr>
    </w:lvl>
    <w:lvl w:ilvl="4" w:tplc="52CA8CFA" w:tentative="1">
      <w:start w:val="1"/>
      <w:numFmt w:val="bullet"/>
      <w:lvlText w:val=""/>
      <w:lvlJc w:val="left"/>
      <w:pPr>
        <w:tabs>
          <w:tab w:val="num" w:pos="3600"/>
        </w:tabs>
        <w:ind w:left="3600" w:hanging="360"/>
      </w:pPr>
      <w:rPr>
        <w:rFonts w:ascii="Symbol" w:hAnsi="Symbol" w:hint="default"/>
      </w:rPr>
    </w:lvl>
    <w:lvl w:ilvl="5" w:tplc="B3B0154C" w:tentative="1">
      <w:start w:val="1"/>
      <w:numFmt w:val="bullet"/>
      <w:lvlText w:val=""/>
      <w:lvlJc w:val="left"/>
      <w:pPr>
        <w:tabs>
          <w:tab w:val="num" w:pos="4320"/>
        </w:tabs>
        <w:ind w:left="4320" w:hanging="360"/>
      </w:pPr>
      <w:rPr>
        <w:rFonts w:ascii="Symbol" w:hAnsi="Symbol" w:hint="default"/>
      </w:rPr>
    </w:lvl>
    <w:lvl w:ilvl="6" w:tplc="82602010" w:tentative="1">
      <w:start w:val="1"/>
      <w:numFmt w:val="bullet"/>
      <w:lvlText w:val=""/>
      <w:lvlJc w:val="left"/>
      <w:pPr>
        <w:tabs>
          <w:tab w:val="num" w:pos="5040"/>
        </w:tabs>
        <w:ind w:left="5040" w:hanging="360"/>
      </w:pPr>
      <w:rPr>
        <w:rFonts w:ascii="Symbol" w:hAnsi="Symbol" w:hint="default"/>
      </w:rPr>
    </w:lvl>
    <w:lvl w:ilvl="7" w:tplc="4B28B6B0" w:tentative="1">
      <w:start w:val="1"/>
      <w:numFmt w:val="bullet"/>
      <w:lvlText w:val=""/>
      <w:lvlJc w:val="left"/>
      <w:pPr>
        <w:tabs>
          <w:tab w:val="num" w:pos="5760"/>
        </w:tabs>
        <w:ind w:left="5760" w:hanging="360"/>
      </w:pPr>
      <w:rPr>
        <w:rFonts w:ascii="Symbol" w:hAnsi="Symbol" w:hint="default"/>
      </w:rPr>
    </w:lvl>
    <w:lvl w:ilvl="8" w:tplc="18BA112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BBD510B"/>
    <w:multiLevelType w:val="hybridMultilevel"/>
    <w:tmpl w:val="D8EA46FE"/>
    <w:lvl w:ilvl="0" w:tplc="CD9A3116">
      <w:start w:val="1"/>
      <w:numFmt w:val="bullet"/>
      <w:lvlText w:val=""/>
      <w:lvlPicBulletId w:val="1"/>
      <w:lvlJc w:val="left"/>
      <w:pPr>
        <w:tabs>
          <w:tab w:val="num" w:pos="720"/>
        </w:tabs>
        <w:ind w:left="720" w:hanging="360"/>
      </w:pPr>
      <w:rPr>
        <w:rFonts w:ascii="Symbol" w:hAnsi="Symbol" w:hint="default"/>
      </w:rPr>
    </w:lvl>
    <w:lvl w:ilvl="1" w:tplc="6DAAB4B8" w:tentative="1">
      <w:start w:val="1"/>
      <w:numFmt w:val="bullet"/>
      <w:lvlText w:val=""/>
      <w:lvlJc w:val="left"/>
      <w:pPr>
        <w:tabs>
          <w:tab w:val="num" w:pos="1440"/>
        </w:tabs>
        <w:ind w:left="1440" w:hanging="360"/>
      </w:pPr>
      <w:rPr>
        <w:rFonts w:ascii="Symbol" w:hAnsi="Symbol" w:hint="default"/>
      </w:rPr>
    </w:lvl>
    <w:lvl w:ilvl="2" w:tplc="A8F8E36E" w:tentative="1">
      <w:start w:val="1"/>
      <w:numFmt w:val="bullet"/>
      <w:lvlText w:val=""/>
      <w:lvlJc w:val="left"/>
      <w:pPr>
        <w:tabs>
          <w:tab w:val="num" w:pos="2160"/>
        </w:tabs>
        <w:ind w:left="2160" w:hanging="360"/>
      </w:pPr>
      <w:rPr>
        <w:rFonts w:ascii="Symbol" w:hAnsi="Symbol" w:hint="default"/>
      </w:rPr>
    </w:lvl>
    <w:lvl w:ilvl="3" w:tplc="A8C8AAF2" w:tentative="1">
      <w:start w:val="1"/>
      <w:numFmt w:val="bullet"/>
      <w:lvlText w:val=""/>
      <w:lvlJc w:val="left"/>
      <w:pPr>
        <w:tabs>
          <w:tab w:val="num" w:pos="2880"/>
        </w:tabs>
        <w:ind w:left="2880" w:hanging="360"/>
      </w:pPr>
      <w:rPr>
        <w:rFonts w:ascii="Symbol" w:hAnsi="Symbol" w:hint="default"/>
      </w:rPr>
    </w:lvl>
    <w:lvl w:ilvl="4" w:tplc="9662A330" w:tentative="1">
      <w:start w:val="1"/>
      <w:numFmt w:val="bullet"/>
      <w:lvlText w:val=""/>
      <w:lvlJc w:val="left"/>
      <w:pPr>
        <w:tabs>
          <w:tab w:val="num" w:pos="3600"/>
        </w:tabs>
        <w:ind w:left="3600" w:hanging="360"/>
      </w:pPr>
      <w:rPr>
        <w:rFonts w:ascii="Symbol" w:hAnsi="Symbol" w:hint="default"/>
      </w:rPr>
    </w:lvl>
    <w:lvl w:ilvl="5" w:tplc="0F743BF2" w:tentative="1">
      <w:start w:val="1"/>
      <w:numFmt w:val="bullet"/>
      <w:lvlText w:val=""/>
      <w:lvlJc w:val="left"/>
      <w:pPr>
        <w:tabs>
          <w:tab w:val="num" w:pos="4320"/>
        </w:tabs>
        <w:ind w:left="4320" w:hanging="360"/>
      </w:pPr>
      <w:rPr>
        <w:rFonts w:ascii="Symbol" w:hAnsi="Symbol" w:hint="default"/>
      </w:rPr>
    </w:lvl>
    <w:lvl w:ilvl="6" w:tplc="027A802A" w:tentative="1">
      <w:start w:val="1"/>
      <w:numFmt w:val="bullet"/>
      <w:lvlText w:val=""/>
      <w:lvlJc w:val="left"/>
      <w:pPr>
        <w:tabs>
          <w:tab w:val="num" w:pos="5040"/>
        </w:tabs>
        <w:ind w:left="5040" w:hanging="360"/>
      </w:pPr>
      <w:rPr>
        <w:rFonts w:ascii="Symbol" w:hAnsi="Symbol" w:hint="default"/>
      </w:rPr>
    </w:lvl>
    <w:lvl w:ilvl="7" w:tplc="6952EE78" w:tentative="1">
      <w:start w:val="1"/>
      <w:numFmt w:val="bullet"/>
      <w:lvlText w:val=""/>
      <w:lvlJc w:val="left"/>
      <w:pPr>
        <w:tabs>
          <w:tab w:val="num" w:pos="5760"/>
        </w:tabs>
        <w:ind w:left="5760" w:hanging="360"/>
      </w:pPr>
      <w:rPr>
        <w:rFonts w:ascii="Symbol" w:hAnsi="Symbol" w:hint="default"/>
      </w:rPr>
    </w:lvl>
    <w:lvl w:ilvl="8" w:tplc="0C067CA8"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ED"/>
    <w:rsid w:val="00032F51"/>
    <w:rsid w:val="00066F2E"/>
    <w:rsid w:val="00146A0A"/>
    <w:rsid w:val="00181897"/>
    <w:rsid w:val="001A6DA7"/>
    <w:rsid w:val="001D5A7F"/>
    <w:rsid w:val="002961E2"/>
    <w:rsid w:val="002A252F"/>
    <w:rsid w:val="002B0BF2"/>
    <w:rsid w:val="002B47A3"/>
    <w:rsid w:val="002F1256"/>
    <w:rsid w:val="00354336"/>
    <w:rsid w:val="00365DA4"/>
    <w:rsid w:val="00375E17"/>
    <w:rsid w:val="00393EE2"/>
    <w:rsid w:val="003A2E19"/>
    <w:rsid w:val="004B26FC"/>
    <w:rsid w:val="00500C85"/>
    <w:rsid w:val="00502809"/>
    <w:rsid w:val="0054542D"/>
    <w:rsid w:val="005740C2"/>
    <w:rsid w:val="005F5B6B"/>
    <w:rsid w:val="00636D2C"/>
    <w:rsid w:val="006C33B6"/>
    <w:rsid w:val="006E34B4"/>
    <w:rsid w:val="00751E20"/>
    <w:rsid w:val="00764A5C"/>
    <w:rsid w:val="008832FC"/>
    <w:rsid w:val="008A1FFC"/>
    <w:rsid w:val="008B72A4"/>
    <w:rsid w:val="008F4361"/>
    <w:rsid w:val="0098328C"/>
    <w:rsid w:val="009A3370"/>
    <w:rsid w:val="00A12C74"/>
    <w:rsid w:val="00AA39D5"/>
    <w:rsid w:val="00AB59ED"/>
    <w:rsid w:val="00AE046D"/>
    <w:rsid w:val="00AF3849"/>
    <w:rsid w:val="00B068A1"/>
    <w:rsid w:val="00B24C3C"/>
    <w:rsid w:val="00B44CB7"/>
    <w:rsid w:val="00C54B5E"/>
    <w:rsid w:val="00C63F66"/>
    <w:rsid w:val="00C72863"/>
    <w:rsid w:val="00CF4B54"/>
    <w:rsid w:val="00D63CBF"/>
    <w:rsid w:val="00E45F85"/>
    <w:rsid w:val="00E53924"/>
    <w:rsid w:val="00E541BC"/>
    <w:rsid w:val="00E55686"/>
    <w:rsid w:val="00EA2C0E"/>
    <w:rsid w:val="00EC2321"/>
    <w:rsid w:val="00EE04E5"/>
    <w:rsid w:val="00F47569"/>
    <w:rsid w:val="00FD2B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19E5"/>
  <w15:chartTrackingRefBased/>
  <w15:docId w15:val="{6F8DE8FB-1459-44F4-BD16-97BD92CF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9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B59ED"/>
    <w:rPr>
      <w:i/>
      <w:iCs/>
    </w:rPr>
  </w:style>
  <w:style w:type="table" w:styleId="TableGrid">
    <w:name w:val="Table Grid"/>
    <w:basedOn w:val="TableNormal"/>
    <w:uiPriority w:val="59"/>
    <w:rsid w:val="00AB5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9ED"/>
    <w:pPr>
      <w:ind w:left="720"/>
      <w:contextualSpacing/>
    </w:pPr>
  </w:style>
  <w:style w:type="paragraph" w:styleId="NoSpacing">
    <w:name w:val="No Spacing"/>
    <w:uiPriority w:val="1"/>
    <w:qFormat/>
    <w:rsid w:val="00AB59ED"/>
    <w:pPr>
      <w:spacing w:after="0" w:line="240" w:lineRule="auto"/>
    </w:pPr>
  </w:style>
  <w:style w:type="paragraph" w:customStyle="1" w:styleId="Greinarnmer">
    <w:name w:val="Greinarnúmer"/>
    <w:basedOn w:val="Normal"/>
    <w:next w:val="Normal"/>
    <w:autoRedefine/>
    <w:qFormat/>
    <w:rsid w:val="00AB59ED"/>
    <w:pPr>
      <w:keepNext/>
      <w:spacing w:after="0" w:line="240" w:lineRule="auto"/>
      <w:jc w:val="center"/>
    </w:pPr>
    <w:rPr>
      <w:rFonts w:ascii="Times New Roman" w:eastAsia="Calibri" w:hAnsi="Times New Roman" w:cs="Times New Roman"/>
      <w:sz w:val="21"/>
    </w:rPr>
  </w:style>
  <w:style w:type="character" w:styleId="Hyperlink">
    <w:name w:val="Hyperlink"/>
    <w:basedOn w:val="DefaultParagraphFont"/>
    <w:uiPriority w:val="99"/>
    <w:semiHidden/>
    <w:unhideWhenUsed/>
    <w:rsid w:val="00AB59ED"/>
    <w:rPr>
      <w:color w:val="0000FF"/>
      <w:u w:val="single"/>
    </w:rPr>
  </w:style>
  <w:style w:type="character" w:customStyle="1" w:styleId="normaltextrun">
    <w:name w:val="normaltextrun"/>
    <w:basedOn w:val="DefaultParagraphFont"/>
    <w:rsid w:val="00AB59ED"/>
  </w:style>
  <w:style w:type="paragraph" w:styleId="BalloonText">
    <w:name w:val="Balloon Text"/>
    <w:basedOn w:val="Normal"/>
    <w:link w:val="BalloonTextChar"/>
    <w:uiPriority w:val="99"/>
    <w:semiHidden/>
    <w:unhideWhenUsed/>
    <w:rsid w:val="00B44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C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52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4.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BCB48-3162-4BB0-A06B-34DDEAC5E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Ingi Óskarsson</dc:creator>
  <cp:keywords/>
  <dc:description/>
  <cp:lastModifiedBy>Björn Ingi Óskarsson</cp:lastModifiedBy>
  <cp:revision>6</cp:revision>
  <dcterms:created xsi:type="dcterms:W3CDTF">2022-02-18T09:16:00Z</dcterms:created>
  <dcterms:modified xsi:type="dcterms:W3CDTF">2022-02-26T10:53:00Z</dcterms:modified>
</cp:coreProperties>
</file>