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5C61" w14:textId="77777777" w:rsidR="00900A3D" w:rsidRDefault="000E1836">
      <w:pPr>
        <w:pStyle w:val="MainTitle"/>
      </w:pPr>
      <w:r>
        <w:t>Reglugerð Evrópuþingsins og ráðsins (ESB) 2022/868</w:t>
      </w:r>
    </w:p>
    <w:p w14:paraId="4BEF5C62" w14:textId="77777777" w:rsidR="00900A3D" w:rsidRDefault="000E1836">
      <w:pPr>
        <w:pStyle w:val="MainTitle"/>
      </w:pPr>
      <w:r>
        <w:t>frá 30. maí 2022</w:t>
      </w:r>
    </w:p>
    <w:p w14:paraId="4BEF5C63" w14:textId="77777777" w:rsidR="00900A3D" w:rsidRDefault="000E1836" w:rsidP="000E1836">
      <w:pPr>
        <w:pStyle w:val="MainTitle"/>
        <w:spacing w:after="360"/>
      </w:pPr>
      <w:r>
        <w:t>um evrópskt stjórnskipulag gagna og um breytingu á reglugerð (ESB) 2018/1724 (gerðin um stjórnskipulag gagna)</w:t>
      </w:r>
    </w:p>
    <w:p w14:paraId="4BEF5C64" w14:textId="77777777" w:rsidR="00900A3D" w:rsidRDefault="000E1836" w:rsidP="00E65541">
      <w:pPr>
        <w:pStyle w:val="PreambleInit"/>
        <w:spacing w:after="590"/>
      </w:pPr>
      <w:r>
        <w:t>EVRÓPUÞINGIÐ OG RÁÐ EVRÓPUSAMBANDSINS HAFA,</w:t>
      </w:r>
    </w:p>
    <w:p w14:paraId="4BEF5C65" w14:textId="77777777" w:rsidR="00900A3D" w:rsidRDefault="000E1836" w:rsidP="00E65541">
      <w:pPr>
        <w:pStyle w:val="Para"/>
        <w:spacing w:after="590"/>
      </w:pPr>
      <w:r>
        <w:t>með hliðsjón af sáttmálanum um starfshætti Evrópusambandsins, einkum 114. gr.,</w:t>
      </w:r>
    </w:p>
    <w:p w14:paraId="4BEF5C66" w14:textId="77777777" w:rsidR="00900A3D" w:rsidRDefault="000E1836" w:rsidP="00E65541">
      <w:pPr>
        <w:pStyle w:val="Para"/>
        <w:spacing w:after="590"/>
      </w:pPr>
      <w:r>
        <w:t>með hliðsjón af tillögu framkvæmdastjórnar Evrópusambandsins,</w:t>
      </w:r>
    </w:p>
    <w:p w14:paraId="4BEF5C67" w14:textId="77777777" w:rsidR="00900A3D" w:rsidRDefault="000E1836" w:rsidP="00E65541">
      <w:pPr>
        <w:pStyle w:val="Para"/>
        <w:spacing w:after="590"/>
      </w:pPr>
      <w:r>
        <w:t>eftir að hafa lagt drög að lagagerð fyrir þjóðþingin,</w:t>
      </w:r>
    </w:p>
    <w:p w14:paraId="4BEF5C68" w14:textId="77777777" w:rsidR="00900A3D" w:rsidRDefault="000E1836" w:rsidP="00E65541">
      <w:pPr>
        <w:pStyle w:val="Para"/>
        <w:spacing w:after="590"/>
      </w:pPr>
      <w:r>
        <w:t>með hliðsjón af áliti efnahags- og félagsmálanefndar Evrópusambandsins (</w:t>
      </w:r>
      <w:bookmarkStart w:id="0" w:name="NOTE_1"/>
      <w:r w:rsidRPr="00DC0829">
        <w:rPr>
          <w:rStyle w:val="Tilvsunneanmlsgrein"/>
          <w:sz w:val="18"/>
          <w:szCs w:val="18"/>
        </w:rPr>
        <w:footnoteReference w:id="2"/>
      </w:r>
      <w:bookmarkEnd w:id="0"/>
      <w:r>
        <w:t>),</w:t>
      </w:r>
    </w:p>
    <w:p w14:paraId="4BEF5C69" w14:textId="77777777" w:rsidR="00900A3D" w:rsidRDefault="000E1836" w:rsidP="00E65541">
      <w:pPr>
        <w:pStyle w:val="Para"/>
        <w:spacing w:after="590"/>
      </w:pPr>
      <w:r>
        <w:t>að höfðu samráði við svæðanefndina,</w:t>
      </w:r>
    </w:p>
    <w:p w14:paraId="4BEF5C6A" w14:textId="77777777" w:rsidR="00900A3D" w:rsidRDefault="000E1836" w:rsidP="00E65541">
      <w:pPr>
        <w:pStyle w:val="Para"/>
        <w:spacing w:after="590"/>
      </w:pPr>
      <w:r>
        <w:t>í samræmi við almenna lagasetningarmeðferð (</w:t>
      </w:r>
      <w:bookmarkStart w:id="1" w:name="NOTE_2"/>
      <w:r w:rsidRPr="00DC0829">
        <w:rPr>
          <w:rStyle w:val="Tilvsunneanmlsgrein"/>
          <w:sz w:val="18"/>
          <w:szCs w:val="18"/>
        </w:rPr>
        <w:footnoteReference w:id="3"/>
      </w:r>
      <w:bookmarkEnd w:id="1"/>
      <w:r>
        <w:t>),</w:t>
      </w:r>
    </w:p>
    <w:p w14:paraId="4BEF5C6B" w14:textId="77777777" w:rsidR="00900A3D" w:rsidRDefault="000E1836" w:rsidP="00E65541">
      <w:pPr>
        <w:pStyle w:val="Para"/>
        <w:spacing w:after="590"/>
      </w:pPr>
      <w:r>
        <w:t>og að teknu tilliti til eftirfarandi:</w:t>
      </w:r>
    </w:p>
    <w:p w14:paraId="4BEF5C6C" w14:textId="77777777" w:rsidR="00900A3D" w:rsidRDefault="000E1836" w:rsidP="00E65541">
      <w:pPr>
        <w:pStyle w:val="Consid"/>
        <w:spacing w:after="590"/>
      </w:pPr>
      <w:r>
        <w:t>1)</w:t>
      </w:r>
      <w:r>
        <w:tab/>
        <w:t>Sáttmálinn um starfshætti Evrópusambandsins kveður á um stofnun innri markaðar og innleiðingu kerfis sem tryggir að samkeppni á innri markaðinum raskist ekki. Setning sameiginlegra reglna og starfsvenja í aðildarríkjunum í tengslum við þróun ramma um stjórnskipulag gagna ætti að stuðla að því að þessum markmiðum verði náð, um leið og grundvallarréttindi eru virt að fullu. Hún ætti einnig að tryggja að opið, stefnumótandi sjálfræði Sambandsins sé eflt og viðhalda jafnframt frjálsu flæði gagna á alþjóðavísu.</w:t>
      </w:r>
    </w:p>
    <w:p w14:paraId="4BEF5C6D" w14:textId="77777777" w:rsidR="00900A3D" w:rsidRDefault="000E1836" w:rsidP="000E1836">
      <w:pPr>
        <w:pStyle w:val="Consid"/>
        <w:spacing w:after="0"/>
      </w:pPr>
      <w:r>
        <w:t>2)</w:t>
      </w:r>
      <w:r>
        <w:tab/>
        <w:t xml:space="preserve">Á síðasta áratug hefur stafræn tækni breytt hagkerfinu og samfélaginu og haft áhrif á öll athafnasvið og daglegt líf. Gögn eru þungamiðja þessarar umbreytingar: gagnadrifin nýsköpun mun hafa í för með sér gríðarlegan ávinning fyrir bæði borgara Sambandsins og hagkerfið, t.d. með því að bæta læknavísindin og gera þau einstaklingsmiðaðri, skapa nýjan hreyfanleika og leggja sitt af mörkum í tengslum við orðsendingu framkvæmdastjórnarinnar frá 11. desember 2019 um Grænt samkomulag í Evrópu. Til þess að gagnadrifna hagkerfið verði fyrir alla borgara Sambandsins verður að leggja sérstaka áherslu á að minnka stafrænu gjána, efla þátttöku kvenna í gagnahagkerfinu og hlúa að </w:t>
      </w:r>
      <w:proofErr w:type="spellStart"/>
      <w:r>
        <w:t>framsækinni</w:t>
      </w:r>
      <w:proofErr w:type="spellEnd"/>
      <w:r>
        <w:t>, evrópskri sérþekkingu í tæknigeiranum.  Byggja þarf gagnahagkerfið upp á þann hátt að fyrirtæki, einkum örfyrirtæki, lítil fyrirtæki og meðalstór fyrirtæki, eins og þau eru skilgreind í viðaukanum við tilmæli framkvæmdastjórnarinnar 2003/361/EB (</w:t>
      </w:r>
      <w:bookmarkStart w:id="2" w:name="NOTE_3"/>
      <w:r w:rsidRPr="00DC0829">
        <w:rPr>
          <w:rStyle w:val="Tilvsunneanmlsgrein"/>
          <w:sz w:val="18"/>
          <w:szCs w:val="18"/>
        </w:rPr>
        <w:footnoteReference w:id="4"/>
      </w:r>
      <w:bookmarkEnd w:id="2"/>
      <w:r>
        <w:t xml:space="preserve">), og sprotafyrirtæki geti dafnað og tryggja hlutleysi varðandi aðgang að gögnum, </w:t>
      </w:r>
      <w:proofErr w:type="spellStart"/>
      <w:r>
        <w:t>flytjanleika</w:t>
      </w:r>
      <w:proofErr w:type="spellEnd"/>
      <w:r>
        <w:t xml:space="preserve"> gagna og samvirkni og koma í veg fyrir sjálfhelduáhrif. Í orðsendingu sinni frá 19. febrúar 2020 um evrópska gagnaáætlun („Evrópsku gagnaáætlunina“) lýsti framkvæmdastjórnin sýninni um sameiginlegt evrópskt gagnasvæði, þ.e. innri gagnamarkað þar sem hægt væri að nota gögn óháð því hvar í Sambandinu þau eru geymd, í samræmi við gildandi lög, sem gæti m.a. verið lykilatriði fyrir hraða þróun gervigreindartækni.</w:t>
      </w:r>
      <w:r>
        <w:br w:type="page"/>
      </w:r>
    </w:p>
    <w:p w14:paraId="4BEF5C6E" w14:textId="77777777" w:rsidR="00900A3D" w:rsidRDefault="000E1836">
      <w:pPr>
        <w:pStyle w:val="ConsidWithoutNumber"/>
        <w:ind w:left="540"/>
      </w:pPr>
      <w:r>
        <w:lastRenderedPageBreak/>
        <w:t xml:space="preserve">Framkvæmdastjórnin kallaði einnig eftir frjálsu og öruggu gagnaflæði gagnvart þriðju löndum, með fyrirvara um undanþágur og takmarkanir vegna almannaöryggis, allsherjarreglu og annarra lögmætra markmiða á sviði opinberrar stefnu Sambandsins, í samræmi við alþjóðlegar skuldbindingar, þ.m.t. varðandi grundvallarréttindi. Til að gera þá sýn að veruleika lagði framkvæmdastjórnin til að komið yrði á fót sameiginlegum sviðssértækum, evrópskum gagnasvæðum fyrir gagnadeilingu og gagnasamlag (e. </w:t>
      </w:r>
      <w:proofErr w:type="spellStart"/>
      <w:r>
        <w:t>data</w:t>
      </w:r>
      <w:proofErr w:type="spellEnd"/>
      <w:r>
        <w:t xml:space="preserve"> </w:t>
      </w:r>
      <w:proofErr w:type="spellStart"/>
      <w:r>
        <w:t>pooling</w:t>
      </w:r>
      <w:proofErr w:type="spellEnd"/>
      <w:r>
        <w:t xml:space="preserve">). Eins og lagt er til í Evrópsku gagnaáætluninni gætu slík sameiginleg evrópsk gagnasvæði tekið til sviða eins og heilbrigðis, hreyfanleika, framleiðslu, fjármálaþjónustu, orku eða landbúnaðar eða blöndu slíkra sviða, t.d. orku og loftslags, sem og þemasviða eins og Græna samkomulagsins í Evrópu eða evrópskra gagnasvæða fyrir opinbera stjórnsýslu eða færni. Sameiginleg evrópsk gagnasvæði ættu að gera gögn finnanleg, aðgengileg, samvirkandi og </w:t>
      </w:r>
      <w:proofErr w:type="spellStart"/>
      <w:r>
        <w:t>endurnotanleg</w:t>
      </w:r>
      <w:proofErr w:type="spellEnd"/>
      <w:r>
        <w:t xml:space="preserve"> („FAIR-meginreglurnar um aðgengi gagna“) og tryggja á sama tíma öflugt netöryggi.  Þegar samkeppnisskilyrði innan gagnahagkerfisins eru jöfn snýst samkeppni fyrirtækja um gæði þjónustunnar en ekki gagnamagnið sem þau ráða yfir.  Til að móta, skapa og viðhalda jöfnum samkeppnisskilyrðum í gagnahagkerfinu er þörf á traustu stjórnskipulagi þar sem viðkomandi hagsmunaaðilar sameiginlegs evrópsks gagnasvæðis þurfa að taka þátt og njóta fyrirsvars.</w:t>
      </w:r>
    </w:p>
    <w:p w14:paraId="4BEF5C6F" w14:textId="77777777" w:rsidR="00900A3D" w:rsidRDefault="000E1836" w:rsidP="008237BD">
      <w:pPr>
        <w:pStyle w:val="Consid"/>
        <w:spacing w:after="0"/>
      </w:pPr>
      <w:r>
        <w:t>3)</w:t>
      </w:r>
      <w:r>
        <w:tab/>
        <w:t>Bæta þarf skilyrðin fyrir gagnadeilingu á innri markaðnum með því að skapa samræmdan ramma fyrir gagnaskipti og mæla fyrir um tilteknar grunnkröfur um stjórnskipulag gagna með sérstakri áherslu á að greiða fyrir samvinnu milli aðildarríkja. Þessi reglugerð ætti að stefna að því að þróa enn frekar stafræna innri markaðinn án landamæra og mannmiðað, áreiðanlegt og öruggt gagnasamfélag og -hagkerfi. Með geirabundinni löggjöf Sambandsins er unnt að þróa, aðlaga og leggja til nýja þætti og viðbótarþætti með hliðsjón af sérkennum viðkomandi geira, sbr. fyrirhugaða löggjöf Sambandsins um evrópska heilbrigðisgagnasvæðið og um aðgang að gögnum um farartæki. Enn fremur heyra tilteknir geirar hagkerfisins nú þegar undir geirabundna löggjöf Sambandsins, s.s. reglur í tengslum við deilingu gagna eða aðgang að gögnum yfir landamæri eða í öllu Sambandinu, t.d. tilskipun Evrópuþingsins og ráðsins 2011/24/ESB (</w:t>
      </w:r>
      <w:bookmarkStart w:id="3" w:name="NOTE_4"/>
      <w:r w:rsidRPr="00DC0829">
        <w:rPr>
          <w:rStyle w:val="Tilvsunneanmlsgrein"/>
          <w:sz w:val="18"/>
          <w:szCs w:val="18"/>
        </w:rPr>
        <w:footnoteReference w:id="5"/>
      </w:r>
      <w:bookmarkEnd w:id="3"/>
      <w:r>
        <w:t>) í tengslum við evrópskt heilbrigðisgagnasvæði og viðeigandi lagagerðir á sviði flutninga eins og reglugerðir (ESB) 2019/1239 (</w:t>
      </w:r>
      <w:bookmarkStart w:id="4" w:name="NOTE_5"/>
      <w:r w:rsidRPr="00DC0829">
        <w:rPr>
          <w:rStyle w:val="Tilvsunneanmlsgrein"/>
          <w:sz w:val="18"/>
          <w:szCs w:val="18"/>
        </w:rPr>
        <w:footnoteReference w:id="6"/>
      </w:r>
      <w:bookmarkEnd w:id="4"/>
      <w:r>
        <w:t>) og (ESB) 2020/1056 (</w:t>
      </w:r>
      <w:bookmarkStart w:id="5" w:name="NOTE_6"/>
      <w:r w:rsidRPr="00DC0829">
        <w:rPr>
          <w:rStyle w:val="Tilvsunneanmlsgrein"/>
          <w:sz w:val="18"/>
          <w:szCs w:val="18"/>
        </w:rPr>
        <w:footnoteReference w:id="7"/>
      </w:r>
      <w:bookmarkEnd w:id="5"/>
      <w:r>
        <w:t>) og tilskipun Evrópuþingsins og ráðsins 2010/40/ESB (</w:t>
      </w:r>
      <w:bookmarkStart w:id="6" w:name="NOTE_7"/>
      <w:r w:rsidRPr="00DC0829">
        <w:rPr>
          <w:rStyle w:val="Tilvsunneanmlsgrein"/>
          <w:sz w:val="18"/>
          <w:szCs w:val="18"/>
        </w:rPr>
        <w:footnoteReference w:id="8"/>
      </w:r>
      <w:bookmarkEnd w:id="6"/>
      <w:r>
        <w:t>) í tengslum við evrópskt gagnasvæði um hreyfanleika.</w:t>
      </w:r>
      <w:r>
        <w:br w:type="page"/>
      </w:r>
    </w:p>
    <w:p w14:paraId="4BEF5C70" w14:textId="77777777" w:rsidR="00900A3D" w:rsidRDefault="000E1836">
      <w:pPr>
        <w:pStyle w:val="ConsidWithoutNumber"/>
        <w:ind w:left="540"/>
      </w:pPr>
      <w:r>
        <w:lastRenderedPageBreak/>
        <w:t>Því ætti þessi reglugerð að vera með fyrirvara um reglugerðir Evrópuþingsins og ráðsins (EB) nr. 223/2009 (</w:t>
      </w:r>
      <w:bookmarkStart w:id="7" w:name="NOTE_8"/>
      <w:r w:rsidRPr="00DC0829">
        <w:rPr>
          <w:rStyle w:val="Tilvsunneanmlsgrein"/>
          <w:sz w:val="18"/>
          <w:szCs w:val="18"/>
        </w:rPr>
        <w:footnoteReference w:id="9"/>
      </w:r>
      <w:bookmarkEnd w:id="7"/>
      <w:r>
        <w:t>), (ESB) nr. 2018/858 (</w:t>
      </w:r>
      <w:bookmarkStart w:id="8" w:name="NOTE_9"/>
      <w:r w:rsidRPr="00DC0829">
        <w:rPr>
          <w:rStyle w:val="Tilvsunneanmlsgrein"/>
          <w:sz w:val="18"/>
          <w:szCs w:val="18"/>
        </w:rPr>
        <w:footnoteReference w:id="10"/>
      </w:r>
      <w:bookmarkEnd w:id="8"/>
      <w:r>
        <w:t>) og (ESB) 2018/1807 (</w:t>
      </w:r>
      <w:bookmarkStart w:id="9" w:name="NOTE_10"/>
      <w:r w:rsidRPr="00DC0829">
        <w:rPr>
          <w:rStyle w:val="Tilvsunneanmlsgrein"/>
          <w:sz w:val="18"/>
          <w:szCs w:val="18"/>
        </w:rPr>
        <w:footnoteReference w:id="11"/>
      </w:r>
      <w:bookmarkEnd w:id="9"/>
      <w:r>
        <w:t>), sem og tilskipanir Evrópuþingsins og ráðsins 2000/31/EB (</w:t>
      </w:r>
      <w:bookmarkStart w:id="10" w:name="NOTE_11"/>
      <w:r w:rsidRPr="00DC0829">
        <w:rPr>
          <w:rStyle w:val="Tilvsunneanmlsgrein"/>
          <w:sz w:val="18"/>
          <w:szCs w:val="18"/>
        </w:rPr>
        <w:footnoteReference w:id="12"/>
      </w:r>
      <w:bookmarkEnd w:id="10"/>
      <w:r>
        <w:t>), 2001/29/EB (</w:t>
      </w:r>
      <w:bookmarkStart w:id="11" w:name="NOTE_12"/>
      <w:r w:rsidRPr="00DC0829">
        <w:rPr>
          <w:rStyle w:val="Tilvsunneanmlsgrein"/>
          <w:sz w:val="18"/>
          <w:szCs w:val="18"/>
        </w:rPr>
        <w:footnoteReference w:id="13"/>
      </w:r>
      <w:bookmarkEnd w:id="11"/>
      <w:r>
        <w:t>), 2004/48/EB (</w:t>
      </w:r>
      <w:bookmarkStart w:id="12" w:name="NOTE_13"/>
      <w:r w:rsidRPr="00DC0829">
        <w:rPr>
          <w:rStyle w:val="Tilvsunneanmlsgrein"/>
          <w:sz w:val="18"/>
          <w:szCs w:val="18"/>
        </w:rPr>
        <w:footnoteReference w:id="14"/>
      </w:r>
      <w:bookmarkEnd w:id="12"/>
      <w:r>
        <w:t>), 2007/2/EB (</w:t>
      </w:r>
      <w:bookmarkStart w:id="13" w:name="NOTE_14"/>
      <w:r w:rsidRPr="00DC0829">
        <w:rPr>
          <w:rStyle w:val="Tilvsunneanmlsgrein"/>
          <w:sz w:val="18"/>
          <w:szCs w:val="18"/>
        </w:rPr>
        <w:footnoteReference w:id="15"/>
      </w:r>
      <w:bookmarkEnd w:id="13"/>
      <w:r>
        <w:t>), 2010/40/ESB, (ESB) 2015/849 (</w:t>
      </w:r>
      <w:bookmarkStart w:id="14" w:name="NOTE_15"/>
      <w:r w:rsidRPr="00DC0829">
        <w:rPr>
          <w:rStyle w:val="Tilvsunneanmlsgrein"/>
          <w:sz w:val="18"/>
          <w:szCs w:val="18"/>
        </w:rPr>
        <w:footnoteReference w:id="16"/>
      </w:r>
      <w:bookmarkEnd w:id="14"/>
      <w:r>
        <w:t>), (ESB) 2016/943 (</w:t>
      </w:r>
      <w:bookmarkStart w:id="15" w:name="NOTE_16"/>
      <w:r w:rsidRPr="00DC0829">
        <w:rPr>
          <w:rStyle w:val="Tilvsunneanmlsgrein"/>
          <w:sz w:val="18"/>
          <w:szCs w:val="18"/>
        </w:rPr>
        <w:footnoteReference w:id="17"/>
      </w:r>
      <w:bookmarkEnd w:id="15"/>
      <w:r>
        <w:t>), (ESB) 2017/1132 (</w:t>
      </w:r>
      <w:bookmarkStart w:id="16" w:name="NOTE_17"/>
      <w:r w:rsidRPr="00DC0829">
        <w:rPr>
          <w:rStyle w:val="Tilvsunneanmlsgrein"/>
          <w:sz w:val="18"/>
          <w:szCs w:val="18"/>
        </w:rPr>
        <w:footnoteReference w:id="18"/>
      </w:r>
      <w:bookmarkEnd w:id="16"/>
      <w:r>
        <w:t>), (ESB) 2019/790 (</w:t>
      </w:r>
      <w:bookmarkStart w:id="17" w:name="NOTE_18"/>
      <w:r w:rsidRPr="00DC0829">
        <w:rPr>
          <w:rStyle w:val="Tilvsunneanmlsgrein"/>
          <w:sz w:val="18"/>
          <w:szCs w:val="18"/>
        </w:rPr>
        <w:footnoteReference w:id="19"/>
      </w:r>
      <w:bookmarkEnd w:id="17"/>
      <w:r>
        <w:t>) og (ESB) 2019/1024 (</w:t>
      </w:r>
      <w:bookmarkStart w:id="18" w:name="NOTE_19"/>
      <w:r w:rsidRPr="00DC0829">
        <w:rPr>
          <w:rStyle w:val="Tilvsunneanmlsgrein"/>
          <w:sz w:val="18"/>
          <w:szCs w:val="18"/>
        </w:rPr>
        <w:footnoteReference w:id="20"/>
      </w:r>
      <w:bookmarkEnd w:id="18"/>
      <w:r>
        <w:t>) og aðra geirabundna löggjöf Sambandsins sem setur reglur um aðgang að og endurnotkun á gögnum. Þessi reglugerð þessi ætti að vera með fyrirvara um lög Sambandsins og landslög um aðgang að og notkun á gögnum í þeim tilgangi að koma í veg fyrir, rannsaka, koma upp um eða saksækja fyrir refsiverð brot eða fullnægja refsiviðurlögum, sem og alþjóðlega samvinnu í því samhengi.</w:t>
      </w:r>
    </w:p>
    <w:p w14:paraId="4BEF5C71" w14:textId="77777777" w:rsidR="00900A3D" w:rsidRDefault="000E1836" w:rsidP="008237BD">
      <w:pPr>
        <w:pStyle w:val="ConsidWithoutNumber"/>
        <w:spacing w:after="0"/>
        <w:ind w:left="540"/>
      </w:pPr>
      <w:r>
        <w:t>Þessi reglugerð ætti ekki að hafa áhrif á valdheimildir aðildarríkjanna að því er varðar starfsemi þeirra á sviði almannaöryggis, landvarna og þjóðaröryggis. Endurnotkun gagna sem njóta verndar af slíkum ástæðum og eru í vörslu opinberra aðila, þ.m.t. gögn úr innkaupaferlum sem falla undir gildissvið tilskipunar Evrópuþingsins og ráðsins 2009/81/EB (</w:t>
      </w:r>
      <w:bookmarkStart w:id="19" w:name="NOTE_20"/>
      <w:r w:rsidRPr="00DC0829">
        <w:rPr>
          <w:rStyle w:val="Tilvsunneanmlsgrein"/>
          <w:sz w:val="18"/>
          <w:szCs w:val="18"/>
        </w:rPr>
        <w:footnoteReference w:id="21"/>
      </w:r>
      <w:bookmarkEnd w:id="19"/>
      <w:r>
        <w:t xml:space="preserve">), ætti ekki að falla undir þessa reglugerð. Koma ætti á fót þverlægu fyrirkomulagi fyrir endurnotkun tiltekinna flokka verndaðra gagna sem eru í vörslu opinberra aðila, veitingu gagnamilligönguþjónustu og þjónustu á grundvelli gagnavildar (e. </w:t>
      </w:r>
      <w:proofErr w:type="spellStart"/>
      <w:r>
        <w:t>data</w:t>
      </w:r>
      <w:proofErr w:type="spellEnd"/>
      <w:r>
        <w:t xml:space="preserve"> </w:t>
      </w:r>
      <w:proofErr w:type="spellStart"/>
      <w:r>
        <w:t>altruism</w:t>
      </w:r>
      <w:proofErr w:type="spellEnd"/>
      <w:r>
        <w:t>) innan Sambandsins.  Tilteknir eiginleikar mismunandi geira geta kallað á að hönnuð verði geiratengd gagnamiðuð kerfi sem jafnframt byggja á kröfum þessarar reglugerðar.  Veitendur gagnamilligönguþjónustu sem uppfylla kröfurnar sem mælt er fyrir um í þessari reglugerð ættu að geta notað heitið „viðurkenndur veitandi gagnamilligönguþjónustu í Sambandinu“. Lögaðilar, sem vilja styðja við markmið er varða almannahagsmuni með því að gera viðeigandi gögn aðgengileg á grundvelli gagnavildar á stærri skala og sem uppfylla kröfur þessarar reglugerðar, ættu að geta skráð sig sem „viðurkennd gagnavildarstofnun í Sambandinu“ og notað það heiti. Ef geirabundin lög Sambandsins eða landslög krefjast þess að opinberir aðilar, slíkir veitendur gagnamilligönguþjónustu eða slíkir lögaðilar (viðurkenndar gagnavildarstofnanir) uppfylli sértækar viðbótarkröfur varðandi tækni, stjórnsýslu eða skipulag, þ.m.t. í gegnum leyfis- eða vottunarfyrirkomulag, ættu ákvæði þeirra geirabundnu laga Sambandsins eða landslaga einnig að gilda.</w:t>
      </w:r>
      <w:r>
        <w:br w:type="page"/>
      </w:r>
    </w:p>
    <w:p w14:paraId="4BEF5C72" w14:textId="77777777" w:rsidR="00900A3D" w:rsidRDefault="000E1836" w:rsidP="008237BD">
      <w:pPr>
        <w:pStyle w:val="Consid"/>
        <w:spacing w:after="1200"/>
      </w:pPr>
      <w:r>
        <w:lastRenderedPageBreak/>
        <w:t>4)</w:t>
      </w:r>
      <w:r>
        <w:tab/>
        <w:t>Þessi reglugerð ætti að vera með fyrirvara um reglugerðir Evrópuþingsins og ráðsins (ESB) 2016/679 (</w:t>
      </w:r>
      <w:bookmarkStart w:id="20" w:name="NOTE_21"/>
      <w:r w:rsidRPr="00DC0829">
        <w:rPr>
          <w:rStyle w:val="Tilvsunneanmlsgrein"/>
          <w:sz w:val="18"/>
          <w:szCs w:val="18"/>
        </w:rPr>
        <w:footnoteReference w:id="22"/>
      </w:r>
      <w:bookmarkEnd w:id="20"/>
      <w:r>
        <w:t>) og (ESB) 2018/1725 (</w:t>
      </w:r>
      <w:bookmarkStart w:id="21" w:name="NOTE_22"/>
      <w:r w:rsidRPr="00DC0829">
        <w:rPr>
          <w:rStyle w:val="Tilvsunneanmlsgrein"/>
          <w:sz w:val="18"/>
          <w:szCs w:val="18"/>
        </w:rPr>
        <w:footnoteReference w:id="23"/>
      </w:r>
      <w:bookmarkEnd w:id="21"/>
      <w:r>
        <w:t>) og tilskipanir Evrópuþingsins og ráðsins 2002/58/EB (</w:t>
      </w:r>
      <w:bookmarkStart w:id="22" w:name="NOTE_23"/>
      <w:r w:rsidRPr="00DC0829">
        <w:rPr>
          <w:rStyle w:val="Tilvsunneanmlsgrein"/>
          <w:sz w:val="18"/>
          <w:szCs w:val="18"/>
        </w:rPr>
        <w:footnoteReference w:id="24"/>
      </w:r>
      <w:bookmarkEnd w:id="22"/>
      <w:r>
        <w:t>) og (ESB) 2016/680 (</w:t>
      </w:r>
      <w:bookmarkStart w:id="23" w:name="NOTE_24"/>
      <w:r w:rsidRPr="00DC0829">
        <w:rPr>
          <w:rStyle w:val="Tilvsunneanmlsgrein"/>
          <w:sz w:val="18"/>
          <w:szCs w:val="18"/>
        </w:rPr>
        <w:footnoteReference w:id="25"/>
      </w:r>
      <w:bookmarkEnd w:id="23"/>
      <w:r>
        <w:t>) og samsvarandi ákvæði landslaga, þ.m.t. þegar persónuupplýsingar og ópersónulegar upplýsingar í gagnasetti eru órjúfanlega tengdar. Einkum ætti ekki að túlka þessa reglugerð þannig að hún skapi nýjan lagagrundvöll fyrir vinnslu persónuupplýsinga vegna neinnar þeirrar starfsemi sem reglur eru settar um eða að hún breyti kröfum um upplýsingar sem mælt er fyrir um í reglugerð (ESB) 2016/679.  Framkvæmd þessarar reglugerðar ætti ekki að koma í veg fyrir miðlun upplýsinga yfir landamæri í samræmi við V. kafla reglugerðar (ESB) 2016/679. Ef til þess kemur að ákvæði þessarar reglugerðar og lög Sambandsins um vernd persónuupplýsinga eða landslög sem samþykkt eru í samræmi við slík lög Sambandsins stangast á ættu viðkomandi lög Sambandsins eða landslög um vernd persónuupplýsinga að ganga framar. Mögulegt ætti að vera að líta á persónuverndaryfirvöld sem lögbær yfirvöld samkvæmt þessari reglugerð. Gegni önnur yfirvöld hlutverki lögbærra yfirvalda samkvæmt þessari reglugerð ættu þau að gera það án þess að það hafi áhrif á eftirlitsheimildir og valdsvið persónuverndaryfirvalda samkvæmt reglugerð (ESB) 2016/679.</w:t>
      </w:r>
    </w:p>
    <w:p w14:paraId="4BEF5C73" w14:textId="77777777" w:rsidR="00900A3D" w:rsidRDefault="000E1836" w:rsidP="008237BD">
      <w:pPr>
        <w:pStyle w:val="Consid"/>
        <w:spacing w:after="1200"/>
      </w:pPr>
      <w:r>
        <w:t>5)</w:t>
      </w:r>
      <w:r>
        <w:tab/>
        <w:t>Nauðsynlegt er að grípa til aðgerða á vettvangi Sambandsins til að auka traust á gagnadeilingu með því að koma á fót viðeigandi fyrirkomulagi til að skráðir aðilar og handhafar gagna geti stjórnað gögnum sem þá varða og til að bregðast við öðrum hindrunum sem standa í vegi fyrir vel starfhæfu og samkeppnishæfu gagnadrifnu hagkerfi. Þær aðgerðir ættu ekki að hafa áhrif á skyldur og skuldbindingar í alþjóðaviðskiptasamningum sem Sambandið hefur gert. Markmiðið með stjórnskipulagsramma sem tekur til alls Sambandsins ætti að vera að byggja upp traust meðal einstaklinga og fyrirtækja í tengslum við aðgang að gögnum, stjórnun, deilingu, notkun og endurnotkun gagna, einkum með því að koma á viðeigandi fyrirkomulagi til að skráðir aðilar þekki rétt sinn og geti neytt hans á marktækan hátt, sem og með tilliti til endurnotkunar á tilteknum tegundum gagna í vörslu opinberra aðila, þjónustu sem veitendur gagnamilligönguþjónustu veita skráðum aðilum, handhöfum gagna og gagnanotendum, ásamt söfnun og vinnslu gagna sem einstaklingar og lögaðilar gera aðgengileg í þágu gagnavildar. Einkum getur aukið gagnsæi varðandi tilganginn með notkun gagna og skilyrði fyrir geymslu gagna hjá fyrirtækjum stuðlað að auknu trausti.</w:t>
      </w:r>
    </w:p>
    <w:p w14:paraId="4BEF5C74" w14:textId="77777777" w:rsidR="00900A3D" w:rsidRDefault="000E1836" w:rsidP="008237BD">
      <w:pPr>
        <w:pStyle w:val="Consid"/>
        <w:spacing w:after="0"/>
      </w:pPr>
      <w:r>
        <w:t>6)</w:t>
      </w:r>
      <w:r>
        <w:tab/>
        <w:t xml:space="preserve">Sú hugmynd hefur lengi verið hluti af stefnu Sambandsins að gögn sem hafa orðið til hjá eða sem hefur verið safnað af opinberum aðilum eða öðrum aðilum á kostnað hins opinbera ættu að gagnast samfélaginu. Ákvæði tilskipunar (ESB) 2019/1024 og geirabundin löggjöf Sambandsins tryggja að opinberir aðilar geri meira af þeim gögnum sem þeir útbúa auðveldlega aðgengileg til notkunar og endurnotkunar. Þó eru tilteknir flokkar gagna í opinberum gagnagrunnum, s.s. gögn sem viðskiptaleynd hvílir á, gögn sem eru háð trúnaðarkvöðum í hagskýrslum og gögn sem njóta verndar samkvæmt hugverkarétti þriðju aðila, þ.m.t. viðskiptaleyndarmál og persónuupplýsingar, oft ekki gerðir aðgengilegir, ekki einu sinni fyrir rannsóknir eða nýsköpunarstarfsemi í þágu almannahagsmuna, þrátt fyrir að það sé mögulegt í samræmi við gildandi lög Sambandsins, einkum reglugerð (ESB) 2016/679 og tilskipanir 2002/58/EB og (ESB) 2016/680. Vegna þess hve viðkvæm slík gögn eru verður að uppfylla tilteknar tæknilegar og lagalegar kröfur um málsmeðferð áður en þau eru gerð aðgengileg, ekki síst til að tryggja að réttur annarra yfir slíkum gögnum sé virtur eða til að takmarka neikvæð áhrif á grundvallarréttindi, meginregluna um bann við mismunun og persónuvernd. Að uppfylla slíkar kröfur er yfirleitt tímafrekt og krefst mikillar þekkingar. Þetta hefur leitt til þess að slík gögn eru vannýtt. Þótt sum aðildarríki séu að koma á skipulagi, ferlum eða löggjöf til að liðka fyrir slíkri endurnotkun er það ekki svo í öllu Sambandinu. Til að </w:t>
      </w:r>
      <w:r>
        <w:lastRenderedPageBreak/>
        <w:t>greiða fyrir notkun einkaaðila og opinberra aðila á gögnum til rannsókna og nýsköpunar í Evrópu er þörf á skýrum skilyrðum fyrir aðgangi að og notkun á slíkum gögnum í öllu Sambandinu.</w:t>
      </w:r>
      <w:r>
        <w:br w:type="page"/>
      </w:r>
    </w:p>
    <w:p w14:paraId="4BEF5C75" w14:textId="77777777" w:rsidR="00900A3D" w:rsidRDefault="000E1836" w:rsidP="008237BD">
      <w:pPr>
        <w:pStyle w:val="Consid"/>
        <w:spacing w:after="680"/>
      </w:pPr>
      <w:r>
        <w:lastRenderedPageBreak/>
        <w:t>7)</w:t>
      </w:r>
      <w:r>
        <w:tab/>
        <w:t xml:space="preserve">Til er ýmis tækni sem gerir kleift að framkvæma greiningar á gagnagrunnum sem innihalda persónuupplýsingar, s.s. að gera upplýsingar nafnlausar, afstæð persónuvernd (e. </w:t>
      </w:r>
      <w:proofErr w:type="spellStart"/>
      <w:r>
        <w:t>differential</w:t>
      </w:r>
      <w:proofErr w:type="spellEnd"/>
      <w:r>
        <w:t xml:space="preserve"> </w:t>
      </w:r>
      <w:proofErr w:type="spellStart"/>
      <w:r>
        <w:t>privacy</w:t>
      </w:r>
      <w:proofErr w:type="spellEnd"/>
      <w:r>
        <w:t xml:space="preserve">), </w:t>
      </w:r>
      <w:proofErr w:type="spellStart"/>
      <w:r>
        <w:t>gagnahæfing</w:t>
      </w:r>
      <w:proofErr w:type="spellEnd"/>
      <w:r>
        <w:t xml:space="preserve">, </w:t>
      </w:r>
      <w:proofErr w:type="spellStart"/>
      <w:r>
        <w:t>bæling</w:t>
      </w:r>
      <w:proofErr w:type="spellEnd"/>
      <w:r>
        <w:t xml:space="preserve"> og </w:t>
      </w:r>
      <w:proofErr w:type="spellStart"/>
      <w:r>
        <w:t>slembiröðun</w:t>
      </w:r>
      <w:proofErr w:type="spellEnd"/>
      <w:r>
        <w:t>, notkun gervigagna eða áþekkar aðferðir og aðrar nýjustu aðferðir til að varðveita friðhelgi einkalífsins sem gætu stuðlað að friðhelgisvænni vinnslu gagna. Aðildarríkin ættu að styðja opinbera aðila til að nýta slíka tækni sem best og gera þannig eins mikið af gögnum og unnt er tiltæk til deilingar. Beiting slíkrar tækni ásamt ítarlegu mati á áhrifum á persónuvernd og öðrum verndarráðstöfunum getur stuðlað að meira öryggi í notkun og endurnotkun persónuupplýsinga og ætti að tryggja örugga endurnotkun viðskiptagagna, sem viðskiptaleynd hvílir á, í þágu rannsókna, nýsköpunar og í tölfræðilegum tilgangi. Í mörgum tilvikum felur beiting slíkrar tækni, áhrifamats og annarra verndarráðstafana í sér að gögn megi einungis nota og endurnota í öruggu vinnsluumhverfi sem opinberi aðilinn lætur í té eða stjórnar. Á vettvangi Sambandsins er komin reynsla af slíku öruggu vinnsluumhverfi sem notað er fyrir rannsóknir á tölfræðilegum einstaklingsbundnum gögnum á grundvelli reglugerðar framkvæmdastjórnarinnar (ESB) nr. 557/2013 (</w:t>
      </w:r>
      <w:bookmarkStart w:id="24" w:name="NOTE_25"/>
      <w:r w:rsidRPr="00DC0829">
        <w:rPr>
          <w:rStyle w:val="Tilvsunneanmlsgrein"/>
          <w:sz w:val="18"/>
          <w:szCs w:val="18"/>
        </w:rPr>
        <w:footnoteReference w:id="26"/>
      </w:r>
      <w:bookmarkEnd w:id="24"/>
      <w:r>
        <w:t>). Að því marki sem um er að ræða persónuupplýsingar ætti vinnsla persónuupplýsinga almennt að byggjast á lagagrundvelli fyrir vinnslu, einum eða fleiri, sem kveðið er á um í 6. og 9. gr. reglugerðar (ESB) 2016/679.</w:t>
      </w:r>
    </w:p>
    <w:p w14:paraId="4BEF5C76" w14:textId="77777777" w:rsidR="00900A3D" w:rsidRDefault="000E1836" w:rsidP="008237BD">
      <w:pPr>
        <w:pStyle w:val="Consid"/>
        <w:spacing w:after="680"/>
      </w:pPr>
      <w:r>
        <w:t>8)</w:t>
      </w:r>
      <w:r>
        <w:tab/>
        <w:t xml:space="preserve">Í samræmi við reglugerð (ESB) 2016/679 ættu meginreglur um persónuvernd ekki að eiga við um nafnlausar upplýsingar, þ.e. upplýsingar sem tengjast ekki persónugreindum eða persónugreinanlegum einstaklingi, eða persónuupplýsingar sem hafa verið </w:t>
      </w:r>
      <w:proofErr w:type="spellStart"/>
      <w:r>
        <w:t>aftengdar</w:t>
      </w:r>
      <w:proofErr w:type="spellEnd"/>
      <w:r>
        <w:t xml:space="preserve"> persónuauðkennum þannig að ekki er lengur unnt að persónugreina hinn skráða. Banna ætti að tengja aftur við nafn gögn um skráða aðila úr gagnasettum sem gerð hafa verið nafnlaus. Þetta ætti ekki að hafa áhrif á möguleikann á að stunda rannsóknir á tækni til að gera gögn nafnlaus, einkum í þeim tilgangi að tryggja upplýsingaöryggi, bæta fyrirliggjandi tækni til að gera gögn nafnlaus og stuðla að heildartraustleika nafnleyndar, sem framkvæmdar eru í samræmi við reglugerð (ESB) 2016/679.</w:t>
      </w:r>
    </w:p>
    <w:p w14:paraId="4BEF5C77" w14:textId="77777777" w:rsidR="00900A3D" w:rsidRDefault="000E1836" w:rsidP="008237BD">
      <w:pPr>
        <w:pStyle w:val="Consid"/>
        <w:spacing w:after="680"/>
      </w:pPr>
      <w:r>
        <w:t>9)</w:t>
      </w:r>
      <w:r>
        <w:tab/>
        <w:t>Til að greiða fyrir vernd persónuupplýsinga og trúnaðargagna og til að hraða ferlinu við að gera slík gögn aðgengileg til endurnotkunar samkvæmt þessari reglugerð ættu aðildarríkin að hvetja opinbera aðila til að búa til gögn og gera þau aðgengileg í samræmi við meginregluna um „að innbyggt sé og sjálfgefið að gögnin séu opin“, sem um getur í 2. mgr. 5. gr. tilskipunar (ESB) 2019/1024, og til að stuðla að gerð gagna og kaupum á gögnum með sniði og uppbyggingu sem auðveldar nafnleynd í því samhengi.</w:t>
      </w:r>
    </w:p>
    <w:p w14:paraId="4BEF5C78" w14:textId="77777777" w:rsidR="00900A3D" w:rsidRDefault="000E1836" w:rsidP="008237BD">
      <w:pPr>
        <w:pStyle w:val="Consid"/>
        <w:spacing w:after="680"/>
      </w:pPr>
      <w:r>
        <w:t>10)</w:t>
      </w:r>
      <w:r>
        <w:tab/>
        <w:t>Þeir gagnaflokkar í vörslu opinberra aðila sem ættu að falla undir endurnotkun samkvæmt þessari reglugerð falla utan gildissviðs tilskipunar (ESB) 2019/1024 sem útilokar gögn sem eru ekki aðgengileg vegna viðskiptaleyndar og trúnaðarkvaðar í hagskýrslum og gögn í verkum eða öðru efni sem þriðju aðilar eiga hugverkarétt á. Gögn sem viðskiptaleynd hvílir á taka til gagna sem eru vernduð af viðskiptaleyndarmálum, verndaðrar sérþekkingar og allra annarra upplýsinga sem myndu hafa áhrif á markaðsstöðu eða fjárhagslegt heilbrigði fyrirtækisins kæmi til ótilhlýðilegrar birtingar á þeim. Þessi reglugerð ætti að gilda um persónuupplýsingar sem falla utan gildissviðs tilskipunar (ESB) 2019/1024 að því marki sem fyrirkomulagið um aðgang útilokar eða takmarkar aðgang að slíkum gögnum af ástæðum sem varða persónuvernd, friðhelgi einkalífs og heilindi einstaklingsins, einkum í samræmi við persónuverndarreglur. Endurnotkun gagna sem geta innihaldið viðskiptaleyndarmál ætti að fara fram með fyrirvara um tilskipun (ESB) 2016/943 sem setur ramma um löglega öflun, notkun eða birtingu viðskiptaleyndarmála.</w:t>
      </w:r>
    </w:p>
    <w:p w14:paraId="4BEF5C79" w14:textId="77777777" w:rsidR="00900A3D" w:rsidRDefault="000E1836" w:rsidP="008237BD">
      <w:pPr>
        <w:pStyle w:val="Consid"/>
        <w:spacing w:after="0"/>
      </w:pPr>
      <w:r>
        <w:t>11)</w:t>
      </w:r>
      <w:r>
        <w:tab/>
        <w:t>Þessi reglugerð ætti ekki að skapa skyldu til að heimila endurnotkun gagna í vörslu opinberra aðila. Einkum ætti hvert aðildarríki því að geta ákveðið hvort gögn séu gerð aðgengileg til endurnotkunar, einnig að því er varðar tilgang og umfang slíks aðgangs. Þessi reglugerð ætti að koma til fyllingar og vera með fyrirvara um sértækari skyldur opinberra aðila til að heimila endurnotkun gagna, sem mælt er fyrir um í geirabundnum lögum Sambandsins eða landslögum. Aðgangur almennings að opinberum skjölum getur talist í þágu almannahagsmuna. Með tilliti til þess hlutverks sem aðgangur almennings að opinberum skjölum og gagnsæi gegnir í lýðræðisþjóðfélagi, ætti þessi reglugerð einnig að vera með fyrirvara um lög Sambandsins eða landslög um aðgang að og birtingu á opinberum skjölum.  Einkum má veita aðgang að opinberum skjölum í samræmi við landslög án þess að setja sértæk skilyrði, eða með því setja sértæk skilyrði sem ekki er kveðið á um í þessari reglugerð.</w:t>
      </w:r>
      <w:r>
        <w:br w:type="page"/>
      </w:r>
    </w:p>
    <w:p w14:paraId="4BEF5C7A" w14:textId="77777777" w:rsidR="00900A3D" w:rsidRDefault="000E1836" w:rsidP="008237BD">
      <w:pPr>
        <w:pStyle w:val="Consid"/>
        <w:spacing w:after="560"/>
      </w:pPr>
      <w:r>
        <w:lastRenderedPageBreak/>
        <w:t>12)</w:t>
      </w:r>
      <w:r>
        <w:tab/>
        <w:t>Endurnotkunarfyrirkomulagið sem kveðið er á um í þessari reglugerð ætti að gilda um gögn sem er á opinberu starfssviði hlutaðeigandi opinberra aðila að afhenda samkvæmt lögum eða öðrum bindandi reglum í aðildarríkjunum.  Ef slíkar reglur eru ekki til staðar ætti að skilgreina opinbert starfssvið í samræmi við almenna stjórnsýsluvenju í aðildarríkjunum, að því tilskildu að gildissvið þess sé gagnsætt og háð endurskoðun. Opinbert starfssvið má skilgreina almennt eða fyrir einstaka opinbera aðila í hverju tilviki fyrir sig. Þar sem skilgreiningin á opinberum aðila tekur ekki til opinberra fyrirtækja ættu gögnin sem þau hafa í sinni vörslu ekki að falla ekki undir þessa reglugerð. Gögn í vörslu menningarstofnana, s.s. bókasafna, skjalasafna og safna auk hljómsveita, ópera, balletta og leikhúsa, og menntastofnana ættu ekki að falla undir þessa reglugerð þar sem verk og önnur skjöl sem eru í þeirra vörslu falla aðallega undir hugverkarétt þriðja aðila. Stofnanir sem framkvæma rannsóknir og stofnanir sem fjármagna rannsóknir gætu einnig verið skipulagðar sem opinberir aðilar eða aðilar sem heyra undir opinberan rétt.</w:t>
      </w:r>
    </w:p>
    <w:p w14:paraId="4BEF5C7B" w14:textId="77777777" w:rsidR="00900A3D" w:rsidRDefault="000E1836" w:rsidP="008237BD">
      <w:pPr>
        <w:pStyle w:val="ConsidWithoutNumber"/>
        <w:spacing w:after="560"/>
        <w:ind w:left="540"/>
      </w:pPr>
      <w:r>
        <w:t>Þessi reglugerð ætti aðeins að gilda um slíkar blandaðar stofnanir að því er tekur til hlutverks þeirra sem stofnanir sem framkvæma rannsóknir. Hafi stofnun sem framkvæmir rannsóknir gögn í vörslu sinni sem hluta af sérstöku sambandi opinberra aðila og einkaaðila við aðila innan einkageirans eða aðra opinbera aðila, aðila sem heyra undir opinberan rétt eða blandaðar stofnanir sem stunda rannsóknir, þ.e.a.s. sem eru skipulagðar annaðhvort sem opinberir aðilar eða opinber fyrirtæki, í þeim megintilgangi að stunda rannsóknir, ættu þau gögn ekki heldur að falla undir þessa reglugerð. Ef við á ættu aðildarríkin að geta beitt þessari reglugerð gagnvart opinberum fyrirtækjum eða einkafyrirtækjum sem sinna opinberum skyldum eða veita þjónustu í almannaþágu.  Skipti á gögnum milli opinberra aðila í Sambandinu, eða milli opinberra aðila í Sambandinu og opinberra aðila í þriðju löndum eða alþjóðastofnana, eingöngu til að sinna opinberum verkefnum þeirra, sem og skipti á gögnum milli vísindamanna í þágu vísindarannsókna sem ekki eru viðskiptalegs eðlis, ættu ekki að falla undir ákvæði þessarar reglugerðar varðandi endurnotkun á tilteknum flokkum verndaðra gagna sem eru í vörslu opinberra aðila.</w:t>
      </w:r>
    </w:p>
    <w:p w14:paraId="4BEF5C7C" w14:textId="77777777" w:rsidR="00900A3D" w:rsidRDefault="000E1836" w:rsidP="008237BD">
      <w:pPr>
        <w:pStyle w:val="Consid"/>
        <w:spacing w:after="560"/>
      </w:pPr>
      <w:r>
        <w:t>13)</w:t>
      </w:r>
      <w:r>
        <w:tab/>
        <w:t>Opinberir aðilar ættu að fara að samkeppnislögum þegar þeir setja meginreglur um endurnotkun gagna sem eru í þeirra vörslu og forðast að gera samninga sem gætu haft það markmið eða þau áhrif að til verður einkaréttur á endurnotkun tiltekinna gagna. Slíkir samningar ættu einungis að vera mögulegir þegar þeir eru réttlætanlegir og nauðsynlegir í því skyni að veita þjónustu eða afhenda vöru í almannaþágu. Það kann að vera tilfellið þegar einkaréttur á gögnunum er eina leiðin til að hámarka samfélagslegan ávinning af þeim gögnum sem um er að ræða, t.a.m. þegar einungis ein stofnun (sem hefur sérhæft sig í vinnslu tiltekins gagnasetts) er fær um að veita þjónustuna eða afhenda vöruna sem gerir opinbera aðilanum kleift að veita þjónustu eða afhenda vöru í almannaþágu. Slíkt fyrirkomulag ætti þó að gera í samræmi við gildandi lög Sambandsins eða landslög og með fyrirvara um reglulega endurskoðun á grundvelli markaðsgreiningar til að ganga úr skugga um það hvort slíkur einkaréttur sé áfram nauðsynlegur. Auk þess ætti slíkt fyrirkomulag að vera í samræmi við viðeigandi reglur um ríkisaðstoð eins og við á og vera til takmarkaðs tíma sem ætti ekki að fara yfir 12 mánuði. Til að tryggja gagnsæi ætti að birta slíka einkaréttarsamninga á netinu á sniði sem samræmist viðkomandi lögum Sambandsins um opinber innkaup. Uppfylli einkaréttur á endurnotkun gagna ekki kröfur þessarar reglugerðar ætti sá einkaréttur að falla úr gildi.</w:t>
      </w:r>
    </w:p>
    <w:p w14:paraId="4BEF5C7D" w14:textId="77777777" w:rsidR="00900A3D" w:rsidRDefault="000E1836" w:rsidP="008237BD">
      <w:pPr>
        <w:pStyle w:val="Consid"/>
        <w:spacing w:after="560"/>
      </w:pPr>
      <w:r>
        <w:t>14)</w:t>
      </w:r>
      <w:r>
        <w:tab/>
        <w:t>Ekki ætti að endurnýja óleyfilega einkaréttarsamninga og aðrar venjur eða fyrirkomulag varðandi endurnotkun gagna í vörslu opinberra aðila, sem veita ekki einkarétt með ótvíræðum hætti en sem ætla má að takmarki aðgang að gögnum til endurnotkunar, sem gerð hafa verið eða voru þegar í gildi fyrir gildistökudag þessarar reglugerðar, eftir að gildistími þeirra rennur út. Ef um er að ræða samninga til óákveðins tíma eða langs tíma ætti að segja þeim upp innan 30 mánaða frá gildistökudegi þessarar reglugerðar.</w:t>
      </w:r>
    </w:p>
    <w:p w14:paraId="4BEF5C7E" w14:textId="77777777" w:rsidR="00900A3D" w:rsidRDefault="000E1836" w:rsidP="008237BD">
      <w:pPr>
        <w:pStyle w:val="Consid"/>
        <w:spacing w:after="780"/>
      </w:pPr>
      <w:r>
        <w:t>15)</w:t>
      </w:r>
      <w:r>
        <w:tab/>
        <w:t xml:space="preserve">Þessi reglugerð ætti að setja skilyrði fyrir endurnotkun verndaðra gagna sem gilda um opinbera aðila sem tilnefndir eru sem þar til bærir samkvæmt landslögum til að veita eða synja um aðgang til endurnotkunar og eru með fyrirvara um réttindi eða skyldur varðandi aðgang að slíkum gögnum. Þessi skilyrði ættu að vera án mismununar, gagnsæ, hófleg og rökstudd á hlutlægan hátt, ekki hamla samkeppni og leggja sérstaka áherslu á að efla aðgang lítilla og meðalstórra fyrirtækja og sprotafyrirtækja að slíkum gögnum. Útfæra ætti skilyrðin fyrir endurnotkun á þann hátt að þau styðji við vísindarannsóknir þannig að til dæmis ætti það, að veita vísindarannsóknum forgang almennt, ekki að teljast mismunun.  Opinberir aðilar sem heimila endurnotkun ættu að hafa yfir að ráða þeim tæknilegu úrræðum sem nauðsynleg eru til að tryggja vernd réttinda og hagsmuna þriðju aðila og ættu að hafa heimild til að óska eftir nauðsynlegum upplýsingum frá </w:t>
      </w:r>
      <w:proofErr w:type="spellStart"/>
      <w:r>
        <w:t>endurnotandanum</w:t>
      </w:r>
      <w:proofErr w:type="spellEnd"/>
      <w:r>
        <w:t xml:space="preserve">. Skilyrði fyrir endurnotkun gagna ættu að takmarkast við það sem nauðsynlegt er til að vernda réttindi og hagsmuni þriðju aðila varðandi gögnin og heilleika upplýsingatækni- og fjarskiptakerfa opinberu aðilanna. Opinberir aðilar ættu að beita skilyrðum sem best þjóna hagsmunum </w:t>
      </w:r>
      <w:proofErr w:type="spellStart"/>
      <w:r>
        <w:t>endurnotandans</w:t>
      </w:r>
      <w:proofErr w:type="spellEnd"/>
      <w:r>
        <w:t xml:space="preserve"> án þess að það leiði til óhóflegrar byrði fyrir </w:t>
      </w:r>
      <w:r>
        <w:lastRenderedPageBreak/>
        <w:t xml:space="preserve">opinberu aðilana. Útfæra ætti skilyrði fyrir endurnotkun gagna þannig að þau tryggi skilvirkar verndarráðstafanir að því er varðar vernd persónuupplýsinga.  Fyrir sendingu ætti að gera persónuupplýsingar nafnlausar til að ekki sé unnt að bera kennsl á skráða aðila og breyta ætti gögnum, sem innihalda upplýsingar sem viðskiptaleynd hvílir á, þannig að engar trúnaðarupplýsingar séu birtar. Ef veiting gagna sem gerð hafa verið nafnlaus eða breyttra gagna myndi ekki uppfylla þarfir </w:t>
      </w:r>
      <w:proofErr w:type="spellStart"/>
      <w:r>
        <w:t>endurnotandans</w:t>
      </w:r>
      <w:proofErr w:type="spellEnd"/>
      <w:r>
        <w:t xml:space="preserve"> mætti heimila endurnotkun gagnanna innan öruggs vinnsluumhverfis, á staðnum eða úr fjarlægð, með fyrirvara um að uppfylltar séu kröfur um framkvæmd mats á áhrifum á persónuvernd og samráð við eftirlitsyfirvaldið skv. 35. og 36. gr. reglugerðar (ESB) 2016/679 og að áhætta fyrir réttindi og hagsmuni skráðra aðila hafi reynst vera í lágmarki.</w:t>
      </w:r>
    </w:p>
    <w:p w14:paraId="4BEF5C7F" w14:textId="77777777" w:rsidR="00900A3D" w:rsidRDefault="000E1836" w:rsidP="008237BD">
      <w:pPr>
        <w:pStyle w:val="ConsidWithoutNumber"/>
        <w:spacing w:after="780"/>
        <w:ind w:left="540"/>
      </w:pPr>
      <w:r>
        <w:t xml:space="preserve">Þetta gæti verið hentugt fyrirkomulag fyrir endurnotkun gagna sem færð hafa verið undir gerviauðkenni. Opinberi aðilinn ætti að hafa eftirlit með gagnagreiningum í slíku öruggu vinnsluumhverfi til að vernda réttindi og hagsmuni þriðju aðila. Einkum ætti því aðeins að senda persónuupplýsingar til þriðja aðila til endurnotkunar ef lagagrundvöllur er fyrir slíkri sendingu samkvæmt persónuverndarlögum. Ópersónulegar upplýsingar ætti aðeins að senda ef engin ástæða er til að ætla að samsetning gagnasetta með ópersónulegum upplýsingum myndi leiða til þess að borin verði kennsl á skráða aðila. Þetta ætti einnig að gilda um gögn sem færð hafa verið undir gerviauðkenni sem halda stöðu sinni sem persónuupplýsingar. Séu gögn um skráða aðila tengd aftur við nafn ætti skylda til að tilkynna opinbera aðilanum um slíkan </w:t>
      </w:r>
      <w:proofErr w:type="spellStart"/>
      <w:r>
        <w:t>öryggisbrest</w:t>
      </w:r>
      <w:proofErr w:type="spellEnd"/>
      <w:r>
        <w:t xml:space="preserve"> að koma til viðbótar þeirri skyldu að tilkynna eftirlitsyfirvaldi og skráða aðilanum um slíkan </w:t>
      </w:r>
      <w:proofErr w:type="spellStart"/>
      <w:r>
        <w:t>öryggisbrest</w:t>
      </w:r>
      <w:proofErr w:type="spellEnd"/>
      <w:r>
        <w:t xml:space="preserve"> í samræmi við reglugerð (ESB) 2016/679. Þar sem við á ættu opinberir aðilar að greiða fyrir endurnotkun gagna á grundvelli samþykkis skráðra aðila eða leyfis handhafa gagna fyrir endurnotkun gagna, sem þeim tilheyra, með viðeigandi tæknilegum úrræðum. Í þessu tilliti ætti opinberi aðilinn að leggja sig fram um að aðstoða mögulega </w:t>
      </w:r>
      <w:proofErr w:type="spellStart"/>
      <w:r>
        <w:t>endurnotendur</w:t>
      </w:r>
      <w:proofErr w:type="spellEnd"/>
      <w:r>
        <w:t xml:space="preserve"> við öflun slíks samþykkis eða leyfis með því að koma á fót tæknilegum kerfum sem gera kleift að senda samþykkis- eða leyfisbeiðnir frá </w:t>
      </w:r>
      <w:proofErr w:type="spellStart"/>
      <w:r>
        <w:t>endurnotendum</w:t>
      </w:r>
      <w:proofErr w:type="spellEnd"/>
      <w:r>
        <w:t xml:space="preserve"> þar sem það er raunhæft. Ekki ætti að gefa upp neinar tengiliðaupplýsingar sem gera </w:t>
      </w:r>
      <w:proofErr w:type="spellStart"/>
      <w:r>
        <w:t>endurnotendum</w:t>
      </w:r>
      <w:proofErr w:type="spellEnd"/>
      <w:r>
        <w:t xml:space="preserve"> kleift að hafa beint samband við skráða aðila eða handhafa gagna. Þegar opinber aðili sendir beiðni um samþykki eða leyfi ætti hann að tryggja að skráði aðilinn eða handhafi gagnanna sé upplýstur á skýran hátt um þann möguleika að synja um samþykki eða leyfi.</w:t>
      </w:r>
    </w:p>
    <w:p w14:paraId="4BEF5C80" w14:textId="77777777" w:rsidR="00900A3D" w:rsidRDefault="000E1836" w:rsidP="008237BD">
      <w:pPr>
        <w:pStyle w:val="Consid"/>
        <w:spacing w:after="780"/>
      </w:pPr>
      <w:r>
        <w:t>16)</w:t>
      </w:r>
      <w:r>
        <w:tab/>
        <w:t xml:space="preserve">Í því skyni að greiða fyrir og hvetja til notkunar á gögnum í vörslu opinberra aðila í þágu vísindarannsókna eru opinberir aðilar hvattir til að þróa </w:t>
      </w:r>
      <w:proofErr w:type="spellStart"/>
      <w:r>
        <w:t>samhæfða</w:t>
      </w:r>
      <w:proofErr w:type="spellEnd"/>
      <w:r>
        <w:t xml:space="preserve"> nálgun og samræmd ferli til að gera þessi gögn auðveldlega aðgengileg til vísindarannsókna í þágu almennings. Það gæti m.a. falið í sér að skapa hagkvæmar stjórnsýslumeðferðir, staðlað gagnasnið, upplýsandi lýsigögn um valkosti varðandi aðferðafræði og gagnasöfnun og staðlaða gagnareiti sem gera kleift að tengja auðveldlega saman gagnasett frá mismunandi opinberum gagnalindum þar sem það er mikilvægt vegna greiningar. Markmiðið með þessum starfsvenjum ætti að vera að ýta undir opinberlega fjármögnuð og framleidd gögn í þágu vísindarannsókna í samræmi við meginregluna „eins opið og unnt er, eins lokað og nauðsyn krefur“. </w:t>
      </w:r>
    </w:p>
    <w:p w14:paraId="4BEF5C81" w14:textId="77777777" w:rsidR="00900A3D" w:rsidRDefault="000E1836" w:rsidP="008237BD">
      <w:pPr>
        <w:pStyle w:val="Consid"/>
        <w:spacing w:after="780"/>
      </w:pPr>
      <w:r>
        <w:t>17)</w:t>
      </w:r>
      <w:r>
        <w:tab/>
        <w:t xml:space="preserve">Þessi reglugerð ætti ekki að hafa áhrif á hugverkarétt þriðju aðila. Þessi reglugerð ætti hvorki að hafa áhrif á hugverkarétt opinberra aðila eða eignarhald þeirra á slíkum rétti né ætti hún að takmarka beitingu þessa réttar á nokkurn hátt. Skyldurnar sem lagðar eru á í samræmi við þessa reglugerð ættu einungis að gilda að svo miklu leyti sem þær samræmast ákvæðum alþjóðasamninga um hugverkaréttarvernd, einkum </w:t>
      </w:r>
      <w:proofErr w:type="spellStart"/>
      <w:r>
        <w:t>Bernarsáttmálans</w:t>
      </w:r>
      <w:proofErr w:type="spellEnd"/>
      <w:r>
        <w:t xml:space="preserve"> til verndar bókmenntum og listaverkum (</w:t>
      </w:r>
      <w:proofErr w:type="spellStart"/>
      <w:r>
        <w:t>Bernarsáttmálans</w:t>
      </w:r>
      <w:proofErr w:type="spellEnd"/>
      <w:r>
        <w:t>), samningsins um hugverkarétt í viðskiptum (TRIPS-samningsins) og samnings Alþjóðahugverkastofnunarinnar um höfundarrétt (WCT-samningsins), og lögum Sambandsins eða landslögum um hugverkarétt. Þó ættu opinberir aðilar að beita höfundarrétti sínum þannig að það auðveldi endurnotkun.</w:t>
      </w:r>
    </w:p>
    <w:p w14:paraId="4BEF5C82" w14:textId="77777777" w:rsidR="00900A3D" w:rsidRDefault="000E1836" w:rsidP="008237BD">
      <w:pPr>
        <w:pStyle w:val="Consid"/>
        <w:spacing w:after="0"/>
      </w:pPr>
      <w:r>
        <w:t>18)</w:t>
      </w:r>
      <w:r>
        <w:tab/>
        <w:t>Gögn sem falla undir hugverkarétt og viðskiptaleyndarmál ætti einungis að senda þriðja aðila ef slík sending er lögleg samkvæmt lögum Sambandsins eða landslögum eða með samþykki rétthafans. Ef opinberir aðilar eru handhafar réttar höfundar gagnagrunns, sem kveðið er á um í 1. mgr. 7. gr. tilskipunar Evrópuþingsins og ráðsins 96/9/EB (</w:t>
      </w:r>
      <w:bookmarkStart w:id="25" w:name="NOTE_26"/>
      <w:r w:rsidRPr="00DC0829">
        <w:rPr>
          <w:rStyle w:val="Tilvsunneanmlsgrein"/>
          <w:sz w:val="18"/>
          <w:szCs w:val="18"/>
        </w:rPr>
        <w:footnoteReference w:id="27"/>
      </w:r>
      <w:bookmarkEnd w:id="25"/>
      <w:r>
        <w:t>), ættu þeir ekki að nýta þann rétt til að koma í veg fyrir eða takmarka endurnotkun gagna umfram þau mörk sem þessi reglugerð setur.</w:t>
      </w:r>
      <w:r>
        <w:br w:type="page"/>
      </w:r>
    </w:p>
    <w:p w14:paraId="4BEF5C83" w14:textId="77777777" w:rsidR="00900A3D" w:rsidRDefault="000E1836" w:rsidP="008237BD">
      <w:pPr>
        <w:pStyle w:val="Consid"/>
        <w:spacing w:after="560"/>
      </w:pPr>
      <w:r>
        <w:lastRenderedPageBreak/>
        <w:t>19)</w:t>
      </w:r>
      <w:r>
        <w:tab/>
        <w:t xml:space="preserve">Fyrirtæki og skráðir aðilar ættu að geta treyst því að endurnotkun á tilteknum flokkum verndaðra gagna sem eru í vörslu opinberu aðilanna muni fara fram á þann hátt að réttindi þeirra og hagsmunir séu virt. Því ætti að gera frekari verndarráðstafanir vegna aðstæðna þar sem endurnotkun slíkra gagna úr opinbera geiranum fer fram á grundvelli vinnslu gagnanna utan opinbera geirans, s.s. kröfu um að opinberir aðilar tryggi að réttindi og hagsmunir einstaklinga og lögaðila séu vernduð til fulls, einkum að því er varðar persónuupplýsingar, viðkvæmar viðskiptaupplýsingar og hugverkarétt, í öllum tilvikum og þ.m.t. þegar slíkum gögnum er miðlað til þriðju landa. Opinberir aðilar ættu ekki að heimila </w:t>
      </w:r>
      <w:proofErr w:type="spellStart"/>
      <w:r>
        <w:t>vátryggingafélögum</w:t>
      </w:r>
      <w:proofErr w:type="spellEnd"/>
      <w:r>
        <w:t xml:space="preserve"> eða öðrum þjónustuveitendum að endurnota upplýsingar sem geymdar eru í rafrænum heilbrigðisþjónustuforritum í þeim tilgangi að mismuna við verðákvörðun þar sem það myndi stríða gegn grundvallarréttinum til aðgangs að heilbrigðisþjónustu.</w:t>
      </w:r>
    </w:p>
    <w:p w14:paraId="4BEF5C84" w14:textId="77777777" w:rsidR="00900A3D" w:rsidRDefault="000E1836" w:rsidP="008237BD">
      <w:pPr>
        <w:pStyle w:val="Consid"/>
        <w:spacing w:after="560"/>
      </w:pPr>
      <w:r>
        <w:t>20)</w:t>
      </w:r>
      <w:r>
        <w:tab/>
        <w:t xml:space="preserve">Til að standa vörð um sanngjarna samkeppni og opna markaðshagkerfið er enn fremur afar mikilvægt að verja verndaðar ópersónulegar upplýsingar, einkum viðskiptaleyndarmál en einnig ópersónulegar upplýsingar sem innihalda efni sem heyrir undir hugverkarétt, gegn ólöglegum aðgangi sem gæti leitt til hugverkaréttindaþjófnaðar eða </w:t>
      </w:r>
      <w:proofErr w:type="spellStart"/>
      <w:r>
        <w:t>iðnaðarnjósna</w:t>
      </w:r>
      <w:proofErr w:type="spellEnd"/>
      <w:r>
        <w:t xml:space="preserve">. Til að tryggja vernd réttinda eða hagsmuna handhafa gagna ætti einungis að vera mögulegt að miðla til þriðju landa ópersónulegum upplýsingum, sem vernda skal gegn ólögmætum eða óheimilum aðgangi samkvæmt lögum Sambandsins eða landslögum og sem eru í vörslu opinberra aðila, ef viðeigandi verndarráðstafanir eru gerðar varðandi notkun gagnanna. Á meðal slíkra viðeigandi verndarráðstafana ætti að vera krafa um að opinberi aðilinn sendi eingöngu vernduð gögn til </w:t>
      </w:r>
      <w:proofErr w:type="spellStart"/>
      <w:r>
        <w:t>endurnotanda</w:t>
      </w:r>
      <w:proofErr w:type="spellEnd"/>
      <w:r>
        <w:t xml:space="preserve"> ef sá endurnotandi gengst undir samningsbundnar skuldbindingar til að vernda gögnin. Endurnotandi sem hefur í hyggju að miðla vernduðu gögnunum til þriðja lands ætti að uppfylla þær skyldur sem mælt er fyrir um í þessari reglugerð jafnvel eftir að gögnunum hefur verið miðlað til þriðja landsins. Til að tryggja rétta framfylgd slíkra skyldna ætti </w:t>
      </w:r>
      <w:proofErr w:type="spellStart"/>
      <w:r>
        <w:t>endurnotandinn</w:t>
      </w:r>
      <w:proofErr w:type="spellEnd"/>
      <w:r>
        <w:t xml:space="preserve"> einnig að samþykkja lögsögu aðildarríkis opinbera aðilans sem heimilaði endurnotkunina að því er varðar lausn deilumála fyrir dómstólum.</w:t>
      </w:r>
    </w:p>
    <w:p w14:paraId="4BEF5C85" w14:textId="77777777" w:rsidR="00900A3D" w:rsidRDefault="000E1836" w:rsidP="008237BD">
      <w:pPr>
        <w:pStyle w:val="Consid"/>
        <w:spacing w:after="560"/>
      </w:pPr>
      <w:r>
        <w:t>21)</w:t>
      </w:r>
      <w:r>
        <w:tab/>
        <w:t xml:space="preserve">Líta ætti svo á að viðeigandi verndarráðstafanir séu fyrir hendi ef jafngildar ráðstafanir eru til staðar í því þriðja landi sem ópersónulegum upplýsingum er miðlað til, sem tryggja að gögn njóti svipaðs verndarstigs og veitt er með lögum Sambandsins, einkum að því er varðar vernd viðskiptaleyndarmála og hugverkaréttar. Í því skyni ætti framkvæmdastjórnin að geta lýst því yfir, með framkvæmdargerðum, þegar verulegur fjölda beiðna í Sambandinu um endurnotkun á ópersónulegum upplýsingum í tilteknum þriðju löndum réttlætir það, að þriðja land veiti vernd sem er í meginatriðum jafngild þeirri sem kveðið er á um í lögum Sambandsins. Framkvæmdastjórnin ætti að meta þörfina á slíkum framkvæmdargerðum á grundvelli upplýsinga sem aðildarríkin veita í gegnum Evrópska gagnanýsköpunarráðið. Slíkar framkvæmdargerðir myndu vekja traust hjá opinberum aðilum um að endurnotkun í hlutaðeigandi þriðja landi á gögnum í vörslu opinberra aðila myndi ekki stofna eðli þeirra sem vernduð gögn í hættu. Mat á þeirri vernd sem hlutaðeigandi þriðja land veitir ætti einkum að taka mið af viðeigandi almennum lögum og sérlögum, þ. á m. um almannaöryggi, landvarnir, þjóðaröryggi og refsirétt, varðandi aðgang að og vernd ópersónulegra upplýsinga, hvers konar aðgangi opinberra aðila í því þriðja landi að gögnunum sem miðlað er, því hvort fyrir hendi er sjálfstætt og skilvirkt eftirlitsyfirvald, eitt eða fleiri, í þriðja landinu sem ber ábyrgð á að tryggja og framfylgja því að farið sé að lagareglunum sem tryggja aðgang að slíkum gögnum, alþjóðlegum skuldbindingum þriðja landsins varðandi vernd gagna eða öðrum skyldum samkvæmt lagalega bindandi samningum eða </w:t>
      </w:r>
      <w:proofErr w:type="spellStart"/>
      <w:r>
        <w:t>gerningum</w:t>
      </w:r>
      <w:proofErr w:type="spellEnd"/>
      <w:r>
        <w:t>, sem og þátttöku í marghliða eða svæðisbundnum kerfum.</w:t>
      </w:r>
    </w:p>
    <w:p w14:paraId="4BEF5C86" w14:textId="77777777" w:rsidR="00900A3D" w:rsidRDefault="000E1836" w:rsidP="008237BD">
      <w:pPr>
        <w:pStyle w:val="ConsidWithoutNumber"/>
        <w:spacing w:after="560"/>
        <w:ind w:left="540"/>
      </w:pPr>
      <w:r>
        <w:t xml:space="preserve">Tilvist skilvirkra lagalegra úrræða fyrir handhafa gagna, opinbera aðila eða veitendur gagnamilligönguþjónustu í hlutaðeigandi þriðja landi er einkar mikilvæg í tengslum við miðlun ópersónulegra upplýsinga til þess þriðja lands. Því ættu slíkar verndarráðstafanir að fela í sér að fyrir hendi séu </w:t>
      </w:r>
      <w:proofErr w:type="spellStart"/>
      <w:r>
        <w:t>framfylgjanleg</w:t>
      </w:r>
      <w:proofErr w:type="spellEnd"/>
      <w:r>
        <w:t xml:space="preserve"> réttindi og skilvirk lagaleg úrræði. Slíkar framkvæmdargerðir ættu ekki að hafa áhrif á neina lagaskyldu eða samningsbundið fyrirkomulag sem endurnotandi hefur þegar gengist undir í þágu verndar ópersónulegra upplýsinga, einkum iðnaðargagna, né á rétt opinberra aðila til að skylda </w:t>
      </w:r>
      <w:proofErr w:type="spellStart"/>
      <w:r>
        <w:t>endurnotendur</w:t>
      </w:r>
      <w:proofErr w:type="spellEnd"/>
      <w:r>
        <w:t xml:space="preserve"> til að uppfylla skilyrði þessarar reglugerðar fyrir endurnotkun.</w:t>
      </w:r>
    </w:p>
    <w:p w14:paraId="4BEF5C87" w14:textId="77777777" w:rsidR="00900A3D" w:rsidRDefault="000E1836" w:rsidP="0075179B">
      <w:pPr>
        <w:pStyle w:val="Consid"/>
        <w:spacing w:after="740"/>
      </w:pPr>
      <w:r>
        <w:t>22)</w:t>
      </w:r>
      <w:r>
        <w:tab/>
        <w:t xml:space="preserve">Sum þriðju lönd samþykkja lög, reglur og aðrar réttargerðir sem miða að því að miðla beint eða veita stjórnvöldum aðgang að ópersónulegum upplýsingum í Sambandinu sem eru undir stjórn einstaklinga eða lögaðila undir lögsögu aðildarríkjanna. Ákvarðanir og dómar, sem dómstólar þriðju landa kveða upp, eða ákvarðanir stjórnvalda í þriðju löndum sem krefjast slíkrar miðlunar á eða aðgangs að ópersónulegum upplýsingum ættu að vera </w:t>
      </w:r>
      <w:proofErr w:type="spellStart"/>
      <w:r>
        <w:t>framfylgjanleg</w:t>
      </w:r>
      <w:proofErr w:type="spellEnd"/>
      <w:r>
        <w:t xml:space="preserve"> ef þau byggjast á alþjóðasamningi á borð við samning um gagnkvæma dómsmálaaðstoð, sem er í gildi milli þriðja landsins, sem leggur fram beiðni, og Sambandsins eða aðildarríkis. Í sumum tilvikum geta komið upp aðstæður þar sem skyldan til að miðla eða veita aðgang að ópersónulegum upplýsingum, sem leiðir af lögum þriðja lands, rekst á við skylduna til að vernda slík gögn samkvæmt lögum Sambandsins eða landslögum, einkum að því er varðar verndun grundvallarrétt</w:t>
      </w:r>
      <w:r>
        <w:lastRenderedPageBreak/>
        <w:t xml:space="preserve">inda einstaklingsins eða grundvallarhagsmuna aðildarríkis í tengslum við þjóðaröryggi eða landvarnir, sem og vernd viðkvæmra viðskiptaupplýsinga og vernd hugverkaréttinda, þ.m.t. samningsbundnar skyldur um trúnaðarkvöð í samræmi við slík lög. Ef engir alþjóðasamningar sem setja reglur um slík mál eru til staðar ætti eingöngu að heimila miðlun á eða aðgang að ópersónulegum upplýsingum ef sannreynt hefur verið að réttarkerfi þriðja landsins krefjist þess að sett séu fram rök og meðalhóf til grundvallar ákvörðuninni eða dómnum, að ákvörðunin eða dómurinn sé í eðli sínu nákvæmur og að rökstudd andmæli viðtakanda sæti endurskoðun þar til </w:t>
      </w:r>
      <w:proofErr w:type="spellStart"/>
      <w:r>
        <w:t>bærs</w:t>
      </w:r>
      <w:proofErr w:type="spellEnd"/>
      <w:r>
        <w:t xml:space="preserve"> dómstóls í þriðja landinu sem hefur valdheimild til þess að taka tilhlýðilegt tillit til viðeigandi lagalegra hagsmuna veitanda slíkra gagna.</w:t>
      </w:r>
    </w:p>
    <w:p w14:paraId="4BEF5C88" w14:textId="77777777" w:rsidR="00900A3D" w:rsidRDefault="000E1836" w:rsidP="0075179B">
      <w:pPr>
        <w:pStyle w:val="ConsidWithoutNumber"/>
        <w:spacing w:after="740"/>
        <w:ind w:left="540"/>
      </w:pPr>
      <w:r>
        <w:t>Enn fremur ættu opinberir aðilar, einstaklingar eða lögaðilar sem veittur hefur verið réttur til að endurnota gögn, veitendur gagnamilligönguþjónustu og viðurkenndar gagnavildarstofnanir að tryggja, við undirritun samninga við aðra einkaaðila, að ópersónulegar upplýsingar sem eru í vörslu í Sambandinu séu aðeins aðgengilegar í þriðju löndum eða miðlað til þeirra í samræmi við lög Sambandsins eða landslög viðkomandi aðildarríkis.</w:t>
      </w:r>
    </w:p>
    <w:p w14:paraId="4BEF5C89" w14:textId="77777777" w:rsidR="00900A3D" w:rsidRDefault="000E1836" w:rsidP="0075179B">
      <w:pPr>
        <w:pStyle w:val="Consid"/>
        <w:spacing w:after="740"/>
      </w:pPr>
      <w:r>
        <w:t>23)</w:t>
      </w:r>
      <w:r>
        <w:tab/>
        <w:t>Til að auka enn frekar traust á gagnahagkerfi Sambandsins er brýnt að innleiddar séu verndarráðstafanir í tengslum við borgara Sambandsins, opinbera geirann og fyrirtæki, sem tryggja stjórn á stefnumótandi og viðkvæmum gögnum þeirra, og að lög, gildi og staðlar Sambandsins séu virt með tilliti til, en takmarkist þó ekki við, öryggis, persónuverndar og neytendaverndar. Til að koma í veg fyrir ólöglegan aðgang að ópersónulegum upplýsingum ættu opinberir aðilar, einstaklingar eða lögaðilar sem veittur hefur verið réttur til að endurnota gögn, veitendur gagnamilligönguþjónustu og viðurkenndar gagnavildarstofnanir að grípa til allra réttmætra ráðstafana til að koma í veg fyrir aðgang að þeim kerfum sem geyma ópersónulegar upplýsingar, þ.m.t. með dulkóðun gagna eða fyrirtækjastefnum. Í því skyni ætti að tryggja að opinberir aðilar, einstaklingar eða lögaðilar sem veittur hefur verið réttur til að endurnota gögn, veitendur gagnamilligönguþjónustu og viðurkenndar gagnavildarstofnanir fylgi öllum viðeigandi tæknistöðlum, hátternisreglum og vottun á vettvangi Sambandsins.</w:t>
      </w:r>
    </w:p>
    <w:p w14:paraId="4BEF5C8A" w14:textId="77777777" w:rsidR="00900A3D" w:rsidRDefault="000E1836" w:rsidP="0075179B">
      <w:pPr>
        <w:pStyle w:val="Consid"/>
        <w:spacing w:after="740"/>
      </w:pPr>
      <w:r>
        <w:t>24)</w:t>
      </w:r>
      <w:r>
        <w:tab/>
        <w:t>Til að byggja upp traust á endurnotkunarfyrirkomulagi gæti verið nauðsynlegt að setja strangari skilyrði fyrir tilteknar tegundir ópersónulegra upplýsinga sem kunna að verða flokkaðar sem mjög viðkvæmar í síðari sértækum lagagerðum Sambandsins, að því er varðar miðlun til þriðju landa, ef slík miðlun gæti ógnað markmiðum opinberrar stefnu Sambandsins, í samræmi við alþjóðlegar skuldbindingar. Til dæmis gætu tiltekin gagnasett á heilbrigðissviði, sem eru í vörslu aðila í opinbera heilbrigðiskerfinu, s.s. opinberra sjúkrahúsa, talist mjög viðkvæm heilbrigðisgögn. Aðrir mikilvægir geirar eru t.d. flutningastarfsemi, orka, umhverfismál og fjármál. Til að tryggja samræmdar starfsvenjur í öllu Sambandinu ætti að skilgreina slíkar tegundir mjög viðkvæmra, ópersónulegra, opinberra upplýsinga í lögum Sambandsins, t.d. innan ramma laga um evrópska heilbrigðisgagnasvæðið eða annarra sérlaga. Mæla ætti fyrir um skilyrði fyrir miðlun slíkra gagna til þriðju landa í framseldum gerðum. Skilyrðin ættu að vera hófleg, án mismununar og nauðsynleg til að vernda skilgreind lögmæt markmið opinberrar stefnu Sambandsins, s.s. lýðheilsuvernd, öryggi, umhverfi, almennt siðgæði, neytendavernd, friðhelgi einkalífs og persónuvernd. Skilyrðin ættu að vera í samræmi við greinda áhættu í tengslum við það hversu viðkvæm slík gögn eru, þ.m.t. hættuna á að gögn um einstaklinga séu tengd aftur við nafn. Þessi skilyrði gætu falið í sér skilmála fyrir miðluninni eða tæknilegar ráðstafanir eins og kröfu um að nota skuli öruggt vinnsluumhverfi, takmarkanir að því er varðar endurnotkun gagna í þriðju löndum eða flokka einstaklinga sem hafa heimild til að miðla slíkum gögnum til þriðju landa eða hafa aðgang að gögnunum í þriðja landinu. Í undantekningartilvikum gætu slík skilyrði einnig falið í sér takmarkanir á miðlun gagnanna til þriðju landa til að vernda almannahagsmuni.</w:t>
      </w:r>
    </w:p>
    <w:p w14:paraId="4BEF5C8B" w14:textId="77777777" w:rsidR="00900A3D" w:rsidRDefault="000E1836" w:rsidP="0075179B">
      <w:pPr>
        <w:pStyle w:val="Consid"/>
        <w:spacing w:after="1000"/>
      </w:pPr>
      <w:r>
        <w:t>25)</w:t>
      </w:r>
      <w:r>
        <w:tab/>
        <w:t xml:space="preserve">Opinberir aðilar ættu að geta tekið gjald fyrir endurnotkun gagna en þeir ættu einnig að geta heimilað endurnotkun gegn lægra gjaldi eða án endurgjalds, í samræmi við reglur um ríkisaðstoð, t.d. fyrir tiltekna flokka endurnotkunar eins og endurnotkun í vísindarannsóknartilgangi sem er ekki viðskiptalegs eðlis eða endurnotkun af hálfu lítilla og meðalstórra fyrirtækja og sprotafyrirtækja, borgaralegs samfélags og menntastofnana til að hvetja til slíkrar endurnotkunar til að örva rannsóknir og nýsköpun og styðja við fyrirtæki sem eru mikilvæg uppspretta nýsköpunar og sem eiga erfiðara með að safna viðeigandi gögnum sjálf. Í því tiltekna samhengi ætti að líta svo á að vísindarannsóknartilgangur feli í sér hvers konar rannsóknartengdan tilgang án tillits til stjórnskipulags eða fjármagnsskipanar rannsóknarstofnunarinnar sem um er að ræða, að undanskilinni rannsókn sem framkvæmd er af fyrirtæki með það að markmiði að þróa, auka við eða besta vörur eða þjónustu. Slík gjöld ættu að vera gagnsæ, án mismununar, takmarkast við nauðsynlegan kostnað sem stofnað </w:t>
      </w:r>
      <w:r>
        <w:lastRenderedPageBreak/>
        <w:t xml:space="preserve">er til og ættu ekki að hamla samkeppni. Birta ætti skrá yfir flokka </w:t>
      </w:r>
      <w:proofErr w:type="spellStart"/>
      <w:r>
        <w:t>endurnotenda</w:t>
      </w:r>
      <w:proofErr w:type="spellEnd"/>
      <w:r>
        <w:t xml:space="preserve"> sem greiða lægra eða ekkert gjald, ásamt viðmiðununum sem notuð eru til að gera þá skrá.</w:t>
      </w:r>
    </w:p>
    <w:p w14:paraId="4BEF5C8C" w14:textId="77777777" w:rsidR="00900A3D" w:rsidRDefault="000E1836" w:rsidP="0075179B">
      <w:pPr>
        <w:pStyle w:val="Consid"/>
        <w:spacing w:after="1000"/>
      </w:pPr>
      <w:r>
        <w:t>26)</w:t>
      </w:r>
      <w:r>
        <w:tab/>
        <w:t xml:space="preserve">Til að skapa hvata til þess að tilteknir flokkar gagna í vörslu opinberra aðila séu endurnotaðir ættu aðildarríkin að koma á fót miðlægri upplýsingamiðstöð sem </w:t>
      </w:r>
      <w:proofErr w:type="spellStart"/>
      <w:r>
        <w:t>skilfleti</w:t>
      </w:r>
      <w:proofErr w:type="spellEnd"/>
      <w:r>
        <w:t xml:space="preserve"> fyrir </w:t>
      </w:r>
      <w:proofErr w:type="spellStart"/>
      <w:r>
        <w:t>endurnotendur</w:t>
      </w:r>
      <w:proofErr w:type="spellEnd"/>
      <w:r>
        <w:t xml:space="preserve"> sem óska eftir að endurnota slík gögn. Verksvið hennar ætti að vera þvert á geira og hún ætti, ef nauðsyn krefur, að koma til fyllingar geirabundnu fyrirkomulagi.  Miðlæga upplýsingamiðstöðin ætti að geta reitt sig á sjálfvirkar aðferðir við sendingu fyrirspurna eða beiðna um endurnotkun. Tryggja ætti fullnægjandi eftirlit manna í sendingarferlinu. Í þeim tilgangi væri hægt að nota fyrirliggjandi hagnýtt fyrirkomulag eins og opnar gagnagáttir. Miðlæga upplýsingamiðstöðin ætti að hafa skrá yfir tilföng með yfirliti yfir allar tiltækar gagnalindir, þ.m.t., ef við á, þær gagnalindir sem tiltækar eru í geirabundnum, svæðisbundnum eða staðbundnum upplýsingamiðstöðvum, ásamt viðeigandi upplýsingum sem lýsa tiltækum gögnum.  Að auki ættu aðildarríkin að tilnefna, koma á fót eða greiða fyrir því að komið sé á fót þar til bærum aðilum til að styðja við starfsemi opinberra aðila sem heimila endurnotkun á tilteknum flokkum verndaðra gagna. Á meðal verkefna þeirra getur verið að veita aðgang að gögnum ef sérlög Sambandsins eða landslög veita umboð til þess. Þessir þar til bæru aðilar ættu að veita opinberum aðilum aðstoð með nýjustu tækni, þ.m.t. varðandi það hvernig best er að haga </w:t>
      </w:r>
      <w:proofErr w:type="spellStart"/>
      <w:r>
        <w:t>gagnaskipan</w:t>
      </w:r>
      <w:proofErr w:type="spellEnd"/>
      <w:r>
        <w:t xml:space="preserve"> og gagnageymslu til að gera gögn auðveldlega aðgengileg, einkum í gegnum forritaskil, ásamt því hvernig gera á gögn samvirkandi, sendanleg og leitarbær, að teknu tilliti til bestu starfsvenja við gagnavinnslu, auk hvers konar gildandi reglusetningar- og tæknistaðla og öruggs gagnavinnsluumhverfis sem gerir kleift að framkvæma gagnagreiningu þannig að gagnaleynd sé virt.</w:t>
      </w:r>
    </w:p>
    <w:p w14:paraId="4BEF5C8D" w14:textId="77777777" w:rsidR="00900A3D" w:rsidRDefault="000E1836" w:rsidP="0075179B">
      <w:pPr>
        <w:pStyle w:val="ConsidWithoutNumber"/>
        <w:spacing w:after="1000"/>
        <w:ind w:left="540"/>
      </w:pPr>
      <w:r>
        <w:t xml:space="preserve">Þar til bæru aðilarnir ættu fara að fyrirmælum opinbera aðilans. Slíkt stuðningsfyrirkomulag gæti aðstoðað skráða aðila og handhafa gagna við stjórn samþykkis eða leyfis fyrir endurnotkun, þ.m.t. samþykkis og leyfis til tiltekinna sviða vísindarannsókna þegar þær samræmast viðurkenndum siðferðislegum viðmiðunum fyrir vísindarannsóknir. Þar til bæru aðilarnir ættu ekki að gegna eftirlitshlutverki sem er bundið við eftirlitsyfirvöld samkvæmt reglugerð (ESB) 2016/679. Með fyrirvara um eftirlitsheimildir persónuverndaryfirvalda ætti gagnavinnsla að fara fram á ábyrgð þess opinbera aðila sem ber ábyrgð á skránni sem inniheldur gögnin, sem verður áfram ábyrgðaraðili gagna eins og skilgreint er í reglugerð (ESB) 2016/679 að því marki sem um er að ræða persónuupplýsingar. Aðildarríki ættu að geta haft einn eða fleiri þar til bæra aðila sem gætu starfað í mismunandi geirum. Innri þjónusta opinberra aðila gæti einnig sinnt hlutverki þar til </w:t>
      </w:r>
      <w:proofErr w:type="spellStart"/>
      <w:r>
        <w:t>bærra</w:t>
      </w:r>
      <w:proofErr w:type="spellEnd"/>
      <w:r>
        <w:t xml:space="preserve"> aðila. Þar til bær aðili gæti verið opinber aðili sem aðstoðar aðra opinbera aðila við að heimila endurnotkun gagna, ef við á, eða opinber aðili sem sjálfur veitir heimild til endurnotkunar. Aðstoð við aðra opinbera aðila ætti að fela í sér að upplýsa þá, að fenginni beiðni, um bestu starfsvenjur við að uppfylla kröfur þessarar reglugerðar, s.s. um tæknileg úrræði til að sjá fyrir öruggu vinnsluumhverfi eða tæknileg úrræði til að tryggja friðhelgi einkalífsins og trúnað þegar veittur er aðgangur að endurnotkun gagna innan gildissviðs þessarar reglugerðar.</w:t>
      </w:r>
    </w:p>
    <w:p w14:paraId="4BEF5C8E" w14:textId="77777777" w:rsidR="00900A3D" w:rsidRDefault="000E1836" w:rsidP="0075179B">
      <w:pPr>
        <w:pStyle w:val="Consid"/>
        <w:spacing w:after="0"/>
      </w:pPr>
      <w:r>
        <w:t>27)</w:t>
      </w:r>
      <w:r>
        <w:tab/>
        <w:t xml:space="preserve">Gert er ráð fyrir að gagnamilligönguþjónusta muni gegna lykilhlutverki í gagnahagkerfinu, einkum í að styðja við og efla sjálfviljuga deilingu gagna milli fyrirtækja eða greiða fyrir gagnadeilingu innan ramma skyldna sem kveðið er á um í lögum Sambandsins eða landslögum. Hún gæti orðið tæki til að greiða fyrir skiptum á verulegu magni viðeigandi gagna. Veitendur gagnamilligönguþjónustu, sem geta verið opinberir aðilar sem bjóða þjónustu sem tengir saman mismunandi aðila, hafa möguleika á því að stuðla að skilvirku gagnasamlagi ásamt því að auðvelda tvíhliða gagnadeilingu. Sérhæfð gagnamilligönguþjónusta sem er óháð skráðum aðilum, handhöfum gagna og gagnanotendum gæti liðkað fyrir tilkomu nýrra gagnadrifinna vistkerfa óháð öllum aðilum með verulegan markaðsstyrk og á sama tíma veitt fyrirtækjum af öllum stærðum, einkum litlum og meðalstórum fyrirtækjum og sprotafyrirtækjum með takmörkuð fjárhagsleg, lagaleg eða stjórnsýsluleg úrræði, aðgang að gagnahagkerfinu án mismununar. Þetta verður einkum mikilvægt í tengslum við stofnun sameiginlegra evrópskra gagnasvæða, þ.e. samvirkandi ramma sameiginlegra staðla og starfsvenja sem þjóna ákveðnum tilgangi, eru bundnir við tiltekna geira eða eru þvert á geira, til að deila eða vinna í sameiningu gögn, m.a. vegna þróunar á nýjum vörum og þjónustu, vísindarannsókna eða framtaksverkefna borgaralegs samfélags. Gagnamilligönguþjónusta gæti falið í sér tvíhliða eða marghliða gagnadeilingu eða stofnun </w:t>
      </w:r>
      <w:proofErr w:type="spellStart"/>
      <w:r>
        <w:t>vettvanga</w:t>
      </w:r>
      <w:proofErr w:type="spellEnd"/>
      <w:r>
        <w:t xml:space="preserve"> eða gagnagrunna sem gera kleift að deila gögnum eða nota þau sameiginlega, auk stofnunar sérstaks grunnvirkis til að tengja skráða aðila og handhafa gagna við gagnanotendur.</w:t>
      </w:r>
      <w:r>
        <w:br w:type="page"/>
      </w:r>
    </w:p>
    <w:p w14:paraId="4BEF5C8F" w14:textId="77777777" w:rsidR="00900A3D" w:rsidRDefault="000E1836" w:rsidP="0075179B">
      <w:pPr>
        <w:pStyle w:val="Consid"/>
        <w:spacing w:after="360"/>
      </w:pPr>
      <w:r>
        <w:lastRenderedPageBreak/>
        <w:t>28)</w:t>
      </w:r>
      <w:r>
        <w:tab/>
        <w:t>Þessi reglugerð ætti að ná yfir þjónustu sem miðar að því að koma á viðskiptasamböndum í þeim tilgangi að ótilgreindur fjöldi skráðra aðila og handhafa gagna annars vegar og gagnanotendur hins vegar geti deilt gögnum sín á milli, með tæknilegum eða lagalegum aðferðum eða á annan hátt, þ.m.t. í þeim tilgangi að skráðir aðilar geti neytt réttar síns í tengslum við persónuupplýsingar.  Ef fyrirtæki eða aðrir aðilar bjóða margs konar gagnatengda þjónustu ætti einungis sú starfsemi sem varðar beint veitingu gagnamilligönguþjónustu að falla undir þessa reglugerð. Þjónusta sem snýr að því að láta í té gagnageymslu í skýi, greiningar, gagnadeilingarhugbúnað, vefvafra eða vafraviðbætur eða tölvupóstþjónusta ætti ekki að teljast gagnamilligönguþjónusta í skilningi þessarar reglugerðar, að því tilskildu að slík þjónusta láti aðeins skráðum aðilum eða handhöfum gagna í té tæknileg tól til að deila gögnum með öðrum en markmiðið með því að láta í té slík tól sé hvorki að koma á viðskiptasambandi milli handhafa gagna og gagnanotenda né geri veitendum gagnamilligönguþjónustu kleift að afla sér upplýsinga um myndun viðskiptasambanda í þeim tilgangi að deila gögnum. Dæmi um gagnamilligönguþjónustu eru gagnamarkaðir þar sem fyrirtæki gætu gert gögn aðgengileg öðrum, skipuleggjendur gagnadeilingarvistkerfa sem eru opin öllum áhugasömum aðilum, t.d. í tengslum við sameiginleg evrópsk gagnasvæði, sem og gagnasamlög sem nokkrir lögaðilar eða einstaklingar stofna sameiginlega í þeim tilgangi að gefa út leyfi fyrir notkun slíkra gagnasamlaga til allra áhugasamra aðila þannig að allir þátttakendur sem leggja til gagnasamlaganna fengju umbun fyrir framlag sitt.</w:t>
      </w:r>
    </w:p>
    <w:p w14:paraId="4BEF5C90" w14:textId="77777777" w:rsidR="00900A3D" w:rsidRDefault="000E1836" w:rsidP="0075179B">
      <w:pPr>
        <w:pStyle w:val="ConsidWithoutNumber"/>
        <w:spacing w:after="360"/>
        <w:ind w:left="540"/>
      </w:pPr>
      <w:r>
        <w:t>Þetta myndi útiloka þjónustu sem fær gögn frá handhöfum gagna og hópar þau, auðgar eða breytir þeim í þeim tilgangi að auka verðmæti þeirra verulega og gefur út leyfi til gagnanotenda til að nota gögnin sem verða til án þess að koma á viðskiptasambandi milli handhafa gagna og gagnanotenda. Þetta myndi einnig útiloka þjónustu sem eingöngu einn handhafi gagna notar til að hægt sé að nota gögn í vörslu hans eða sem margir lögaðilar nota innan lokaðs hóps, þ.m.t. sambönd við birgja eða viðskiptamenn eða samstarf sem komið er á með samningi, einkum það sem hefur það að meginmarkmiði að tryggja virkni hluta og búnaðar sem tengist neti hlutanna.</w:t>
      </w:r>
    </w:p>
    <w:p w14:paraId="4BEF5C91" w14:textId="77777777" w:rsidR="00900A3D" w:rsidRDefault="000E1836" w:rsidP="0075179B">
      <w:pPr>
        <w:pStyle w:val="Consid"/>
        <w:spacing w:after="360"/>
      </w:pPr>
      <w:r>
        <w:t>29)</w:t>
      </w:r>
      <w:r>
        <w:tab/>
        <w:t xml:space="preserve">Þjónusta sem leggur áherslu á miðlun höfundarréttarvarins efnis, s.s. veitendur </w:t>
      </w:r>
      <w:proofErr w:type="spellStart"/>
      <w:r>
        <w:t>efnisdeiliþjónustu</w:t>
      </w:r>
      <w:proofErr w:type="spellEnd"/>
      <w:r>
        <w:t xml:space="preserve"> á netinu eins og þeir eru skilgreindir í 6. lið 2. gr. tilskipunar (ESB) 2019/790, ætti ekki að falla undir þessa reglugerð. Veitendur þjónustu fyrir sameinaðar viðskiptaupplýsingar (CTP), eins og hún er skilgreind í 35. lið 1. mgr. 2. gr. reglugerðar Evrópuþingsins og ráðsins (ESB) 600/2014 (</w:t>
      </w:r>
      <w:bookmarkStart w:id="26" w:name="NOTE_27"/>
      <w:r w:rsidRPr="00DC0829">
        <w:rPr>
          <w:rStyle w:val="Tilvsunneanmlsgrein"/>
          <w:sz w:val="18"/>
          <w:szCs w:val="18"/>
        </w:rPr>
        <w:footnoteReference w:id="28"/>
      </w:r>
      <w:bookmarkEnd w:id="26"/>
      <w:r>
        <w:t>), ásamt reikningsupplýsingaþjónustuveitendum, eins og þeir eru skilgreindir í 19. lið 4. gr. tilskipunar Evrópuþingsins og ráðsins (ESB) 2015/2366 (</w:t>
      </w:r>
      <w:bookmarkStart w:id="27" w:name="NOTE_28"/>
      <w:r w:rsidRPr="00DC0829">
        <w:rPr>
          <w:rStyle w:val="Tilvsunneanmlsgrein"/>
          <w:sz w:val="18"/>
          <w:szCs w:val="18"/>
        </w:rPr>
        <w:footnoteReference w:id="29"/>
      </w:r>
      <w:bookmarkEnd w:id="27"/>
      <w:r>
        <w:t>), ættu ekki að teljast til veitenda gagnamilligönguþjónustu að því er varðar þessa reglugerð. Þessi reglugerð ætti ekki að gilda um þjónustu opinberra aðila í því skyni að auðvelda annað hvort endurnotkun verndaðra gagna sem eru í vörslu opinberra aðila í samræmi við þessa reglugerð eða notkun annarra gagna, að því marki sem slík þjónusta miðar ekki að því að koma á viðskiptasamböndum. Gagnavildarstofnanir sem heyra undir þessa reglugerð ættu ekki að teljast bjóða gagnamilligönguþjónustu ef sú þjónusta kemur ekki á viðskiptasambandi milli hugsanlegra gagnanotenda annars vegar og skráðra aðila og handhafa gagna sem gera gögn aðgengileg í þágu gagnavildar hins vegar. Önnur þjónusta sem miðar ekki að því að koma á viðskiptasamböndum, s.s. gagnasöfn sem miða að því að gera kleift að endurnota gögn úr vísindarannsóknum í samræmi við meginreglur um opinn aðgang, ætti ekki að teljast gagnamilligönguþjónusta í skilningi þessarar reglugerðar.</w:t>
      </w:r>
    </w:p>
    <w:p w14:paraId="4BEF5C92" w14:textId="77777777" w:rsidR="00900A3D" w:rsidRDefault="000E1836" w:rsidP="0075179B">
      <w:pPr>
        <w:pStyle w:val="Consid"/>
        <w:spacing w:after="460"/>
      </w:pPr>
      <w:r>
        <w:t>30)</w:t>
      </w:r>
      <w:r>
        <w:tab/>
        <w:t xml:space="preserve">Þjónustuveitendur sem bjóða skráðum aðilum þjónustu sína eru tiltekinn flokkur gagnamilligönguþjónustu. Slíkir veitendur gagnamilligönguþjónustu leitast við að styrkja getu skráðra aðila til athafna og einkum stjórn einstaklinga á gögnum sem þá varða. Slíkir þjónustuveitendur myndu aðstoða einstaklinga við að neyta réttar síns samkvæmt reglugerð (ESB) 2016/679, einkum að gefa og draga til baka samþykki sitt til gagnavinnslu, réttarins til að hafa aðgang að eigin gögnum, réttarins til að leiðrétta rangar persónuupplýsingar, réttarins til að eyða gögnum eða „til að gleymast“, réttarins til að takmarka vinnslu og réttarins til að flytja eigin gögn, sem gerir skráðum aðilum kleift að flytja persónuupplýsingar sínar frá einum ábyrgðaraðila gagna til annars. Í því samhengi er mikilvægt að viðskiptalíkan slíkra veitenda tryggi að ekki séu neinir misvísandi hvatar sem hvetja einstaklinga til að nota slíka þjónustu til að gera gögn, sem þá varða, aðgengileg til vinnslu í meira mæli en væri í þeirra þágu. Í þessu gæti falist að ráðleggja einstaklingum um mögulega notkun á gögnum þeirra og að gera áreiðanleikakannanir á gagnanotendum áður en þeim er heimilað að hafa samband við skráða aðila, í því skyni að forðast </w:t>
      </w:r>
      <w:proofErr w:type="spellStart"/>
      <w:r>
        <w:t>sviksamlegt</w:t>
      </w:r>
      <w:proofErr w:type="spellEnd"/>
      <w:r>
        <w:t xml:space="preserve"> athæfi. Við tilteknar aðstæður gæti verið æskilegt að raða raunverulegum gögnum saman innan persónulegs gagnasvæðis þannig að vinnsla geti farið fram innan þess svæðis án þess að persónuupplýsingar séu sendar til þriðju aðila, í því skyni að hámarka vernd persónuupplýsinga og friðhelgi einkalífs. Á slíkum persónulegum gagnasvæðum gætu verið fastar persónuupplýsingar, s.s. nafn, heimilisfang eða fæðingardagur og -ár auk lifandi gagna sem einstaklingur býr til, t.d. með því að nota nettengda þjónustu eða hlut sem </w:t>
      </w:r>
      <w:r>
        <w:lastRenderedPageBreak/>
        <w:t>tengdur er neti hlutanna. Þau mætti einnig nota til að geyma sannprófaðar auðkennisupplýsingar eins og vegabréfsnúmer eða almannatryggingaupplýsingar, sem og skilríki eins og ökuskírteini, prófskírteini eða upplýsingar um bankareikninga.</w:t>
      </w:r>
    </w:p>
    <w:p w14:paraId="4BEF5C93" w14:textId="77777777" w:rsidR="00900A3D" w:rsidRDefault="000E1836" w:rsidP="0075179B">
      <w:pPr>
        <w:pStyle w:val="Consid"/>
        <w:spacing w:after="460"/>
      </w:pPr>
      <w:r>
        <w:t>31)</w:t>
      </w:r>
      <w:r>
        <w:tab/>
        <w:t xml:space="preserve">Gagnasamvinnufélög vinna að ýmsum markmiðum, einkum að styrkja stöðu einstaklinga til að taka upplýstar ákvarðanir áður en þeir samþykkja </w:t>
      </w:r>
      <w:proofErr w:type="spellStart"/>
      <w:r>
        <w:t>gagnanotkun</w:t>
      </w:r>
      <w:proofErr w:type="spellEnd"/>
      <w:r>
        <w:t xml:space="preserve">, hafa áhrif á skilmála og skilyrði stofnana eða fyrirtækja gagnanotenda fyrir </w:t>
      </w:r>
      <w:proofErr w:type="spellStart"/>
      <w:r>
        <w:t>gagnanotkun</w:t>
      </w:r>
      <w:proofErr w:type="spellEnd"/>
      <w:r>
        <w:t xml:space="preserve"> á þann hátt að auki valkosti einstakra meðlima hópsins eða mögulega að finna lausn á andstæðum sjónarmiðum einstakra meðlima hóps um það hvernig nota megi gögn sem tengjast mörgum skráðum aðilum innan hópsins. Í því samhengi er mikilvægt að viðurkenna að réttindin samkvæmt reglugerð (ESB) 2016/679 eru persónubundin réttindi skráðs aðila og að skráðir aðilar geta ekki afsalað sér slíkum réttindum. Gagnasamvinnufélög gætu einnig verið gagnleg fyrir einyrkja og lítil og meðalstór fyrirtæki sem eru oft sambærileg við einstaklinga að því er varðar þekkingu á gagnadeilingu.</w:t>
      </w:r>
    </w:p>
    <w:p w14:paraId="4BEF5C94" w14:textId="77777777" w:rsidR="00900A3D" w:rsidRDefault="000E1836" w:rsidP="0075179B">
      <w:pPr>
        <w:pStyle w:val="Consid"/>
        <w:spacing w:after="460"/>
      </w:pPr>
      <w:r>
        <w:t>32)</w:t>
      </w:r>
      <w:r>
        <w:tab/>
        <w:t>Til að auka traust á slíkri gagnamilligönguþjónustu, einkum að því er varðar notkun gagna og að skilyrði, sem skráðir aðilar og handhafar gagna setja, séu virt, er nauðsynlegt að koma á regluramma á vettvangi Sambandsins þar sem settar eru afar samræmdar kröfur varðandi áreiðanlega veitingu slíkrar gagnamilligönguþjónustu og sem lögbær yfirvöld koma í framkvæmd. Sá rammi mun stuðla að því að tryggja að skráðir aðilar og handhafar gagna, sem og gagnanotendur, hafi betri stjórn á aðgangi að gögnum sínum og notkun þeirra í samræmi við lög Sambandsins. Framkvæmdastjórnin gæti einnig hvatt til og greitt fyrir þróun hátternisreglna á vettvangi Sambandsins með þátttöku viðkomandi hagsmunaaðila, einkum varðandi samvirkni. Bæði við aðstæður þar sem gagnadeiling á sér stað milli fyrirtækja og þar sem hún á sér stað milli fyrirtækja og neytenda ættu veitendur gagnamilligönguþjónustu að bjóða upp á nýja „evrópska“ leið við stjórnskipulag gagna með því að sjá til þess að aðgreining sé í gagnahagkerfinu á milli afhendingar, milligöngu um og notkunar gagna. Veitendur gagnamilligönguþjónustu gætu einnig séð fyrir sérstöku tæknilegu grunnvirki til að tengja skráða aðila og handhafa gagna við gagnanotendur. Í þessu samhengi er einkar mikilvægt að móta það grunnvirki með þeim hætti að lítil og meðalstór fyrirtæki og sprotafyrirtæki standi ekki frammi fyrir neinum tæknilegum hindrunum eða öðrum hindrunum hvað varðar þátttöku þeirra í gagnahagkerfinu.</w:t>
      </w:r>
    </w:p>
    <w:p w14:paraId="4BEF5C95" w14:textId="77777777" w:rsidR="00900A3D" w:rsidRDefault="000E1836" w:rsidP="0075179B">
      <w:pPr>
        <w:pStyle w:val="ConsidWithoutNumber"/>
        <w:spacing w:after="460"/>
        <w:ind w:left="540"/>
      </w:pPr>
      <w:r>
        <w:t>Veitendum gagnamilligönguþjónustu ætti að vera heimilt að bjóða handhöfum gagna eða skráðum aðilum aukalega upp á sértæk tól og þjónustu í þeim sérstaka tilgangi að auðvelda skipti á gögnum, s.s. tímabundna geymslu, lagfæringar, umskráningu, að gera gögn nafnlaus og að færa þau undir gerviauðkenni.  Þessi tól og þjónustu ætti aðeins að nota að fenginni skýrri beiðni eða samþykki frá handhafa gagnanna eða skráða aðilanum og tól þriðja aðila, sem boðin eru í því samhengi, ættu ekki að nota gögnin í öðrum tilgangi. Jafnframt ættu veitendur gagnamilligönguþjónustu að hafa heimild til að aðlaga gögnin sem skipst er á í þeim tilgangi að bæta nothæfi þeirra fyrir gagnanotandann, óski hann þess, eða til að bæta samvirkni, t.d. með því að umskrá þau yfir á tiltekin snið.</w:t>
      </w:r>
    </w:p>
    <w:p w14:paraId="4BEF5C96" w14:textId="77777777" w:rsidR="00900A3D" w:rsidRDefault="000E1836" w:rsidP="0075179B">
      <w:pPr>
        <w:pStyle w:val="Consid"/>
        <w:spacing w:after="460"/>
      </w:pPr>
      <w:r>
        <w:t>33)</w:t>
      </w:r>
      <w:r>
        <w:tab/>
        <w:t>Mikilvægt er að skapa samkeppnisumhverfi fyrir gagnadeilingu. Lykilatriði til að auka traust hjá handhöfum gagna, skráðum aðilum og gagnanotendum á gagnamilligönguþjónustu og veita þeim meiri stjórn er hlutleysi veitenda gagnamilligönguþjónustu að því er varðar gögnin sem skipst er á milli handhafa gagna eða skráðra aðila og gagnanotenda. Því er nauðsynlegt að veitendur gagnamilligönguþjónustu séu aðeins milliliðir í viðskiptunum og noti ekki gögnin, sem skipst er á, í neinum öðrum tilgangi. Viðskiptaskilmálar fyrir veitingu gagnamilligönguþjónustu, þ.m.t. verðlagning, ættu ekki að vera háðir því hvort hugsanlegur handhafi gagna eða gagnanotandi notar aðra þjónustu sama veitanda gagnamilligönguþjónustu eða tengds aðila, þ.m.t. geymslu, greiningar, gervigreind eða annan gagnamiðaðan hugbúnað og, ef svo er, í hvaða mæli handhafi gagnanna eða gagnanotandinn notar slíka aðra þjónustu. Þetta mun einnig krefjast þess að skipulagslega sé gagnamilligönguþjónustan aðskilin frá annarri þjónustu sem veitt er, til að forðast hagsmunaárekstra. Þetta þýðir að veita ætti gagnamilligönguþjónustuna í gegnum lögaðila sem er aðskilinn frá annarri starfsemi þess veitanda gagnamilligönguþjónustu. Þó ættu veitendur gagnamilligönguþjónustu að geta notað gögn sem handhafi gagna lætur í té til að bæta gagnamilligönguþjónustu sína.</w:t>
      </w:r>
    </w:p>
    <w:p w14:paraId="4BEF5C97" w14:textId="77777777" w:rsidR="00900A3D" w:rsidRDefault="000E1836" w:rsidP="0075179B">
      <w:pPr>
        <w:pStyle w:val="ConsidWithoutNumber"/>
        <w:spacing w:after="556"/>
        <w:ind w:left="540"/>
      </w:pPr>
      <w:r>
        <w:t xml:space="preserve">Veitendur gagnamilligönguþjónustu ættu einungis að geta séð handhöfum gagna, skráðum aðilum eða gagnanotendum fyrir eigin tólum eða tólum frá þriðja aðila til að auðvelda skipti á gögnum, t.d. tólum til að umskrá eða lagfæra gögn, að fenginni skýrri beiðni eða samþykki frá handhafa gagnanna eða skráða aðilanum. Tól þriðju aðila sem boðin eru í þessu samhengi ættu ekki að nota gögn í öðrum tilgangi en þeim sem tengist gagnamilligönguþjónustu. Veitendur gagnamilligönguþjónustu sem eru milliliðir við gagnaskipti milli einstaklinga sem skráðra aðila og lögaðila sem gagnanotenda ættu að auki að bera fjárvörsluskyldu gagnvart einstaklingunum til að tryggja að þeir starfi með hagsmuni skráðu aðilanna að leiðarljósi. Fjalla mætti um álitamál varðandi bótaábyrgð vegna alls efnislegs og óefnislegs tjóns og skaða </w:t>
      </w:r>
      <w:r>
        <w:lastRenderedPageBreak/>
        <w:t xml:space="preserve">sem leiðir af hvers konar framferði veitenda gagnamilligönguþjónustu í viðkomandi samningi, á grundvelli landsbundinna bótaábyrgðarkerfa. </w:t>
      </w:r>
    </w:p>
    <w:p w14:paraId="4BEF5C98" w14:textId="77777777" w:rsidR="00900A3D" w:rsidRDefault="000E1836" w:rsidP="0075179B">
      <w:pPr>
        <w:pStyle w:val="Consid"/>
        <w:spacing w:after="556"/>
      </w:pPr>
      <w:r>
        <w:t>34)</w:t>
      </w:r>
      <w:r>
        <w:tab/>
        <w:t xml:space="preserve">Veitendur gagnamilligönguþjónustu ættu að gera eðlilegar ráðstafanir til að tryggja samvirkni innan geira og milli mismunandi geira til að tryggja eðlilega starfsemi innri markaðarins. Eðlilegar ráðstafanir gætu falið í sér að fylgja fyrirliggjandi stöðlum sem almennt eru notaðir í geiranum þar sem veitendur gagnamilligönguþjónustu starfa. Ef nauðsyn krefur ætti Evrópska gagnanýsköpunarráðið að greiða fyrir tilkomu </w:t>
      </w:r>
      <w:proofErr w:type="spellStart"/>
      <w:r>
        <w:t>viðbótarstaðla</w:t>
      </w:r>
      <w:proofErr w:type="spellEnd"/>
      <w:r>
        <w:t xml:space="preserve"> innan atvinnugreinarinnar.  Veitendur gagnamilligönguþjónustu ættu að hrinda í framkvæmd ráðstöfunum um samvirkni í gagnamilligönguþjónustu, sem Evrópska gagnanýsköpunarráðið samþykkir, innan hæfilegs tíma.</w:t>
      </w:r>
    </w:p>
    <w:p w14:paraId="4BEF5C99" w14:textId="77777777" w:rsidR="00900A3D" w:rsidRDefault="000E1836" w:rsidP="0075179B">
      <w:pPr>
        <w:pStyle w:val="Consid"/>
        <w:spacing w:after="556"/>
      </w:pPr>
      <w:r>
        <w:t>35)</w:t>
      </w:r>
      <w:r>
        <w:tab/>
        <w:t>Þessi reglugerð ætti ekki að hafa áhrif á skyldur veitenda gagnamilligönguþjónustu til að fara að reglugerð (ESB) 2016/679 og ábyrgð eftirlitsyfirvalda á því að tryggja að farið sé að þeirri reglugerð. Þessi reglugerð ætti ekki að hafa áhrif á vernd persónuupplýsinga þegar veitendur gagnamilligönguþjónustu vinna persónuupplýsingar. Ef veitendur gagnamilligönguþjónustu eru ábyrgðaraðilar gagna eða vinnsluaðilar eins og skilgreint er í reglugerð (ESB) 2016/679 eru þeir bundnir af reglum þeirrar reglugerðar.</w:t>
      </w:r>
    </w:p>
    <w:p w14:paraId="4BEF5C9A" w14:textId="77777777" w:rsidR="00900A3D" w:rsidRDefault="000E1836" w:rsidP="0075179B">
      <w:pPr>
        <w:pStyle w:val="Consid"/>
        <w:spacing w:after="556"/>
      </w:pPr>
      <w:r>
        <w:t>36)</w:t>
      </w:r>
      <w:r>
        <w:tab/>
        <w:t xml:space="preserve">Gert er ráð fyrir að veitendur gagnamilligönguþjónustu hafi verklagsreglur og ráðstafanir til að leggja á viðurlög við </w:t>
      </w:r>
      <w:proofErr w:type="spellStart"/>
      <w:r>
        <w:t>sviksamlegu</w:t>
      </w:r>
      <w:proofErr w:type="spellEnd"/>
      <w:r>
        <w:t xml:space="preserve"> athæfi eða misnotkun í tengslum við aðila sem leita eftir aðgangi í gegnum gagnamilligönguþjónustu þeirra, þ.m.t. ráðstafanir á borð við útilokun gagnanotenda sem brjóta gegn skilmálum þjónustunnar eða gildandi lögum.</w:t>
      </w:r>
    </w:p>
    <w:p w14:paraId="4BEF5C9B" w14:textId="77777777" w:rsidR="00900A3D" w:rsidRDefault="000E1836" w:rsidP="0075179B">
      <w:pPr>
        <w:pStyle w:val="Consid"/>
        <w:spacing w:after="556"/>
      </w:pPr>
      <w:r>
        <w:t>37)</w:t>
      </w:r>
      <w:r>
        <w:tab/>
        <w:t>Veitendur gagnamilligönguþjónustu ættu einnig að gera ráðstafanir til að tryggja að farið sé að samkeppnislögum og hafa verklagsreglur þar um. Þetta á einkum við þegar deiling gagna gerir fyrirtækjum kleift að fá vitneskju um markaðsáætlanir raunverulegra eða hugsanlegra samkeppnisaðila sinna. Dæmigerðar viðkvæmar samkeppnisupplýsingar eru upplýsingar um gögn um viðskiptavini, framtíðarverð, framleiðslukostnað, magn, veltu, sölu eða framleiðslugetu.</w:t>
      </w:r>
    </w:p>
    <w:p w14:paraId="4BEF5C9C" w14:textId="77777777" w:rsidR="00900A3D" w:rsidRDefault="000E1836" w:rsidP="0075179B">
      <w:pPr>
        <w:pStyle w:val="Consid"/>
        <w:spacing w:after="556"/>
      </w:pPr>
      <w:r>
        <w:t>38)</w:t>
      </w:r>
      <w:r>
        <w:tab/>
        <w:t xml:space="preserve">Koma ætti á tilkynningarmálsmeðferð fyrir gagnamilligönguþjónustu til að tryggja að stjórnskipulag gagna innan Sambandsins byggist á áreiðanlegum gagnaskiptum.  Ávinningnum af áreiðanlegu umhverfi yrði best náð með því að setja ýmsar kröfur um veitingu gagnamilligönguþjónustu, án þess þó að krefjast sérstakrar ákvörðunar eða stjórnvaldsaðgerðar </w:t>
      </w:r>
      <w:proofErr w:type="spellStart"/>
      <w:r>
        <w:t>lögbærs</w:t>
      </w:r>
      <w:proofErr w:type="spellEnd"/>
      <w:r>
        <w:t xml:space="preserve"> yfirvalds á sviði gagnamilligönguþjónustu til þess að veita megi slíka þjónustu. Tilkynningarmálsmeðferðin ætti ekki að leggja ótilhlýðilegar hindranir í veg lítilla og meðalstórra fyrirtækja, sprotafyrirtækja og borgaralegra samtaka og ætti að vera í samræmi við meginregluna um bann við mismunun.</w:t>
      </w:r>
    </w:p>
    <w:p w14:paraId="4BEF5C9D" w14:textId="77777777" w:rsidR="00900A3D" w:rsidRDefault="000E1836" w:rsidP="0075179B">
      <w:pPr>
        <w:pStyle w:val="Consid"/>
        <w:spacing w:after="556"/>
      </w:pPr>
      <w:r>
        <w:t>39)</w:t>
      </w:r>
      <w:r>
        <w:tab/>
        <w:t xml:space="preserve">Til að styðja við skilvirka þjónustustarfsemi yfir landamæri ætti aðeins að fara fram á að veitandi gagnamilligönguþjónustu sendi tilkynningu til tilnefnds </w:t>
      </w:r>
      <w:proofErr w:type="spellStart"/>
      <w:r>
        <w:t>lögbærs</w:t>
      </w:r>
      <w:proofErr w:type="spellEnd"/>
      <w:r>
        <w:t xml:space="preserve"> yfirvalds á sviði gagnamilligönguþjónustu í því aðildarríki þar sem höfuðstöðvar hans eru eða þar sem lagalegur fyrirsvarsmaður hans er staðsettur. Slík tilkynning ætti ekki að fela í sér annað en yfirlýsingu um þá fyrirætlun að veita slíka þjónustu og ætti að aðeins að fylla út með þeim upplýsingum sem settar eru fram í þessari reglugerð. Eftir viðkomandi tilkynningu ætti veitandi gagnamilligönguþjónustunnar að geta hafið starfsemi í hvaða aðildarríki sem er án frekari tilkynningarskyldu.</w:t>
      </w:r>
    </w:p>
    <w:p w14:paraId="4BEF5C9E" w14:textId="77777777" w:rsidR="00900A3D" w:rsidRDefault="000E1836" w:rsidP="0075179B">
      <w:pPr>
        <w:pStyle w:val="Consid"/>
        <w:spacing w:after="556"/>
      </w:pPr>
      <w:r>
        <w:t>40)</w:t>
      </w:r>
      <w:r>
        <w:tab/>
        <w:t>Tilkynningarmálsmeðferðin sem mælt er fyrir um í þessari reglugerð ætti að vera með fyrirvara um sértækar viðbótarreglur um veitingu gagnamilligönguþjónustu sem gilda samkvæmt geirabundinni löggjöf.</w:t>
      </w:r>
    </w:p>
    <w:p w14:paraId="4BEF5C9F" w14:textId="77777777" w:rsidR="00900A3D" w:rsidRDefault="000E1836" w:rsidP="0075179B">
      <w:pPr>
        <w:pStyle w:val="Consid"/>
        <w:spacing w:after="0"/>
      </w:pPr>
      <w:r>
        <w:t>41)</w:t>
      </w:r>
      <w:r>
        <w:tab/>
        <w:t>Höfuðstöðvar veitanda gagnamilligönguþjónustu í Sambandinu ættu að vera sá staður þar sem hann hefur yfirstjórn sína í Sambandinu. Ákvarða ætti höfuðstöðvar veitanda gagnamilligönguþjónustu í Sambandinu í samræmi við hlutlægar viðmiðanir og ætti þar að fara fram virk og raunveruleg stjórnun. Starfsemi veitanda gagnamilligönguþjónustu ætti að samræmast landslögum þess aðildarríkis þar sem hann hefur höfuðstöðvar sínar.</w:t>
      </w:r>
      <w:r>
        <w:br w:type="page"/>
      </w:r>
    </w:p>
    <w:p w14:paraId="4BEF5CA0" w14:textId="77777777" w:rsidR="00900A3D" w:rsidRDefault="000E1836" w:rsidP="00281AF7">
      <w:pPr>
        <w:pStyle w:val="Consid"/>
        <w:spacing w:after="400"/>
      </w:pPr>
      <w:r>
        <w:lastRenderedPageBreak/>
        <w:t>42)</w:t>
      </w:r>
      <w:r>
        <w:tab/>
        <w:t>Til að tryggja að veitendur gagnamilligönguþjónustu fari að ákvæðum þessarar reglugerðar ættu þeir að hafa höfuðstöðvar sínar í Sambandinu. Þegar veitandi gagnamilligönguþjónustu sem er ekki með staðfestu í Sambandinu býður þjónustu innan Sambandsins ætti hann að tilnefna lagalegan fyrirsvarsmann.  Nauðsynlegt er að tilnefna lagalegan fyrirsvarsmann í slíkum tilvikum þar eð slíkir veitendur gagnamilligönguþjónustu meðhöndla bæði persónuupplýsingar og gögn sem viðskiptaleynd hvílir á, sem útheimtir að grannt sé fylgst með því hvort veitendur gagnamilligönguþjónustu fari að þessari reglugerð. Til þess að ákvarða hvort slíkur veitandi gagnamilligönguþjónustu bjóði þjónustu innan Sambandsins ætti að ganga úr skugga um hvort ljóst sé að hann hafi í hyggju að bjóða einstaklingum þjónustu í einu eða fleiri aðildarríkjum. Líta ætti svo á að aðgangur í Sambandinu að vefsetri eða tölvupóstfangi og öðrum samskiptaupplýsingum veitanda gagnamilligönguþjónustu eða notkun tungumáls, sem almennt er notað í þriðja landinu þar sem veitandi gagnamilligönguþjónustunnar er með staðfestu, nægi ekki til að staðfesta að um slíka fyrirætlan sé að ræða. Þó geta þættir eins og að nota tungumál eða gjaldmiðil, sem er almennt notaður í einu eða fleiri aðildarríkjum, og möguleikinn að panta þjónustu á því tungumáli eða að nefna notendur í Sambandinu, gert það ljóst að veitandi gagnamilligönguþjónustu hefur í hyggju að bjóða þjónustu í Sambandinu.</w:t>
      </w:r>
    </w:p>
    <w:p w14:paraId="4BEF5CA1" w14:textId="77777777" w:rsidR="00900A3D" w:rsidRDefault="000E1836" w:rsidP="00281AF7">
      <w:pPr>
        <w:pStyle w:val="ConsidWithoutNumber"/>
        <w:spacing w:after="400"/>
        <w:ind w:left="540"/>
      </w:pPr>
      <w:r>
        <w:t>Tilnefndur lagalegur fyrirsvarsmaður ætti að koma fram fyrir hönd veitanda gagnamilligönguþjónustu og lögbær yfirvöld á sviði gagnamilligönguþjónustu ættu að geta haft samband við lagalegan fyrirsvarsmann til viðbótar við eða í staðinn fyrir veitanda gagnamilligönguþjónustu, þ.m.t. ef um er að ræða brot, í þeim tilgangi að hefja mál er varðar framfylgd laga gegn veitanda gagnamilligönguþjónustu sem ekki hefur farið að kröfum og sem hefur ekki staðfestu í Sambandinu. Veitandi gagnamilligönguþjónustu ætti að tilnefna lagalega fyrirsvarsmanninn með skriflegu umboði til að koma fram fyrir sína hönd með tilliti til skuldbindinga hans samkvæmt þessari reglugerð.</w:t>
      </w:r>
    </w:p>
    <w:p w14:paraId="4BEF5CA2" w14:textId="77777777" w:rsidR="00900A3D" w:rsidRDefault="000E1836" w:rsidP="00281AF7">
      <w:pPr>
        <w:pStyle w:val="Consid"/>
        <w:spacing w:after="400"/>
      </w:pPr>
      <w:r>
        <w:t>43)</w:t>
      </w:r>
      <w:r>
        <w:tab/>
        <w:t xml:space="preserve">Til að hjálpa skráðum aðilum og handhöfum gagna að bera auðveldlega kennsl á veitendur gagnamilligönguþjónustu sem viðurkenndir eru í Sambandinu og auka þar með traust þeirra á þeim ætti, til viðbótar við heitið „viðurkenndur veitandi gagnamilligönguþjónustu í Sambandinu“, að koma á fót sameiginlegu kennimerki sem er </w:t>
      </w:r>
      <w:proofErr w:type="spellStart"/>
      <w:r>
        <w:t>auðþekkjanlegt</w:t>
      </w:r>
      <w:proofErr w:type="spellEnd"/>
      <w:r>
        <w:t xml:space="preserve"> í öllu Sambandinu.</w:t>
      </w:r>
    </w:p>
    <w:p w14:paraId="4BEF5CA3" w14:textId="77777777" w:rsidR="00900A3D" w:rsidRDefault="000E1836" w:rsidP="00281AF7">
      <w:pPr>
        <w:pStyle w:val="Consid"/>
        <w:spacing w:after="400"/>
      </w:pPr>
      <w:r>
        <w:t>44)</w:t>
      </w:r>
      <w:r>
        <w:tab/>
        <w:t xml:space="preserve">Lögbær yfirvöld á sviði gagnamilligönguþjónustu, sem tilnefnd eru til að fylgjast með því að veitendur gagnamilligönguþjónustu uppfylli kröfur þessarar reglugerðar, ætti að velja á grundvelli getu þeirra og sérþekkingar á sviði þverlægrar eða geirabundinnar gagnadeilingar. Þau ættu að vera óháð öllum veitendum gagnamilligönguþjónustu og framkvæma verkefni sín á gagnsæjan og óhlutdrægan hátt. Aðildarríki ættu að tilkynna framkvæmdastjórninni hver þessi </w:t>
      </w:r>
      <w:proofErr w:type="spellStart"/>
      <w:r>
        <w:t>lögbæru</w:t>
      </w:r>
      <w:proofErr w:type="spellEnd"/>
      <w:r>
        <w:t xml:space="preserve"> yfirvöld á sviði gagnamilligönguþjónustu eru. Valdheimildir og valdsvið lögbærra yfirvalda á sviði gagnamilligönguþjónustu ættu að vera með fyrirvara um valdheimildir persónuverndaryfirvalda.  Einkum ætti lögbært yfirvald á sviði gagnamilligönguþjónustu að leita eftir, ef við á, áliti eða ákvörðun lögbæra eftirlitsyfirvaldsins sem komið var á fót samkvæmt reglugerð (ESB) 2016/679 að því er varðar sérhvert álitaefni sem krefst mats á því hvort farið sé að þeirri reglugerð.</w:t>
      </w:r>
    </w:p>
    <w:p w14:paraId="4BEF5CA4" w14:textId="77777777" w:rsidR="00900A3D" w:rsidRDefault="000E1836" w:rsidP="00281AF7">
      <w:pPr>
        <w:pStyle w:val="Consid"/>
        <w:spacing w:after="400"/>
      </w:pPr>
      <w:r>
        <w:t>45)</w:t>
      </w:r>
      <w:r>
        <w:tab/>
        <w:t xml:space="preserve">Miklir möguleikar liggja í notkun gagna, sem skráðir aðilar gera aðgengileg af fúsum og frjálsum vilja með upplýstu samþykki sínu eða, þegar um er að ræða ópersónulegar upplýsingar, sem handhafar gagna gera aðgengileg, fyrir markmið er varða almannahagsmuni. Á meðal slíkra markmiða eru m.a. heilbrigðisþjónusta, baráttan gegn loftslagsbreytingum, að bæta hreyfanleika, að auðvelda þróun, gerð og dreifingu opinberra hagskýrslna, að bæta veitingu opinberrar þjónustu eða mótun opinberrar stefnu. Einnig ætti að líta á stuðning við vísindarannsóknir sem markmið er varðar almannahagsmuni. Markmiðið með þessari reglugerð ætti að vera að stuðla að tilkomu nægilega stórra gagnasamlaga (e. </w:t>
      </w:r>
      <w:proofErr w:type="spellStart"/>
      <w:r>
        <w:t>data</w:t>
      </w:r>
      <w:proofErr w:type="spellEnd"/>
      <w:r>
        <w:t xml:space="preserve"> </w:t>
      </w:r>
      <w:proofErr w:type="spellStart"/>
      <w:r>
        <w:t>pools</w:t>
      </w:r>
      <w:proofErr w:type="spellEnd"/>
      <w:r>
        <w:t xml:space="preserve">) sem gerð eru aðgengileg á grundvelli gagnavildar til að greining á gögnum og vélrænt nám verði mögulegt, einnig í öllu Sambandinu. Til að ná því markmiði ættu aðildarríkin að geta haft til staðar skipulags- eða tækniráðstafanir, eða hvort tveggja, til að greiða fyrir gagnavild. Á meðal slíkra ráðstafana gæti verið aðgengi skráðra aðila eða handhafa gagna að </w:t>
      </w:r>
      <w:proofErr w:type="spellStart"/>
      <w:r>
        <w:t>auðnotanlegum</w:t>
      </w:r>
      <w:proofErr w:type="spellEnd"/>
      <w:r>
        <w:t xml:space="preserve"> tólum til að veita samþykki eða leyfi fyrir notkun gagna sinna í þágu gagnavildar, skipulagning herferða til vitundarvakningar eða skipuleg samskipti milli lögbærra yfirvalda um það hvernig gagnavild kemur opinberum stefnum eins og bættri umferð, lýðheilsu og baráttunni gegn loftslagsbreytingum til góða. Í því skyni ættu aðildarríkin að geta sett sér innlendar gagnavildarstefnur. Skráðir aðilar ættu að geta fengið bætur sem tengjast einungis þeim kostnaði sem þeir stofna til við að gera gögn sín aðgengileg í þágu markmiða er varða almannahagsmuni.</w:t>
      </w:r>
    </w:p>
    <w:p w14:paraId="4BEF5CA5" w14:textId="77777777" w:rsidR="00900A3D" w:rsidRDefault="000E1836" w:rsidP="00281AF7">
      <w:pPr>
        <w:pStyle w:val="Consid"/>
        <w:spacing w:after="420"/>
      </w:pPr>
      <w:r>
        <w:t>46)</w:t>
      </w:r>
      <w:r>
        <w:tab/>
        <w:t xml:space="preserve">Búist er við að skráning viðurkenndra gagnavildarstofnana og notkun heitisins „viðurkennd gagnavildarstofnun í Sambandinu“ muni leiða til stofnunar gagnasafna (e. </w:t>
      </w:r>
      <w:proofErr w:type="spellStart"/>
      <w:r>
        <w:t>data</w:t>
      </w:r>
      <w:proofErr w:type="spellEnd"/>
      <w:r>
        <w:t xml:space="preserve"> </w:t>
      </w:r>
      <w:proofErr w:type="spellStart"/>
      <w:r>
        <w:t>repositories</w:t>
      </w:r>
      <w:proofErr w:type="spellEnd"/>
      <w:r>
        <w:t xml:space="preserve">). Skráning í einu aðildarríki myndi gilda í öllu Sambandinu og þess er vænst að hún muni greiða fyrir </w:t>
      </w:r>
      <w:proofErr w:type="spellStart"/>
      <w:r>
        <w:t>gagnanotkun</w:t>
      </w:r>
      <w:proofErr w:type="spellEnd"/>
      <w:r>
        <w:t xml:space="preserve"> yfir landamæri innan Sambandsins og tilkomu gagnasamlaga sem ná til margra aðildarríkja. Handhafar gagna gætu veitt leyfi til vinnslu á ópersónulegum upplýsingum sínum í margvíslegum tilgangi sem ekki er skilgreindur þegar leyfið er veitt. Það að slíkar viðurkenndar gagnavildar</w:t>
      </w:r>
      <w:r>
        <w:lastRenderedPageBreak/>
        <w:t xml:space="preserve">stofnanir uppfylli ákveðnar kröfur sem mælt er fyrir um í þessari reglugerð ætti að skapa traust á því að gögn sem gerð eru aðgengileg í þágu gagnavildar þjóni markmiði er varðar almannahagsmuni.  Það ætti einkum að skapa slíkt traust að hafa staðfestustað eða lagalegan fyrirsvarsmann innan Sambandsins, auk þeirrar kröfu að viðurkenndar gagnavildarstofnanir séu ekki reknar í hagnaðarskyni, að gerðar eru kröfur um gagnsæi og sértækar verndarráðstafanir eru til staðar til að vernda réttindi og hagsmuni skráðra aðila og fyrirtækja. </w:t>
      </w:r>
    </w:p>
    <w:p w14:paraId="4BEF5CA6" w14:textId="77777777" w:rsidR="00900A3D" w:rsidRDefault="000E1836" w:rsidP="00281AF7">
      <w:pPr>
        <w:pStyle w:val="ConsidWithoutNumber"/>
        <w:spacing w:after="420"/>
        <w:ind w:left="540"/>
      </w:pPr>
      <w:r>
        <w:t>Frekari verndarráðstafanir ættu að fela í sér að gera kleift að vinna viðeigandi gögn innan öruggs vinnsluumhverfis sem viðurkenndar gagnavildarstofnanir starfrækja, eftirlitsfyrirkomulag á borð við siðaráð, þ.m.t. fulltrúar borgaralegs samfélags til að tryggja að ábyrgðaraðili gagnanna viðhafi strangar kröfur um siðareglur vísinda og vernd grundvallarréttinda, skilvirkar og skýrt framsettar tækniaðferðir til að draga til baka eða breyta samþykki hvenær sem er á grundvelli upplýsingaskyldu gagnavinnsluaðila samkvæmt reglugerð (ESB) 2016/679 og aðferðir fyrir skráða aðila til að halda sér upplýstum um notkun þeirra gagna sem þeir hafa gert aðgengileg. Það ætti ekki að vera forsenda fyrir því að ástunda gagnavild að vera skráð sem viðurkennd gagnavildarstofnun. Framkvæmdastjórnin ætti að nota framseldar gerðir til að útbúa reglubók í nánu samstarfi við gagnavildarstofnanir og viðkomandi hagsmunaaðila. Gera ætti kröfu um að farið sé að þeirri reglubók til að fá skráningu sem viðurkennd gagnavildarstofnun.</w:t>
      </w:r>
    </w:p>
    <w:p w14:paraId="4BEF5CA7" w14:textId="77777777" w:rsidR="00900A3D" w:rsidRDefault="000E1836" w:rsidP="00281AF7">
      <w:pPr>
        <w:pStyle w:val="Consid"/>
        <w:spacing w:after="420"/>
      </w:pPr>
      <w:r>
        <w:t>47)</w:t>
      </w:r>
      <w:r>
        <w:tab/>
        <w:t xml:space="preserve">Til að auðvelda skráðum aðilum og handhöfum gagna að bera kennsl á viðurkenndar gagnavildarstofnanir og þar með að auka traust þeirra á þeim ætti að koma á sameiginlegu kennimerki sem er </w:t>
      </w:r>
      <w:proofErr w:type="spellStart"/>
      <w:r>
        <w:t>auðþekkjanlegt</w:t>
      </w:r>
      <w:proofErr w:type="spellEnd"/>
      <w:r>
        <w:t xml:space="preserve"> í öllu Sambandinu. Sameiginlega kennimerkinu ætti að fylgja QR-kóði með tengli á opinbera skrá Sambandsins yfir viðurkenndar gagnavildarstofnanir.</w:t>
      </w:r>
    </w:p>
    <w:p w14:paraId="4BEF5CA8" w14:textId="77777777" w:rsidR="00900A3D" w:rsidRDefault="000E1836" w:rsidP="00281AF7">
      <w:pPr>
        <w:pStyle w:val="Consid"/>
        <w:spacing w:after="420"/>
      </w:pPr>
      <w:r>
        <w:t>48)</w:t>
      </w:r>
      <w:r>
        <w:tab/>
        <w:t xml:space="preserve">Þessi reglugerð ætti ekki að hafa áhrif á stofnun, skipulag og starfsemi aðila sem óska þess að ástunda gagnavild í samræmi við landslög og byggja á kröfum landslaga um að starfa með lögmætum hætti í aðildarríki sem stofnun sem ekki er rekin í hagnaðarskyni. </w:t>
      </w:r>
    </w:p>
    <w:p w14:paraId="4BEF5CA9" w14:textId="77777777" w:rsidR="00900A3D" w:rsidRDefault="000E1836" w:rsidP="00281AF7">
      <w:pPr>
        <w:pStyle w:val="Consid"/>
        <w:spacing w:after="420"/>
      </w:pPr>
      <w:r>
        <w:t>49)</w:t>
      </w:r>
      <w:r>
        <w:tab/>
        <w:t xml:space="preserve">Þessi reglugerð ætti ekki að hafa áhrif á stofnun, skipulag og starfsemi aðila annarra en opinberra aðila sem taka þátt í að deila gögnum og efni á grundvelli opinna leyfa og stuðla þar með að sköpun sameiginlegra tilfanga sem eru öllum aðgengileg. Þetta ætti að taka til opinna </w:t>
      </w:r>
      <w:proofErr w:type="spellStart"/>
      <w:r>
        <w:t>samstarfsvettvanga</w:t>
      </w:r>
      <w:proofErr w:type="spellEnd"/>
      <w:r>
        <w:t xml:space="preserve"> til að deila þekkingu, vísindalegra og akademískra gagnasafna með opnum aðgangi, </w:t>
      </w:r>
      <w:proofErr w:type="spellStart"/>
      <w:r>
        <w:t>þróunarvettvanga</w:t>
      </w:r>
      <w:proofErr w:type="spellEnd"/>
      <w:r>
        <w:t xml:space="preserve"> fyrir opinn hugbúnað og </w:t>
      </w:r>
      <w:proofErr w:type="spellStart"/>
      <w:r>
        <w:t>vettvanga</w:t>
      </w:r>
      <w:proofErr w:type="spellEnd"/>
      <w:r>
        <w:t xml:space="preserve"> þar sem opnu efni er safnað saman.</w:t>
      </w:r>
    </w:p>
    <w:p w14:paraId="4BEF5CAA" w14:textId="77777777" w:rsidR="00900A3D" w:rsidRDefault="000E1836" w:rsidP="00281AF7">
      <w:pPr>
        <w:pStyle w:val="Consid"/>
        <w:spacing w:after="420"/>
      </w:pPr>
      <w:r>
        <w:t>50)</w:t>
      </w:r>
      <w:r>
        <w:tab/>
        <w:t xml:space="preserve">Viðurkenndar gagnavildarstofnanir ættu að geta safnað viðeigandi gögnum beint frá einstaklingum og lögaðilum eða unnið gögn sem aðrir hafa safnað. Gagnavildarstofnanirnar gætu unnið gögn, sem safnað er, í tilgangi sem þær sjálfar ákveða eða, ef við á, heimilað þriðju aðilum að vinna þau í þessum tilgangi.  Ef viðurkenndar gagnavildarstofnanir eru ábyrgðaraðilar gagna eða vinnsluaðilar eins og skilgreint er í reglugerð (ESB) 2016/679 ættu þær að fara að þeirri reglugerð. Að jafnaði myndi gagnavild vera háð samþykki skráðra aðila í skilningi a-liðar 1. mgr. 6. gr. og a-liðar 2. mgr. 9. gr. reglugerðar (ESB) 2016/679 sem ætti að samræmast kröfum um lögmætt samþykki í samræmi við 7. og 8. gr. þeirrar reglugerðar. Í samræmi við reglugerð (ESB) 2016/679 mætti styðja við vísindarannsóknir með því að gefa samþykki fyrir tilteknum sviðum þeirra, þegar þær samrýmast viðurkenndum, siðferðislegum viðmiðunum fyrir vísindarannsóknir, eða einungis á tilteknum sviðum rannsókna eða fyrir hlutum rannsóknarverkefna. Í </w:t>
      </w:r>
      <w:proofErr w:type="spellStart"/>
      <w:r>
        <w:t>b-lið</w:t>
      </w:r>
      <w:proofErr w:type="spellEnd"/>
      <w:r>
        <w:t xml:space="preserve"> 1. mgr. 5. gr. í reglugerð (ESB) 2016/679 er tilgreint að frekari vinnsla í þágu rannsókna á sviði vísinda eða sagnfræði eða í tölfræðilegum tilgangi ætti ekki að teljast ósamrýmanleg upphaflegum tilgangi, í samræmi við 1. mgr. 89. gr. reglugerðar (ESB) 2016/679. Notkunartakmarkanir ópersónulegra upplýsinga ættu að vera í leyfinu sem handhafi gagnanna gefur.</w:t>
      </w:r>
    </w:p>
    <w:p w14:paraId="4BEF5CAB" w14:textId="77777777" w:rsidR="00900A3D" w:rsidRDefault="000E1836" w:rsidP="00281AF7">
      <w:pPr>
        <w:pStyle w:val="Consid"/>
        <w:spacing w:after="0"/>
      </w:pPr>
      <w:r>
        <w:t>51)</w:t>
      </w:r>
      <w:r>
        <w:tab/>
        <w:t xml:space="preserve">Lögbær yfirvöld sem annast skráningu gagnavildarstofnana og sem tilnefnd eru til að hafa eftirlit með því að viðurkenndar gagnavildarstofnanir fari að kröfum þessarar reglugerðar, ætti að velja á grundvelli getu þeirra og sérþekkingar. Þau ættu að vera óháð öllum gagnavildarstofnunum og framkvæma verkefni sín á gagnsæjan og óhlutdrægan hátt. Aðildarríkin ættu að tilkynna framkvæmdastjórninni hvaða </w:t>
      </w:r>
      <w:proofErr w:type="spellStart"/>
      <w:r>
        <w:t>lögbæru</w:t>
      </w:r>
      <w:proofErr w:type="spellEnd"/>
      <w:r>
        <w:t xml:space="preserve"> yfirvöld annast skráningu gagnavildarstofnana. Valdheimildir og valdsvið lögbærra yfirvalda sem annast skráningu gagnavildarstofnana ættu að vera með fyrirvara um valdheimildir persónuverndaryfirvalda. Einkum ætti lögbæra yfirvaldið sem annast skráningu gagnavildarstofnana að leita eftir, ef við á, áliti eða ákvörðun lögbæra eftirlitsyfirvaldsins, sem komið var á fót samkvæmt reglugerð (ESB) 2016/679, að því er varðar sérhvert álitaefni sem krefst mats á því hvort farið sé að þeirri reglugerð.</w:t>
      </w:r>
      <w:r>
        <w:br w:type="page"/>
      </w:r>
    </w:p>
    <w:p w14:paraId="4BEF5CAC" w14:textId="77777777" w:rsidR="00900A3D" w:rsidRDefault="000E1836" w:rsidP="00281AF7">
      <w:pPr>
        <w:pStyle w:val="Consid"/>
        <w:spacing w:after="490"/>
      </w:pPr>
      <w:r>
        <w:lastRenderedPageBreak/>
        <w:t>52)</w:t>
      </w:r>
      <w:r>
        <w:tab/>
        <w:t>Til að stuðla að trausti og skapa aukna réttarvissu og notendavænleika varðandi ferlið við veitingu og afturköllun samþykkis, einkum í tengslum við vísindarannsóknir og tölfræðilega notkun gagna sem gerð eru aðgengileg í þágu gagnavildar, ætti að þróa evrópskt samþykkiseyðublað fyrir gagnavild og nota í tengslum við deilingu gagna í þágu gagnavildar. Slíkt eyðublað ætti að stuðla að auknu gagnsæi fyrir skráða aðila þannig að aðgengi að og notkun á gögnum þeirra verði í samræmi við samþykki þeirra og einnig í fullu samræmi við persónuverndarreglur. Það ætti einnig að auðvelda veitingu og afturköllun samþykkis og vera notað til að einfalda gagnavild af hálfu fyrirtækja og koma á fyrirkomulagi sem gerir slíkum fyrirtækjum kleift að draga til baka leyfi sitt fyrir notkun gagnanna. Til að taka tillit til sérstakra eiginleika einstakra geira, þ.m.t. frá persónuverndarsjónarmiði, ætti evrópska samþykkiseyðublaðið fyrir gagnavild að ver byggt upp í einingum sem gerir kleift að laga það að tilteknum geirum og mismunandi tilgangi.</w:t>
      </w:r>
    </w:p>
    <w:p w14:paraId="4BEF5CAD" w14:textId="77777777" w:rsidR="00900A3D" w:rsidRDefault="000E1836" w:rsidP="00281AF7">
      <w:pPr>
        <w:pStyle w:val="Consid"/>
        <w:spacing w:after="490"/>
      </w:pPr>
      <w:r>
        <w:t>53)</w:t>
      </w:r>
      <w:r>
        <w:tab/>
        <w:t xml:space="preserve">Til að koma rammanum um stjórnskipulag gagna í framkvæmd með árangursríkum hætti ætti að koma á fót Evrópsku gagnanýsköpunarráði (e. European Data </w:t>
      </w:r>
      <w:proofErr w:type="spellStart"/>
      <w:r>
        <w:t>Innovation</w:t>
      </w:r>
      <w:proofErr w:type="spellEnd"/>
      <w:r>
        <w:t xml:space="preserve"> </w:t>
      </w:r>
      <w:proofErr w:type="spellStart"/>
      <w:r>
        <w:t>Board</w:t>
      </w:r>
      <w:proofErr w:type="spellEnd"/>
      <w:r>
        <w:t>) í formi sérfræðingahóps. Í Evrópska gagnanýsköpunarráðinu ættu að sitja fulltrúar lögbærra yfirvalda á sviði gagnamilligönguþjónustu og lögbærra yfirvalda sem annast skráningu gagnavildarstofnana frá öllum aðildarríkjunum, Evrópska persónuverndarráðsins, Evrópsku persónuverndarstofnunarinnar, Netöryggisstofnunar Evrópusambandsins (ENISA), framkvæmdastjórnarinnar, sendifulltrúi lítilla og meðalstórra fyrirtækja í ESB eða fulltrúi sem tilnefndur er af neti sendifulltrúa lítilla og meðalstórra fyrirtækja og aðrir fulltrúar viðeigandi aðila í tilteknum geirum, auk aðila með sértæka sérþekkingu. Evrópska gagnanýsköpunarráðið ætti að samanstanda af nokkrum undirhópum, þ.m.t. undirhópi fyrir þátttöku hagsmunaaðila skipuðum viðkomandi fulltrúum atvinnulífsins, s.s. heilbrigðis-, umhverfis-, landbúnaðar-, samgöngu-, orku-, iðnframleiðslu- og fjölmiðlageirans og geira menningar og skapandi greina, ásamt fulltrúum hagskýrslna, rannsókna, háskólasamfélagsins, borgaralegs samfélags, staðlastofnana, viðeigandi sameiginlegra evrópskra gagnasvæða og annarra viðkomandi hagsmunaaðila og þriðju aðila, m.a. aðila með sértæka sérþekkingu eins og hagstofur ríkjanna.</w:t>
      </w:r>
    </w:p>
    <w:p w14:paraId="4BEF5CAE" w14:textId="77777777" w:rsidR="00900A3D" w:rsidRDefault="000E1836" w:rsidP="00281AF7">
      <w:pPr>
        <w:pStyle w:val="Consid"/>
        <w:spacing w:after="490"/>
      </w:pPr>
      <w:r>
        <w:t>54)</w:t>
      </w:r>
      <w:r>
        <w:tab/>
        <w:t xml:space="preserve">Evrópska gagnanýsköpunarráðið ætti að aðstoða framkvæmdastjórnina við að samræma landsbundnar starfsvenjur og stefnur um þau málefni sem falla undir þessa reglugerð og við að styðja við </w:t>
      </w:r>
      <w:proofErr w:type="spellStart"/>
      <w:r>
        <w:t>gagnanotkun</w:t>
      </w:r>
      <w:proofErr w:type="spellEnd"/>
      <w:r>
        <w:t xml:space="preserve"> þvert á geira með því að fylgja meginreglum evrópskrar </w:t>
      </w:r>
      <w:proofErr w:type="spellStart"/>
      <w:r>
        <w:t>umgjarðar</w:t>
      </w:r>
      <w:proofErr w:type="spellEnd"/>
      <w:r>
        <w:t xml:space="preserve"> samvirkni og með notkun evrópskra og alþjóðlegra staðla og forskrifta, þ.m.t. gegnum fjölhagsmunavettvang ESB um upplýsinga- og fjarskiptatæknistöðlun, grunnorðasöfnin og undirstöðueiningar Sjóðsins fyrir samtengda Evrópu, og ætti að taka tillit til </w:t>
      </w:r>
      <w:proofErr w:type="spellStart"/>
      <w:r>
        <w:t>staðlasetningar</w:t>
      </w:r>
      <w:proofErr w:type="spellEnd"/>
      <w:r>
        <w:t xml:space="preserve"> sem á sér stað í tilteknum geirum eða sviðum. Vinna við tæknilega stöðlun gæti falið í sér að greina forgangsatriði fyrir þróun staðla og að koma á og viðhalda tæknilegum og lagalegum stöðlum um sendingu á gögnum frá einu vinnsluumhverfi til annars sem gera kleift að skipuleggja gagnasvæði, einkum að skýra og greina á milli staðla og starfsvenja sem eru þvert á geira og þeirra sem eru geirabundin. Evrópska gagnanýsköpunarráðið ætti að eiga samstarf við aðila, net eða sérfræðingahópa í tilteknum geirum eða aðrar stofnanir sem starfa þvert á geira og fást við endurnotkun gagna. Að því er varðar gagnavild ætti Evrópska gagnanýsköpunarráðið að aðstoða framkvæmdastjórnina við að þróa samþykkiseyðublaðið fyrir gagnavild í samráði við Evrópska persónuverndarráðið. Með því að leggja til viðmiðunarreglur um sameiginleg evrópsk gagnasvæði ætti Evrópska gagnanýsköpunarráðið að styðja við þróun virks evrópsks gagnahagkerfis á grundvelli þessara gagnasvæða eins og sett er fram í Evrópsku gagnaáætluninni.</w:t>
      </w:r>
    </w:p>
    <w:p w14:paraId="4BEF5CAF" w14:textId="77777777" w:rsidR="00900A3D" w:rsidRDefault="000E1836" w:rsidP="00281AF7">
      <w:pPr>
        <w:pStyle w:val="Consid"/>
        <w:spacing w:after="490"/>
      </w:pPr>
      <w:r>
        <w:t>55)</w:t>
      </w:r>
      <w:r>
        <w:tab/>
        <w:t xml:space="preserve">Aðildarríki ættu að setja reglur um viðurlög við brotum á þessari reglugerð og gera allar nauðsynlegar ráðstafanir til að tryggja að þeim sé beitt.  Viðurlögin sem kveðið er á um ættu að vera skilvirk, í réttu hlutfalli við brot og hafa varnaðaráhrif. Mikið ósamræmi milli reglna um viðurlög gæti leitt til röskunar á samkeppni á stafræna innri markaðinum. </w:t>
      </w:r>
      <w:proofErr w:type="spellStart"/>
      <w:r>
        <w:t>Samræming</w:t>
      </w:r>
      <w:proofErr w:type="spellEnd"/>
      <w:r>
        <w:t xml:space="preserve"> slíkra reglna gæti verið til bóta að því er þetta varðar.</w:t>
      </w:r>
    </w:p>
    <w:p w14:paraId="4BEF5CB0" w14:textId="77777777" w:rsidR="00900A3D" w:rsidRDefault="000E1836" w:rsidP="00281AF7">
      <w:pPr>
        <w:pStyle w:val="Consid"/>
        <w:spacing w:after="490"/>
      </w:pPr>
      <w:r>
        <w:t>56)</w:t>
      </w:r>
      <w:r>
        <w:tab/>
        <w:t>Til að tryggja skilvirka framfylgd þessarar reglugerðar og til að tryggja að veitendur gagnamilligönguþjónustu og aðilar, sem vilja skrá sig sem viðurkenndar gagnavildarstofnanir, geti haft aðgang að og lokið tilkynningar- og skráningarmálsmeðferð að fullu á netinu og yfir landamæri, ætti að bjóða slíkar málsmeðferðir í gegnum sameiginlegu stafrænu gáttina sem komið var á fót samkvæmt reglugerð Evrópuþingsins og ráðsins (ESB) 2018/1724 (</w:t>
      </w:r>
      <w:bookmarkStart w:id="28" w:name="NOTE_29"/>
      <w:r w:rsidRPr="00E65541">
        <w:rPr>
          <w:rStyle w:val="Tilvsunneanmlsgrein"/>
          <w:sz w:val="18"/>
          <w:szCs w:val="18"/>
        </w:rPr>
        <w:footnoteReference w:id="30"/>
      </w:r>
      <w:bookmarkEnd w:id="28"/>
      <w:r>
        <w:t>). Bæta ætti þessum málsmeðferðum á skrána yfir málsmeðferðir í II. viðauka við reglugerð (ESB) nr. 2018/1724.</w:t>
      </w:r>
    </w:p>
    <w:p w14:paraId="4BEF5CB1" w14:textId="77777777" w:rsidR="00900A3D" w:rsidRDefault="000E1836" w:rsidP="00281AF7">
      <w:pPr>
        <w:pStyle w:val="Consid"/>
        <w:spacing w:after="0"/>
      </w:pPr>
      <w:r>
        <w:t>57)</w:t>
      </w:r>
      <w:r>
        <w:tab/>
        <w:t>Því ætti að breyta reglugerð (ESB) 2018/1724 til samræmis við það.</w:t>
      </w:r>
      <w:r>
        <w:br w:type="page"/>
      </w:r>
    </w:p>
    <w:p w14:paraId="4BEF5CB2" w14:textId="77777777" w:rsidR="00900A3D" w:rsidRDefault="000E1836" w:rsidP="00281AF7">
      <w:pPr>
        <w:pStyle w:val="Consid"/>
        <w:spacing w:after="440"/>
      </w:pPr>
      <w:r>
        <w:lastRenderedPageBreak/>
        <w:t>58)</w:t>
      </w:r>
      <w:r>
        <w:tab/>
        <w:t>Til að tryggja skilvirkni þessarar reglugerðar ætti að fela framkvæmdastjórninni vald til að samþykkja gerðir í samræmi við 290. gr. sáttmálans um starfshætti Evrópusambandsins í því skyni að bæta við þessa reglugerð með því að mæla fyrir um sérstök skilyrði um miðlun til þriðju landa á tilteknum flokkum ópersónulegra upplýsinga sem teljast mjög viðkvæmar í sértækum lagagerðum Sambandsins og með því að koma á fót reglubók fyrir viðurkenndar gagnavildarstofnanir sem þessar stofnanir þurfa að fylgja og sem kveða á um kröfur um upplýsingar, tæknilegar kröfur og öryggiskröfur ásamt samskiptavegvísum og samvirknistöðlum. Einkar mikilvægt er að framkvæmdastjórnin hafi viðeigandi samráð meðan á undirbúningsvinnu hennar stendur, þ.m.t. við sérfræðinga, og að þetta samráð fari fram í samræmi við meginreglurnar sem mælt er fyrir um í samstarfssamningnum milli stofnana um betri lagasetningu frá 13. apríl 2016 (</w:t>
      </w:r>
      <w:bookmarkStart w:id="29" w:name="NOTE_30"/>
      <w:r w:rsidRPr="00E65541">
        <w:rPr>
          <w:rStyle w:val="Tilvsunneanmlsgrein"/>
          <w:sz w:val="18"/>
          <w:szCs w:val="18"/>
        </w:rPr>
        <w:footnoteReference w:id="31"/>
      </w:r>
      <w:bookmarkEnd w:id="29"/>
      <w:r>
        <w:t>). Einkum, í því skyni að tryggja jafna þátttöku við undirbúning framseldra gerða, fá Evrópuþingið og ráðið öll skjöl á sama tíma og sérfræðingar aðildarríkjanna og hafa sérfræðingar þeirra kerfisbundinn aðgang að fundum sérfræðingahópa framkvæmdastjórnarinnar sem vinna að undirbúningi framseldra gerða.</w:t>
      </w:r>
    </w:p>
    <w:p w14:paraId="4BEF5CB3" w14:textId="77777777" w:rsidR="00900A3D" w:rsidRDefault="000E1836" w:rsidP="00281AF7">
      <w:pPr>
        <w:pStyle w:val="Consid"/>
        <w:spacing w:after="440"/>
      </w:pPr>
      <w:r>
        <w:t>59)</w:t>
      </w:r>
      <w:r>
        <w:tab/>
        <w:t xml:space="preserve">Til að tryggja samræmd skilyrði fyrir framkvæmd þessarar reglugerðar ætti að fela framkvæmdastjórninni framkvæmdarvald til að aðstoða opinbera aðila og </w:t>
      </w:r>
      <w:proofErr w:type="spellStart"/>
      <w:r>
        <w:t>endurnotendur</w:t>
      </w:r>
      <w:proofErr w:type="spellEnd"/>
      <w:r>
        <w:t xml:space="preserve"> við að uppfylla skilyrðin fyrir endurnotkun sem sett eru fram í þessari reglugerð með því að koma á fyrirmyndum að samningsákvæðum um miðlun </w:t>
      </w:r>
      <w:proofErr w:type="spellStart"/>
      <w:r>
        <w:t>endurnotenda</w:t>
      </w:r>
      <w:proofErr w:type="spellEnd"/>
      <w:r>
        <w:t xml:space="preserve"> á ópersónulegum upplýsingum til þriðja lands, til að lýsa því yfir að fyrirkomulag laga, eftirlits og framfylgdar í þriðja landi sé jafngilt þeirri vernd sem tryggð er samkvæmt lögum Sambandsins, til að þróa hönnun sameiginlega kennimerkisins fyrir veitendur gagnamilligönguþjónustu og sameiginlega kennimerkisins fyrir viðurkenndar gagnavildarstofnanir og til að koma á og þróa evrópska samþykkiseyðublaðið fyrir gagnavild.  Þessu valdi ætti beita í samræmi við reglugerð Evrópuþingsins og ráðsins (ESB) nr. 182/2011 (</w:t>
      </w:r>
      <w:bookmarkStart w:id="30" w:name="NOTE_31"/>
      <w:r w:rsidRPr="00E65541">
        <w:rPr>
          <w:rStyle w:val="Tilvsunneanmlsgrein"/>
          <w:sz w:val="18"/>
          <w:szCs w:val="18"/>
        </w:rPr>
        <w:footnoteReference w:id="32"/>
      </w:r>
      <w:bookmarkEnd w:id="30"/>
      <w:r>
        <w:t>).</w:t>
      </w:r>
    </w:p>
    <w:p w14:paraId="4BEF5CB4" w14:textId="77777777" w:rsidR="00900A3D" w:rsidRDefault="000E1836" w:rsidP="00281AF7">
      <w:pPr>
        <w:pStyle w:val="Consid"/>
        <w:spacing w:after="440"/>
      </w:pPr>
      <w:r>
        <w:t>60)</w:t>
      </w:r>
      <w:r>
        <w:tab/>
        <w:t>Þessi reglugerð ætti ekki að hafa áhrif á beitingu samkeppnisreglna, einkum 101. og 102. gr. sáttmálans um starfshætti Evrópusambandsins. Ráðstafanirnar sem kveðið er á um í þessari reglugerð ætti ekki að nota til að hamla samkeppni með einhverjum hætti sem er í andstöðu við sáttmálann. Þetta á einkum við um reglur um skipti á viðkvæmum samkeppnisupplýsingum milli raunverulegra eða hugsanlegra samkeppnisaðila í gegnum gagnamilligönguþjónustu.</w:t>
      </w:r>
    </w:p>
    <w:p w14:paraId="4BEF5CB5" w14:textId="77777777" w:rsidR="00900A3D" w:rsidRDefault="000E1836" w:rsidP="00281AF7">
      <w:pPr>
        <w:pStyle w:val="Consid"/>
        <w:spacing w:after="440"/>
      </w:pPr>
      <w:r>
        <w:t>61)</w:t>
      </w:r>
      <w:r>
        <w:tab/>
        <w:t>Haft var samráð við Evrópsku persónuverndarstofnunina og Evrópska persónuverndarráðið í samræmi við 1. mgr. 42. gr. reglugerðar (ESB) 2018/1725 og skiluðu þau áliti sínu 10. mars 2021.</w:t>
      </w:r>
    </w:p>
    <w:p w14:paraId="4BEF5CB6" w14:textId="77777777" w:rsidR="00900A3D" w:rsidRDefault="000E1836" w:rsidP="00281AF7">
      <w:pPr>
        <w:pStyle w:val="Consid"/>
        <w:spacing w:after="440"/>
      </w:pPr>
      <w:r>
        <w:t>62)</w:t>
      </w:r>
      <w:r>
        <w:tab/>
        <w:t>Þessi reglugerð hefur að leiðarljósi að virða þau grundvallarréttindi og meginreglur sem eru viðurkennd, einkum í sáttmála Evrópusambandsins um grundvallarréttindi, þ.m.t. rétturinn til friðhelgi einkalífs, vernd persónuupplýsinga, frelsið til atvinnurekstrar, eignarrétturinn og aðlögun fatlaðra að samfélaginu. Í tengslum við hið síðarnefnda ættu opinberar þjónustustofnanir og þjónusta samkvæmt þessari reglugerð, þar sem við á, að fara að tilskipunum Evrópuþingsins og ráðsins (ESB) 2016/2102 (</w:t>
      </w:r>
      <w:bookmarkStart w:id="31" w:name="NOTE_32"/>
      <w:r w:rsidRPr="00E65541">
        <w:rPr>
          <w:rStyle w:val="Tilvsunneanmlsgrein"/>
          <w:sz w:val="18"/>
          <w:szCs w:val="18"/>
        </w:rPr>
        <w:footnoteReference w:id="33"/>
      </w:r>
      <w:bookmarkEnd w:id="31"/>
      <w:r>
        <w:t>) og (ESB) 2019/882 (</w:t>
      </w:r>
      <w:bookmarkStart w:id="32" w:name="NOTE_33"/>
      <w:r w:rsidRPr="00E65541">
        <w:rPr>
          <w:rStyle w:val="Tilvsunneanmlsgrein"/>
          <w:sz w:val="18"/>
          <w:szCs w:val="18"/>
        </w:rPr>
        <w:footnoteReference w:id="34"/>
      </w:r>
      <w:bookmarkEnd w:id="32"/>
      <w:r>
        <w:t>). Enn fremur ætti að hafa í huga „Hönnun fyrir alla“ í tengslum við upplýsinga- og fjarskiptatækni, sem er meðvituð og kerfisbundin viðleitni til að beita með framvirkum hætti meginreglum, aðferðum og tólum til að efla algilda hönnun í tölvutengdri tækni, þ.m.t. nettengdri tækni, og koma þannig í veg fyrir þörf á aðlögun eða sérhæfðri hönnun eftir á.</w:t>
      </w:r>
    </w:p>
    <w:p w14:paraId="4BEF5CB7" w14:textId="77777777" w:rsidR="00900A3D" w:rsidRDefault="000E1836" w:rsidP="00281AF7">
      <w:pPr>
        <w:pStyle w:val="Consid"/>
        <w:spacing w:after="0"/>
      </w:pPr>
      <w:r>
        <w:t>63)</w:t>
      </w:r>
      <w:r>
        <w:tab/>
        <w:t>Þar eð aðildarríkin geta ekki fyllilega náð markmiðum þessarar reglugerðar, þ.e. endurnotkun innan Sambandsins á tilteknum flokkum gagna í vörslu opinberra aðila og að koma á tilkynningar- og eftirlitsramma um veitingu gagnamilligönguþjónustu, ramma um valfrjálsa skráningu aðila sem gera gögn aðgengileg í þágu gagnavildar og ramma um stofnun Evrópsks gagnanýsköpunarráðs, og þeim verður betur náð á vettvangi Sambandsins, vegna umfangs þeirra og áhrifa, er Sambandinu heimilt að samþykkja ráðstafanir í samræmi við nálægðarregluna eins og kveðið er á um í 5. gr. sáttmálans um Evrópusambandið. Í samræmi við meðalhófsregluna eins og hún er sett fram í þeirri grein er ekki gengið lengra en nauðsyn krefur í þessari reglugerð til að ná þessum markmiðum.</w:t>
      </w:r>
      <w:r>
        <w:br w:type="page"/>
      </w:r>
    </w:p>
    <w:p w14:paraId="4BEF5CB8" w14:textId="77777777" w:rsidR="00900A3D" w:rsidRDefault="000E1836" w:rsidP="00ED5ADB">
      <w:pPr>
        <w:pStyle w:val="PreambleFinal"/>
        <w:spacing w:after="600" w:line="200" w:lineRule="exact"/>
      </w:pPr>
      <w:r>
        <w:lastRenderedPageBreak/>
        <w:t>SAMÞYKKT REGLUGERÐ ÞESSA:</w:t>
      </w:r>
    </w:p>
    <w:p w14:paraId="4BEF5CB9" w14:textId="77777777" w:rsidR="00900A3D" w:rsidRDefault="000E1836" w:rsidP="00281AF7">
      <w:pPr>
        <w:pStyle w:val="DivisionChapterTI1"/>
        <w:spacing w:line="200" w:lineRule="exact"/>
      </w:pPr>
      <w:r>
        <w:rPr>
          <w:i/>
        </w:rPr>
        <w:t>I. KAFLI</w:t>
      </w:r>
    </w:p>
    <w:p w14:paraId="4BEF5CBA" w14:textId="77777777" w:rsidR="00900A3D" w:rsidRPr="00ED5ADB" w:rsidRDefault="000E1836" w:rsidP="00ED5ADB">
      <w:pPr>
        <w:pStyle w:val="DivisionChapterSTI1"/>
        <w:spacing w:after="600"/>
        <w:rPr>
          <w:caps w:val="0"/>
          <w:sz w:val="18"/>
          <w:szCs w:val="18"/>
        </w:rPr>
      </w:pPr>
      <w:r>
        <w:rPr>
          <w:i/>
          <w:caps w:val="0"/>
          <w:sz w:val="18"/>
        </w:rPr>
        <w:t>Almenn ákvæði</w:t>
      </w:r>
    </w:p>
    <w:p w14:paraId="4BEF5CBB" w14:textId="77777777" w:rsidR="00900A3D" w:rsidRDefault="000E1836">
      <w:pPr>
        <w:pStyle w:val="TIART"/>
      </w:pPr>
      <w:r>
        <w:t>1. gr.</w:t>
      </w:r>
    </w:p>
    <w:p w14:paraId="4BEF5CBC" w14:textId="77777777" w:rsidR="00900A3D" w:rsidRDefault="000E1836">
      <w:pPr>
        <w:pStyle w:val="STIART"/>
      </w:pPr>
      <w:r>
        <w:t>Efni og gildissvið</w:t>
      </w:r>
    </w:p>
    <w:p w14:paraId="4BEF5CBD" w14:textId="77777777" w:rsidR="00900A3D" w:rsidRDefault="000E1836" w:rsidP="00ED5ADB">
      <w:pPr>
        <w:pStyle w:val="AlineaWithParag"/>
        <w:spacing w:after="420"/>
      </w:pPr>
      <w:r>
        <w:t>1.</w:t>
      </w:r>
      <w:r>
        <w:tab/>
        <w:t>Í þessari reglugerð er mælt fyrir um:</w:t>
      </w:r>
    </w:p>
    <w:p w14:paraId="4BEF5CBE" w14:textId="77777777" w:rsidR="00900A3D" w:rsidRDefault="000E1836" w:rsidP="00ED5ADB">
      <w:pPr>
        <w:pStyle w:val="NumberedText"/>
        <w:spacing w:after="420"/>
        <w:ind w:left="293" w:hanging="293"/>
      </w:pPr>
      <w:r>
        <w:t>a)</w:t>
      </w:r>
      <w:r>
        <w:tab/>
        <w:t>skilyrði fyrir endurnotkun innan Sambandsins á tilteknum flokkum gagna sem eru í vörslu opinberra aðila,</w:t>
      </w:r>
    </w:p>
    <w:p w14:paraId="4BEF5CBF" w14:textId="77777777" w:rsidR="00900A3D" w:rsidRDefault="000E1836" w:rsidP="00ED5ADB">
      <w:pPr>
        <w:pStyle w:val="NumberedText"/>
        <w:spacing w:after="420"/>
        <w:ind w:left="293" w:hanging="293"/>
      </w:pPr>
      <w:r>
        <w:t>b)</w:t>
      </w:r>
      <w:r>
        <w:tab/>
        <w:t>tilkynningar- og eftirlitsramma vegna veitingar gagnamilligönguþjónustu,</w:t>
      </w:r>
    </w:p>
    <w:p w14:paraId="4BEF5CC0" w14:textId="77777777" w:rsidR="00900A3D" w:rsidRDefault="000E1836" w:rsidP="00ED5ADB">
      <w:pPr>
        <w:pStyle w:val="NumberedText"/>
        <w:spacing w:after="420"/>
        <w:ind w:left="293" w:hanging="293"/>
      </w:pPr>
      <w:r>
        <w:t>c)</w:t>
      </w:r>
      <w:r>
        <w:tab/>
        <w:t>ramma um valfrjálsa skráningu aðila sem safna og vinna gögn sem gerð eru aðgengileg í þágu gagnavildar og</w:t>
      </w:r>
    </w:p>
    <w:p w14:paraId="4BEF5CC1" w14:textId="77777777" w:rsidR="00900A3D" w:rsidRDefault="000E1836" w:rsidP="00ED5ADB">
      <w:pPr>
        <w:pStyle w:val="NumberedText"/>
        <w:spacing w:after="420"/>
        <w:ind w:left="293" w:hanging="293"/>
      </w:pPr>
      <w:r>
        <w:t>d)</w:t>
      </w:r>
      <w:r>
        <w:tab/>
        <w:t>ramma um stofnun Evrópsks gagnanýsköpunarráðs.</w:t>
      </w:r>
    </w:p>
    <w:p w14:paraId="4BEF5CC2" w14:textId="77777777" w:rsidR="00900A3D" w:rsidRDefault="000E1836" w:rsidP="00ED5ADB">
      <w:pPr>
        <w:pStyle w:val="AlineaWithParag"/>
        <w:spacing w:after="420"/>
      </w:pPr>
      <w:r>
        <w:t>2.</w:t>
      </w:r>
      <w:r>
        <w:tab/>
        <w:t>Þessi reglugerð skapar opinberum aðilum enga skyldu til að heimila endurnotkun gagna né leysir hún þá undan trúnaðarkvöðum sínum samkvæmt lögum Sambandsins eða landslögum.</w:t>
      </w:r>
    </w:p>
    <w:p w14:paraId="4BEF5CC3" w14:textId="77777777" w:rsidR="00900A3D" w:rsidRDefault="000E1836" w:rsidP="00ED5ADB">
      <w:pPr>
        <w:pStyle w:val="Alinea"/>
        <w:spacing w:after="420"/>
      </w:pPr>
      <w:r>
        <w:t>Þessi reglugerð hefur ekki áhrif á:</w:t>
      </w:r>
    </w:p>
    <w:p w14:paraId="4BEF5CC4" w14:textId="77777777" w:rsidR="00900A3D" w:rsidRDefault="000E1836" w:rsidP="00ED5ADB">
      <w:pPr>
        <w:pStyle w:val="NumberedText"/>
        <w:spacing w:after="420"/>
        <w:ind w:left="293" w:hanging="293"/>
      </w:pPr>
      <w:r>
        <w:t>a)</w:t>
      </w:r>
      <w:r>
        <w:tab/>
        <w:t>sértæk ákvæði í lögum Sambandsins eða landslögum varðandi aðgang að eða endurnotkun á tilteknum flokkum gagna, einkum að því er varðar veitingu aðgangs að og birtingu á opinberum skjölum og</w:t>
      </w:r>
    </w:p>
    <w:p w14:paraId="4BEF5CC5" w14:textId="77777777" w:rsidR="00900A3D" w:rsidRDefault="000E1836" w:rsidP="00ED5ADB">
      <w:pPr>
        <w:pStyle w:val="NumberedText"/>
        <w:spacing w:after="420"/>
        <w:ind w:left="293" w:hanging="293"/>
      </w:pPr>
      <w:r>
        <w:t>b)</w:t>
      </w:r>
      <w:r>
        <w:tab/>
        <w:t>skyldur opinberra aðila samkvæmt lögum Sambandsins eða landslögum til að heimila endurnotkun gagna eða kröfur sem tengjast vinnslu ópersónulegra upplýsinga.</w:t>
      </w:r>
    </w:p>
    <w:p w14:paraId="4BEF5CC6" w14:textId="77777777" w:rsidR="00900A3D" w:rsidRDefault="000E1836" w:rsidP="00ED5ADB">
      <w:pPr>
        <w:pStyle w:val="Alinea"/>
        <w:spacing w:after="420"/>
      </w:pPr>
      <w:r>
        <w:t>Ef geirabundin lög Sambandsins eða landslög krefjast þess að opinberir aðilar, veitendur gagnamilligönguþjónustu eða viðurkenndar gagnavildarstofnanir uppfylli sértækar viðbótarkröfur varðandi tækni, stjórnsýslu eða skipulag, þ.m.t. í gegnum leyfis- eða vottunarfyrirkomulag, skulu ákvæði þeirra geirabundnu laga Sambandsins eða landslaga einnig gilda. Allar slíkar sértækar viðbótarkröfur skulu vera án mismununar, hóflegar og rökstuddar á hlutlægan hátt.</w:t>
      </w:r>
    </w:p>
    <w:p w14:paraId="4BEF5CC7" w14:textId="77777777" w:rsidR="00900A3D" w:rsidRDefault="000E1836" w:rsidP="00ED5ADB">
      <w:pPr>
        <w:pStyle w:val="AlineaWithParag"/>
        <w:spacing w:after="420"/>
      </w:pPr>
      <w:r>
        <w:t>3.</w:t>
      </w:r>
      <w:r>
        <w:tab/>
        <w:t>Lög Sambandsins og landslög um vernd persónuupplýsinga skulu gilda um allar persónuupplýsingar sem unnar eru í tengslum við þessa reglugerð. Einkum er þessi reglugerð með fyrirvara um reglugerðir (ESB) 2016/679 og (ESB) 2018/1725 og tilskipanir 2002/58/EB og (ESB) 2016/680, þ.m.t. að því er varðar valdheimildir og valdsvið eftirlitsyfirvalda. Ef til þess kemur að ákvæði þessarar reglugerðar og lög Sambandsins um vernd persónuupplýsinga eða landslög sem samþykkt eru í samræmi við slík lög Sambandsins stangist á skulu viðkomandi lög Sambandsins eða landslög um vernd persónuupplýsinga ganga framar. Þessi reglugerð skapar ekki lagagrundvöll fyrir vinnslu persónuupplýsinga né hefur hún áhrif á nein af þeim réttindum og skyldum sem sett eru fram í reglugerðum (ESB) 2016/679 eða (ESB) 2018/1725 eða tilskipunum 2002/58/EB eða (ESB) 2016/680.</w:t>
      </w:r>
    </w:p>
    <w:p w14:paraId="4BEF5CC8" w14:textId="77777777" w:rsidR="00900A3D" w:rsidRDefault="000E1836" w:rsidP="00ED5ADB">
      <w:pPr>
        <w:pStyle w:val="AlineaWithParag"/>
        <w:spacing w:after="420"/>
      </w:pPr>
      <w:r>
        <w:t>4.</w:t>
      </w:r>
      <w:r>
        <w:tab/>
        <w:t>Þessi reglugerð hefur ekki áhrif á beitingu samkeppnislaga.</w:t>
      </w:r>
    </w:p>
    <w:p w14:paraId="4BEF5CC9" w14:textId="77777777" w:rsidR="00900A3D" w:rsidRDefault="000E1836" w:rsidP="00281AF7">
      <w:pPr>
        <w:pStyle w:val="AlineaWithParag"/>
        <w:spacing w:after="0"/>
      </w:pPr>
      <w:r>
        <w:lastRenderedPageBreak/>
        <w:t>5.</w:t>
      </w:r>
      <w:r>
        <w:tab/>
        <w:t>Þessi reglugerð er með fyrirvara um valdheimildir aðildarríkjanna að því er varðar starfsemi þeirra á sviði almannaöryggis, landvarna og þjóðaröryggis.</w:t>
      </w:r>
      <w:r>
        <w:br w:type="page"/>
      </w:r>
    </w:p>
    <w:p w14:paraId="4BEF5CCA" w14:textId="77777777" w:rsidR="00900A3D" w:rsidRDefault="000E1836">
      <w:pPr>
        <w:pStyle w:val="TIART"/>
      </w:pPr>
      <w:r>
        <w:lastRenderedPageBreak/>
        <w:t>2. gr.</w:t>
      </w:r>
    </w:p>
    <w:p w14:paraId="4BEF5CCB" w14:textId="77777777" w:rsidR="00900A3D" w:rsidRDefault="000E1836">
      <w:pPr>
        <w:pStyle w:val="STIART"/>
      </w:pPr>
      <w:r>
        <w:t>Skilgreiningar</w:t>
      </w:r>
    </w:p>
    <w:p w14:paraId="4BEF5CCC" w14:textId="77777777" w:rsidR="00900A3D" w:rsidRDefault="000E1836" w:rsidP="00ED5ADB">
      <w:pPr>
        <w:pStyle w:val="Alinea"/>
        <w:spacing w:after="236"/>
      </w:pPr>
      <w:r>
        <w:t>Í þessari reglugerð er merking eftirfarandi hugtaka sem hér segir:</w:t>
      </w:r>
    </w:p>
    <w:p w14:paraId="4BEF5CCD" w14:textId="77777777" w:rsidR="00900A3D" w:rsidRDefault="000E1836" w:rsidP="00ED5ADB">
      <w:pPr>
        <w:pStyle w:val="NumberedText"/>
        <w:tabs>
          <w:tab w:val="clear" w:pos="2047"/>
        </w:tabs>
        <w:spacing w:after="236"/>
        <w:ind w:left="383" w:hanging="383"/>
      </w:pPr>
      <w:r>
        <w:t>1)</w:t>
      </w:r>
      <w:r>
        <w:tab/>
        <w:t>„gögn“: öll stafræn framsetning á aðgerðum, staðreyndum eða upplýsingum og hvers kyns samantekt á slíkum aðgerðum, staðreyndum eða upplýsingum, þ.m.t. í formi hljóðupptöku, myndupptöku eða hljóðmyndrænnar upptöku,</w:t>
      </w:r>
    </w:p>
    <w:p w14:paraId="4BEF5CCE" w14:textId="77777777" w:rsidR="00900A3D" w:rsidRDefault="000E1836" w:rsidP="00ED5ADB">
      <w:pPr>
        <w:pStyle w:val="NumberedText"/>
        <w:tabs>
          <w:tab w:val="clear" w:pos="2047"/>
        </w:tabs>
        <w:spacing w:after="236"/>
        <w:ind w:left="383" w:hanging="383"/>
      </w:pPr>
      <w:r>
        <w:t>2)</w:t>
      </w:r>
      <w:r>
        <w:tab/>
        <w:t>„endurnotkun“: notkun einstaklinga eða lögaðila á gögnum í vörslu opinberra aðila í viðskiptaskyni eða tilgangi sem ekki er viðskiptalegs eðlis, sem er annar en upphaflegur tilgangur með að búa gögnin til innan opinbers starfssviðs þeirra var, nema um sé að ræða skipti á gögnum milli opinberra aðila eingöngu til að sinna opinberum verkefnum þeirra,</w:t>
      </w:r>
    </w:p>
    <w:p w14:paraId="4BEF5CCF" w14:textId="77777777" w:rsidR="00900A3D" w:rsidRDefault="000E1836" w:rsidP="00ED5ADB">
      <w:pPr>
        <w:pStyle w:val="NumberedText"/>
        <w:tabs>
          <w:tab w:val="clear" w:pos="2047"/>
        </w:tabs>
        <w:spacing w:after="236"/>
        <w:ind w:left="383" w:hanging="383"/>
      </w:pPr>
      <w:r>
        <w:t>3)</w:t>
      </w:r>
      <w:r>
        <w:tab/>
        <w:t>„persónuupplýsingar“: persónuupplýsingar eins og þær eru skilgreindar í 1. lið 4. gr. reglugerðar (ESB) 2016/679,</w:t>
      </w:r>
    </w:p>
    <w:p w14:paraId="4BEF5CD0" w14:textId="77777777" w:rsidR="00900A3D" w:rsidRDefault="000E1836" w:rsidP="00ED5ADB">
      <w:pPr>
        <w:pStyle w:val="NumberedText"/>
        <w:tabs>
          <w:tab w:val="clear" w:pos="2047"/>
        </w:tabs>
        <w:spacing w:after="236"/>
        <w:ind w:left="383" w:hanging="383"/>
      </w:pPr>
      <w:r>
        <w:t>4)</w:t>
      </w:r>
      <w:r>
        <w:tab/>
        <w:t>„ópersónulegar upplýsingar“: aðrar upplýsingar en persónuupplýsingar,</w:t>
      </w:r>
    </w:p>
    <w:p w14:paraId="4BEF5CD1" w14:textId="77777777" w:rsidR="00900A3D" w:rsidRDefault="000E1836" w:rsidP="00ED5ADB">
      <w:pPr>
        <w:pStyle w:val="NumberedText"/>
        <w:tabs>
          <w:tab w:val="clear" w:pos="2047"/>
        </w:tabs>
        <w:spacing w:after="236"/>
        <w:ind w:left="383" w:hanging="383"/>
      </w:pPr>
      <w:r>
        <w:t>5)</w:t>
      </w:r>
      <w:r>
        <w:tab/>
        <w:t>„samþykki“: samþykki eins og það er skilgreint í 11. lið 4. gr. reglugerðar (ESB) 2016/679,</w:t>
      </w:r>
    </w:p>
    <w:p w14:paraId="4BEF5CD2" w14:textId="77777777" w:rsidR="00900A3D" w:rsidRDefault="000E1836" w:rsidP="00ED5ADB">
      <w:pPr>
        <w:pStyle w:val="NumberedText"/>
        <w:tabs>
          <w:tab w:val="clear" w:pos="2047"/>
        </w:tabs>
        <w:spacing w:after="236"/>
        <w:ind w:left="383" w:hanging="383"/>
      </w:pPr>
      <w:r>
        <w:t>6)</w:t>
      </w:r>
      <w:r>
        <w:tab/>
        <w:t>„leyfi“: það að veita gagnanotendum rétt til vinnslu ópersónulegra upplýsinga,</w:t>
      </w:r>
    </w:p>
    <w:p w14:paraId="4BEF5CD3" w14:textId="77777777" w:rsidR="00900A3D" w:rsidRDefault="000E1836" w:rsidP="00ED5ADB">
      <w:pPr>
        <w:pStyle w:val="NumberedText"/>
        <w:tabs>
          <w:tab w:val="clear" w:pos="2047"/>
        </w:tabs>
        <w:spacing w:after="236"/>
        <w:ind w:left="383" w:hanging="383"/>
      </w:pPr>
      <w:r>
        <w:t>7)</w:t>
      </w:r>
      <w:r>
        <w:tab/>
        <w:t>„skráður aðili“: skráður aðili eins og um getur í 1. lið 4. gr. reglugerðar (ESB) 2016/679,</w:t>
      </w:r>
    </w:p>
    <w:p w14:paraId="4BEF5CD4" w14:textId="77777777" w:rsidR="00900A3D" w:rsidRDefault="000E1836" w:rsidP="00ED5ADB">
      <w:pPr>
        <w:pStyle w:val="NumberedText"/>
        <w:tabs>
          <w:tab w:val="clear" w:pos="2047"/>
        </w:tabs>
        <w:spacing w:after="236"/>
        <w:ind w:left="383" w:hanging="383"/>
      </w:pPr>
      <w:r>
        <w:t>8)</w:t>
      </w:r>
      <w:r>
        <w:tab/>
        <w:t>„handhafi gagna“: lögaðili, þ.m.t. opinberir aðilar og alþjóðastofnanir, eða einstaklingur, sem er ekki skráði aðilinn sem hinar tilteknu upplýsingar sem um ræðir varða, sem hefur, í samræmi við gildandi lög Sambandsins eða landslög, rétt til að veita aðgang að eða til að deila tilteknum persónuupplýsingum eða ópersónulegum upplýsingum,</w:t>
      </w:r>
    </w:p>
    <w:p w14:paraId="4BEF5CD5" w14:textId="77777777" w:rsidR="00900A3D" w:rsidRDefault="000E1836" w:rsidP="00ED5ADB">
      <w:pPr>
        <w:pStyle w:val="NumberedText"/>
        <w:tabs>
          <w:tab w:val="clear" w:pos="2047"/>
        </w:tabs>
        <w:spacing w:after="236"/>
        <w:ind w:left="383" w:hanging="383"/>
      </w:pPr>
      <w:r>
        <w:t>9)</w:t>
      </w:r>
      <w:r>
        <w:tab/>
        <w:t>„gagnanotandi“: einstaklingur eða lögaðili sem hefur löglegan aðgang að tilteknum persónuupplýsingum eða ópersónulegum upplýsingum og er heimilt, m.a. samkvæmt reglugerð (ESB) 2016/679 að því er varðar persónuupplýsingar, að nota þau gögn í viðskiptaskyni eða tilgangi sem ekki er viðskiptalegs eðlis,</w:t>
      </w:r>
    </w:p>
    <w:p w14:paraId="4BEF5CD6" w14:textId="77777777" w:rsidR="00900A3D" w:rsidRDefault="000E1836" w:rsidP="00ED5ADB">
      <w:pPr>
        <w:pStyle w:val="NumberedText"/>
        <w:tabs>
          <w:tab w:val="clear" w:pos="2047"/>
        </w:tabs>
        <w:spacing w:after="236"/>
        <w:ind w:left="383" w:hanging="383"/>
      </w:pPr>
      <w:r>
        <w:t>10)</w:t>
      </w:r>
      <w:r>
        <w:tab/>
        <w:t>„gagnadeiling“: afhending skráðs aðila eða handhafa gagna á gögnum til gagnanotanda í þeim tilgangi að nota slík gögn sameiginlega eða hver fyrir sig á grundvelli valfrjálsra samninga eða laga Sambandsins eða landslaga, beint eða í gegnum millilið, t.d. samkvæmt opnum leyfum eða leyfum viðskiptalegs eðlis, sem veitt eru gegn gjaldi eða án endurgjalds,</w:t>
      </w:r>
    </w:p>
    <w:p w14:paraId="4BEF5CD7" w14:textId="77777777" w:rsidR="00900A3D" w:rsidRDefault="000E1836" w:rsidP="00ED5ADB">
      <w:pPr>
        <w:pStyle w:val="NumberedText"/>
        <w:tabs>
          <w:tab w:val="clear" w:pos="2047"/>
        </w:tabs>
        <w:spacing w:after="236"/>
        <w:ind w:left="383" w:hanging="383"/>
      </w:pPr>
      <w:r>
        <w:t>11)</w:t>
      </w:r>
      <w:r>
        <w:tab/>
        <w:t>„gagnamilligönguþjónusta“: þjónusta sem miðar að því að koma á viðskiptasamböndum í þeim tilgangi að ótilgreindur fjöldi skráðra aðila og handhafa gagna annars vegar og gagnanotendur hins vegar geti deilt gögnum sín á milli, með tæknilegum eða lagalegum aðferðum eða á annan hátt, þ.m.t. í þeim tilgangi að skráðir aðilar geti neytt réttar síns í tengslum við persónuupplýsingar, þar sem a.m.k. eftirfarandi er undanskilið:</w:t>
      </w:r>
    </w:p>
    <w:p w14:paraId="4BEF5CD8" w14:textId="77777777" w:rsidR="00900A3D" w:rsidRDefault="000E1836" w:rsidP="00ED5ADB">
      <w:pPr>
        <w:pStyle w:val="NumberedText"/>
        <w:spacing w:after="236"/>
        <w:ind w:left="677" w:hanging="293"/>
      </w:pPr>
      <w:r>
        <w:t>a)</w:t>
      </w:r>
      <w:r>
        <w:tab/>
        <w:t>þjónusta sem fær gögn frá handhöfum gagna og hópar þau, auðgar eða breytir þeim í þeim tilgangi að auka verðmæti þeirra verulega og gefur út leyfi til gagnanotenda til að nota gögnin sem verða til án þess að koma á viðskiptasambandi milli handhafa gagna og gagnanotenda,</w:t>
      </w:r>
    </w:p>
    <w:p w14:paraId="4BEF5CD9" w14:textId="77777777" w:rsidR="00900A3D" w:rsidRDefault="000E1836" w:rsidP="00ED5ADB">
      <w:pPr>
        <w:pStyle w:val="NumberedText"/>
        <w:spacing w:after="236"/>
        <w:ind w:left="677" w:hanging="293"/>
      </w:pPr>
      <w:r>
        <w:t>b)</w:t>
      </w:r>
      <w:r>
        <w:tab/>
        <w:t>þjónusta sem leggur áherslu á miðlun höfundarréttarvarins efnis,</w:t>
      </w:r>
    </w:p>
    <w:p w14:paraId="4BEF5CDA" w14:textId="77777777" w:rsidR="00900A3D" w:rsidRDefault="000E1836" w:rsidP="00ED5ADB">
      <w:pPr>
        <w:pStyle w:val="NumberedText"/>
        <w:spacing w:after="236"/>
        <w:ind w:left="677" w:hanging="293"/>
      </w:pPr>
      <w:r>
        <w:t>c)</w:t>
      </w:r>
      <w:r>
        <w:tab/>
        <w:t>þjónusta sem eingöngu einn handhafi gagna notar til að hægt sé að nota gögn í vörslu hans eða sem margir lögaðilar nota innan lokaðs hóps, þ.m.t. sambönd við birgja eða viðskiptamenn eða samstarf sem komið er á með samningi, einkum það sem hefur það að meginmarkmiði að tryggja virkni hluta og búnaðar sem tengist neti hlutanna,</w:t>
      </w:r>
    </w:p>
    <w:p w14:paraId="4BEF5CDB" w14:textId="77777777" w:rsidR="00900A3D" w:rsidRDefault="000E1836" w:rsidP="00ED5ADB">
      <w:pPr>
        <w:pStyle w:val="NumberedText"/>
        <w:spacing w:after="236"/>
        <w:ind w:left="677" w:hanging="293"/>
      </w:pPr>
      <w:r>
        <w:t>d)</w:t>
      </w:r>
      <w:r>
        <w:tab/>
        <w:t>gagnadeilingarþjónusta á vegum opinberra aðila sem miðar ekki að því að koma á viðskiptasambandi,</w:t>
      </w:r>
    </w:p>
    <w:p w14:paraId="4BEF5CDC" w14:textId="77777777" w:rsidR="00900A3D" w:rsidRDefault="000E1836" w:rsidP="00ED5ADB">
      <w:pPr>
        <w:pStyle w:val="NumberedText"/>
        <w:tabs>
          <w:tab w:val="clear" w:pos="2047"/>
        </w:tabs>
        <w:spacing w:after="236"/>
        <w:ind w:left="383" w:hanging="383"/>
      </w:pPr>
      <w:r>
        <w:t>12)</w:t>
      </w:r>
      <w:r>
        <w:tab/>
        <w:t>„vinnsla“: vinnsla eins og hún er skilgreind í 2. lið 4. gr. reglugerðar (ESB) 2016/679 að því er varðar persónuupplýsingar eða í 2. lið 3. gr. reglugerðar (ESB) 2018/1807 að því er varðar ópersónulegar upplýsingar,</w:t>
      </w:r>
    </w:p>
    <w:p w14:paraId="4BEF5CDD" w14:textId="77777777" w:rsidR="00900A3D" w:rsidRDefault="000E1836" w:rsidP="00ED5ADB">
      <w:pPr>
        <w:pStyle w:val="NumberedText"/>
        <w:tabs>
          <w:tab w:val="clear" w:pos="2047"/>
        </w:tabs>
        <w:spacing w:after="236"/>
        <w:ind w:left="383" w:hanging="383"/>
      </w:pPr>
      <w:r>
        <w:t>13)</w:t>
      </w:r>
      <w:r>
        <w:tab/>
        <w:t xml:space="preserve">„aðgangur“: </w:t>
      </w:r>
      <w:proofErr w:type="spellStart"/>
      <w:r>
        <w:t>gagnanotkun</w:t>
      </w:r>
      <w:proofErr w:type="spellEnd"/>
      <w:r>
        <w:t xml:space="preserve"> í samræmi við sértækar tæknilegar, lagalegar eða </w:t>
      </w:r>
      <w:proofErr w:type="spellStart"/>
      <w:r>
        <w:t>skipulagslegar</w:t>
      </w:r>
      <w:proofErr w:type="spellEnd"/>
      <w:r>
        <w:t xml:space="preserve"> kröfur án þess að það þurfi endilega að fela í sér sendingu eða niðurhal gagna,</w:t>
      </w:r>
    </w:p>
    <w:p w14:paraId="4BEF5CDE" w14:textId="77777777" w:rsidR="00900A3D" w:rsidRDefault="000E1836" w:rsidP="00ED5ADB">
      <w:pPr>
        <w:pStyle w:val="NumberedText"/>
        <w:tabs>
          <w:tab w:val="clear" w:pos="2047"/>
        </w:tabs>
        <w:spacing w:after="0"/>
        <w:ind w:left="383" w:hanging="383"/>
      </w:pPr>
      <w:r>
        <w:t>14)</w:t>
      </w:r>
      <w:r>
        <w:tab/>
        <w:t>„höfuðstöðvar“: höfuðstöðvar lögaðila eru sá staður þar sem hann hefur yfirstjórn sína í Sambandinu,</w:t>
      </w:r>
      <w:r>
        <w:br w:type="page"/>
      </w:r>
    </w:p>
    <w:p w14:paraId="4BEF5CDF" w14:textId="77777777" w:rsidR="00900A3D" w:rsidRDefault="000E1836" w:rsidP="00ED5ADB">
      <w:pPr>
        <w:pStyle w:val="NumberedText"/>
        <w:tabs>
          <w:tab w:val="right" w:pos="239"/>
        </w:tabs>
        <w:spacing w:after="330"/>
        <w:ind w:left="383" w:hanging="383"/>
      </w:pPr>
      <w:r>
        <w:lastRenderedPageBreak/>
        <w:tab/>
        <w:t>15)</w:t>
      </w:r>
      <w:r>
        <w:tab/>
        <w:t>„þjónusta gagnasamvinnufélaga“: gagnamilligönguþjónusta sem veitt er af skipulagseiningu, sem samanstendur af skráðum aðilum, einyrkjum eða litlum og meðalstórum fyrirtækjum sem eru aðilar að henni og hefur þau meginmarkmið að styðja aðila sína við að neyta réttar síns að því er varðar tiltekin gögn, m.a. varðandi það að taka upplýstar ákvarðanir áður en þeir veita samþykki sitt fyrir gagnavinnslu, skiptast á skoðunum um tilgang gagnavinnslu og skilyrði sem best myndu þjóna hagsmunum aðilanna í tengslum við gögn þeirra og að semja um skilmála og skilyrði fyrir gagnavinnslu fyrir hönd aðila sinna áður en þeir veita leyfi fyrir vinnslu ópersónulegra upplýsinga eða veita samþykki sitt fyrir vinnslu persónuupplýsinga,</w:t>
      </w:r>
    </w:p>
    <w:p w14:paraId="4BEF5CE0" w14:textId="77777777" w:rsidR="00900A3D" w:rsidRDefault="000E1836" w:rsidP="00ED5ADB">
      <w:pPr>
        <w:pStyle w:val="NumberedText"/>
        <w:tabs>
          <w:tab w:val="right" w:pos="239"/>
        </w:tabs>
        <w:spacing w:after="330"/>
        <w:ind w:left="383" w:hanging="383"/>
      </w:pPr>
      <w:r>
        <w:tab/>
        <w:t>16)</w:t>
      </w:r>
      <w:r>
        <w:tab/>
        <w:t xml:space="preserve">„gagnavild“ (e. </w:t>
      </w:r>
      <w:proofErr w:type="spellStart"/>
      <w:r>
        <w:t>data</w:t>
      </w:r>
      <w:proofErr w:type="spellEnd"/>
      <w:r>
        <w:t xml:space="preserve"> </w:t>
      </w:r>
      <w:proofErr w:type="spellStart"/>
      <w:r>
        <w:t>altruism</w:t>
      </w:r>
      <w:proofErr w:type="spellEnd"/>
      <w:r>
        <w:t>): sjálfviljug deiling gagna, á grundvelli samþykkis skráðra aðila fyrir vinnslu persónuupplýsinga sem þeim tilheyra eða leyfa handhafa gagna sem heimila notkun á ópersónulegum upplýsingum þeirra, án þess að sóst sé eftir umbun eða að umbun fáist umfram bætur vegna þess kostnaðar sem þeir stofna til við það að gera gögn sín aðgengileg, í þágu markmiða er varða almannahagsmuni eins og kveðið er á um í landslögum, eftir atvikum, á borð við heilbrigðisþjónustu, baráttuna gegn loftslagsbreytingum, að bæta hreyfanleika, að auðvelda þróun, gerð og dreifingu opinberra hagskýrslna, að bæta veitingu opinberrar þjónustu, mótun opinberrar stefnu eða vísindarannsóknir í almannaþágu,</w:t>
      </w:r>
    </w:p>
    <w:p w14:paraId="4BEF5CE1" w14:textId="77777777" w:rsidR="00900A3D" w:rsidRDefault="000E1836" w:rsidP="00ED5ADB">
      <w:pPr>
        <w:pStyle w:val="NumberedText"/>
        <w:tabs>
          <w:tab w:val="right" w:pos="239"/>
        </w:tabs>
        <w:spacing w:after="330"/>
        <w:ind w:left="383" w:hanging="383"/>
      </w:pPr>
      <w:r>
        <w:tab/>
        <w:t>17)</w:t>
      </w:r>
      <w:r>
        <w:tab/>
        <w:t>„opinber aðili“: ríkið, svæðis- eða staðaryfirvöld, aðilar sem heyra undir opinberan rétt eða samtök sem mynduð eru af einu eða fleiri slíkum yfirvöldum eða einum eða fleiri slíkum aðilum sem heyra undir opinberan rétt,</w:t>
      </w:r>
    </w:p>
    <w:p w14:paraId="4BEF5CE2" w14:textId="77777777" w:rsidR="00900A3D" w:rsidRDefault="000E1836" w:rsidP="00ED5ADB">
      <w:pPr>
        <w:pStyle w:val="NumberedText"/>
        <w:tabs>
          <w:tab w:val="right" w:pos="239"/>
        </w:tabs>
        <w:spacing w:after="330"/>
        <w:ind w:left="383" w:hanging="383"/>
      </w:pPr>
      <w:r>
        <w:tab/>
        <w:t>18)</w:t>
      </w:r>
      <w:r>
        <w:tab/>
        <w:t>„aðilar sem heyra undir opinberan rétt“: aðilar sem hafa öll eftirfarandi einkenni til að bera:</w:t>
      </w:r>
    </w:p>
    <w:p w14:paraId="4BEF5CE3" w14:textId="77777777" w:rsidR="00900A3D" w:rsidRDefault="000E1836" w:rsidP="00ED5ADB">
      <w:pPr>
        <w:pStyle w:val="NumberedText"/>
        <w:spacing w:after="330"/>
        <w:ind w:left="677" w:hanging="293"/>
      </w:pPr>
      <w:r>
        <w:t>a)</w:t>
      </w:r>
      <w:r>
        <w:tab/>
        <w:t>þeim er komið á fót í þeim sérstaka tilgangi að fullnægja þörfum almennings og starfa hvorki á sviði iðnaðar né viðskipta,</w:t>
      </w:r>
    </w:p>
    <w:p w14:paraId="4BEF5CE4" w14:textId="77777777" w:rsidR="00900A3D" w:rsidRDefault="000E1836" w:rsidP="00ED5ADB">
      <w:pPr>
        <w:pStyle w:val="NumberedText"/>
        <w:spacing w:after="330"/>
        <w:ind w:left="677" w:hanging="293"/>
      </w:pPr>
      <w:r>
        <w:t>b)</w:t>
      </w:r>
      <w:r>
        <w:tab/>
        <w:t>þeir hafa réttarstöðu lögaðila,</w:t>
      </w:r>
    </w:p>
    <w:p w14:paraId="4BEF5CE5" w14:textId="77777777" w:rsidR="00900A3D" w:rsidRDefault="000E1836" w:rsidP="00ED5ADB">
      <w:pPr>
        <w:pStyle w:val="NumberedText"/>
        <w:spacing w:after="330"/>
        <w:ind w:left="677" w:hanging="293"/>
      </w:pPr>
      <w:r>
        <w:t>c)</w:t>
      </w:r>
      <w:r>
        <w:tab/>
        <w:t>þeir eru fjármagnaðir að mestu leyti af ríkis-, svæðis- eða staðaryfirvöldum eða öðrum aðilum sem heyra undir opinberan rétt, starfsemi þeirra er undir eftirliti slíkra yfirvalda eða aðila eða þeir hafa stjórn, framkvæmdastjórn eða eftirlitsstjórn þar sem meirihluti stjórnarmanna er skipaður af ríkis-, svæðis- eða staðaryfirvöldum eða öðrum aðilum sem heyra undir opinberan rétt,</w:t>
      </w:r>
    </w:p>
    <w:p w14:paraId="4BEF5CE6" w14:textId="77777777" w:rsidR="00900A3D" w:rsidRDefault="000E1836" w:rsidP="00ED5ADB">
      <w:pPr>
        <w:pStyle w:val="NumberedText"/>
        <w:tabs>
          <w:tab w:val="right" w:pos="239"/>
        </w:tabs>
        <w:spacing w:after="330"/>
        <w:ind w:left="383" w:hanging="383"/>
      </w:pPr>
      <w:r>
        <w:tab/>
        <w:t>19)</w:t>
      </w:r>
      <w:r>
        <w:tab/>
        <w:t>„opinbert fyrirtæki“: hvert það fyrirtæki þar sem opinberir aðilar geta haft ráðandi áhrif, beint eða óbeint, vegna eignarhalds, fjárhagslegrar þátttöku eða reglna sem gilda um fyrirtækið; að því er varðar þessa skilgreiningu skulu ráðandi áhrif opinberra aðila teljast vera fyrir hendi í sérhverju eftirfarandi tilvika, þar sem þeir aðilar, beint eða óbeint:</w:t>
      </w:r>
    </w:p>
    <w:p w14:paraId="4BEF5CE7" w14:textId="77777777" w:rsidR="00900A3D" w:rsidRDefault="000E1836" w:rsidP="00ED5ADB">
      <w:pPr>
        <w:pStyle w:val="NumberedText"/>
        <w:spacing w:after="330"/>
        <w:ind w:left="677" w:hanging="293"/>
      </w:pPr>
      <w:r>
        <w:t>a)</w:t>
      </w:r>
      <w:r>
        <w:tab/>
        <w:t>eiga meirihluta skráðs hlutafjár í hlutaðeigandi fyrirtæki,</w:t>
      </w:r>
    </w:p>
    <w:p w14:paraId="4BEF5CE8" w14:textId="77777777" w:rsidR="00900A3D" w:rsidRDefault="000E1836" w:rsidP="00ED5ADB">
      <w:pPr>
        <w:pStyle w:val="NumberedText"/>
        <w:spacing w:after="330"/>
        <w:ind w:left="677" w:hanging="293"/>
      </w:pPr>
      <w:r>
        <w:t>b)</w:t>
      </w:r>
      <w:r>
        <w:tab/>
        <w:t>ráða yfir meirihluta atkvæða sem tengjast hlutafjáreign í fyrirtækinu,</w:t>
      </w:r>
    </w:p>
    <w:p w14:paraId="4BEF5CE9" w14:textId="77777777" w:rsidR="00900A3D" w:rsidRDefault="000E1836" w:rsidP="00ED5ADB">
      <w:pPr>
        <w:pStyle w:val="NumberedText"/>
        <w:spacing w:after="330"/>
        <w:ind w:left="677" w:hanging="293"/>
      </w:pPr>
      <w:r>
        <w:t>c)</w:t>
      </w:r>
      <w:r>
        <w:tab/>
        <w:t>hafa rétt til að skipa meira en helming fulltrúa í stjórn, framkvæmdastjórn eða eftirlitsstjórn fyrirtækisins,</w:t>
      </w:r>
    </w:p>
    <w:p w14:paraId="4BEF5CEA" w14:textId="77777777" w:rsidR="00900A3D" w:rsidRDefault="000E1836" w:rsidP="00ED5ADB">
      <w:pPr>
        <w:pStyle w:val="NumberedText"/>
        <w:tabs>
          <w:tab w:val="right" w:pos="239"/>
        </w:tabs>
        <w:spacing w:after="330"/>
        <w:ind w:left="383" w:hanging="383"/>
      </w:pPr>
      <w:r>
        <w:tab/>
        <w:t>20)</w:t>
      </w:r>
      <w:r>
        <w:tab/>
        <w:t xml:space="preserve">„öruggt vinnsluumhverfi“: efnislegt umhverfi eða sýndarumhverfi og </w:t>
      </w:r>
      <w:proofErr w:type="spellStart"/>
      <w:r>
        <w:t>skipulagslegar</w:t>
      </w:r>
      <w:proofErr w:type="spellEnd"/>
      <w:r>
        <w:t xml:space="preserve"> leiðir til að tryggja að farið sé að lögum Sambandsins, s.s. reglugerð (ESB) 2016/679, einkum að því er varðar réttindi skráðra aðila, hugverkaréttindi og viðskiptaleynd og trúnaðarkvaðir, heilleika og aðgengileika hagskýrslna, og að gildandi landslögum og til að gera aðilanum sem býður upp á örugga vinnsluumhverfið kleift að ákveða allar gagnavinnsluaðgerðir og hafa eftirlit með þeim, þ.m.t. sýning, geymsla, niðurhal og útflutningur gagna og útreikningur afleiddra gagna með reiknialgrímum,</w:t>
      </w:r>
    </w:p>
    <w:p w14:paraId="4BEF5CEB" w14:textId="77777777" w:rsidR="00900A3D" w:rsidRDefault="000E1836" w:rsidP="00ED5ADB">
      <w:pPr>
        <w:pStyle w:val="NumberedText"/>
        <w:tabs>
          <w:tab w:val="right" w:pos="239"/>
        </w:tabs>
        <w:spacing w:after="0"/>
        <w:ind w:left="383" w:hanging="383"/>
      </w:pPr>
      <w:r>
        <w:tab/>
        <w:t>21)</w:t>
      </w:r>
      <w:r>
        <w:tab/>
        <w:t xml:space="preserve">„lagalegur fyrirsvarsmaður“: einstaklingur eða lögaðili með staðfestu í Sambandinu sem er sérstaklega tilnefndur til að koma fram fyrir hönd veitanda gagnamilligönguþjónustu eða aðila, sem safnar gögnum í þágu markmiða er varða almannahagsmuni sem einstaklingar eða lögaðilar hafa gert aðgengileg á grundvelli gagnavildar og ekki er með staðfestu í Sambandinu, sem lögbær yfirvöld á sviði gagnamilligönguþjónustu og lögbær yfirvöld sem annast skráningu gagnavildarstofnana geta snúið sér til, til viðbótar við eða í stað veitanda gagnamilligönguþjónustu eða aðilans, að því er varðar skyldur samkvæmt þessari reglugerð, þ.m.t. að því er varðar að hefja mál er varðar framfylgd laga gegn veitanda gagnamilligönguþjónustu eða aðila sem ekki hefur farið að kröfum og sem hefur ekki staðfestu í Sambandinu. </w:t>
      </w:r>
      <w:r>
        <w:br w:type="page"/>
      </w:r>
    </w:p>
    <w:p w14:paraId="4BEF5CEC" w14:textId="77777777" w:rsidR="00900A3D" w:rsidRDefault="000E1836" w:rsidP="00B001B4">
      <w:pPr>
        <w:pStyle w:val="DivisionChapterTI1"/>
        <w:spacing w:line="200" w:lineRule="exact"/>
      </w:pPr>
      <w:r>
        <w:rPr>
          <w:i/>
        </w:rPr>
        <w:lastRenderedPageBreak/>
        <w:t>II. KAFLI</w:t>
      </w:r>
    </w:p>
    <w:p w14:paraId="4BEF5CED" w14:textId="77777777" w:rsidR="00900A3D" w:rsidRPr="00B001B4" w:rsidRDefault="000E1836">
      <w:pPr>
        <w:pStyle w:val="DivisionChapterSTI1"/>
        <w:rPr>
          <w:caps w:val="0"/>
          <w:sz w:val="18"/>
          <w:szCs w:val="18"/>
        </w:rPr>
      </w:pPr>
      <w:r>
        <w:rPr>
          <w:i/>
          <w:caps w:val="0"/>
          <w:sz w:val="18"/>
        </w:rPr>
        <w:t>Endurnotkun á tilteknum flokkum verndaðra gagna í vörslu opinberra aðila</w:t>
      </w:r>
    </w:p>
    <w:p w14:paraId="4BEF5CEE" w14:textId="77777777" w:rsidR="00900A3D" w:rsidRDefault="000E1836">
      <w:pPr>
        <w:pStyle w:val="TIART"/>
      </w:pPr>
      <w:r>
        <w:t>3. gr.</w:t>
      </w:r>
    </w:p>
    <w:p w14:paraId="4BEF5CEF" w14:textId="77777777" w:rsidR="00900A3D" w:rsidRDefault="000E1836">
      <w:pPr>
        <w:pStyle w:val="STIART"/>
      </w:pPr>
      <w:r>
        <w:t>Gagnaflokkar</w:t>
      </w:r>
    </w:p>
    <w:p w14:paraId="4BEF5CF0" w14:textId="77777777" w:rsidR="00900A3D" w:rsidRDefault="000E1836" w:rsidP="00B001B4">
      <w:pPr>
        <w:pStyle w:val="AlineaWithParag"/>
        <w:spacing w:after="250"/>
      </w:pPr>
      <w:r>
        <w:t>1.</w:t>
      </w:r>
      <w:r>
        <w:tab/>
        <w:t>Ákvæði þessa kafla gilda um gögn sem eru í vörslu opinberra aðila og njóta verndar á grundvelli:</w:t>
      </w:r>
    </w:p>
    <w:p w14:paraId="4BEF5CF1" w14:textId="77777777" w:rsidR="00900A3D" w:rsidRDefault="000E1836" w:rsidP="00B001B4">
      <w:pPr>
        <w:pStyle w:val="NumberedText"/>
        <w:spacing w:after="250"/>
        <w:ind w:left="293" w:hanging="293"/>
      </w:pPr>
      <w:r>
        <w:t>a)</w:t>
      </w:r>
      <w:r>
        <w:tab/>
        <w:t>viðskiptaleyndar, þ.m.t. viðskipta-, atvinnu- og fyrirtækjaleyndarmál,</w:t>
      </w:r>
    </w:p>
    <w:p w14:paraId="4BEF5CF2" w14:textId="77777777" w:rsidR="00900A3D" w:rsidRDefault="000E1836" w:rsidP="00B001B4">
      <w:pPr>
        <w:pStyle w:val="NumberedText"/>
        <w:spacing w:after="250"/>
        <w:ind w:left="293" w:hanging="293"/>
      </w:pPr>
      <w:r>
        <w:t>b)</w:t>
      </w:r>
      <w:r>
        <w:tab/>
        <w:t>trúnaðarkvaðar í hagskýrslum,</w:t>
      </w:r>
    </w:p>
    <w:p w14:paraId="4BEF5CF3" w14:textId="77777777" w:rsidR="00900A3D" w:rsidRDefault="000E1836" w:rsidP="00B001B4">
      <w:pPr>
        <w:pStyle w:val="NumberedText"/>
        <w:spacing w:after="250"/>
        <w:ind w:left="293" w:hanging="293"/>
      </w:pPr>
      <w:r>
        <w:t>c)</w:t>
      </w:r>
      <w:r>
        <w:tab/>
        <w:t>verndar hugverkaréttinda þriðja aðila eða</w:t>
      </w:r>
    </w:p>
    <w:p w14:paraId="4BEF5CF4" w14:textId="77777777" w:rsidR="00900A3D" w:rsidRDefault="000E1836" w:rsidP="00B001B4">
      <w:pPr>
        <w:pStyle w:val="NumberedText"/>
        <w:spacing w:after="250"/>
        <w:ind w:left="293" w:hanging="293"/>
      </w:pPr>
      <w:r>
        <w:t>d)</w:t>
      </w:r>
      <w:r>
        <w:tab/>
        <w:t>verndar persónuupplýsinga að svo miklu leyti sem slík gögn falla utan gildissviðs tilskipunar (ESB) 2019/1024.</w:t>
      </w:r>
    </w:p>
    <w:p w14:paraId="4BEF5CF5" w14:textId="77777777" w:rsidR="00900A3D" w:rsidRDefault="000E1836" w:rsidP="00B001B4">
      <w:pPr>
        <w:pStyle w:val="AlineaWithParag"/>
        <w:spacing w:after="250"/>
      </w:pPr>
      <w:r>
        <w:t>2.</w:t>
      </w:r>
      <w:r>
        <w:tab/>
        <w:t>Ákvæði þessa kafla gilda ekki um:</w:t>
      </w:r>
    </w:p>
    <w:p w14:paraId="4BEF5CF6" w14:textId="77777777" w:rsidR="00900A3D" w:rsidRDefault="000E1836" w:rsidP="00B001B4">
      <w:pPr>
        <w:pStyle w:val="NumberedText"/>
        <w:spacing w:after="250"/>
        <w:ind w:left="293" w:hanging="293"/>
      </w:pPr>
      <w:r>
        <w:t>a)</w:t>
      </w:r>
      <w:r>
        <w:tab/>
        <w:t>gögn sem eru í vörslu opinberra fyrirtækja,</w:t>
      </w:r>
    </w:p>
    <w:p w14:paraId="4BEF5CF7" w14:textId="77777777" w:rsidR="00900A3D" w:rsidRDefault="000E1836" w:rsidP="00B001B4">
      <w:pPr>
        <w:pStyle w:val="NumberedText"/>
        <w:spacing w:after="250"/>
        <w:ind w:left="293" w:hanging="293"/>
      </w:pPr>
      <w:r>
        <w:t>b)</w:t>
      </w:r>
      <w:r>
        <w:tab/>
        <w:t>gögn sem eru í vörslu útvarpsrekanda í almannaþágu og dótturfyrirtækja þeirra eða í vörslu annarra stofnana eða dótturfyrirtækja þeirra sem nota þau til að sinna verkefnum á sviði útvarpsþjónustu í almannaþágu,</w:t>
      </w:r>
    </w:p>
    <w:p w14:paraId="4BEF5CF8" w14:textId="77777777" w:rsidR="00900A3D" w:rsidRDefault="000E1836" w:rsidP="00B001B4">
      <w:pPr>
        <w:pStyle w:val="NumberedText"/>
        <w:spacing w:after="250"/>
        <w:ind w:left="293" w:hanging="293"/>
      </w:pPr>
      <w:r>
        <w:t>c)</w:t>
      </w:r>
      <w:r>
        <w:tab/>
        <w:t>gögn sem eru í vörslu menningarstofnana og menntastofnana,</w:t>
      </w:r>
    </w:p>
    <w:p w14:paraId="4BEF5CF9" w14:textId="77777777" w:rsidR="00900A3D" w:rsidRDefault="000E1836" w:rsidP="00B001B4">
      <w:pPr>
        <w:pStyle w:val="NumberedText"/>
        <w:spacing w:after="250"/>
        <w:ind w:left="293" w:hanging="293"/>
      </w:pPr>
      <w:r>
        <w:t>d)</w:t>
      </w:r>
      <w:r>
        <w:tab/>
        <w:t>gögn í vörslu opinberra aðila sem eru vernduð af ástæðum er varða almannaöryggi, landvarnir eða þjóðaröryggi eða</w:t>
      </w:r>
    </w:p>
    <w:p w14:paraId="4BEF5CFA" w14:textId="77777777" w:rsidR="00900A3D" w:rsidRDefault="000E1836" w:rsidP="00B001B4">
      <w:pPr>
        <w:pStyle w:val="NumberedText"/>
        <w:spacing w:after="250"/>
        <w:ind w:left="293" w:hanging="293"/>
      </w:pPr>
      <w:r>
        <w:t>e)</w:t>
      </w:r>
      <w:r>
        <w:tab/>
        <w:t>gögn ef afhending þeirra er utan við starfssvið hlutaðeigandi opinberra aðila eins og það er skilgreint í lögum eða öðrum bindandi reglum í hlutaðeigandi aðildarríki eða, ef slíkar reglur eru ekki til staðar, eins og það er skilgreint í samræmi við almennar stjórnsýsluvenjur í því aðildarríki, að því tilskildu að starfssviðið sé gagnsætt og háð endurskoðun.</w:t>
      </w:r>
    </w:p>
    <w:p w14:paraId="4BEF5CFB" w14:textId="77777777" w:rsidR="00900A3D" w:rsidRDefault="000E1836" w:rsidP="00B001B4">
      <w:pPr>
        <w:pStyle w:val="AlineaWithParag"/>
        <w:spacing w:after="250"/>
      </w:pPr>
      <w:r>
        <w:t>3.</w:t>
      </w:r>
      <w:r>
        <w:tab/>
        <w:t>Þessi kafli er með fyrirvara um:</w:t>
      </w:r>
    </w:p>
    <w:p w14:paraId="4BEF5CFC" w14:textId="77777777" w:rsidR="00900A3D" w:rsidRDefault="000E1836" w:rsidP="00B001B4">
      <w:pPr>
        <w:pStyle w:val="NumberedText"/>
        <w:spacing w:after="250"/>
        <w:ind w:left="293" w:hanging="293"/>
      </w:pPr>
      <w:r>
        <w:t>a)</w:t>
      </w:r>
      <w:r>
        <w:tab/>
        <w:t>lög Sambandsins, landslög og alþjóðasamninga, sem Sambandið eða aðildarríki eru aðilar að, sem taka til verndar gagnaflokkanna sem um getur í 1. mgr. og</w:t>
      </w:r>
    </w:p>
    <w:p w14:paraId="4BEF5CFD" w14:textId="77777777" w:rsidR="00900A3D" w:rsidRDefault="000E1836" w:rsidP="00B001B4">
      <w:pPr>
        <w:pStyle w:val="NumberedText"/>
        <w:spacing w:after="250"/>
        <w:ind w:left="293" w:hanging="293"/>
      </w:pPr>
      <w:r>
        <w:t>b)</w:t>
      </w:r>
      <w:r>
        <w:tab/>
        <w:t>lög Sambandsins og landslög um aðgang að skjölum.</w:t>
      </w:r>
    </w:p>
    <w:p w14:paraId="4BEF5CFE" w14:textId="77777777" w:rsidR="00900A3D" w:rsidRDefault="000E1836">
      <w:pPr>
        <w:pStyle w:val="TIART"/>
      </w:pPr>
      <w:r>
        <w:t>4. gr.</w:t>
      </w:r>
    </w:p>
    <w:p w14:paraId="4BEF5CFF" w14:textId="77777777" w:rsidR="00900A3D" w:rsidRDefault="000E1836">
      <w:pPr>
        <w:pStyle w:val="STIART"/>
      </w:pPr>
      <w:r>
        <w:t>Bann við einkanytjafyrirkomulagi</w:t>
      </w:r>
    </w:p>
    <w:p w14:paraId="4BEF5D00" w14:textId="77777777" w:rsidR="00900A3D" w:rsidRDefault="000E1836" w:rsidP="00B001B4">
      <w:pPr>
        <w:pStyle w:val="AlineaWithParag"/>
        <w:spacing w:after="250"/>
      </w:pPr>
      <w:r>
        <w:t>1.</w:t>
      </w:r>
      <w:r>
        <w:tab/>
        <w:t>Lagt er bann við samningum eða öðrum venjum er varða endurnotkun á gögnum í vörslu opinberra aðila sem innihalda gagnaflokka sem um getur í 1. mgr. 3. gr. og veita einkarétt, eða sem hafa það að markmiði eða þau áhrif að veita slíkan einkarétt eða að takmarka aðgengi aðila, sem ekki eru aðilar að slíkum samningum eða öðrum venjum, að gögnum til endurnotkunar.</w:t>
      </w:r>
    </w:p>
    <w:p w14:paraId="4BEF5D01" w14:textId="77777777" w:rsidR="00900A3D" w:rsidRDefault="000E1836" w:rsidP="00B001B4">
      <w:pPr>
        <w:pStyle w:val="AlineaWithParag"/>
        <w:spacing w:after="250"/>
      </w:pPr>
      <w:r>
        <w:t>2.</w:t>
      </w:r>
      <w:r>
        <w:tab/>
        <w:t>Þrátt fyrir ákvæði 1. mgr. er heimilt að veita einkarétt á endurnotkun gagna sem um getur í þeirri málsgrein að því marki sem nauðsynlegt er til að veita megi þjónustu eða afhenda vöru í almannaþágu sem væri að öðrum kosti ekki mögulegt.</w:t>
      </w:r>
    </w:p>
    <w:p w14:paraId="4BEF5D02" w14:textId="77777777" w:rsidR="00900A3D" w:rsidRDefault="000E1836" w:rsidP="00B001B4">
      <w:pPr>
        <w:pStyle w:val="AlineaWithParag"/>
        <w:spacing w:after="250"/>
      </w:pPr>
      <w:r>
        <w:t>3.</w:t>
      </w:r>
      <w:r>
        <w:tab/>
        <w:t>Einkaréttur eins og um getur í 2. mgr. skal veittur með stjórnvaldsaðgerð eða samningsbundnu fyrirkomulagi í samræmi við gildandi lög Sambandsins eða landslög og í samræmi við meginreglurnar um gagnsæi, jafna meðferð og bann við mismunun.</w:t>
      </w:r>
    </w:p>
    <w:p w14:paraId="4BEF5D03" w14:textId="77777777" w:rsidR="00900A3D" w:rsidRDefault="000E1836" w:rsidP="00B001B4">
      <w:pPr>
        <w:pStyle w:val="AlineaWithParag"/>
        <w:spacing w:after="0"/>
      </w:pPr>
      <w:r>
        <w:t>4.</w:t>
      </w:r>
      <w:r>
        <w:tab/>
        <w:t>Tímalengd einkaréttar á endurnotkun gagna skal ekki vera lengri en 12 mánuðir. Ef samningur er gerður skal gildistími hans vera hinn sami og tímalengd einkaréttarins.</w:t>
      </w:r>
      <w:r>
        <w:br w:type="page"/>
      </w:r>
    </w:p>
    <w:p w14:paraId="4BEF5D04" w14:textId="77777777" w:rsidR="00900A3D" w:rsidRDefault="000E1836" w:rsidP="00B001B4">
      <w:pPr>
        <w:pStyle w:val="AlineaWithParag"/>
        <w:spacing w:after="280"/>
      </w:pPr>
      <w:r>
        <w:lastRenderedPageBreak/>
        <w:t>5.</w:t>
      </w:r>
      <w:r>
        <w:tab/>
        <w:t>Veiting einkaréttar skv. 2., 3. og 4. mgr., þ.m.t. ástæður þess að nauðsynlegt þykir að veita slíkan rétt, skal vera gagnsæ og gerð aðgengileg öllum á netinu á formi sem samræmist viðeigandi kröfum laga Sambandsins um opinber innkaup.</w:t>
      </w:r>
    </w:p>
    <w:p w14:paraId="4BEF5D05" w14:textId="77777777" w:rsidR="00900A3D" w:rsidRDefault="000E1836" w:rsidP="00B001B4">
      <w:pPr>
        <w:pStyle w:val="AlineaWithParag"/>
        <w:spacing w:after="280"/>
      </w:pPr>
      <w:r>
        <w:t>6.</w:t>
      </w:r>
      <w:r>
        <w:tab/>
        <w:t>Samningum eða öðrum venjum sem falla undir gildissvið bannsins sem um getur í 1. mgr., sem uppfylla ekki skilyrðin sem mælt er fyrir um í 2. og 3. mgr. og sem gengið var frá fyrir 23. júní 2022, skal slitið í lok gildandi samnings og eigi síðar en 24. desember 2024.</w:t>
      </w:r>
    </w:p>
    <w:p w14:paraId="4BEF5D06" w14:textId="77777777" w:rsidR="00900A3D" w:rsidRDefault="000E1836" w:rsidP="00B001B4">
      <w:pPr>
        <w:pStyle w:val="TIART"/>
        <w:spacing w:after="280"/>
      </w:pPr>
      <w:r>
        <w:t>5. gr.</w:t>
      </w:r>
    </w:p>
    <w:p w14:paraId="4BEF5D07" w14:textId="77777777" w:rsidR="00900A3D" w:rsidRDefault="000E1836" w:rsidP="00B001B4">
      <w:pPr>
        <w:pStyle w:val="STIART"/>
        <w:spacing w:after="280"/>
      </w:pPr>
      <w:r>
        <w:t>Skilyrði fyrir endurnotkun</w:t>
      </w:r>
    </w:p>
    <w:p w14:paraId="4BEF5D08" w14:textId="77777777" w:rsidR="00900A3D" w:rsidRDefault="000E1836" w:rsidP="00B001B4">
      <w:pPr>
        <w:pStyle w:val="AlineaWithParag"/>
        <w:spacing w:after="280"/>
      </w:pPr>
      <w:r>
        <w:t>1.</w:t>
      </w:r>
      <w:r>
        <w:tab/>
        <w:t xml:space="preserve">Opinberir aðilar, sem eru þar til bærir samkvæmt landslögum til að veita eða synja um aðgang til endurnotkunar á einum eða fleiri flokkum gagna sem um getur í 1. mgr. 3. gr., skulu gera skilyrðin fyrir því að slík endurnotkun sé heimiluð og málsmeðferðina við að óska eftir endurnotkun í gegnum miðlægu upplýsingamiðstöðina sem um getur í 8. gr., öllum aðgengileg. Þeir geta notið aðstoðar þar til bæru aðilanna, sem um getur í 1. mgr. 7. gr., við veitingu eða synjun um aðgang til endurnotkunar. </w:t>
      </w:r>
    </w:p>
    <w:p w14:paraId="4BEF5D09" w14:textId="77777777" w:rsidR="00900A3D" w:rsidRDefault="000E1836" w:rsidP="00B001B4">
      <w:pPr>
        <w:pStyle w:val="Alinea"/>
        <w:spacing w:after="280"/>
      </w:pPr>
      <w:r>
        <w:t>Aðildarríkin skulu tryggja að opinberir aðilar hafi nauðsynleg úrræði til að fara að þessari grein.</w:t>
      </w:r>
    </w:p>
    <w:p w14:paraId="4BEF5D0A" w14:textId="77777777" w:rsidR="00900A3D" w:rsidRDefault="000E1836" w:rsidP="00B001B4">
      <w:pPr>
        <w:pStyle w:val="AlineaWithParag"/>
        <w:spacing w:after="280"/>
      </w:pPr>
      <w:r>
        <w:t>2.</w:t>
      </w:r>
      <w:r>
        <w:tab/>
        <w:t>Skilyrði fyrir endurnotkun skulu vera án mismununar, gagnsæ, hófleg og rökstudd á hlutlægan hátt með tilliti til gagnaflokka, tilgangs endurnotkunar og eðlis þeirra gagna sem endurnotkun er heimiluð á. Ekki skal nota þessi skilyrði til að takmarka samkeppni.</w:t>
      </w:r>
    </w:p>
    <w:p w14:paraId="4BEF5D0B" w14:textId="77777777" w:rsidR="00900A3D" w:rsidRDefault="000E1836" w:rsidP="00B001B4">
      <w:pPr>
        <w:pStyle w:val="AlineaWithParag"/>
        <w:spacing w:after="280"/>
      </w:pPr>
      <w:r>
        <w:t>3.</w:t>
      </w:r>
      <w:r>
        <w:tab/>
        <w:t>Opinberir aðilar skulu tryggja, í samræmi við lög Sambandsins og landslög, að eðli gagna sem vernduð gögn sé varðveitt. Þeir geta kveðið á um eftirfarandi kröfur:</w:t>
      </w:r>
    </w:p>
    <w:p w14:paraId="4BEF5D0C" w14:textId="77777777" w:rsidR="00900A3D" w:rsidRDefault="000E1836" w:rsidP="00B001B4">
      <w:pPr>
        <w:pStyle w:val="NumberedText"/>
        <w:spacing w:after="280"/>
        <w:ind w:left="293" w:hanging="293"/>
      </w:pPr>
      <w:r>
        <w:t>a)</w:t>
      </w:r>
      <w:r>
        <w:tab/>
        <w:t>að aðgangur til endurnotkunar gagna sé aðeins veittur ef opinberi aðilinn eða þar til bæri aðilinn hefur, í kjölfar beiðni um endurnotkun, tryggt:</w:t>
      </w:r>
    </w:p>
    <w:p w14:paraId="4BEF5D0D" w14:textId="77777777" w:rsidR="00900A3D" w:rsidRDefault="000E1836" w:rsidP="00B001B4">
      <w:pPr>
        <w:pStyle w:val="NumberedText"/>
        <w:tabs>
          <w:tab w:val="clear" w:pos="2047"/>
        </w:tabs>
        <w:spacing w:after="280"/>
        <w:ind w:left="597" w:hanging="303"/>
      </w:pPr>
      <w:r>
        <w:t>i.</w:t>
      </w:r>
      <w:r>
        <w:tab/>
        <w:t>að gögnin hafi verið gerð nafnlaus ef um er að ræða persónuupplýsingar og</w:t>
      </w:r>
    </w:p>
    <w:p w14:paraId="4BEF5D0E" w14:textId="77777777" w:rsidR="00900A3D" w:rsidRDefault="000E1836" w:rsidP="00B001B4">
      <w:pPr>
        <w:pStyle w:val="NumberedText"/>
        <w:tabs>
          <w:tab w:val="clear" w:pos="2047"/>
        </w:tabs>
        <w:spacing w:after="280"/>
        <w:ind w:left="597" w:hanging="303"/>
      </w:pPr>
      <w:r>
        <w:t>ii.</w:t>
      </w:r>
      <w:r>
        <w:tab/>
        <w:t>að gögnunum hafi verið breytt, þau hópuð eða meðhöndluð með annarri aðferð til að hindra rekjanleika ef um er að ræða upplýsingar sem viðskiptaleynd hvílir á, þ.m.t. viðskiptaleyndarmál eða efni sem er verndað af hugverkaréttindum,</w:t>
      </w:r>
    </w:p>
    <w:p w14:paraId="4BEF5D0F" w14:textId="77777777" w:rsidR="00900A3D" w:rsidRDefault="000E1836" w:rsidP="00B001B4">
      <w:pPr>
        <w:pStyle w:val="NumberedText"/>
        <w:spacing w:after="280"/>
        <w:ind w:left="293" w:hanging="293"/>
      </w:pPr>
      <w:r>
        <w:t>b)</w:t>
      </w:r>
      <w:r>
        <w:tab/>
        <w:t>að aðgangur að gögnunum og endurnotkun á þeim fari fram úr fjarlægð í öruggu vinnsluumhverfi sem opinberi aðilinn lætur í té eða stjórnar,</w:t>
      </w:r>
    </w:p>
    <w:p w14:paraId="4BEF5D10" w14:textId="77777777" w:rsidR="00900A3D" w:rsidRDefault="000E1836" w:rsidP="00B001B4">
      <w:pPr>
        <w:pStyle w:val="NumberedText"/>
        <w:spacing w:after="280"/>
        <w:ind w:left="293" w:hanging="293"/>
      </w:pPr>
      <w:r>
        <w:t>c)</w:t>
      </w:r>
      <w:r>
        <w:tab/>
        <w:t xml:space="preserve">að aðgangur að gögnunum og endurnotkun á þeim fari fram í húsnæðinu þar sem örugga vinnsluumhverfið er staðsett og í samræmi við stranga </w:t>
      </w:r>
      <w:proofErr w:type="spellStart"/>
      <w:r>
        <w:t>öryggisstaðla</w:t>
      </w:r>
      <w:proofErr w:type="spellEnd"/>
      <w:r>
        <w:t xml:space="preserve"> ef ekki er unnt að heimila fjaraðgang án þess að stofna réttindum og hagsmunum þriðju aðila í hættu. </w:t>
      </w:r>
    </w:p>
    <w:p w14:paraId="4BEF5D11" w14:textId="77777777" w:rsidR="00900A3D" w:rsidRDefault="000E1836" w:rsidP="00B001B4">
      <w:pPr>
        <w:pStyle w:val="AlineaWithParag"/>
        <w:spacing w:after="280"/>
      </w:pPr>
      <w:r>
        <w:t>4.</w:t>
      </w:r>
      <w:r>
        <w:tab/>
        <w:t xml:space="preserve">Ef endurnotkun er heimiluð í samræmi við b- og </w:t>
      </w:r>
      <w:proofErr w:type="spellStart"/>
      <w:r>
        <w:t>c-lið</w:t>
      </w:r>
      <w:proofErr w:type="spellEnd"/>
      <w:r>
        <w:t xml:space="preserve"> 3. mgr. skulu opinberu aðilarnir setja skilyrði sem vernda heilleika virkni tæknikerfanna í örugga vinnsluumhverfinu sem notað er. Opinberi aðilinn skal áskilja sér rétt til að sannreyna ferlið, aðferðirnar og allar niðurstöður úr vinnslu gagna sem endurnotandi framkvæmir til að varðveita heilleika gagnaverndarinnar og áskilja sér rétt til að banna notkun niðurstaðna er innihalda upplýsingar sem stofna réttindum og hagsmunum þriðju aðila í hættu. Ákvörðun um að banna notkun niðurstaðnanna skal vera skiljanleg og gagnsæ fyrir </w:t>
      </w:r>
      <w:proofErr w:type="spellStart"/>
      <w:r>
        <w:t>endurnotandann</w:t>
      </w:r>
      <w:proofErr w:type="spellEnd"/>
      <w:r>
        <w:t>.</w:t>
      </w:r>
    </w:p>
    <w:p w14:paraId="4BEF5D12" w14:textId="77777777" w:rsidR="00900A3D" w:rsidRDefault="000E1836" w:rsidP="00B001B4">
      <w:pPr>
        <w:pStyle w:val="AlineaWithParag"/>
        <w:spacing w:after="0"/>
      </w:pPr>
      <w:r>
        <w:t>5.</w:t>
      </w:r>
      <w:r>
        <w:tab/>
        <w:t xml:space="preserve">Ef ekki er í landslögum kveðið á um sérstakar verndarráðstafanir varðandi gildandi trúnaðarkvaðir í tengslum við endurnotkun gagna sem um getur í 1. mgr. 3. gr. skal opinberi aðilinn setja það skilyrði fyrir endurnotkun gagna, sem afhent eru í samræmi við 3. mgr. þessarar greinar, að endurnotandi virði trúnaðarskyldu sem bannar birtingu upplýsinga, sem stofna réttindum og hagsmunum þriðju aðila í hættu, sem hann kann að hafa aflað sér þrátt fyrir þær verndarráðstafanir sem gerðar voru.  </w:t>
      </w:r>
      <w:proofErr w:type="spellStart"/>
      <w:r>
        <w:t>Endurnotendum</w:t>
      </w:r>
      <w:proofErr w:type="spellEnd"/>
      <w:r>
        <w:t xml:space="preserve"> skal bannað að tengja aftur við nafn gögn um skráða aðila sem gögnin varða og skulu gera tæknilegar ráðstafanir og rekstrarráðstafanir til að koma í veg fyrir slíkt ásamt því tilkynna opinbera aðilanum um hvers konar </w:t>
      </w:r>
      <w:proofErr w:type="spellStart"/>
      <w:r>
        <w:t>öryggisbrest</w:t>
      </w:r>
      <w:proofErr w:type="spellEnd"/>
      <w:r>
        <w:t xml:space="preserve"> sem verður til þess að gögn um hlutaðeigandi skráða aðila eru tengd aftur við nafn.  Ef óheimil endurnotkun á ópersónulegum upplýsingum á sér stað skal </w:t>
      </w:r>
      <w:proofErr w:type="spellStart"/>
      <w:r>
        <w:t>endurnotandinn</w:t>
      </w:r>
      <w:proofErr w:type="spellEnd"/>
      <w:r>
        <w:t xml:space="preserve"> tafarlaust, og eftir því sem við á með aðstoð opinbera aðilans, upplýsa þá lögaðila sem gætu átt réttinda og hagsmuna að gæta.</w:t>
      </w:r>
      <w:r>
        <w:br w:type="page"/>
      </w:r>
    </w:p>
    <w:p w14:paraId="4BEF5D13" w14:textId="77777777" w:rsidR="00900A3D" w:rsidRDefault="000E1836" w:rsidP="00B001B4">
      <w:pPr>
        <w:pStyle w:val="AlineaWithParag"/>
        <w:spacing w:after="395"/>
      </w:pPr>
      <w:r>
        <w:lastRenderedPageBreak/>
        <w:t>6.</w:t>
      </w:r>
      <w:r>
        <w:tab/>
        <w:t xml:space="preserve">Ef ekki er hægt að heimila endurnotkun gagna í samræmi við skyldurnar sem mælt er fyrir um í 3. og 4. mgr. þessarar greinar og ekki er lagagrundvöllur fyrir sendingu gagnanna samkvæmt reglugerð (ESB) 2016/679 skal opinberi aðilinn, í samræmi við lög Sambandsins og landslög, leggja sig fram við að aðstoða mögulega </w:t>
      </w:r>
      <w:proofErr w:type="spellStart"/>
      <w:r>
        <w:t>endurnotendur</w:t>
      </w:r>
      <w:proofErr w:type="spellEnd"/>
      <w:r>
        <w:t xml:space="preserve"> við að afla samþykkis skráðu aðilanna eða leyfis þeirra handhafa gagna sem slík endurnotkun kann að hafa áhrif á hvað varðar réttindi þeirra og hagsmuni, þegar því verður við komið án óhóflegrar byrði fyrir opinbera aðilann. Veiti opinberi aðilinn slíka aðstoð getur hann notið aðstoðar þar til bæru aðilanna sem um getur í 1. mgr. 7. gr.</w:t>
      </w:r>
    </w:p>
    <w:p w14:paraId="4BEF5D14" w14:textId="77777777" w:rsidR="00900A3D" w:rsidRDefault="000E1836" w:rsidP="00B001B4">
      <w:pPr>
        <w:pStyle w:val="AlineaWithParag"/>
        <w:spacing w:after="395"/>
      </w:pPr>
      <w:r>
        <w:t>7.</w:t>
      </w:r>
      <w:r>
        <w:tab/>
        <w:t>Endurnotkun gagna er aðeins heimil í samræmi við hugverkarétt. Opinberir aðilar skulu ekki nýta sér rétt höfundar gagnagrunns, sem kveðið er á um í 1. mgr. 7. gr. tilskipunar 96/9/EB til að koma í veg fyrir eða takmarka endurnotkun gagna umfram þau mörk sem þessi reglugerð setur.</w:t>
      </w:r>
    </w:p>
    <w:p w14:paraId="4BEF5D15" w14:textId="77777777" w:rsidR="00900A3D" w:rsidRDefault="000E1836" w:rsidP="00B001B4">
      <w:pPr>
        <w:pStyle w:val="AlineaWithParag"/>
        <w:spacing w:after="395"/>
      </w:pPr>
      <w:r>
        <w:t>8.</w:t>
      </w:r>
      <w:r>
        <w:tab/>
        <w:t>Þegar umbeðin gögn teljast trúnaðarmál samkvæmt lögum Sambandsins eða landslögum um viðskiptaleynd eða trúnaðarkvaðir í hagskýrslum skulu opinberu aðilarnir tryggja að heimild til endurnotkunar valdi því ekki að trúnaðarupplýsingarnar verði birtar nema slík endurnotkun sé heimil í samræmi við 6. mgr.</w:t>
      </w:r>
    </w:p>
    <w:p w14:paraId="4BEF5D16" w14:textId="77777777" w:rsidR="00900A3D" w:rsidRDefault="000E1836" w:rsidP="00B001B4">
      <w:pPr>
        <w:pStyle w:val="AlineaWithParag"/>
        <w:spacing w:after="395"/>
      </w:pPr>
      <w:r>
        <w:t>9.</w:t>
      </w:r>
      <w:r>
        <w:tab/>
        <w:t xml:space="preserve">Ef endurnotandi hefur í hyggju að miðla ópersónulegum upplýsingum, sem njóta verndar á þeim forsendum sem settar eru fram í 1. mgr. 3. gr., til þriðja lands skal hann upplýsa opinbera aðilann um þá fyrirætlan sína að miðla slíkum gögnum og um tilgang slíkrar miðlunar þegar hann fer fram á endurnotkun slíkra gagna. Ef um er að ræða endurnotkun í samræmi við 6. mgr. þessarar greinar skal </w:t>
      </w:r>
      <w:proofErr w:type="spellStart"/>
      <w:r>
        <w:t>endurnotandinn</w:t>
      </w:r>
      <w:proofErr w:type="spellEnd"/>
      <w:r>
        <w:t>, með aðstoð opinbera aðilans eftir því sem við á, upplýsa lögaðilann sem gæti átt réttinda og hagsmuna að gæta um þann ásetning, tilganginn og viðeigandi verndarráðstafanir. Opinberi aðilinn skal ekki heimila endurnotkunina nema lögaðilinn veiti leyfi fyrir miðluninni.</w:t>
      </w:r>
    </w:p>
    <w:p w14:paraId="4BEF5D17" w14:textId="77777777" w:rsidR="00900A3D" w:rsidRDefault="000E1836" w:rsidP="00B001B4">
      <w:pPr>
        <w:pStyle w:val="AlineaWithParag"/>
        <w:spacing w:after="395"/>
      </w:pPr>
      <w:r>
        <w:t>10.</w:t>
      </w:r>
      <w:r>
        <w:tab/>
        <w:t xml:space="preserve">Opinberir aðilar skulu aðeins miðla ópersónulegum trúnaðargögnum eða gögnum sem vernduð eru af hugverkarétti til </w:t>
      </w:r>
      <w:proofErr w:type="spellStart"/>
      <w:r>
        <w:t>endurnotanda</w:t>
      </w:r>
      <w:proofErr w:type="spellEnd"/>
      <w:r>
        <w:t xml:space="preserve">, sem hefur í hyggju að miðla þeim til annars þriðja lands en lands sem tilgreint er í samræmi við 12. mgr., ef </w:t>
      </w:r>
      <w:proofErr w:type="spellStart"/>
      <w:r>
        <w:t>endurnotandinn</w:t>
      </w:r>
      <w:proofErr w:type="spellEnd"/>
      <w:r>
        <w:t xml:space="preserve"> </w:t>
      </w:r>
      <w:proofErr w:type="spellStart"/>
      <w:r>
        <w:t>samningsbindur</w:t>
      </w:r>
      <w:proofErr w:type="spellEnd"/>
      <w:r>
        <w:t xml:space="preserve"> sig til:</w:t>
      </w:r>
    </w:p>
    <w:p w14:paraId="4BEF5D18" w14:textId="77777777" w:rsidR="00900A3D" w:rsidRDefault="000E1836" w:rsidP="00B001B4">
      <w:pPr>
        <w:pStyle w:val="NumberedText"/>
        <w:spacing w:after="395"/>
        <w:ind w:left="293" w:hanging="293"/>
      </w:pPr>
      <w:r>
        <w:t>a)</w:t>
      </w:r>
      <w:r>
        <w:tab/>
        <w:t>að uppfylla þær skyldur sem lagðar eru á í samræmi við 7. og 8. mgr. jafnvel eftir að gögnunum hefur verið miðlað til þriðja landsins og</w:t>
      </w:r>
    </w:p>
    <w:p w14:paraId="4BEF5D19" w14:textId="77777777" w:rsidR="00900A3D" w:rsidRDefault="000E1836" w:rsidP="00B001B4">
      <w:pPr>
        <w:pStyle w:val="NumberedText"/>
        <w:spacing w:after="395"/>
        <w:ind w:left="293" w:hanging="293"/>
      </w:pPr>
      <w:r>
        <w:t>b)</w:t>
      </w:r>
      <w:r>
        <w:tab/>
        <w:t>að viðurkenna lögsögu dómstóla aðildarríkis opinbera aðilans sem sendir gögnin að því er varðar allar deilur sem tengjast framfylgd 7. og 8. mgr.</w:t>
      </w:r>
    </w:p>
    <w:p w14:paraId="4BEF5D1A" w14:textId="77777777" w:rsidR="00900A3D" w:rsidRDefault="000E1836" w:rsidP="00B001B4">
      <w:pPr>
        <w:pStyle w:val="AlineaWithParag"/>
        <w:spacing w:after="395"/>
      </w:pPr>
      <w:r>
        <w:t>11.</w:t>
      </w:r>
      <w:r>
        <w:tab/>
        <w:t xml:space="preserve">Opinberir aðilar skulu, þar sem við á og að því marki sem þeir geta, veita </w:t>
      </w:r>
      <w:proofErr w:type="spellStart"/>
      <w:r>
        <w:t>endurnotendum</w:t>
      </w:r>
      <w:proofErr w:type="spellEnd"/>
      <w:r>
        <w:t xml:space="preserve"> leiðsögn og aðstoð við að uppfylla þær skyldur sem um getur í 10. mgr. þessarar greinar. </w:t>
      </w:r>
    </w:p>
    <w:p w14:paraId="4BEF5D1B" w14:textId="77777777" w:rsidR="00900A3D" w:rsidRDefault="000E1836" w:rsidP="00B001B4">
      <w:pPr>
        <w:pStyle w:val="Alinea"/>
        <w:spacing w:after="395"/>
      </w:pPr>
      <w:r>
        <w:t xml:space="preserve">Til að aðstoða opinbera aðila og </w:t>
      </w:r>
      <w:proofErr w:type="spellStart"/>
      <w:r>
        <w:t>endurnotendur</w:t>
      </w:r>
      <w:proofErr w:type="spellEnd"/>
      <w:r>
        <w:t xml:space="preserve"> er framkvæmdastjórninni heimilt að samþykkja framkvæmdargerðir sem kveða á um fyrirmyndir að samningsákvæðum til að uppfylla þær skyldur sem um getur í 10. mgr. þessarar greinar. Samþykkja skal þessar framkvæmdargerðir í samræmi við rannsóknarmálsmeðferðina sem um getur í 3. mgr. 33. gr.</w:t>
      </w:r>
    </w:p>
    <w:p w14:paraId="4BEF5D1C" w14:textId="77777777" w:rsidR="00900A3D" w:rsidRDefault="000E1836" w:rsidP="00B001B4">
      <w:pPr>
        <w:pStyle w:val="AlineaWithParag"/>
        <w:spacing w:after="395"/>
      </w:pPr>
      <w:r>
        <w:t>12.</w:t>
      </w:r>
      <w:r>
        <w:tab/>
        <w:t>Þegar verulegur fjöldi beiðna í Sambandinu um endurnotkun á ópersónulegum upplýsingum í tilteknum þriðju löndum réttlætir það getur framkvæmdastjórnin samþykkt framkvæmdargerðir þar sem því er lýst yfir að fyrirkomulag laga, eftirlits og framfylgdar í þriðja landi:</w:t>
      </w:r>
    </w:p>
    <w:p w14:paraId="4BEF5D1D" w14:textId="77777777" w:rsidR="00900A3D" w:rsidRDefault="000E1836" w:rsidP="00B001B4">
      <w:pPr>
        <w:pStyle w:val="NumberedText"/>
        <w:spacing w:after="395"/>
        <w:ind w:left="293" w:hanging="293"/>
      </w:pPr>
      <w:r>
        <w:t>a)</w:t>
      </w:r>
      <w:r>
        <w:tab/>
        <w:t>tryggi vernd hugverka og viðskiptaleyndarmála þannig að hún sé í meginatriðum jafngild þeirri vernd sem lög Sambandsins tryggja,</w:t>
      </w:r>
    </w:p>
    <w:p w14:paraId="4BEF5D1E" w14:textId="77777777" w:rsidR="00900A3D" w:rsidRDefault="000E1836" w:rsidP="00B001B4">
      <w:pPr>
        <w:pStyle w:val="NumberedText"/>
        <w:spacing w:after="395"/>
        <w:ind w:left="293" w:hanging="293"/>
      </w:pPr>
      <w:r>
        <w:t>b)</w:t>
      </w:r>
      <w:r>
        <w:tab/>
        <w:t>sé beitt og framfylgt með skilvirkum hætti og</w:t>
      </w:r>
    </w:p>
    <w:p w14:paraId="4BEF5D1F" w14:textId="77777777" w:rsidR="00900A3D" w:rsidRDefault="000E1836" w:rsidP="00B001B4">
      <w:pPr>
        <w:pStyle w:val="NumberedText"/>
        <w:spacing w:after="395"/>
        <w:ind w:left="293" w:hanging="293"/>
      </w:pPr>
      <w:r>
        <w:t>c)</w:t>
      </w:r>
      <w:r>
        <w:tab/>
        <w:t>veiti skilvirka meðferð þegar máli er skotið til dómstóla.</w:t>
      </w:r>
    </w:p>
    <w:p w14:paraId="4BEF5D20" w14:textId="77777777" w:rsidR="00900A3D" w:rsidRDefault="000E1836" w:rsidP="00B001B4">
      <w:pPr>
        <w:pStyle w:val="Alinea"/>
        <w:spacing w:after="0"/>
      </w:pPr>
      <w:r>
        <w:t>Samþykkja skal þessar framkvæmdargerðir í samræmi við rannsóknarmálsmeðferðina sem um getur í 3. mgr. 33. gr.</w:t>
      </w:r>
      <w:r>
        <w:br w:type="page"/>
      </w:r>
    </w:p>
    <w:p w14:paraId="4BEF5D21" w14:textId="77777777" w:rsidR="00900A3D" w:rsidRDefault="000E1836" w:rsidP="00B001B4">
      <w:pPr>
        <w:pStyle w:val="AlineaWithParag"/>
        <w:spacing w:after="305"/>
      </w:pPr>
      <w:r>
        <w:lastRenderedPageBreak/>
        <w:t>13.</w:t>
      </w:r>
      <w:r>
        <w:tab/>
        <w:t>Í sértækum lagagerðum Sambandsins kunna tilteknir flokkar ópersónulegra upplýsinga í vörslu opinberra aðila að vera metnir sem mjög viðkvæmir að því er varðar þessa grein, ef miðlun þeirra til þriðju landa kann að stofna markmiðum opinberrar stefnu Sambandsins í hættu, s.s. öryggi og lýðheilsu, eða leiða til hættu á að ópersónuleg gögn, sem gerð hafa verið nafnlaus, séu tengd aftur við nafn. Þegar slík gerð er samþykkt skal framkvæmdastjórnin samþykkja framseldar gerðir í samræmi við 32. gr. til að bæta við þessa reglugerð með því að mæla fyrir um sérstök skilyrði sem gilda um miðlun slíkra gagna til þriðju landa.</w:t>
      </w:r>
    </w:p>
    <w:p w14:paraId="4BEF5D22" w14:textId="77777777" w:rsidR="00900A3D" w:rsidRDefault="000E1836" w:rsidP="00B001B4">
      <w:pPr>
        <w:pStyle w:val="Alinea"/>
        <w:spacing w:after="305"/>
      </w:pPr>
      <w:r>
        <w:t>Þessi sérstöku skilyrði skulu byggjast á eðli þeirra flokka ópersónulegra upplýsinga sem tilgreindir eru í þessari sértæku lagagerð Sambandsins og á forsendunum sem liggja til grundvallar því að meta þessa flokka sem mjög viðkvæma, að teknu tilliti til hættunnar á því að hægt sé að tengja ópersónuleg gögn, sem gerð hafa verið nafnlaus, aftur við nafn. Þau skulu vera án mismununar og takmarkast við það sem er nauðsynlegt til að ná þeim markmiðum opinberrar stefnu Sambandsins sem eru tilgreind í þeirri gerð í samræmi við alþjóðlegar skuldbindingar Sambandsins.</w:t>
      </w:r>
    </w:p>
    <w:p w14:paraId="4BEF5D23" w14:textId="77777777" w:rsidR="00900A3D" w:rsidRDefault="000E1836" w:rsidP="00B001B4">
      <w:pPr>
        <w:pStyle w:val="Alinea"/>
        <w:spacing w:after="305"/>
      </w:pPr>
      <w:r>
        <w:t>Ef sértæk lagagerð Sambandsins, eins og um getur í fyrstu undirgrein, krefst þess geta slík sérstök skilyrði falið í sér skilmála varðandi miðlun eða tæknilegar ráðstafanir að því er þetta varðar, takmarkanir að því er varðar endurnotkun gagna í þriðju löndum eða flokka einstaklinga sem hafa heimild til að miðla slíkum gögnum til þriðju landa eða, í undantekningartilvikum, takmarkanir á miðlun til þriðju landa.</w:t>
      </w:r>
    </w:p>
    <w:p w14:paraId="4BEF5D24" w14:textId="77777777" w:rsidR="00900A3D" w:rsidRDefault="000E1836" w:rsidP="00B001B4">
      <w:pPr>
        <w:pStyle w:val="AlineaWithParag"/>
        <w:spacing w:after="305"/>
      </w:pPr>
      <w:r>
        <w:t>14.</w:t>
      </w:r>
      <w:r>
        <w:tab/>
        <w:t>Einstaklingi eða lögaðila, sem veittur hefur verið réttur til að endurnota ópersónulegar upplýsingar, er einungis heimilt að miðla gögnunum til þriðju landa sem uppfylla kröfur 10., 12. og 13. mgr.</w:t>
      </w:r>
    </w:p>
    <w:p w14:paraId="4BEF5D25" w14:textId="77777777" w:rsidR="00900A3D" w:rsidRDefault="000E1836">
      <w:pPr>
        <w:pStyle w:val="TIART"/>
      </w:pPr>
      <w:r>
        <w:t>6. gr.</w:t>
      </w:r>
    </w:p>
    <w:p w14:paraId="4BEF5D26" w14:textId="77777777" w:rsidR="00900A3D" w:rsidRDefault="000E1836">
      <w:pPr>
        <w:pStyle w:val="STIART"/>
      </w:pPr>
      <w:r>
        <w:t>Gjöld</w:t>
      </w:r>
    </w:p>
    <w:p w14:paraId="4BEF5D27" w14:textId="77777777" w:rsidR="00900A3D" w:rsidRDefault="000E1836" w:rsidP="00B001B4">
      <w:pPr>
        <w:pStyle w:val="AlineaWithParag"/>
        <w:spacing w:after="305"/>
      </w:pPr>
      <w:r>
        <w:t>1.</w:t>
      </w:r>
      <w:r>
        <w:tab/>
        <w:t>Opinberir aðilar, sem heimila endurnotkun á þeim flokkum gagna er um getur í 1. mgr. 3. gr., mega taka gjald fyrir að heimila endurnotkun slíkra gagna.</w:t>
      </w:r>
    </w:p>
    <w:p w14:paraId="4BEF5D28" w14:textId="77777777" w:rsidR="00900A3D" w:rsidRDefault="000E1836" w:rsidP="00B001B4">
      <w:pPr>
        <w:pStyle w:val="AlineaWithParag"/>
        <w:spacing w:after="305"/>
      </w:pPr>
      <w:r>
        <w:t>2.</w:t>
      </w:r>
      <w:r>
        <w:tab/>
        <w:t>Öll gjöld, sem tekin eru skv. 1. mgr. skulu vera gagnsæ, án mismununar, hófleg og rökstudd á hlutlægan hátt og skulu ekki hamla samkeppni.</w:t>
      </w:r>
    </w:p>
    <w:p w14:paraId="4BEF5D29" w14:textId="77777777" w:rsidR="00900A3D" w:rsidRDefault="000E1836" w:rsidP="00B001B4">
      <w:pPr>
        <w:pStyle w:val="AlineaWithParag"/>
        <w:spacing w:after="305"/>
      </w:pPr>
      <w:r>
        <w:t>3.</w:t>
      </w:r>
      <w:r>
        <w:tab/>
        <w:t>Opinberir aðilar skulu tryggja að einnig sé unnt að greiða öll gjöld á netinu í gegnum greiðsluþjónustu yfir landamæri sem er aðgengileg víða, án mismununar á grundvelli staðfestustaðar greiðsluþjónustuveitandans, útgáfustaðar greiðslumiðilsins eða staðsetningar greiðslureikningsins í Sambandinu.</w:t>
      </w:r>
    </w:p>
    <w:p w14:paraId="4BEF5D2A" w14:textId="77777777" w:rsidR="00900A3D" w:rsidRDefault="000E1836" w:rsidP="00B001B4">
      <w:pPr>
        <w:pStyle w:val="AlineaWithParag"/>
        <w:spacing w:after="305"/>
      </w:pPr>
      <w:r>
        <w:t>4.</w:t>
      </w:r>
      <w:r>
        <w:tab/>
        <w:t xml:space="preserve">Taki opinberir aðilar gjald skulu þeir gera ráðstafanir til að hvetja til endurnotkunar, sem er ekki í viðskiptalegum tilgangi, á þeim flokkum gagna sem um getur í 1. mgr. 3. gr., s.s. í þágu vísindarannsókna og af hálfu lítilla og meðalstórra fyrirtækja og sprotafyrirtækja í samræmi við reglur um ríkisaðstoð. Í því tilliti geta opinberir aðilar einnig gert gögnin aðgengileg gegn lægra gjaldi eða án endurgjalds, einkum fyrir lítil og meðalstór fyrirtæki og sprotafyrirtæki, borgaralegt samfélag og menntastofnanir. Í þessu skyni geta opinberir aðilar tekið saman skrá yfir þá flokka </w:t>
      </w:r>
      <w:proofErr w:type="spellStart"/>
      <w:r>
        <w:t>endurnotenda</w:t>
      </w:r>
      <w:proofErr w:type="spellEnd"/>
      <w:r>
        <w:t xml:space="preserve"> sem hafa aðgang að gögnum til endurnotkunar gegn lægra gjaldi eða endurgjaldslaust. Birta ætti skrána ásamt viðmiðununum sem notaðar voru við gerð hennar.</w:t>
      </w:r>
    </w:p>
    <w:p w14:paraId="4BEF5D2B" w14:textId="77777777" w:rsidR="00900A3D" w:rsidRDefault="000E1836" w:rsidP="00B001B4">
      <w:pPr>
        <w:pStyle w:val="AlineaWithParag"/>
        <w:spacing w:after="305"/>
      </w:pPr>
      <w:r>
        <w:t>5.</w:t>
      </w:r>
      <w:r>
        <w:tab/>
        <w:t>Öll gjöld skulu reiknuð út frá kostnaði við framkvæmd málsmeðferðar vegna beiðna um endurnotkun gagnaflokkanna sem um getur í 1. mgr. 3. gr. og takmarkast við nauðsynlegan kostnað í tengslum við:</w:t>
      </w:r>
    </w:p>
    <w:p w14:paraId="4BEF5D2C" w14:textId="77777777" w:rsidR="00900A3D" w:rsidRDefault="000E1836" w:rsidP="00B001B4">
      <w:pPr>
        <w:pStyle w:val="NumberedText"/>
        <w:spacing w:after="305"/>
        <w:ind w:left="293" w:hanging="293"/>
      </w:pPr>
      <w:r>
        <w:t>a)</w:t>
      </w:r>
      <w:r>
        <w:tab/>
        <w:t>fjölföldun, afhendingu og dreifingu gagna,</w:t>
      </w:r>
    </w:p>
    <w:p w14:paraId="4BEF5D2D" w14:textId="77777777" w:rsidR="00900A3D" w:rsidRDefault="000E1836" w:rsidP="00B001B4">
      <w:pPr>
        <w:pStyle w:val="NumberedText"/>
        <w:spacing w:after="305"/>
        <w:ind w:left="293" w:hanging="293"/>
      </w:pPr>
      <w:r>
        <w:t>b)</w:t>
      </w:r>
      <w:r>
        <w:tab/>
        <w:t>afgreiðslu réttindamála,</w:t>
      </w:r>
    </w:p>
    <w:p w14:paraId="4BEF5D2E" w14:textId="77777777" w:rsidR="00900A3D" w:rsidRDefault="000E1836" w:rsidP="00B001B4">
      <w:pPr>
        <w:pStyle w:val="NumberedText"/>
        <w:spacing w:after="305"/>
        <w:ind w:left="293" w:hanging="293"/>
      </w:pPr>
      <w:r>
        <w:t>c)</w:t>
      </w:r>
      <w:r>
        <w:tab/>
        <w:t>að gera gögn nafnlaus eða annars konar undirbúning persónuupplýsinga og gagna sem viðskiptaleynd hvílir á eins og kveðið er á um í 3. mgr. 5. gr.,</w:t>
      </w:r>
    </w:p>
    <w:p w14:paraId="4BEF5D2F" w14:textId="77777777" w:rsidR="00900A3D" w:rsidRDefault="000E1836" w:rsidP="00B001B4">
      <w:pPr>
        <w:pStyle w:val="NumberedText"/>
        <w:spacing w:after="305"/>
        <w:ind w:left="293" w:hanging="293"/>
      </w:pPr>
      <w:r>
        <w:t>d)</w:t>
      </w:r>
      <w:r>
        <w:tab/>
        <w:t>að viðhalda örugga vinnsluumhverfinu,</w:t>
      </w:r>
    </w:p>
    <w:p w14:paraId="4BEF5D30" w14:textId="77777777" w:rsidR="00900A3D" w:rsidRDefault="000E1836" w:rsidP="00B001B4">
      <w:pPr>
        <w:pStyle w:val="NumberedText"/>
        <w:spacing w:after="305"/>
        <w:ind w:left="293" w:hanging="293"/>
      </w:pPr>
      <w:r>
        <w:t>e)</w:t>
      </w:r>
      <w:r>
        <w:tab/>
        <w:t>að afla réttar til að heimila endurnotkun í samræmi við þennan kafla af hálfu þriðju aðila utan opinbera geirans og</w:t>
      </w:r>
    </w:p>
    <w:p w14:paraId="4BEF5D31" w14:textId="77777777" w:rsidR="00900A3D" w:rsidRDefault="000E1836" w:rsidP="00B001B4">
      <w:pPr>
        <w:pStyle w:val="NumberedText"/>
        <w:spacing w:after="0"/>
        <w:ind w:left="293" w:hanging="293"/>
      </w:pPr>
      <w:r>
        <w:lastRenderedPageBreak/>
        <w:t>f)</w:t>
      </w:r>
      <w:r>
        <w:tab/>
        <w:t xml:space="preserve">að aðstoða </w:t>
      </w:r>
      <w:proofErr w:type="spellStart"/>
      <w:r>
        <w:t>endurnotendur</w:t>
      </w:r>
      <w:proofErr w:type="spellEnd"/>
      <w:r>
        <w:t xml:space="preserve"> við að afla samþykkis skráðra aðila og leyfis þeirra handhafa gagna sem slík endurnotkun kann að hafa áhrif á að því er varðar réttindi þeirra og hagsmuni.</w:t>
      </w:r>
      <w:r>
        <w:br w:type="page"/>
      </w:r>
    </w:p>
    <w:p w14:paraId="4BEF5D32" w14:textId="77777777" w:rsidR="00900A3D" w:rsidRDefault="000E1836" w:rsidP="00B001B4">
      <w:pPr>
        <w:pStyle w:val="AlineaWithParag"/>
        <w:spacing w:after="350"/>
      </w:pPr>
      <w:r>
        <w:lastRenderedPageBreak/>
        <w:t>6.</w:t>
      </w:r>
      <w:r>
        <w:tab/>
        <w:t>Aðildarríkin skulu mæla fyrir um og birta viðmiðanir og aðferðafræði við að reikna út gjöld. Opinberi aðilinn skal birta lýsingu á helstu kostnaðarflokkum og reglurnar sem notaðar eru við skiptingu kostnaðarins.</w:t>
      </w:r>
    </w:p>
    <w:p w14:paraId="4BEF5D33" w14:textId="77777777" w:rsidR="00900A3D" w:rsidRDefault="000E1836">
      <w:pPr>
        <w:pStyle w:val="TIART"/>
      </w:pPr>
      <w:r>
        <w:t>7. gr.</w:t>
      </w:r>
    </w:p>
    <w:p w14:paraId="4BEF5D34" w14:textId="77777777" w:rsidR="00900A3D" w:rsidRDefault="000E1836">
      <w:pPr>
        <w:pStyle w:val="STIART"/>
      </w:pPr>
      <w:r>
        <w:t>Þar til bærir aðilar</w:t>
      </w:r>
    </w:p>
    <w:p w14:paraId="4BEF5D35" w14:textId="77777777" w:rsidR="00900A3D" w:rsidRDefault="000E1836" w:rsidP="00B001B4">
      <w:pPr>
        <w:pStyle w:val="AlineaWithParag"/>
        <w:spacing w:after="350"/>
      </w:pPr>
      <w:r>
        <w:t>1.</w:t>
      </w:r>
      <w:r>
        <w:tab/>
        <w:t>Til að sinna þeim verkefnum sem um getur í þessari grein skal sérhvert aðildarríki tilnefna einn eða fleiri þar til bæra aðila, sem geta verið þar til bærir fyrir ákveðna geira, til að aðstoða þá opinberu aðila sem veita eða synja um aðgang til endurnotkunar á þeim flokkum gagna sem um getur í 1. mgr. 3. gr. Aðildarríki geta annaðhvort komið á fót einum eða fleiri nýjum, þar til bærum aðilum eða reitt sig á opinbera aðila sem fyrir eru eða á innri þjónustu opinberra aðila sem uppfylla skilyrðin sem mælt er fyrir um í þessari reglugerð.</w:t>
      </w:r>
    </w:p>
    <w:p w14:paraId="4BEF5D36" w14:textId="77777777" w:rsidR="00900A3D" w:rsidRDefault="000E1836" w:rsidP="00B001B4">
      <w:pPr>
        <w:pStyle w:val="AlineaWithParag"/>
        <w:spacing w:after="350"/>
      </w:pPr>
      <w:r>
        <w:t>2.</w:t>
      </w:r>
      <w:r>
        <w:tab/>
        <w:t>Fela má þar til bæru aðilunum vald til að veita aðgang til endurnotkunar á þeim gagnaflokkum sem um getur í 1. mgr. 3. gr. samkvæmt lögum Sambandsins eða landslögum sem kveða á um að veita skuli slíkan aðgang.  Ákvæði 4., 5., 6. og 9. gr. skulu gilda um þessa þar til bæru aðila þegar þeir veita eða synja um aðgang til endurnotkunar.</w:t>
      </w:r>
    </w:p>
    <w:p w14:paraId="4BEF5D37" w14:textId="77777777" w:rsidR="00900A3D" w:rsidRDefault="000E1836" w:rsidP="00B001B4">
      <w:pPr>
        <w:pStyle w:val="AlineaWithParag"/>
        <w:spacing w:after="350"/>
      </w:pPr>
      <w:r>
        <w:t>3.</w:t>
      </w:r>
      <w:r>
        <w:tab/>
        <w:t>Þar til bæru aðilarnir skulu hafa fullnægjandi lagaleg, fjárhagsleg og tæknileg úrræði ásamt mannauði til að inna af hendi þau verkefni sem þeim eru falin, þ.m.t. nauðsynlega tækniþekkingu til að geta farið að viðeigandi lögum Sambandsins eða landslögum að því er varðar aðgangsfyrirkomulag fyrir þá flokka gagna sem um getur í 1. mgr. 3. gr.</w:t>
      </w:r>
    </w:p>
    <w:p w14:paraId="4BEF5D38" w14:textId="77777777" w:rsidR="00900A3D" w:rsidRDefault="000E1836" w:rsidP="00B001B4">
      <w:pPr>
        <w:pStyle w:val="AlineaWithParag"/>
        <w:spacing w:after="350"/>
      </w:pPr>
      <w:r>
        <w:t>4.</w:t>
      </w:r>
      <w:r>
        <w:tab/>
        <w:t>Aðstoðin sem kveðið er á um í 1. mgr. skal, ef nauðsyn krefur, m.a. felast í því:</w:t>
      </w:r>
    </w:p>
    <w:p w14:paraId="4BEF5D39" w14:textId="77777777" w:rsidR="00900A3D" w:rsidRDefault="000E1836" w:rsidP="00B001B4">
      <w:pPr>
        <w:pStyle w:val="NumberedText"/>
        <w:spacing w:after="350"/>
        <w:ind w:left="293" w:hanging="293"/>
      </w:pPr>
      <w:r>
        <w:t>a)</w:t>
      </w:r>
      <w:r>
        <w:tab/>
        <w:t>að veita tæknilegan stuðning með því að gera tiltækt öruggt vinnsluumhverfi til að veita aðgang til endurnotkunar gagna,</w:t>
      </w:r>
    </w:p>
    <w:p w14:paraId="4BEF5D3A" w14:textId="77777777" w:rsidR="00900A3D" w:rsidRDefault="000E1836" w:rsidP="00B001B4">
      <w:pPr>
        <w:pStyle w:val="NumberedText"/>
        <w:spacing w:after="350"/>
        <w:ind w:left="293" w:hanging="293"/>
      </w:pPr>
      <w:r>
        <w:t>b)</w:t>
      </w:r>
      <w:r>
        <w:tab/>
        <w:t xml:space="preserve">að veita leiðsögn og tæknilegan stuðning varðandi það hvernig best er að haga </w:t>
      </w:r>
      <w:proofErr w:type="spellStart"/>
      <w:r>
        <w:t>gagnaskipan</w:t>
      </w:r>
      <w:proofErr w:type="spellEnd"/>
      <w:r>
        <w:t xml:space="preserve"> og gagnageymslu til að gera gögnin auðveldlega aðgengileg,</w:t>
      </w:r>
    </w:p>
    <w:p w14:paraId="4BEF5D3B" w14:textId="77777777" w:rsidR="00900A3D" w:rsidRDefault="000E1836" w:rsidP="00B001B4">
      <w:pPr>
        <w:pStyle w:val="NumberedText"/>
        <w:spacing w:after="350"/>
        <w:ind w:left="293" w:hanging="293"/>
      </w:pPr>
      <w:r>
        <w:t>c)</w:t>
      </w:r>
      <w:r>
        <w:tab/>
        <w:t xml:space="preserve">að veita tæknilegan stuðning við notkun gerviauðkenna og tryggja gagnavinnslu á þann hátt að leynd, trúnaður, heilleiki og </w:t>
      </w:r>
      <w:proofErr w:type="spellStart"/>
      <w:r>
        <w:t>aðgengileiki</w:t>
      </w:r>
      <w:proofErr w:type="spellEnd"/>
      <w:r>
        <w:t xml:space="preserve"> upplýsinganna í gögnunum, sem heimilt er að endurnota, séu tryggð á skilvirkan hátt, þ.m.t. með tækni til að gera persónuupplýsingar nafnlausar, </w:t>
      </w:r>
      <w:proofErr w:type="spellStart"/>
      <w:r>
        <w:t>gagnahæfingu</w:t>
      </w:r>
      <w:proofErr w:type="spellEnd"/>
      <w:r>
        <w:t xml:space="preserve">, </w:t>
      </w:r>
      <w:proofErr w:type="spellStart"/>
      <w:r>
        <w:t>bælingu</w:t>
      </w:r>
      <w:proofErr w:type="spellEnd"/>
      <w:r>
        <w:t xml:space="preserve"> og </w:t>
      </w:r>
      <w:proofErr w:type="spellStart"/>
      <w:r>
        <w:t>slembiröðun</w:t>
      </w:r>
      <w:proofErr w:type="spellEnd"/>
      <w:r>
        <w:t xml:space="preserve"> eða öðrum nýjustu aðferðum til að vernda friðhelgi einkalífsins, og eyðingu upplýsinga sem viðskiptaleynd hvílir á, þ.m.t. viðskiptaleyndarmál eða efni sem er verndað af hugverkaréttindum,</w:t>
      </w:r>
    </w:p>
    <w:p w14:paraId="4BEF5D3C" w14:textId="77777777" w:rsidR="00900A3D" w:rsidRDefault="000E1836" w:rsidP="00B001B4">
      <w:pPr>
        <w:pStyle w:val="NumberedText"/>
        <w:spacing w:after="350"/>
        <w:ind w:left="293" w:hanging="293"/>
      </w:pPr>
      <w:r>
        <w:t>d)</w:t>
      </w:r>
      <w:r>
        <w:tab/>
        <w:t xml:space="preserve">að aðstoða opinberu aðilana, þar sem við á, við að veita </w:t>
      </w:r>
      <w:proofErr w:type="spellStart"/>
      <w:r>
        <w:t>endurnotendum</w:t>
      </w:r>
      <w:proofErr w:type="spellEnd"/>
      <w:r>
        <w:t xml:space="preserve"> stuðning við að óska eftir samþykki skráðra aðila fyrir endurnotkun eða leyfi frá handhöfum gagna í samræmi við sérstakar ákvarðanir þeirra, þ.m.t. um lögsöguna þar sem fyrirhugað er að gagnavinnslan fari fram, og aðstoða opinberu aðilana við að koma á fót tæknilegum kerfum sem gera kleift að senda samþykkis- eða leyfisbeiðnir frá </w:t>
      </w:r>
      <w:proofErr w:type="spellStart"/>
      <w:r>
        <w:t>endurnotendum</w:t>
      </w:r>
      <w:proofErr w:type="spellEnd"/>
      <w:r>
        <w:t xml:space="preserve"> þar sem það er raunhæft,</w:t>
      </w:r>
    </w:p>
    <w:p w14:paraId="4BEF5D3D" w14:textId="77777777" w:rsidR="00900A3D" w:rsidRDefault="000E1836" w:rsidP="00B001B4">
      <w:pPr>
        <w:pStyle w:val="NumberedText"/>
        <w:spacing w:after="350"/>
        <w:ind w:left="293" w:hanging="293"/>
      </w:pPr>
      <w:r>
        <w:t>e)</w:t>
      </w:r>
      <w:r>
        <w:tab/>
        <w:t>að veita opinberum aðilum aðstoð við að meta hvort samningsbundnar skuldbindingar sem endurnotandi gengst undir skv. 10. mgr. 5. gr. séu fullnægjandi.</w:t>
      </w:r>
    </w:p>
    <w:p w14:paraId="4BEF5D3E" w14:textId="77777777" w:rsidR="00900A3D" w:rsidRDefault="000E1836" w:rsidP="00B001B4">
      <w:pPr>
        <w:pStyle w:val="AlineaWithParag"/>
        <w:spacing w:after="350"/>
      </w:pPr>
      <w:r>
        <w:t>5.</w:t>
      </w:r>
      <w:r>
        <w:tab/>
        <w:t>Sérhvert aðildarríki skal tilkynna framkvæmdastjórninni hvaða þar til bæru aðila það hefur tilnefnt skv. 1. mgr. eigi síðar en 24. september 2023. Það skal einnig tilkynna framkvæmdastjórninni um allar síðari breytingar á þessum þar til bæru aðilum.</w:t>
      </w:r>
    </w:p>
    <w:p w14:paraId="4BEF5D3F" w14:textId="77777777" w:rsidR="00900A3D" w:rsidRDefault="000E1836">
      <w:pPr>
        <w:pStyle w:val="TIART"/>
      </w:pPr>
      <w:r>
        <w:t>8. gr.</w:t>
      </w:r>
    </w:p>
    <w:p w14:paraId="4BEF5D40" w14:textId="77777777" w:rsidR="00900A3D" w:rsidRDefault="000E1836">
      <w:pPr>
        <w:pStyle w:val="STIART"/>
      </w:pPr>
      <w:r>
        <w:t>Miðlægar upplýsingamiðstöðvar</w:t>
      </w:r>
    </w:p>
    <w:p w14:paraId="4BEF5D41" w14:textId="77777777" w:rsidR="00900A3D" w:rsidRDefault="000E1836" w:rsidP="00B001B4">
      <w:pPr>
        <w:pStyle w:val="AlineaWithParag"/>
        <w:spacing w:after="0"/>
      </w:pPr>
      <w:r>
        <w:t>1.</w:t>
      </w:r>
      <w:r>
        <w:tab/>
        <w:t>Aðildarríkin skulu tryggja að allar viðkomandi upplýsingar varðandi beitingu 5. og 6. gr. séu tiltækar og auðveldlega aðgengilegar í gegnum miðlæga upplýsingamiðstöð.  Aðildarríki skulu koma á fót nýrri stofnun eða tilnefna stofnun sem þegar er til staðar sem miðlæga upplýsingamiðstöð. Miðlæga upplýsingamiðstöðin má vera tengd geiratengdum, svæðisbundnum eða staðbundnum upplýsingamiðstöðvum. Miðlæga upplýsingamiðstöðin getur verið sjálfvirk að því tilskildu að opinberi aðilinn tryggi fullnægjandi stuðning.</w:t>
      </w:r>
      <w:r>
        <w:br w:type="page"/>
      </w:r>
    </w:p>
    <w:p w14:paraId="4BEF5D42" w14:textId="77777777" w:rsidR="00900A3D" w:rsidRDefault="000E1836" w:rsidP="00100A86">
      <w:pPr>
        <w:pStyle w:val="AlineaWithParag"/>
        <w:spacing w:after="420"/>
      </w:pPr>
      <w:r>
        <w:lastRenderedPageBreak/>
        <w:t>2.</w:t>
      </w:r>
      <w:r>
        <w:tab/>
        <w:t xml:space="preserve">Miðlæga upplýsingamiðstöðin skal hafa heimild til að taka við fyrirspurnum eða beiðnum um endurnotkun gagnaflokkanna sem um getur í 1. mgr. 3. gr. og skal senda þær, þegar unnt er og viðeigandi, með sjálfvirkum hætti til þar til </w:t>
      </w:r>
      <w:proofErr w:type="spellStart"/>
      <w:r>
        <w:t>bærra</w:t>
      </w:r>
      <w:proofErr w:type="spellEnd"/>
      <w:r>
        <w:t xml:space="preserve"> opinberra aðila eða til þar til bæru aðilanna sem um getur í 1. mgr. 7. gr., ef við á. Miðlæga upplýsingamiðstöðin skal gera tiltæka með rafrænum hætti </w:t>
      </w:r>
      <w:proofErr w:type="spellStart"/>
      <w:r>
        <w:t>leitarbæra</w:t>
      </w:r>
      <w:proofErr w:type="spellEnd"/>
      <w:r>
        <w:t xml:space="preserve"> skrá yfir tilföng með yfirliti yfir allar tiltækar gagnalindir, þ.m.t., ef við á, þær gagnalindir sem tiltækar eru í geiratengdum, svæðisbundnum eða staðbundnum upplýsingamiðstöðvum ásamt viðeigandi upplýsingum sem lýsa tiltækum gögnum, þ.m.t. a.m.k. snið og stærð gagnanna og skilyrðin fyrir endurnotkun þeirra.</w:t>
      </w:r>
    </w:p>
    <w:p w14:paraId="4BEF5D43" w14:textId="77777777" w:rsidR="00900A3D" w:rsidRDefault="000E1836" w:rsidP="00100A86">
      <w:pPr>
        <w:pStyle w:val="AlineaWithParag"/>
        <w:spacing w:after="420"/>
      </w:pPr>
      <w:r>
        <w:t>3.</w:t>
      </w:r>
      <w:r>
        <w:tab/>
        <w:t>Miðlæga upplýsingamiðstöðin getur komið á fót aðskilinni, einfaldaðri og vandlega skráðri upplýsingaleið fyrir lítil og meðalstór fyrirtæki og sprotafyrirtæki, sem mætir þörfum þeirra og getu til að fara fram á endurnotkun gagnaflokkanna sem um getur í 1. mgr. 3. gr.</w:t>
      </w:r>
    </w:p>
    <w:p w14:paraId="4BEF5D44" w14:textId="77777777" w:rsidR="00900A3D" w:rsidRDefault="000E1836" w:rsidP="00100A86">
      <w:pPr>
        <w:pStyle w:val="AlineaWithParag"/>
        <w:spacing w:after="420"/>
      </w:pPr>
      <w:r>
        <w:t>4.</w:t>
      </w:r>
      <w:r>
        <w:tab/>
        <w:t xml:space="preserve">Framkvæmdastjórnin skal koma á fót einum evrópskum aðgangsstað með </w:t>
      </w:r>
      <w:proofErr w:type="spellStart"/>
      <w:r>
        <w:t>leitarbærri</w:t>
      </w:r>
      <w:proofErr w:type="spellEnd"/>
      <w:r>
        <w:t>, rafrænni skrá yfir þau gögn sem tiltæk eru í landsbundnu miðlægu upplýsingamiðstöðvunum og frekari upplýsingum um það hvernig óska má eftir gögnum í gegnum þessa landsbundnu miðlægu upplýsingamiðstöðvar.</w:t>
      </w:r>
    </w:p>
    <w:p w14:paraId="4BEF5D45" w14:textId="77777777" w:rsidR="00900A3D" w:rsidRDefault="000E1836">
      <w:pPr>
        <w:pStyle w:val="TIART"/>
      </w:pPr>
      <w:r>
        <w:t>9. gr.</w:t>
      </w:r>
    </w:p>
    <w:p w14:paraId="4BEF5D46" w14:textId="77777777" w:rsidR="00900A3D" w:rsidRDefault="000E1836">
      <w:pPr>
        <w:pStyle w:val="STIART"/>
      </w:pPr>
      <w:r>
        <w:t>Málsmeðferð vegna beiðna um endurnotkun</w:t>
      </w:r>
    </w:p>
    <w:p w14:paraId="4BEF5D47" w14:textId="77777777" w:rsidR="00900A3D" w:rsidRDefault="000E1836" w:rsidP="00100A86">
      <w:pPr>
        <w:pStyle w:val="AlineaWithParag"/>
        <w:spacing w:after="420"/>
      </w:pPr>
      <w:r>
        <w:t>1.</w:t>
      </w:r>
      <w:r>
        <w:tab/>
        <w:t>Þar til bærir opinberir aðilar eða þar til bæru aðilarnir sem um getur í 1. mgr. 7. gr. skulu taka ákvörðun um beiðni um endurnotkun þeirra gagnaflokka sem um getur í 1. mgr. 3. gr. innan tveggja mánaða frá viðtökudegi beiðninnar nema styttri frestur hafi verið ákveðinn í samræmi við landslög.</w:t>
      </w:r>
    </w:p>
    <w:p w14:paraId="4BEF5D48" w14:textId="77777777" w:rsidR="00900A3D" w:rsidRDefault="000E1836" w:rsidP="00100A86">
      <w:pPr>
        <w:pStyle w:val="Alinea"/>
        <w:spacing w:after="420"/>
      </w:pPr>
      <w:r>
        <w:t>Ef um er að ræða sérlega umfangsmiklar og flóknar beiðnir um endurnotkun má framlengja þetta tveggja mánaða tímabil um allt að 30 daga. Í slíkum tilvikum skulu þar til bæru opinberu aðilarnir eða þar til bæru aðilarnir sem um getur í 1. mgr. 7. gr., tilkynna umsækjandanum svo fljótt sem auðið er að lengri frest þurfi til að framkvæma málsmeðferðina, ásamt ástæðunum fyrir töfinni.</w:t>
      </w:r>
    </w:p>
    <w:p w14:paraId="4BEF5D49" w14:textId="77777777" w:rsidR="00900A3D" w:rsidRDefault="000E1836" w:rsidP="00100A86">
      <w:pPr>
        <w:pStyle w:val="AlineaWithParag"/>
        <w:spacing w:after="420"/>
      </w:pPr>
      <w:r>
        <w:t>2.</w:t>
      </w:r>
      <w:r>
        <w:tab/>
        <w:t xml:space="preserve">Hver sá einstaklingur eða lögaðili sem ákvörðun, sem um getur í 1. mgr., hefur bein áhrif á skal hafa skilvirkan rétt til úrlausnar mála í aðildarríkinu þar sem viðkomandi aðili er staðsettur.  Mæla skal fyrir um slíkan rétt til úrlausnar mála í landslögum og í honum skal felast möguleiki á endurskoðun af hálfu óhlutdrægs aðila með viðeigandi sérþekkingu, s.s. landsbundins samkeppnisyfirvalds, viðeigandi gagnaaðgangsyfirvalds, eftirlitsyfirvaldsins sem komið var á fót í samræmi við reglugerð (ESB) 2016/679 eða innlends dómstóls sem tekur ákvarðanir sem eru bindandi gagnvart opinbera aðilanum eða hlutaðeigandi þar til bærum aðila. </w:t>
      </w:r>
    </w:p>
    <w:p w14:paraId="4BEF5D4A" w14:textId="77777777" w:rsidR="00900A3D" w:rsidRDefault="000E1836" w:rsidP="00100A86">
      <w:pPr>
        <w:pStyle w:val="DivisionChapterTI1"/>
        <w:spacing w:line="200" w:lineRule="exact"/>
      </w:pPr>
      <w:r>
        <w:rPr>
          <w:i/>
        </w:rPr>
        <w:t>III. KAFLI</w:t>
      </w:r>
    </w:p>
    <w:p w14:paraId="4BEF5D4B" w14:textId="77777777" w:rsidR="00900A3D" w:rsidRPr="00100A86" w:rsidRDefault="000E1836">
      <w:pPr>
        <w:pStyle w:val="DivisionChapterSTI1"/>
        <w:rPr>
          <w:caps w:val="0"/>
          <w:sz w:val="18"/>
          <w:szCs w:val="18"/>
        </w:rPr>
      </w:pPr>
      <w:r>
        <w:rPr>
          <w:i/>
          <w:caps w:val="0"/>
          <w:sz w:val="18"/>
        </w:rPr>
        <w:t>Kröfur sem gilda um gagnamilligönguþjónustu</w:t>
      </w:r>
    </w:p>
    <w:p w14:paraId="4BEF5D4C" w14:textId="77777777" w:rsidR="00900A3D" w:rsidRDefault="000E1836">
      <w:pPr>
        <w:pStyle w:val="TIART"/>
      </w:pPr>
      <w:r>
        <w:t>10. gr.</w:t>
      </w:r>
    </w:p>
    <w:p w14:paraId="4BEF5D4D" w14:textId="77777777" w:rsidR="00900A3D" w:rsidRDefault="000E1836">
      <w:pPr>
        <w:pStyle w:val="STIART"/>
      </w:pPr>
      <w:r>
        <w:t>Gagnamilligönguþjónusta</w:t>
      </w:r>
    </w:p>
    <w:p w14:paraId="4BEF5D4E" w14:textId="77777777" w:rsidR="00900A3D" w:rsidRDefault="000E1836" w:rsidP="00100A86">
      <w:pPr>
        <w:pStyle w:val="Alinea"/>
        <w:spacing w:after="420"/>
      </w:pPr>
      <w:r>
        <w:t>Veiting eftirfarandi gagnamilligönguþjónustu skal samræmast 12. gr. og falla undir tilkynningarmálsmeðferð:</w:t>
      </w:r>
    </w:p>
    <w:p w14:paraId="4BEF5D4F" w14:textId="77777777" w:rsidR="00900A3D" w:rsidRDefault="000E1836" w:rsidP="00100A86">
      <w:pPr>
        <w:pStyle w:val="NumberedText"/>
        <w:spacing w:after="420"/>
        <w:ind w:left="293" w:hanging="293"/>
      </w:pPr>
      <w:r>
        <w:t>a)</w:t>
      </w:r>
      <w:r>
        <w:tab/>
        <w:t xml:space="preserve">milligönguþjónustu milli handhafa gagna og hugsanlegra gagnanotenda, þ.m.t. að gera aðgengilegar tæknilegar eða aðrar aðferðir sem gera kleift að veita slíka þjónustu; þessi þjónusta getur falið í sér tvíhliða eða marghliða gagnaskipti eða stofnun </w:t>
      </w:r>
      <w:proofErr w:type="spellStart"/>
      <w:r>
        <w:t>vettvanga</w:t>
      </w:r>
      <w:proofErr w:type="spellEnd"/>
      <w:r>
        <w:t xml:space="preserve"> eða gagnagrunna sem gera kleift að skiptast á gögnum eða nýta þau sameiginlega, ásamt því að koma á fót öðru sérstöku grunnvirki til að tengja handhafa gagna við gagnanotendur,</w:t>
      </w:r>
    </w:p>
    <w:p w14:paraId="4BEF5D50" w14:textId="77777777" w:rsidR="00900A3D" w:rsidRDefault="000E1836" w:rsidP="00100A86">
      <w:pPr>
        <w:pStyle w:val="NumberedText"/>
        <w:spacing w:after="420"/>
        <w:ind w:left="293" w:hanging="293"/>
      </w:pPr>
      <w:r>
        <w:t>b)</w:t>
      </w:r>
      <w:r>
        <w:tab/>
        <w:t>milligönguþjónustu milli skráðra aðila sem óska eftir að gera persónuupplýsingar sínar aðgengilegar eða einstaklinga sem óska eftir að gera ópersónulegar upplýsingar sínar aðgengilegar og mögulegra gagnanotenda, þ.m.t. að gera aðgengilegar tæknilegar eða aðrar aðferðir sem gera kleift að veita slíka þjónustu, og einkum að gera skráðum aðilum kleift að neyta réttar síns sem kveðið er á um í reglugerð (ESB) 2016/679,</w:t>
      </w:r>
    </w:p>
    <w:p w14:paraId="4BEF5D51" w14:textId="77777777" w:rsidR="00900A3D" w:rsidRDefault="000E1836" w:rsidP="00100A86">
      <w:pPr>
        <w:pStyle w:val="NumberedText"/>
        <w:spacing w:after="0"/>
        <w:ind w:left="293" w:hanging="293"/>
      </w:pPr>
      <w:r>
        <w:lastRenderedPageBreak/>
        <w:t>c)</w:t>
      </w:r>
      <w:r>
        <w:tab/>
        <w:t>þjónustu gagnasamvinnufélaga.</w:t>
      </w:r>
      <w:r>
        <w:br w:type="page"/>
      </w:r>
    </w:p>
    <w:p w14:paraId="4BEF5D52" w14:textId="77777777" w:rsidR="00900A3D" w:rsidRDefault="000E1836">
      <w:pPr>
        <w:pStyle w:val="TIART"/>
      </w:pPr>
      <w:r>
        <w:lastRenderedPageBreak/>
        <w:t>11. gr.</w:t>
      </w:r>
    </w:p>
    <w:p w14:paraId="4BEF5D53" w14:textId="77777777" w:rsidR="00900A3D" w:rsidRDefault="000E1836">
      <w:pPr>
        <w:pStyle w:val="STIART"/>
      </w:pPr>
      <w:r>
        <w:t xml:space="preserve">Tilkynning frá veitendum gagnamilligönguþjónustu </w:t>
      </w:r>
    </w:p>
    <w:p w14:paraId="4BEF5D54" w14:textId="77777777" w:rsidR="00900A3D" w:rsidRDefault="000E1836" w:rsidP="00100A86">
      <w:pPr>
        <w:pStyle w:val="AlineaWithParag"/>
        <w:spacing w:after="335"/>
      </w:pPr>
      <w:r>
        <w:t>1.</w:t>
      </w:r>
      <w:r>
        <w:tab/>
        <w:t>Sérhver veitandi gagnamilligönguþjónustu sem hefur í hyggju að veita gagnamilligönguþjónustuna sem um getur í 10. gr. skal leggja fram tilkynningu til lögbæra yfirvaldsins á sviði gagnamilligönguþjónustu.</w:t>
      </w:r>
    </w:p>
    <w:p w14:paraId="4BEF5D55" w14:textId="77777777" w:rsidR="00900A3D" w:rsidRDefault="000E1836" w:rsidP="00100A86">
      <w:pPr>
        <w:pStyle w:val="AlineaWithParag"/>
        <w:spacing w:after="335"/>
      </w:pPr>
      <w:r>
        <w:t>2.</w:t>
      </w:r>
      <w:r>
        <w:tab/>
        <w:t>Að því er þessa reglugerð varðar skal veitandi gagnamilligönguþjónustu með starfsstöðvar í fleiri en einu aðildarríki teljast heyra undir lögsögu aðildarríkisins þar sem hann hefur höfuðstöðvar sínar, sbr. þó lög Sambandsins um höfðun skaðabótamála yfir landamæri og tengdar málsmeðferðir.</w:t>
      </w:r>
    </w:p>
    <w:p w14:paraId="4BEF5D56" w14:textId="77777777" w:rsidR="00900A3D" w:rsidRDefault="000E1836" w:rsidP="00100A86">
      <w:pPr>
        <w:pStyle w:val="AlineaWithParag"/>
        <w:spacing w:after="335"/>
      </w:pPr>
      <w:r>
        <w:t>3.</w:t>
      </w:r>
      <w:r>
        <w:tab/>
        <w:t>Veitandi gagnamilligönguþjónustu sem er ekki með staðfestu í Sambandinu en býður gagnamilligönguþjónustuna sem um getur í 10. gr. innan Sambandsins skal tilnefna lagalegan fyrirsvarsmann í einu þeirra aðildarríkja þar sem þessi þjónusta er í boði.</w:t>
      </w:r>
    </w:p>
    <w:p w14:paraId="4BEF5D57" w14:textId="77777777" w:rsidR="00900A3D" w:rsidRDefault="000E1836" w:rsidP="00100A86">
      <w:pPr>
        <w:pStyle w:val="Alinea"/>
        <w:spacing w:after="335"/>
      </w:pPr>
      <w:r>
        <w:t xml:space="preserve">Til að tryggja að farið sé að þessari reglugerð skal lagalegi fyrirsvarsmaðurinn hafa umboð frá veitanda gagnamilligönguþjónustunnar til þess að lögbær yfirvöld á sviði gagnamilligönguþjónustu eða skráðir aðilar og handhafar gagna geti snúið sér til hans, til viðbótar við eða í stað veitanda gagnamilligönguþjónustunnar, að því er varðar öll álitaefni í tengslum við gagnamilligönguþjónustuna sem veitt er. Lagalegi fyrirsvarsmaðurinn skal starfa með </w:t>
      </w:r>
      <w:proofErr w:type="spellStart"/>
      <w:r>
        <w:t>lögbærum</w:t>
      </w:r>
      <w:proofErr w:type="spellEnd"/>
      <w:r>
        <w:t xml:space="preserve"> yfirvöldum á sviði gagnamilligönguþjónustu og lýsa ítarlega fyrir þeim, sé þess óskað, þeim aðgerðum sem veitandi gagnamilligönguþjónustunnar hefur gripið til og þeim ráðstöfunum sem hann hefur gert til að tryggja að farið sé að þessari reglugerð.</w:t>
      </w:r>
    </w:p>
    <w:p w14:paraId="4BEF5D58" w14:textId="77777777" w:rsidR="00900A3D" w:rsidRDefault="000E1836" w:rsidP="00100A86">
      <w:pPr>
        <w:pStyle w:val="Alinea"/>
        <w:spacing w:after="335"/>
      </w:pPr>
      <w:r>
        <w:t>Veitandi gagnamilligönguþjónustu skal teljast heyra undir lögsögu þess aðildarríkis þar sem lagalegi fyrirsvarsmaðurinn er staðsettur. Þó að veitandi gagnamilligönguþjónustu tilnefni lagalegan fyrirsvarsmann hefur það ekki áhrif á lögsóknir sem hefja mætti gegn veitanda gagnamilligönguþjónustunnar.</w:t>
      </w:r>
    </w:p>
    <w:p w14:paraId="4BEF5D59" w14:textId="77777777" w:rsidR="00900A3D" w:rsidRDefault="000E1836" w:rsidP="00100A86">
      <w:pPr>
        <w:pStyle w:val="AlineaWithParag"/>
        <w:spacing w:after="335"/>
      </w:pPr>
      <w:r>
        <w:t>4.</w:t>
      </w:r>
      <w:r>
        <w:tab/>
        <w:t>Eftir að hafa lagt fram tilkynningu í samræmi við 1. mgr. er veitanda gagnamilligönguþjónustu heimilt að hefja starfsemi, að uppfylltum þeim skilyrðum sem mælt er fyrir um í þessum kafla.</w:t>
      </w:r>
    </w:p>
    <w:p w14:paraId="4BEF5D5A" w14:textId="77777777" w:rsidR="00900A3D" w:rsidRDefault="000E1836" w:rsidP="00100A86">
      <w:pPr>
        <w:pStyle w:val="AlineaWithParag"/>
        <w:spacing w:after="335"/>
      </w:pPr>
      <w:r>
        <w:t>5.</w:t>
      </w:r>
      <w:r>
        <w:tab/>
        <w:t>Tilkynningin sem um getur í 1. mgr. skal veita veitanda gagnamilligönguþjónustunnar rétt til að veita gagnamilligönguþjónustu í öllum aðildarríkjunum.</w:t>
      </w:r>
    </w:p>
    <w:p w14:paraId="4BEF5D5B" w14:textId="77777777" w:rsidR="00900A3D" w:rsidRDefault="000E1836" w:rsidP="00100A86">
      <w:pPr>
        <w:pStyle w:val="AlineaWithParag"/>
        <w:spacing w:after="335"/>
      </w:pPr>
      <w:r>
        <w:t>6.</w:t>
      </w:r>
      <w:r>
        <w:tab/>
        <w:t>Í tilkynningunni sem um getur í 1. mgr. skulu koma fram eftirfarandi upplýsingar:</w:t>
      </w:r>
    </w:p>
    <w:p w14:paraId="4BEF5D5C" w14:textId="77777777" w:rsidR="00900A3D" w:rsidRDefault="000E1836" w:rsidP="00100A86">
      <w:pPr>
        <w:pStyle w:val="NumberedText"/>
        <w:spacing w:after="335"/>
        <w:ind w:left="293" w:hanging="293"/>
      </w:pPr>
      <w:r>
        <w:t>a)</w:t>
      </w:r>
      <w:r>
        <w:tab/>
        <w:t>heiti veitanda gagnamilligönguþjónustunnar,</w:t>
      </w:r>
    </w:p>
    <w:p w14:paraId="4BEF5D5D" w14:textId="77777777" w:rsidR="00900A3D" w:rsidRDefault="000E1836" w:rsidP="00100A86">
      <w:pPr>
        <w:pStyle w:val="NumberedText"/>
        <w:spacing w:after="335"/>
        <w:ind w:left="293" w:hanging="293"/>
      </w:pPr>
      <w:r>
        <w:t>b)</w:t>
      </w:r>
      <w:r>
        <w:tab/>
        <w:t xml:space="preserve">réttarstaða veitanda gagnamilligönguþjónustunnar, félagsform, skipulag eignarhalds og viðkomandi dótturfélög hans og skráningarnúmer ef hann er skráður í verslunarskrá eða aðra svipaða opinbera, innlenda skrá, </w:t>
      </w:r>
    </w:p>
    <w:p w14:paraId="4BEF5D5E" w14:textId="77777777" w:rsidR="00900A3D" w:rsidRDefault="000E1836" w:rsidP="00100A86">
      <w:pPr>
        <w:pStyle w:val="NumberedText"/>
        <w:spacing w:after="335"/>
        <w:ind w:left="293" w:hanging="293"/>
      </w:pPr>
      <w:r>
        <w:t>c)</w:t>
      </w:r>
      <w:r>
        <w:tab/>
        <w:t>heimilisfang höfuðstöðva veitanda gagnamilligönguþjónustunnar í Sambandinu ef þær eru fyrir hendi og, eftir atvikum, útibúa í öðru aðildarríki eða heimilisfang lagalega fyrirsvarsmannsins,</w:t>
      </w:r>
    </w:p>
    <w:p w14:paraId="4BEF5D5F" w14:textId="77777777" w:rsidR="00900A3D" w:rsidRDefault="000E1836" w:rsidP="00100A86">
      <w:pPr>
        <w:pStyle w:val="NumberedText"/>
        <w:spacing w:after="335"/>
        <w:ind w:left="293" w:hanging="293"/>
      </w:pPr>
      <w:r>
        <w:t>d)</w:t>
      </w:r>
      <w:r>
        <w:tab/>
        <w:t xml:space="preserve">opinbert vefsetur þar sem finna má fullnægjandi og uppfærðar upplýsingar um veitanda gagnamilligönguþjónustunnar og starfsemina, þ.m.t. að lágmarki upplýsingarnar sem um getur í a-, b-, c- og </w:t>
      </w:r>
      <w:proofErr w:type="spellStart"/>
      <w:r>
        <w:t>f-lið</w:t>
      </w:r>
      <w:proofErr w:type="spellEnd"/>
      <w:r>
        <w:t>,</w:t>
      </w:r>
    </w:p>
    <w:p w14:paraId="4BEF5D60" w14:textId="77777777" w:rsidR="00900A3D" w:rsidRDefault="000E1836" w:rsidP="00100A86">
      <w:pPr>
        <w:pStyle w:val="NumberedText"/>
        <w:spacing w:after="335"/>
        <w:ind w:left="293" w:hanging="293"/>
      </w:pPr>
      <w:r>
        <w:t>e)</w:t>
      </w:r>
      <w:r>
        <w:tab/>
        <w:t>tengiliðir og samskiptaupplýsingar veitanda gagnamilligönguþjónustunnar,</w:t>
      </w:r>
    </w:p>
    <w:p w14:paraId="4BEF5D61" w14:textId="77777777" w:rsidR="00900A3D" w:rsidRDefault="000E1836" w:rsidP="00100A86">
      <w:pPr>
        <w:pStyle w:val="NumberedText"/>
        <w:spacing w:after="335"/>
        <w:ind w:left="293" w:hanging="293"/>
      </w:pPr>
      <w:r>
        <w:t>f)</w:t>
      </w:r>
      <w:r>
        <w:tab/>
        <w:t>lýsing á gagnamilligönguþjónustunni sem veitandi gagnamilligönguþjónustunnar hyggst veita og upplýsingar um það undir hvaða flokka, sem taldir eru upp í 10. gr., slík gagnamilligönguþjónusta fellur,</w:t>
      </w:r>
    </w:p>
    <w:p w14:paraId="4BEF5D62" w14:textId="77777777" w:rsidR="00900A3D" w:rsidRDefault="000E1836" w:rsidP="00100A86">
      <w:pPr>
        <w:pStyle w:val="NumberedText"/>
        <w:spacing w:after="335"/>
        <w:ind w:left="293" w:hanging="293"/>
      </w:pPr>
      <w:r>
        <w:t>g)</w:t>
      </w:r>
      <w:r>
        <w:tab/>
        <w:t>áætlaður upphafsdagur starfseminnar ef hann er annar en dagsetning tilkynningarinnar.</w:t>
      </w:r>
    </w:p>
    <w:p w14:paraId="4BEF5D63" w14:textId="77777777" w:rsidR="00900A3D" w:rsidRDefault="000E1836" w:rsidP="00100A86">
      <w:pPr>
        <w:pStyle w:val="AlineaWithParag"/>
        <w:spacing w:after="0"/>
      </w:pPr>
      <w:r>
        <w:t>7.</w:t>
      </w:r>
      <w:r>
        <w:tab/>
        <w:t>Lögbæra yfirvaldið á sviði gagnamilligönguþjónustu skal tryggja að tilkynningarmálsmeðferðin sé án mismununar og raski ekki samkeppni.</w:t>
      </w:r>
      <w:r>
        <w:br w:type="page"/>
      </w:r>
    </w:p>
    <w:p w14:paraId="4BEF5D64" w14:textId="77777777" w:rsidR="00900A3D" w:rsidRDefault="000E1836" w:rsidP="00100A86">
      <w:pPr>
        <w:pStyle w:val="AlineaWithParag"/>
        <w:spacing w:after="435"/>
      </w:pPr>
      <w:r>
        <w:lastRenderedPageBreak/>
        <w:t>8.</w:t>
      </w:r>
      <w:r>
        <w:tab/>
        <w:t xml:space="preserve">Að beiðni veitanda gagnamilligönguþjónustunnar skal lögbæra yfirvaldið á sviði gagnamilligönguþjónustu gefa út staðlaða yfirlýsingu, innan einnar viku frá tilhlýðilega </w:t>
      </w:r>
      <w:proofErr w:type="spellStart"/>
      <w:r>
        <w:t>útfylltri</w:t>
      </w:r>
      <w:proofErr w:type="spellEnd"/>
      <w:r>
        <w:t xml:space="preserve"> tilkynningu, þar sem staðfest er að veitandi gagnamilligönguþjónustunnar hafi lagt fram tilkynninguna sem um getur í 1. mgr. og að hún innihaldi upplýsingarnar sem um getur í 6. mgr.</w:t>
      </w:r>
    </w:p>
    <w:p w14:paraId="4BEF5D65" w14:textId="77777777" w:rsidR="00900A3D" w:rsidRDefault="000E1836" w:rsidP="00100A86">
      <w:pPr>
        <w:pStyle w:val="AlineaWithParag"/>
        <w:spacing w:after="435"/>
      </w:pPr>
      <w:r>
        <w:t>9.</w:t>
      </w:r>
      <w:r>
        <w:tab/>
        <w:t>Að beiðni veitanda gagnamilligönguþjónustunnar skal lögbæra yfirvaldið á sviði gagnamilligönguþjónustu staðfesta að veitandi gagnamilligönguþjónustunnar uppfylli ákvæði þessarar greinar og 12. gr. Að fenginni slíkri staðfestingu er veitanda gagnamilligönguþjónustunnar heimilt að nota heitið „viðurkenndur veitandi gagnamilligönguþjónustu í Sambandinu“ í skriflegum og munnlegum samskiptum sínum, sem og sameiginlegt kennimerki.</w:t>
      </w:r>
    </w:p>
    <w:p w14:paraId="4BEF5D66" w14:textId="77777777" w:rsidR="00900A3D" w:rsidRDefault="000E1836" w:rsidP="00100A86">
      <w:pPr>
        <w:pStyle w:val="Alinea"/>
        <w:spacing w:after="435"/>
      </w:pPr>
      <w:r>
        <w:t xml:space="preserve">Til að tryggja að auðvelt sé að bera kennsl í öllu Sambandinu á viðurkennda veitendur gagnamilligönguþjónustu í Sambandinu skal framkvæmdastjórnin ákveða útlit sameiginlega kennimerkisins með framkvæmdargerðum. Viðurkenndir veitendur gagnamilligönguþjónustu í Sambandinu skulu birta sameiginlega kennimerkið með skýrum hætti á öllu útgefnu efni sem tengist gagnamilligöngustarfi þeirra, jafnt á netinu sem utan þess. </w:t>
      </w:r>
    </w:p>
    <w:p w14:paraId="4BEF5D67" w14:textId="77777777" w:rsidR="00900A3D" w:rsidRDefault="000E1836" w:rsidP="00100A86">
      <w:pPr>
        <w:pStyle w:val="Alinea"/>
        <w:spacing w:after="435"/>
      </w:pPr>
      <w:r>
        <w:t>Þessar framkvæmdargerðir skulu samþykktar í samræmi við ráðgjafarnefndarmeðferðina sem um getur í 2. mgr. 33. gr.</w:t>
      </w:r>
    </w:p>
    <w:p w14:paraId="4BEF5D68" w14:textId="77777777" w:rsidR="00900A3D" w:rsidRDefault="000E1836" w:rsidP="00100A86">
      <w:pPr>
        <w:pStyle w:val="AlineaWithParag"/>
        <w:spacing w:after="435"/>
      </w:pPr>
      <w:r>
        <w:t>10.</w:t>
      </w:r>
      <w:r>
        <w:tab/>
        <w:t xml:space="preserve">Lögbæra yfirvaldið á sviði gagnamilligönguþjónustu skal tafarlaust tilkynna framkvæmdastjórninni um sérhverja nýja tilkynningu með rafrænum hætti. Framkvæmdastjórnin skal halda opinbera skrá yfir alla veitendur gagnamilligönguþjónustu sem veita þjónustu sína í Sambandinu og uppfæra hana reglulega. Upplýsingarnar sem um getur í a-, b-, c-, d-, f- og </w:t>
      </w:r>
      <w:proofErr w:type="spellStart"/>
      <w:r>
        <w:t>g-lið</w:t>
      </w:r>
      <w:proofErr w:type="spellEnd"/>
      <w:r>
        <w:t xml:space="preserve"> 6. mgr. skulu birtar í opinberu skránni.</w:t>
      </w:r>
    </w:p>
    <w:p w14:paraId="4BEF5D69" w14:textId="77777777" w:rsidR="00900A3D" w:rsidRDefault="000E1836" w:rsidP="00100A86">
      <w:pPr>
        <w:pStyle w:val="AlineaWithParag"/>
        <w:spacing w:after="435"/>
      </w:pPr>
      <w:r>
        <w:t>11.</w:t>
      </w:r>
      <w:r>
        <w:tab/>
        <w:t>Lögbæra yfirvaldið á sviði gagnamilligönguþjónustu getur tekið gjald fyrir tilkynninguna í samræmi við landslög. Slík gjöld skulu vera hófleg og hlutlæg og byggjast á stjórnsýslukostnaði í tengslum við eftirlit með því að farið sé að reglum og annarri markaðseftirlitsstarfsemi lögbæra yfirvaldsins á sviði gagnamilligönguþjónustu í tengslum við tilkynningar veitenda gagnamilligönguþjónustu. Þegar um er að ræða lítil og meðalstór fyrirtæki og sprotafyrirtæki getur lögbæra yfirvaldið á sviði gagnamilligönguþjónustu tekið lægra gjald eða fellt það niður.</w:t>
      </w:r>
    </w:p>
    <w:p w14:paraId="4BEF5D6A" w14:textId="77777777" w:rsidR="00900A3D" w:rsidRDefault="000E1836" w:rsidP="00100A86">
      <w:pPr>
        <w:pStyle w:val="AlineaWithParag"/>
        <w:spacing w:after="435"/>
      </w:pPr>
      <w:r>
        <w:t>12.</w:t>
      </w:r>
      <w:r>
        <w:tab/>
        <w:t>Veitendur gagnamilligönguþjónustu skulu tilkynna lögbæra yfirvaldinu á sviði gagnamilligönguþjónustu um allar breytingar á upplýsingunum, sem veittar eru skv. 6. mgr., innan 14 daga frá dagsetningu breytingarinnar.</w:t>
      </w:r>
    </w:p>
    <w:p w14:paraId="4BEF5D6B" w14:textId="77777777" w:rsidR="00900A3D" w:rsidRDefault="000E1836" w:rsidP="00100A86">
      <w:pPr>
        <w:pStyle w:val="AlineaWithParag"/>
        <w:spacing w:after="435"/>
      </w:pPr>
      <w:r>
        <w:t>13.</w:t>
      </w:r>
      <w:r>
        <w:tab/>
        <w:t xml:space="preserve">Ef veitandi gagnamilligönguþjónustu hættir starfsemi sinni skal hann, innan 15 daga, tilkynna það viðkomandi </w:t>
      </w:r>
      <w:proofErr w:type="spellStart"/>
      <w:r>
        <w:t>lögbæru</w:t>
      </w:r>
      <w:proofErr w:type="spellEnd"/>
      <w:r>
        <w:t xml:space="preserve"> yfirvaldi á sviði gagnamilligönguþjónustu sem ákvarðað er skv. 1., 2. og 3. mgr.</w:t>
      </w:r>
    </w:p>
    <w:p w14:paraId="4BEF5D6C" w14:textId="77777777" w:rsidR="00900A3D" w:rsidRDefault="000E1836" w:rsidP="00100A86">
      <w:pPr>
        <w:pStyle w:val="AlineaWithParag"/>
        <w:spacing w:after="435"/>
      </w:pPr>
      <w:r>
        <w:t>14.</w:t>
      </w:r>
      <w:r>
        <w:tab/>
        <w:t>Lögbæra yfirvaldið á sviði gagnamilligönguþjónustu skal tafarlaust tilkynna framkvæmdastjórninni um sérhverja tilkynningu sem um getur í 12. og 13. mgr. með rafrænum hætti. Framkvæmdastjórnin skal uppfæra opinberu skrána yfir veitendur gagnamilligönguþjónustu í Sambandinu til samræmis við það.</w:t>
      </w:r>
    </w:p>
    <w:p w14:paraId="4BEF5D6D" w14:textId="77777777" w:rsidR="00900A3D" w:rsidRDefault="000E1836">
      <w:pPr>
        <w:pStyle w:val="TIART"/>
      </w:pPr>
      <w:r>
        <w:t>12. gr.</w:t>
      </w:r>
    </w:p>
    <w:p w14:paraId="4BEF5D6E" w14:textId="77777777" w:rsidR="00900A3D" w:rsidRDefault="000E1836">
      <w:pPr>
        <w:pStyle w:val="STIART"/>
      </w:pPr>
      <w:r>
        <w:t>Skilyrði fyrir því að veita gagnamilligönguþjónustu</w:t>
      </w:r>
    </w:p>
    <w:p w14:paraId="4BEF5D6F" w14:textId="77777777" w:rsidR="00900A3D" w:rsidRDefault="000E1836" w:rsidP="00100A86">
      <w:pPr>
        <w:pStyle w:val="Alinea"/>
        <w:spacing w:after="435"/>
      </w:pPr>
      <w:r>
        <w:t>Veiting gagnamilligönguþjónustu sem um getur í 10. gr. skal vera háð eftirfarandi skilyrðum:</w:t>
      </w:r>
    </w:p>
    <w:p w14:paraId="4BEF5D70" w14:textId="77777777" w:rsidR="00900A3D" w:rsidRDefault="000E1836" w:rsidP="00100A86">
      <w:pPr>
        <w:pStyle w:val="NumberedText"/>
        <w:spacing w:after="435"/>
        <w:ind w:left="343" w:hanging="343"/>
      </w:pPr>
      <w:r>
        <w:t>a)</w:t>
      </w:r>
      <w:r>
        <w:tab/>
        <w:t>veitandi gagnamilligönguþjónustu skal ekki nota gögnin sem gagnamilligönguþjónusta hans snýst um í öðrum tilgangi en þeim að hafa þau til taks fyrir gagnanotendur og skal veita gagnamilligönguþjónustuna í gegnum aðskilinn lögaðila,</w:t>
      </w:r>
    </w:p>
    <w:p w14:paraId="4BEF5D71" w14:textId="77777777" w:rsidR="00900A3D" w:rsidRDefault="000E1836" w:rsidP="00100A86">
      <w:pPr>
        <w:pStyle w:val="NumberedText"/>
        <w:spacing w:after="0"/>
        <w:ind w:left="343" w:hanging="343"/>
      </w:pPr>
      <w:r>
        <w:t>b)</w:t>
      </w:r>
      <w:r>
        <w:tab/>
        <w:t>viðskiptaskilmálar fyrir veitingu gagnamilligönguþjónustu til handhafa gagna eða gagnanotanda, þ.m.t. verðlagning, skulu ekki vera háðir því hvort handhafi gagna eða gagnanotandi notar aðra þjónustu sama veitanda gagnamilligönguþjónustu eða tengds aðila og, ef svo er, í hvaða mæli handhafi gagnanna eða gagnanotandinn notar slíka aðra þjónustu,</w:t>
      </w:r>
      <w:r>
        <w:br w:type="page"/>
      </w:r>
    </w:p>
    <w:p w14:paraId="4BEF5D72" w14:textId="77777777" w:rsidR="00900A3D" w:rsidRDefault="000E1836" w:rsidP="00100A86">
      <w:pPr>
        <w:pStyle w:val="NumberedText"/>
        <w:spacing w:after="310"/>
        <w:ind w:left="343" w:hanging="343"/>
      </w:pPr>
      <w:r>
        <w:lastRenderedPageBreak/>
        <w:t>c)</w:t>
      </w:r>
      <w:r>
        <w:tab/>
        <w:t>gögn sem safnað er varðandi athafnir einstaklings eða lögaðila vegna veitingar gagnamilligönguþjónustu, þ.m.t. upplýsingar um dagsetningar, tíma og landfræðilega staðsetningu, tímalengd athafna og tengingar við aðra einstaklinga eða lögaðila sem einstaklingurinn sem notar gagnamilligönguþjónustuna hefur komið á, skal aðeins nota til að þróa gagnamilligönguþjónustuna, sem gæti falið í sér notkun gagna til að greina svik eða í þágu netöryggis, og skulu þau gerð aðgengileg handhöfum gagnanna óski þeir þess,</w:t>
      </w:r>
    </w:p>
    <w:p w14:paraId="4BEF5D73" w14:textId="77777777" w:rsidR="00900A3D" w:rsidRDefault="000E1836" w:rsidP="00100A86">
      <w:pPr>
        <w:pStyle w:val="NumberedText"/>
        <w:spacing w:after="310"/>
        <w:ind w:left="343" w:hanging="343"/>
      </w:pPr>
      <w:r>
        <w:t>d)</w:t>
      </w:r>
      <w:r>
        <w:tab/>
        <w:t xml:space="preserve">veitandi gagnamilligönguþjónustu skal greiða fyrir gagnaskiptum á því sniði sem hann fær gögnin á frá skráðum aðila eða handhafa gagna, skal eingöngu umskrá gögnin yfir á sérstakt snið til að auka samvirkni innan og á milli geira eða ef gagnanotandinn fer þess á leit eða ef honum ber að gera það samkvæmt lögum Sambandsins eða til að tryggja samræmingu við alþjóðlega eða evrópska </w:t>
      </w:r>
      <w:proofErr w:type="spellStart"/>
      <w:r>
        <w:t>gagnastaðla</w:t>
      </w:r>
      <w:proofErr w:type="spellEnd"/>
      <w:r>
        <w:t xml:space="preserve"> og skal bjóða skráðum aðilum eða handhöfum gagna möguleikann á að hafna þessum umskráningum nema honum beri að framkvæma þær samkvæmt lögum Sambandsins, </w:t>
      </w:r>
    </w:p>
    <w:p w14:paraId="4BEF5D74" w14:textId="77777777" w:rsidR="00900A3D" w:rsidRDefault="000E1836" w:rsidP="00100A86">
      <w:pPr>
        <w:pStyle w:val="NumberedText"/>
        <w:spacing w:after="310"/>
        <w:ind w:left="343" w:hanging="343"/>
      </w:pPr>
      <w:r>
        <w:t>e)</w:t>
      </w:r>
      <w:r>
        <w:tab/>
        <w:t>gagnamilligönguþjónusta getur falið í sér að bjóða handhöfum gagna eða skráðum aðilum aukalega upp á sértæk tól og þjónustu í þeim sérstaka tilgangi að auðvelda skipti á gögnum, s.s. tímabundna geymslu, lagfæringar, umskráningu, að gera gögn nafnlaus og færa þau undir gerviauðkenni en slík tól eru aðeins notuð að fenginni skýrri beiðni eða samþykki frá handhafa gagnanna eða skráða aðilanum og tól frá þriðja aðila, sem boðin eru í því samhengi, eru ekki notuð í öðrum tilgangi,</w:t>
      </w:r>
    </w:p>
    <w:p w14:paraId="4BEF5D75" w14:textId="77777777" w:rsidR="00900A3D" w:rsidRDefault="000E1836" w:rsidP="00100A86">
      <w:pPr>
        <w:pStyle w:val="NumberedText"/>
        <w:spacing w:after="310"/>
        <w:ind w:left="343" w:hanging="343"/>
      </w:pPr>
      <w:r>
        <w:t>f)</w:t>
      </w:r>
      <w:r>
        <w:tab/>
        <w:t>veitandi gagnamilligönguþjónustu skal tryggja að verklagsreglurnar um aðgang að þjónustu hans séu sanngjarnar, gagnsæjar og án mismununar fyrir bæði skráða aðila og handhafa gagna, sem og fyrir gagnanotendur, þ.m.t. að því er varðar verð og þjónustuskilmála,</w:t>
      </w:r>
    </w:p>
    <w:p w14:paraId="4BEF5D76" w14:textId="77777777" w:rsidR="00900A3D" w:rsidRDefault="000E1836" w:rsidP="00100A86">
      <w:pPr>
        <w:pStyle w:val="NumberedText"/>
        <w:spacing w:after="310"/>
        <w:ind w:left="343" w:hanging="343"/>
      </w:pPr>
      <w:r>
        <w:t>g)</w:t>
      </w:r>
      <w:r>
        <w:tab/>
        <w:t xml:space="preserve">veitandi gagnamilligönguþjónustu skal hafa verklagsreglur til að koma í veg fyrir </w:t>
      </w:r>
      <w:proofErr w:type="spellStart"/>
      <w:r>
        <w:t>sviksamlegt</w:t>
      </w:r>
      <w:proofErr w:type="spellEnd"/>
      <w:r>
        <w:t xml:space="preserve"> athæfi eða misnotkun í tengslum við aðila sem leita eftir aðgangi í gegnum gagnamilligönguþjónustu hans,</w:t>
      </w:r>
    </w:p>
    <w:p w14:paraId="4BEF5D77" w14:textId="77777777" w:rsidR="00900A3D" w:rsidRDefault="000E1836" w:rsidP="00100A86">
      <w:pPr>
        <w:pStyle w:val="NumberedText"/>
        <w:spacing w:after="310"/>
        <w:ind w:left="343" w:hanging="343"/>
      </w:pPr>
      <w:r>
        <w:t>h)</w:t>
      </w:r>
      <w:r>
        <w:tab/>
        <w:t>ef til ógjaldfærni veitanda gagnamilligönguþjónustu kemur skal hann tryggja eðlilega samfellu í veitingu gagnamilligönguþjónustu sinnar og, ef slík gagnamilligönguþjónusta tryggir geymslu gagna, hafa í gildi fyrirkomulag sem gerir handhöfum gagna og gagnanotendum kleift að fá aðgang að, miðla gögnum sínum eða sækja þau og, ef slík gagnamilligönguþjónusta er veitt milli skráðra aðila og gagnanotenda, gera skráðum aðilum kleift að neyta réttar síns,</w:t>
      </w:r>
    </w:p>
    <w:p w14:paraId="4BEF5D78" w14:textId="77777777" w:rsidR="00900A3D" w:rsidRDefault="000E1836" w:rsidP="00100A86">
      <w:pPr>
        <w:pStyle w:val="NumberedText"/>
        <w:spacing w:after="310"/>
        <w:ind w:left="343" w:hanging="343"/>
      </w:pPr>
      <w:r>
        <w:t>i)</w:t>
      </w:r>
      <w:r>
        <w:tab/>
        <w:t>veitandi gagnamilligönguþjónustu skal gera viðeigandi ráðstafanir til að tryggja samvirkni við aðra gagnamilligönguþjónustu, m.a. með almennt notuðum, opnum stöðlum innan þess geira sem hann starfar í,</w:t>
      </w:r>
    </w:p>
    <w:p w14:paraId="4BEF5D79" w14:textId="77777777" w:rsidR="00900A3D" w:rsidRDefault="000E1836" w:rsidP="00100A86">
      <w:pPr>
        <w:pStyle w:val="NumberedText"/>
        <w:spacing w:after="310"/>
        <w:ind w:left="343" w:hanging="343"/>
      </w:pPr>
      <w:r>
        <w:t>j)</w:t>
      </w:r>
      <w:r>
        <w:tab/>
        <w:t>veitandi gagnamilligönguþjónustu skal koma á fullnægjandi tæknilegum, lagalegum og skipulagslegum ráðstöfunum til að koma í veg fyrir miðlun ópersónulegra upplýsinga eða aðgang að þeim sem samkvæmt lögum Sambandsins eða landslögum hlutaðeigandi aðildarríkis væru ólögmæt.</w:t>
      </w:r>
    </w:p>
    <w:p w14:paraId="4BEF5D7A" w14:textId="77777777" w:rsidR="00900A3D" w:rsidRDefault="000E1836" w:rsidP="00100A86">
      <w:pPr>
        <w:pStyle w:val="NumberedText"/>
        <w:spacing w:after="310"/>
        <w:ind w:left="343" w:hanging="343"/>
      </w:pPr>
      <w:r>
        <w:t>k)</w:t>
      </w:r>
      <w:r>
        <w:tab/>
        <w:t>veitandi gagnamilligönguþjónustu skal upplýsa handhafa gagna tafarlaust um óheimila miðlun, aðgang að eða notkun á ópersónulegum upplýsingum sem hann hefur deilt,</w:t>
      </w:r>
    </w:p>
    <w:p w14:paraId="4BEF5D7B" w14:textId="77777777" w:rsidR="00900A3D" w:rsidRDefault="000E1836" w:rsidP="00100A86">
      <w:pPr>
        <w:pStyle w:val="NumberedText"/>
        <w:spacing w:after="310"/>
        <w:ind w:left="343" w:hanging="343"/>
      </w:pPr>
      <w:r>
        <w:t>l)</w:t>
      </w:r>
      <w:r>
        <w:tab/>
        <w:t>veitandi gagnamilligönguþjónustu skal gera nauðsynlegar ráðstafanir til að tryggja viðeigandi öryggisstig fyrir geymslu, vinnslu og sendingu ópersónulegra upplýsinga og hann skal enn fremur tryggja hæsta öryggisstig fyrir geymslu og sendingu viðkvæmra samkeppnisupplýsinga,</w:t>
      </w:r>
    </w:p>
    <w:p w14:paraId="4BEF5D7C" w14:textId="77777777" w:rsidR="00900A3D" w:rsidRDefault="000E1836" w:rsidP="00100A86">
      <w:pPr>
        <w:pStyle w:val="NumberedText"/>
        <w:spacing w:after="310"/>
        <w:ind w:left="343" w:hanging="343"/>
      </w:pPr>
      <w:r>
        <w:t>m)</w:t>
      </w:r>
      <w:r>
        <w:tab/>
        <w:t>veitandi gagnamilligönguþjónustu sem býður skráðum aðilum þjónustu skal gæta hagsmuna skráðu aðilanna þegar hann auðveldar þeim að neyta réttar síns, einkum með því að veita þeim upplýsingar og, þegar við á, ráðgjöf á gagnorðan, gagnsæjan, skiljanlegan og aðgengilegan hátt um fyrirhugaða notkun gagnanotenda á gögnunum og staðlaða skilmála og skilyrði sem tengjast slíkri notkun áður en skráðir aðilar veita samþykki sitt,</w:t>
      </w:r>
    </w:p>
    <w:p w14:paraId="4BEF5D7D" w14:textId="77777777" w:rsidR="00900A3D" w:rsidRDefault="000E1836" w:rsidP="00100A86">
      <w:pPr>
        <w:pStyle w:val="NumberedText"/>
        <w:spacing w:after="310"/>
        <w:ind w:left="343" w:hanging="343"/>
      </w:pPr>
      <w:r>
        <w:t>n)</w:t>
      </w:r>
      <w:r>
        <w:tab/>
        <w:t>ef veitandi gagnamilligönguþjónustu leggur til tól til að afla samþykkis skráðra aðila eða leyfa til að vinna gögn sem handhafar gagna gera aðgengileg skal hann, þar sem við á, tilgreina í lögsögu hvaða þriðja lands fyrirhugað er að nota gögnin og láta skráðum aðilum í té tól til að bæði veita samþykki og draga það til baka og handhöfum gagna tól til að bæði veita leyfi til að vinna gögn og draga það til baka,</w:t>
      </w:r>
    </w:p>
    <w:p w14:paraId="4BEF5D7E" w14:textId="77777777" w:rsidR="00900A3D" w:rsidRDefault="000E1836" w:rsidP="00100A86">
      <w:pPr>
        <w:pStyle w:val="NumberedText"/>
        <w:spacing w:after="0"/>
        <w:ind w:left="343" w:hanging="343"/>
      </w:pPr>
      <w:r>
        <w:t>o)</w:t>
      </w:r>
      <w:r>
        <w:tab/>
        <w:t>veitandi gagnamilligönguþjónustunnar skal halda aðgerðaskrá yfir gagnamilligöngustarfsemina.</w:t>
      </w:r>
      <w:r>
        <w:br w:type="page"/>
      </w:r>
    </w:p>
    <w:p w14:paraId="4BEF5D7F" w14:textId="77777777" w:rsidR="00900A3D" w:rsidRDefault="000E1836">
      <w:pPr>
        <w:pStyle w:val="TIART"/>
      </w:pPr>
      <w:r>
        <w:lastRenderedPageBreak/>
        <w:t>13. gr.</w:t>
      </w:r>
    </w:p>
    <w:p w14:paraId="4BEF5D80" w14:textId="77777777" w:rsidR="00900A3D" w:rsidRDefault="000E1836">
      <w:pPr>
        <w:pStyle w:val="STIART"/>
      </w:pPr>
      <w:r>
        <w:t>Lögbær yfirvöld á sviði gagnamilligönguþjónustu</w:t>
      </w:r>
    </w:p>
    <w:p w14:paraId="4BEF5D81" w14:textId="77777777" w:rsidR="00900A3D" w:rsidRDefault="000E1836" w:rsidP="00100A86">
      <w:pPr>
        <w:pStyle w:val="AlineaWithParag"/>
        <w:spacing w:after="460"/>
      </w:pPr>
      <w:r>
        <w:t>1.</w:t>
      </w:r>
      <w:r>
        <w:tab/>
        <w:t xml:space="preserve">Sérhvert aðildarríki skal tilnefna eitt eða fleiri lögbær yfirvöld til að sinna þeim verkefnum sem tengjast tilkynningarmálsmeðferð fyrir gagnamilligönguþjónustu og skal tilkynna framkvæmdastjórninni hvaða </w:t>
      </w:r>
      <w:proofErr w:type="spellStart"/>
      <w:r>
        <w:t>lögbæru</w:t>
      </w:r>
      <w:proofErr w:type="spellEnd"/>
      <w:r>
        <w:t xml:space="preserve"> yfirvöld þetta eru eigi síðar en 24. september 2023. Sérhvert aðildarríki skal einnig tilkynna framkvæmdastjórninni um allar síðari breytingar á þessum </w:t>
      </w:r>
      <w:proofErr w:type="spellStart"/>
      <w:r>
        <w:t>lögbæru</w:t>
      </w:r>
      <w:proofErr w:type="spellEnd"/>
      <w:r>
        <w:t xml:space="preserve"> yfirvöldum.</w:t>
      </w:r>
    </w:p>
    <w:p w14:paraId="4BEF5D82" w14:textId="77777777" w:rsidR="00900A3D" w:rsidRDefault="000E1836" w:rsidP="00100A86">
      <w:pPr>
        <w:pStyle w:val="AlineaWithParag"/>
        <w:spacing w:after="460"/>
      </w:pPr>
      <w:r>
        <w:t>2.</w:t>
      </w:r>
      <w:r>
        <w:tab/>
        <w:t>Lögbær yfirvöld á sviði gagnamilligönguþjónustu skulu uppfylla kröfurnar sem settar eru fram í 26. gr.</w:t>
      </w:r>
    </w:p>
    <w:p w14:paraId="4BEF5D83" w14:textId="77777777" w:rsidR="00900A3D" w:rsidRDefault="000E1836" w:rsidP="00100A86">
      <w:pPr>
        <w:pStyle w:val="AlineaWithParag"/>
        <w:spacing w:after="460"/>
      </w:pPr>
      <w:r>
        <w:t>3.</w:t>
      </w:r>
      <w:r>
        <w:tab/>
        <w:t>Valdheimildir lögbærra yfirvalda á sviði gagnamilligönguþjónustu eru með fyrirvara um valdheimildir persónuverndaryfirvalda, landsbundinna samkeppnisyfirvalda, yfirvalda sem stjórna netöryggi og annarra viðeigandi yfirvalda viðkomandi geira. Þessi yfirvöld skulu, í samræmi við valdsvið sitt samkvæmt lögum Sambandsins og landslögum, koma á öflugu samstarfi og skiptast á upplýsingum eins og nauðsynlegt er til að þau geti sinnt verkefnum sínum í tengslum við veitendur gagnamilligönguþjónustu og þau skulu stefna að því að ná samræmi í þeim ákvörðunum sem teknar eru við beitingu þessarar reglugerðar.</w:t>
      </w:r>
    </w:p>
    <w:p w14:paraId="4BEF5D84" w14:textId="77777777" w:rsidR="00900A3D" w:rsidRDefault="000E1836">
      <w:pPr>
        <w:pStyle w:val="TIART"/>
      </w:pPr>
      <w:r>
        <w:t>14. gr.</w:t>
      </w:r>
    </w:p>
    <w:p w14:paraId="4BEF5D85" w14:textId="77777777" w:rsidR="00900A3D" w:rsidRDefault="000E1836">
      <w:pPr>
        <w:pStyle w:val="STIART"/>
      </w:pPr>
      <w:r>
        <w:t>Eftirlit með reglufylgni</w:t>
      </w:r>
    </w:p>
    <w:p w14:paraId="4BEF5D86" w14:textId="77777777" w:rsidR="00900A3D" w:rsidRDefault="000E1836" w:rsidP="00100A86">
      <w:pPr>
        <w:pStyle w:val="AlineaWithParag"/>
        <w:spacing w:after="460"/>
      </w:pPr>
      <w:r>
        <w:t>1.</w:t>
      </w:r>
      <w:r>
        <w:tab/>
        <w:t xml:space="preserve">Lögbær yfirvöld á sviði gagnamilligönguþjónustu skulu hafa eftirlit og umsjón með því að veitendur gagnamilligönguþjónustu uppfylli kröfur þessa kafla. </w:t>
      </w:r>
      <w:proofErr w:type="spellStart"/>
      <w:r>
        <w:t>Lögbæru</w:t>
      </w:r>
      <w:proofErr w:type="spellEnd"/>
      <w:r>
        <w:t xml:space="preserve"> yfirvöldin á sviði gagnamilligönguþjónustu geta einnig, á grundvelli beiðni frá einstaklingi eða lögaðila, haft eftirlit og umsjón með því að veitendur gagnamilligönguþjónustu fari að tilskildum ákvæðum. </w:t>
      </w:r>
    </w:p>
    <w:p w14:paraId="4BEF5D87" w14:textId="77777777" w:rsidR="00900A3D" w:rsidRDefault="000E1836" w:rsidP="00100A86">
      <w:pPr>
        <w:pStyle w:val="AlineaWithParag"/>
        <w:spacing w:after="460"/>
      </w:pPr>
      <w:r>
        <w:t>2.</w:t>
      </w:r>
      <w:r>
        <w:tab/>
      </w:r>
      <w:proofErr w:type="spellStart"/>
      <w:r>
        <w:t>Lögbæru</w:t>
      </w:r>
      <w:proofErr w:type="spellEnd"/>
      <w:r>
        <w:t xml:space="preserve"> yfirvöldin á sviði gagnamilligönguþjónustu skulu hafa heimild til að óska eftir, við veitendur gagnamilligönguþjónustu eða lagalega fyrirsvarsmenn þeirra, öllum upplýsingum sem nauðsynlegar eru til að sannreyna að farið sé að kröfum þessa kafla. Upplýsingabeiðnir skulu vera í réttu hlutfalli við framkvæmd verkefnisins og skulu rökstuddar.</w:t>
      </w:r>
    </w:p>
    <w:p w14:paraId="4BEF5D88" w14:textId="77777777" w:rsidR="00900A3D" w:rsidRDefault="000E1836" w:rsidP="00100A86">
      <w:pPr>
        <w:pStyle w:val="AlineaWithParag"/>
        <w:spacing w:after="460"/>
      </w:pPr>
      <w:r>
        <w:t>3.</w:t>
      </w:r>
      <w:r>
        <w:tab/>
        <w:t>Ef lögbæra yfirvaldið á sviði gagnamilligönguþjónustu kemst að því að veitandi gagnamilligönguþjónustu uppfyllir ekki eina eða fleiri af kröfum þessa kafla skal það tilkynna honum um þá niðurstöðu og gefa honum tækifæri til að koma sjónarmiðum sínum á framfæri innan 30 daga frá viðtöku tilkynningarinnar.</w:t>
      </w:r>
    </w:p>
    <w:p w14:paraId="4BEF5D89" w14:textId="77777777" w:rsidR="00900A3D" w:rsidRDefault="000E1836" w:rsidP="00100A86">
      <w:pPr>
        <w:pStyle w:val="AlineaWithParag"/>
        <w:spacing w:after="460"/>
      </w:pPr>
      <w:r>
        <w:t>4.</w:t>
      </w:r>
      <w:r>
        <w:tab/>
        <w:t>Lögbæra yfirvaldið á sviði gagnamilligönguþjónustu skal hafa vald til að krefjast þess að bundinn verði endi á brotið sem um getur í 3. mgr. innan hæfilegs frests, eða tafarlaust ef um alvarlegt brot er að ræða, og skal gera viðeigandi og hlutfallslegar ráðstafanir með það að markmiði að tryggja að farið sé að tilskildum ákvæðum. Í því tilliti skal lögbæra yfirvaldið á sviði gagnamilligönguþjónustu hafa, eftir því sem við á, vald til:</w:t>
      </w:r>
    </w:p>
    <w:p w14:paraId="4BEF5D8A" w14:textId="77777777" w:rsidR="00900A3D" w:rsidRDefault="000E1836" w:rsidP="00100A86">
      <w:pPr>
        <w:pStyle w:val="NumberedText"/>
        <w:spacing w:after="460"/>
        <w:ind w:left="293" w:hanging="293"/>
      </w:pPr>
      <w:r>
        <w:t>a)</w:t>
      </w:r>
      <w:r>
        <w:tab/>
        <w:t>að beita, á grundvelli stjórnsýslumeðferðar, fjárhagslegum viðurlögum sem hafa varnaðaráhrif og geta falið í sér févíti og afturvirk viðurlög, að hefja málarekstur til álagningar sektum eða hvort tveggja,</w:t>
      </w:r>
    </w:p>
    <w:p w14:paraId="4BEF5D8B" w14:textId="77777777" w:rsidR="00900A3D" w:rsidRDefault="000E1836" w:rsidP="00100A86">
      <w:pPr>
        <w:pStyle w:val="NumberedText"/>
        <w:spacing w:after="460"/>
        <w:ind w:left="293" w:hanging="293"/>
      </w:pPr>
      <w:r>
        <w:t>b)</w:t>
      </w:r>
      <w:r>
        <w:tab/>
        <w:t>að krefjast frestunar á því að veiting gagnamilligönguþjónustunnar hefjist eða stöðva hana tímabundið þar til allar breytingar varðandi skilyrði, sem lögbæra yfirvaldið á sviði gagnamilligönguþjónustu fer fram á, hafa verið gerðar, eða</w:t>
      </w:r>
    </w:p>
    <w:p w14:paraId="4BEF5D8C" w14:textId="77777777" w:rsidR="00900A3D" w:rsidRDefault="000E1836" w:rsidP="00100A86">
      <w:pPr>
        <w:pStyle w:val="NumberedText"/>
        <w:spacing w:after="460"/>
        <w:ind w:left="293" w:hanging="293"/>
      </w:pPr>
      <w:r>
        <w:t>c)</w:t>
      </w:r>
      <w:r>
        <w:tab/>
        <w:t xml:space="preserve">að krefjast þess að hætt verði að veita gagnamilligönguþjónustuna ef ekki hefur verið ráðin bót á alvarlegum eða endurteknum brotum þrátt fyrir tilkynningu í samræmi við 3. mgr. </w:t>
      </w:r>
    </w:p>
    <w:p w14:paraId="4BEF5D8D" w14:textId="77777777" w:rsidR="00900A3D" w:rsidRDefault="000E1836" w:rsidP="00100A86">
      <w:pPr>
        <w:pStyle w:val="Alinea"/>
        <w:spacing w:after="0"/>
      </w:pPr>
      <w:r>
        <w:t xml:space="preserve">Lögbæra yfirvaldið á sviði gagnamilligönguþjónustu skal fara þess á leit við framkvæmdastjórnina að hún fjarlægi veitanda gagnamilligönguþjónustu úr skránni yfir veitendur gagnamilligönguþjónustu þegar það hefur fyrirskipað að veiting gagnamilligönguþjónustunnar skuli stöðvuð í samræmi við </w:t>
      </w:r>
      <w:proofErr w:type="spellStart"/>
      <w:r>
        <w:t>c-lið</w:t>
      </w:r>
      <w:proofErr w:type="spellEnd"/>
      <w:r>
        <w:t xml:space="preserve"> fyrstu undirgreinar.</w:t>
      </w:r>
      <w:r>
        <w:br w:type="page"/>
      </w:r>
    </w:p>
    <w:p w14:paraId="4BEF5D8E" w14:textId="77777777" w:rsidR="00900A3D" w:rsidRDefault="000E1836" w:rsidP="00100A86">
      <w:pPr>
        <w:pStyle w:val="Alinea"/>
        <w:spacing w:after="570"/>
      </w:pPr>
      <w:r>
        <w:lastRenderedPageBreak/>
        <w:t xml:space="preserve">Ef veitandi gagnamilligönguþjónustu bætir úr brotum skal hann senda lögbæra yfirvaldinu á sviði gagnamilligönguþjónustu tilkynningu aftur. Lögbæra yfirvaldið á sviði gagnamilligönguþjónustu skal tilkynna framkvæmdastjórninni um sérhverja </w:t>
      </w:r>
      <w:proofErr w:type="spellStart"/>
      <w:r>
        <w:t>endurtilkynningu</w:t>
      </w:r>
      <w:proofErr w:type="spellEnd"/>
      <w:r>
        <w:t>.</w:t>
      </w:r>
    </w:p>
    <w:p w14:paraId="4BEF5D8F" w14:textId="77777777" w:rsidR="00900A3D" w:rsidRDefault="000E1836" w:rsidP="00100A86">
      <w:pPr>
        <w:pStyle w:val="AlineaWithParag"/>
        <w:spacing w:after="570"/>
      </w:pPr>
      <w:r>
        <w:t>5.</w:t>
      </w:r>
      <w:r>
        <w:tab/>
        <w:t>Ef veitandi gagnamilligönguþjónustu sem ekki hefur staðfestu í Sambandinu lætur hjá líða að tilnefna lagalegan fyrirsvarsmann eða lagalegi fyrirsvarsmaðurinn lætur hjá líða að veita, að beiðni lögbæra yfirvaldsins á sviði gagnamilligönguþjónustu, nauðsynlegar upplýsingar sem sýna með heildstæðum hætti fram á að farið sé að ákvæðum þessarar reglugerðar skal lögbæra yfirvaldið á sviði gagnamilligönguþjónustu hafa heimild til að fresta því að veiting gagnamilligönguþjónustunnar hefjist eða stöðva hana tímabundið þar til lagalegi fyrirsvarsmaðurinn hefur verið tilnefndur eða nauðsynlegar upplýsingar hafa verið veittar.</w:t>
      </w:r>
    </w:p>
    <w:p w14:paraId="4BEF5D90" w14:textId="77777777" w:rsidR="00900A3D" w:rsidRDefault="000E1836" w:rsidP="00100A86">
      <w:pPr>
        <w:pStyle w:val="AlineaWithParag"/>
        <w:spacing w:after="570"/>
      </w:pPr>
      <w:r>
        <w:t>6.</w:t>
      </w:r>
      <w:r>
        <w:tab/>
      </w:r>
      <w:proofErr w:type="spellStart"/>
      <w:r>
        <w:t>Lögbæru</w:t>
      </w:r>
      <w:proofErr w:type="spellEnd"/>
      <w:r>
        <w:t xml:space="preserve"> yfirvöldin á sviði gagnamilligönguþjónustu skulu tafarlaust tilkynna viðkomandi veitanda gagnamilligönguþjónustu um ráðstafanirnar sem gerðar eru skv. 4. og 5. mgr. og ástæðurnar sem liggja til grundvallar þeim, sem og þær ráðstafanir sem nauðsynlegt er að gera til að ráða bót á viðkomandi annmörkum og skulu mæla fyrir um hæfilegan frest, sem skal ekki vera lengri en 30 dagar, fyrir veitanda gagnamilligönguþjónustunnar til að fara að þessum ráðstöfunum.</w:t>
      </w:r>
    </w:p>
    <w:p w14:paraId="4BEF5D91" w14:textId="77777777" w:rsidR="00900A3D" w:rsidRDefault="000E1836" w:rsidP="00100A86">
      <w:pPr>
        <w:pStyle w:val="AlineaWithParag"/>
        <w:spacing w:after="570"/>
      </w:pPr>
      <w:r>
        <w:t>7.</w:t>
      </w:r>
      <w:r>
        <w:tab/>
        <w:t>Ef veitandi gagnamilligönguþjónustu hefur höfuðstöðvar sínar eða lagalegan fyrirsvarsmann í einu aðildarríki en veitir þjónustu í öðrum aðildarríkjum skulu lögbæra yfirvaldið á sviði gagnamilligönguþjónustu í aðildarríkinu þar sem höfuðstöðvarnar eru eða þar sem lagalegi fyrirsvarsmaðurinn er staðsettur og lögbær yfirvöld á sviði gagnamilligönguþjónustu í hinum aðildarríkjunum sem um ræðir starfa saman og aðstoða hvert annað. Slík aðstoð og samvinna getur falið í sér upplýsingaskipti milli hlutaðeigandi lögbærra yfirvalda á sviði gagnamilligönguþjónustu vegna verkefna þeirra samkvæmt þessari reglugerð og rökstuddar beiðnir um að gripið sé til ráðstafananna sem um getur í þessari grein.</w:t>
      </w:r>
    </w:p>
    <w:p w14:paraId="4BEF5D92" w14:textId="77777777" w:rsidR="00900A3D" w:rsidRDefault="000E1836" w:rsidP="00100A86">
      <w:pPr>
        <w:pStyle w:val="Alinea"/>
        <w:spacing w:after="570"/>
      </w:pPr>
      <w:r>
        <w:t xml:space="preserve">Þegar lögbært yfirvald á sviði gagnamilligönguþjónustu í einu aðildarríki óskar eftir aðstoð </w:t>
      </w:r>
      <w:proofErr w:type="spellStart"/>
      <w:r>
        <w:t>lögbærs</w:t>
      </w:r>
      <w:proofErr w:type="spellEnd"/>
      <w:r>
        <w:t xml:space="preserve"> yfirvalds á sviði gagnamilligönguþjónustu í öðru aðildarríki skal það leggja fram rökstudda beiðni. Lögbæra yfirvaldið á sviði gagnamilligönguþjónustu skal, að fram kominni slíkri beiðni, svara tafarlaust og innan tímaramma sem er í réttu hlutfalli við það hversu brýn beiðnin er.</w:t>
      </w:r>
    </w:p>
    <w:p w14:paraId="4BEF5D93" w14:textId="77777777" w:rsidR="00900A3D" w:rsidRDefault="000E1836" w:rsidP="00100A86">
      <w:pPr>
        <w:pStyle w:val="Alinea"/>
        <w:spacing w:after="570"/>
      </w:pPr>
      <w:r>
        <w:t>Allar upplýsingar sem skipst er á í tengslum við aðstoð, sem óskað er eftir og veitt er samkvæmt þessari málsgrein, skal aðeins nota í tengslum við málið sem lá til grundvallar beiðninni.</w:t>
      </w:r>
    </w:p>
    <w:p w14:paraId="4BEF5D94" w14:textId="77777777" w:rsidR="00900A3D" w:rsidRDefault="000E1836">
      <w:pPr>
        <w:pStyle w:val="TIART"/>
      </w:pPr>
      <w:r>
        <w:t>15. gr.</w:t>
      </w:r>
    </w:p>
    <w:p w14:paraId="4BEF5D95" w14:textId="77777777" w:rsidR="00900A3D" w:rsidRDefault="000E1836">
      <w:pPr>
        <w:pStyle w:val="STIART"/>
      </w:pPr>
      <w:r>
        <w:t>Undanþágur</w:t>
      </w:r>
    </w:p>
    <w:p w14:paraId="4BEF5D96" w14:textId="77777777" w:rsidR="00900A3D" w:rsidRDefault="000E1836" w:rsidP="00100A86">
      <w:pPr>
        <w:pStyle w:val="Alinea"/>
        <w:spacing w:after="570"/>
      </w:pPr>
      <w:r>
        <w:t xml:space="preserve">Þessi kafli gildir ekki um viðurkenndar gagnavildarstofnanir eða aðra aðila sem ekki eru reknir í hagnaðarskyni að því marki sem starfsemi þeirra felst í því að afla gagna í þágu markmiða er varða almannahagsmuni, sem einstaklingar eða lögaðilar gera aðgengileg á grundvelli gagnavildar, nema þessar stofnanir og aðilar miði að því að koma á viðskiptasamböndum milli ótilgreinds fjölda skráðra aðila og handhafa gagna annars vegar og gagnanotenda hins vegar. </w:t>
      </w:r>
    </w:p>
    <w:p w14:paraId="4BEF5D97" w14:textId="77777777" w:rsidR="00900A3D" w:rsidRDefault="000E1836" w:rsidP="00100A86">
      <w:pPr>
        <w:pStyle w:val="DivisionChapterTI1"/>
        <w:spacing w:line="200" w:lineRule="exact"/>
      </w:pPr>
      <w:r>
        <w:rPr>
          <w:i/>
        </w:rPr>
        <w:t>IV. KAFLI</w:t>
      </w:r>
    </w:p>
    <w:p w14:paraId="4BEF5D98" w14:textId="77777777" w:rsidR="00900A3D" w:rsidRPr="00100A86" w:rsidRDefault="000E1836">
      <w:pPr>
        <w:pStyle w:val="DivisionChapterSTI1"/>
        <w:rPr>
          <w:caps w:val="0"/>
          <w:sz w:val="18"/>
          <w:szCs w:val="18"/>
        </w:rPr>
      </w:pPr>
      <w:r>
        <w:rPr>
          <w:i/>
          <w:caps w:val="0"/>
          <w:sz w:val="18"/>
        </w:rPr>
        <w:t>Gagnavild</w:t>
      </w:r>
    </w:p>
    <w:p w14:paraId="4BEF5D99" w14:textId="77777777" w:rsidR="00900A3D" w:rsidRDefault="000E1836">
      <w:pPr>
        <w:pStyle w:val="TIART"/>
      </w:pPr>
      <w:r>
        <w:t>16. gr.</w:t>
      </w:r>
    </w:p>
    <w:p w14:paraId="4BEF5D9A" w14:textId="77777777" w:rsidR="00900A3D" w:rsidRDefault="000E1836">
      <w:pPr>
        <w:pStyle w:val="STIART"/>
      </w:pPr>
      <w:r>
        <w:t>Landsbundið fyrirkomulag varðandi gagnavild</w:t>
      </w:r>
    </w:p>
    <w:p w14:paraId="4BEF5D9B" w14:textId="77777777" w:rsidR="00900A3D" w:rsidRDefault="000E1836" w:rsidP="00100A86">
      <w:pPr>
        <w:pStyle w:val="Alinea"/>
        <w:spacing w:after="0"/>
      </w:pPr>
      <w:r>
        <w:t xml:space="preserve">Aðildarríkin geta haft í gildi skipulags- eða tækniráðstafanir, eða hvort tveggja, til að greiða fyrir gagnavild. Í þessu skyni geta aðildarríkin komið á innlendum gagnavildarstefnum. Slíkar innlendar stefnur geta einkum aðstoðað skráða aðila við að gera persónuupplýsingar sem þá varða og sem eru í vörslu opinberra aðila aðgengilegar að eigin frumkvæði í þágu gagnavildar og </w:t>
      </w:r>
      <w:r>
        <w:lastRenderedPageBreak/>
        <w:t>sett fram nauðsynlegar upplýsingar sem krafist er að veittar séu skráðum aðilum varðandi endurnotkun gagna þeirra í almannaþágu.</w:t>
      </w:r>
      <w:r>
        <w:br w:type="page"/>
      </w:r>
    </w:p>
    <w:p w14:paraId="4BEF5D9C" w14:textId="77777777" w:rsidR="00900A3D" w:rsidRDefault="000E1836" w:rsidP="0074118B">
      <w:pPr>
        <w:pStyle w:val="Alinea"/>
        <w:spacing w:after="395"/>
      </w:pPr>
      <w:r>
        <w:lastRenderedPageBreak/>
        <w:t>Ef aðildarríki mótar slíkar innlendar stefnur skal það tilkynna framkvæmdastjórninni um það.</w:t>
      </w:r>
    </w:p>
    <w:p w14:paraId="4BEF5D9D" w14:textId="77777777" w:rsidR="00900A3D" w:rsidRDefault="000E1836">
      <w:pPr>
        <w:pStyle w:val="TIART"/>
      </w:pPr>
      <w:r>
        <w:t>17. gr.</w:t>
      </w:r>
    </w:p>
    <w:p w14:paraId="4BEF5D9E" w14:textId="77777777" w:rsidR="00900A3D" w:rsidRDefault="000E1836">
      <w:pPr>
        <w:pStyle w:val="STIART"/>
      </w:pPr>
      <w:r>
        <w:t xml:space="preserve">Opinberar skrár yfir viðurkenndar gagnavildarstofnanir </w:t>
      </w:r>
    </w:p>
    <w:p w14:paraId="4BEF5D9F" w14:textId="77777777" w:rsidR="00900A3D" w:rsidRDefault="000E1836" w:rsidP="0074118B">
      <w:pPr>
        <w:pStyle w:val="AlineaWithParag"/>
        <w:spacing w:after="395"/>
      </w:pPr>
      <w:r>
        <w:t>1.</w:t>
      </w:r>
      <w:r>
        <w:tab/>
        <w:t>Sérhvert lögbært yfirvald sem annast skráningu gagnavildarstofnana skal halda og uppfæra reglulega opinbera landsskrá yfir viðurkenndar gagnavildarstofnanir.</w:t>
      </w:r>
    </w:p>
    <w:p w14:paraId="4BEF5DA0" w14:textId="77777777" w:rsidR="00900A3D" w:rsidRDefault="000E1836" w:rsidP="0074118B">
      <w:pPr>
        <w:pStyle w:val="AlineaWithParag"/>
        <w:spacing w:after="395"/>
      </w:pPr>
      <w:r>
        <w:t>2.</w:t>
      </w:r>
      <w:r>
        <w:tab/>
        <w:t>Í upplýsingaskyni skal framkvæmdastjórnin halda opinbera skrá Sambandsins yfir viðurkenndar gagnavildarstofnanir. Sé aðili skráður í opinbera landsskrá yfir viðurkenndar gagnavildarstofnanir í samræmi við 18. gr. er honum heimilt að nota heitið „viðurkennd gagnavildarstofnun í Sambandinu“ í skriflegum og munnlegum samskiptum sínum, auk sameiginlegs kennimerkis.</w:t>
      </w:r>
    </w:p>
    <w:p w14:paraId="4BEF5DA1" w14:textId="77777777" w:rsidR="00900A3D" w:rsidRDefault="000E1836" w:rsidP="0074118B">
      <w:pPr>
        <w:pStyle w:val="Alinea"/>
        <w:spacing w:after="395"/>
      </w:pPr>
      <w:r>
        <w:t>Til að tryggja að auðvelt sé að bera kennsl á viðurkenndar gagnavildarstofnanir í öllu Sambandinu skal framkvæmdastjórnin ákveða útlit sameiginlega kennimerkisins með framkvæmdargerðum.  Viðurkenndar gagnavildarstofnanir skulu birta sameiginlega kennimerkið með skýrum hætti á öllu útgefnu efni sem tengist gagnavildarstarfi þeirra, jafnt á netinu sem utan þess. Sameiginlega kennimerkinu skal fylgja QR-kóði með tengli á opinbera skrá Sambandsins yfir viðurkenndar gagnavildarstofnanir.</w:t>
      </w:r>
    </w:p>
    <w:p w14:paraId="4BEF5DA2" w14:textId="77777777" w:rsidR="00900A3D" w:rsidRDefault="000E1836" w:rsidP="0074118B">
      <w:pPr>
        <w:pStyle w:val="Alinea"/>
        <w:spacing w:after="395"/>
      </w:pPr>
      <w:r>
        <w:t>Þessar framkvæmdargerðir skulu samþykktar í samræmi við ráðgjafarnefndarmeðferðina sem um getur í 2. mgr. 33. gr.</w:t>
      </w:r>
    </w:p>
    <w:p w14:paraId="4BEF5DA3" w14:textId="77777777" w:rsidR="00900A3D" w:rsidRDefault="000E1836">
      <w:pPr>
        <w:pStyle w:val="TIART"/>
      </w:pPr>
      <w:r>
        <w:t>18. gr.</w:t>
      </w:r>
    </w:p>
    <w:p w14:paraId="4BEF5DA4" w14:textId="77777777" w:rsidR="00900A3D" w:rsidRDefault="000E1836">
      <w:pPr>
        <w:pStyle w:val="STIART"/>
      </w:pPr>
      <w:r>
        <w:t>Almennar kröfur varðandi skráningu</w:t>
      </w:r>
    </w:p>
    <w:p w14:paraId="4BEF5DA5" w14:textId="77777777" w:rsidR="00900A3D" w:rsidRDefault="000E1836" w:rsidP="0074118B">
      <w:pPr>
        <w:pStyle w:val="Alinea"/>
        <w:spacing w:after="395"/>
      </w:pPr>
      <w:r>
        <w:t>Til að uppfylla skilyrði fyrir skráningu í opinbera landsskrá yfir viðurkenndar gagnavildarstofnanir skal aðili:</w:t>
      </w:r>
    </w:p>
    <w:p w14:paraId="4BEF5DA6" w14:textId="77777777" w:rsidR="00900A3D" w:rsidRDefault="000E1836" w:rsidP="0074118B">
      <w:pPr>
        <w:pStyle w:val="NumberedText"/>
        <w:spacing w:after="395"/>
        <w:ind w:left="293" w:hanging="293"/>
      </w:pPr>
      <w:r>
        <w:t>a)</w:t>
      </w:r>
      <w:r>
        <w:tab/>
        <w:t>ástunda gagnavild,</w:t>
      </w:r>
    </w:p>
    <w:p w14:paraId="4BEF5DA7" w14:textId="77777777" w:rsidR="00900A3D" w:rsidRDefault="000E1836" w:rsidP="0074118B">
      <w:pPr>
        <w:pStyle w:val="NumberedText"/>
        <w:spacing w:after="395"/>
        <w:ind w:left="293" w:hanging="293"/>
      </w:pPr>
      <w:r>
        <w:t>b)</w:t>
      </w:r>
      <w:r>
        <w:tab/>
        <w:t xml:space="preserve">vera lögaðili sem komið er á fót samkvæmt landslögum til að uppfylla markmið er varða almannahagsmuni eins og kveðið er á um í landslögum, eftir atvikum, </w:t>
      </w:r>
    </w:p>
    <w:p w14:paraId="4BEF5DA8" w14:textId="77777777" w:rsidR="00900A3D" w:rsidRDefault="000E1836" w:rsidP="0074118B">
      <w:pPr>
        <w:pStyle w:val="NumberedText"/>
        <w:spacing w:after="395"/>
        <w:ind w:left="293" w:hanging="293"/>
      </w:pPr>
      <w:r>
        <w:t>c)</w:t>
      </w:r>
      <w:r>
        <w:tab/>
        <w:t>ekki vera rekinn í hagnaðarskyni og vera lagalega óháður aðilum sem reknir eru í hagnaðarskyni,</w:t>
      </w:r>
    </w:p>
    <w:p w14:paraId="4BEF5DA9" w14:textId="77777777" w:rsidR="00900A3D" w:rsidRDefault="000E1836" w:rsidP="0074118B">
      <w:pPr>
        <w:pStyle w:val="NumberedText"/>
        <w:spacing w:after="395"/>
        <w:ind w:left="293" w:hanging="293"/>
      </w:pPr>
      <w:r>
        <w:t>d)</w:t>
      </w:r>
      <w:r>
        <w:tab/>
        <w:t>ástunda gagnavild sína í gegnum einingu sem er aðskilin annarri starfsemi sem hann hefur með höndum,</w:t>
      </w:r>
    </w:p>
    <w:p w14:paraId="4BEF5DAA" w14:textId="77777777" w:rsidR="00900A3D" w:rsidRDefault="000E1836" w:rsidP="0074118B">
      <w:pPr>
        <w:pStyle w:val="NumberedText"/>
        <w:spacing w:after="395"/>
        <w:ind w:left="293" w:hanging="293"/>
      </w:pPr>
      <w:r>
        <w:t>e)</w:t>
      </w:r>
      <w:r>
        <w:tab/>
        <w:t>fara að reglubókinni sem um getur í 1. mgr. 22. gr. eigi síðar en 18 mánuðum eftir gildistökudag framseldu gerðanna sem um getur í þeirri málsgrein.</w:t>
      </w:r>
    </w:p>
    <w:p w14:paraId="4BEF5DAB" w14:textId="77777777" w:rsidR="00900A3D" w:rsidRDefault="000E1836">
      <w:pPr>
        <w:pStyle w:val="TIART"/>
      </w:pPr>
      <w:r>
        <w:t>19. gr.</w:t>
      </w:r>
    </w:p>
    <w:p w14:paraId="4BEF5DAC" w14:textId="77777777" w:rsidR="00900A3D" w:rsidRDefault="000E1836">
      <w:pPr>
        <w:pStyle w:val="STIART"/>
      </w:pPr>
      <w:r>
        <w:t>Skráning viðurkenndra gagnavildarstofnana</w:t>
      </w:r>
    </w:p>
    <w:p w14:paraId="4BEF5DAD" w14:textId="77777777" w:rsidR="00900A3D" w:rsidRDefault="000E1836" w:rsidP="0074118B">
      <w:pPr>
        <w:pStyle w:val="AlineaWithParag"/>
        <w:spacing w:after="395"/>
      </w:pPr>
      <w:r>
        <w:t>1.</w:t>
      </w:r>
      <w:r>
        <w:tab/>
        <w:t>Aðili sem uppfyllir kröfur 18. gr. getur lagt fram umsókn um skráningu í opinbera landsskrá yfir viðurkenndar gagnavildarstofnanir í aðildarríkinu þar sem hann hefur staðfestu.</w:t>
      </w:r>
    </w:p>
    <w:p w14:paraId="4BEF5DAE" w14:textId="77777777" w:rsidR="00900A3D" w:rsidRDefault="000E1836" w:rsidP="0074118B">
      <w:pPr>
        <w:pStyle w:val="AlineaWithParag"/>
        <w:spacing w:after="395"/>
      </w:pPr>
      <w:r>
        <w:t>2.</w:t>
      </w:r>
      <w:r>
        <w:tab/>
        <w:t>Aðili sem uppfyllir kröfur 18. gr. og hefur starfsstöðvar í fleiri en einu aðildarríki getur lagt fram umsókn um skráningu í opinbera landsskrá yfir viðurkenndar gagnavildarstofnanir í aðildarríkinu þar sem hann hefur höfuðstöðvar sínar.</w:t>
      </w:r>
    </w:p>
    <w:p w14:paraId="4BEF5DAF" w14:textId="77777777" w:rsidR="00900A3D" w:rsidRDefault="000E1836" w:rsidP="0074118B">
      <w:pPr>
        <w:pStyle w:val="AlineaWithParag"/>
        <w:spacing w:after="0"/>
      </w:pPr>
      <w:r>
        <w:t>3.</w:t>
      </w:r>
      <w:r>
        <w:tab/>
        <w:t>Aðili sem uppfyllir kröfur 18. gr. en hefur ekki staðfestu í Sambandinu skal tilnefna lagalegan fyrirsvarsmann í einu aðildarríkjanna þar sem gagnavildarþjónusta er í boði.</w:t>
      </w:r>
      <w:r>
        <w:br w:type="page"/>
      </w:r>
    </w:p>
    <w:p w14:paraId="4BEF5DB0" w14:textId="77777777" w:rsidR="00900A3D" w:rsidRDefault="000E1836" w:rsidP="0074118B">
      <w:pPr>
        <w:pStyle w:val="Alinea"/>
        <w:spacing w:after="330"/>
      </w:pPr>
      <w:r>
        <w:lastRenderedPageBreak/>
        <w:t xml:space="preserve">Til að tryggja að farið sé að þessari reglugerð skal lagalegi fyrirsvarsmaðurinn hafa umboð frá aðilanum til þess að lögbær yfirvöld sem annast skráningu gagnavildarstofnana eða skráðir aðilar og handhafar gagna geti snúið sér til hans, til viðbótar við eða í stað aðilans, að því er varðar öll álitaefni í tengslum við þann aðila. Lagalegi fyrirsvarsmaðurinn skal starfa með </w:t>
      </w:r>
      <w:proofErr w:type="spellStart"/>
      <w:r>
        <w:t>lögbærum</w:t>
      </w:r>
      <w:proofErr w:type="spellEnd"/>
      <w:r>
        <w:t xml:space="preserve"> yfirvöldum sem annast skráningu gagnavildarstofnana og lýsa ítarlega fyrir þeim, sé þess óskað, þeim aðgerðum sem aðilinn hefur gripið til og þeim ráðstöfunum sem hann hefur gert til að tryggja að farið sé að þessari reglugerð.</w:t>
      </w:r>
    </w:p>
    <w:p w14:paraId="4BEF5DB1" w14:textId="77777777" w:rsidR="00900A3D" w:rsidRDefault="000E1836" w:rsidP="0074118B">
      <w:pPr>
        <w:pStyle w:val="Alinea"/>
        <w:spacing w:after="330"/>
      </w:pPr>
      <w:r>
        <w:t>Aðilinn skal teljast heyra undir lögsögu þess aðildarríkis þar sem lagalegi fyrirsvarsmaðurinn er staðsettur. Slíkur aðili getur lagt fram umsókn um skráningu í opinbera landsskrá yfir viðurkenndar gagnavildarstofnanir í því aðildarríki. Þó að aðilinn tilnefni lagalegan fyrirsvarsmann hefur það ekki áhrif á lögsóknir sem hefja mætti gegn aðilanum.</w:t>
      </w:r>
    </w:p>
    <w:p w14:paraId="4BEF5DB2" w14:textId="77777777" w:rsidR="00900A3D" w:rsidRDefault="000E1836" w:rsidP="0074118B">
      <w:pPr>
        <w:pStyle w:val="AlineaWithParag"/>
        <w:spacing w:after="330"/>
      </w:pPr>
      <w:r>
        <w:t>4.</w:t>
      </w:r>
      <w:r>
        <w:tab/>
        <w:t>Í umsóknum um skráningu sem um getur í 1., 2. og 3. mgr. skulu eftirfarandi upplýsingar koma fram:</w:t>
      </w:r>
    </w:p>
    <w:p w14:paraId="4BEF5DB3" w14:textId="77777777" w:rsidR="00900A3D" w:rsidRDefault="000E1836" w:rsidP="0074118B">
      <w:pPr>
        <w:pStyle w:val="NumberedText"/>
        <w:spacing w:after="330"/>
        <w:ind w:left="293" w:hanging="293"/>
      </w:pPr>
      <w:r>
        <w:t>a)</w:t>
      </w:r>
      <w:r>
        <w:tab/>
        <w:t>heiti aðilans,</w:t>
      </w:r>
    </w:p>
    <w:p w14:paraId="4BEF5DB4" w14:textId="77777777" w:rsidR="00900A3D" w:rsidRDefault="000E1836" w:rsidP="0074118B">
      <w:pPr>
        <w:pStyle w:val="NumberedText"/>
        <w:spacing w:after="330"/>
        <w:ind w:left="293" w:hanging="293"/>
      </w:pPr>
      <w:r>
        <w:t>b)</w:t>
      </w:r>
      <w:r>
        <w:tab/>
        <w:t>réttarstaða aðilans, félagsform og, ef hann er skráður í opinbera landsskrá, skráningarnúmer,</w:t>
      </w:r>
    </w:p>
    <w:p w14:paraId="4BEF5DB5" w14:textId="77777777" w:rsidR="00900A3D" w:rsidRDefault="000E1836" w:rsidP="0074118B">
      <w:pPr>
        <w:pStyle w:val="NumberedText"/>
        <w:spacing w:after="330"/>
        <w:ind w:left="293" w:hanging="293"/>
      </w:pPr>
      <w:r>
        <w:t>c)</w:t>
      </w:r>
      <w:r>
        <w:tab/>
        <w:t>samþykktir aðilans, eftir því sem við á,</w:t>
      </w:r>
    </w:p>
    <w:p w14:paraId="4BEF5DB6" w14:textId="77777777" w:rsidR="00900A3D" w:rsidRDefault="000E1836" w:rsidP="0074118B">
      <w:pPr>
        <w:pStyle w:val="NumberedText"/>
        <w:spacing w:after="330"/>
        <w:ind w:left="293" w:hanging="293"/>
      </w:pPr>
      <w:r>
        <w:t>d)</w:t>
      </w:r>
      <w:r>
        <w:tab/>
        <w:t>hverjar tekjulindir aðilans eru,</w:t>
      </w:r>
    </w:p>
    <w:p w14:paraId="4BEF5DB7" w14:textId="77777777" w:rsidR="00900A3D" w:rsidRDefault="000E1836" w:rsidP="0074118B">
      <w:pPr>
        <w:pStyle w:val="NumberedText"/>
        <w:spacing w:after="330"/>
        <w:ind w:left="293" w:hanging="293"/>
      </w:pPr>
      <w:r>
        <w:t>e)</w:t>
      </w:r>
      <w:r>
        <w:tab/>
        <w:t>heimilisfang höfuðstöðva aðilans í Sambandinu ef þær eru fyrir hendi og, eftir atvikum, allra aukaútibúa í öðru aðildarríki eða heimilisfang lagalega fyrirsvarsmannsins,</w:t>
      </w:r>
    </w:p>
    <w:p w14:paraId="4BEF5DB8" w14:textId="77777777" w:rsidR="00900A3D" w:rsidRDefault="000E1836" w:rsidP="0074118B">
      <w:pPr>
        <w:pStyle w:val="NumberedText"/>
        <w:spacing w:after="330"/>
        <w:ind w:left="293" w:hanging="293"/>
      </w:pPr>
      <w:r>
        <w:t>f)</w:t>
      </w:r>
      <w:r>
        <w:tab/>
        <w:t xml:space="preserve">opinbert vefsetur þar sem finna má ítarlegar og uppfærðar upplýsingar um aðilann og starfsemina, þ.m.t. að lágmarki upplýsingarnar sem um getur í a-, b-, d-, e- og </w:t>
      </w:r>
      <w:proofErr w:type="spellStart"/>
      <w:r>
        <w:t>h-lið</w:t>
      </w:r>
      <w:proofErr w:type="spellEnd"/>
      <w:r>
        <w:t>,</w:t>
      </w:r>
    </w:p>
    <w:p w14:paraId="4BEF5DB9" w14:textId="77777777" w:rsidR="00900A3D" w:rsidRDefault="000E1836" w:rsidP="0074118B">
      <w:pPr>
        <w:pStyle w:val="NumberedText"/>
        <w:spacing w:after="330"/>
        <w:ind w:left="293" w:hanging="293"/>
      </w:pPr>
      <w:r>
        <w:t>g)</w:t>
      </w:r>
      <w:r>
        <w:tab/>
        <w:t>tengiliðir aðilans og samskiptaupplýsingar,</w:t>
      </w:r>
    </w:p>
    <w:p w14:paraId="4BEF5DBA" w14:textId="77777777" w:rsidR="00900A3D" w:rsidRDefault="000E1836" w:rsidP="0074118B">
      <w:pPr>
        <w:pStyle w:val="NumberedText"/>
        <w:spacing w:after="330"/>
        <w:ind w:left="293" w:hanging="293"/>
      </w:pPr>
      <w:r>
        <w:t>h)</w:t>
      </w:r>
      <w:r>
        <w:tab/>
        <w:t>þau markmið er varða almannahagsmuni sem stofnunin hyggst stuðla að með söfnun upplýsinga,</w:t>
      </w:r>
    </w:p>
    <w:p w14:paraId="4BEF5DBB" w14:textId="77777777" w:rsidR="00900A3D" w:rsidRDefault="000E1836" w:rsidP="0074118B">
      <w:pPr>
        <w:pStyle w:val="NumberedText"/>
        <w:spacing w:after="330"/>
        <w:ind w:left="293" w:hanging="293"/>
      </w:pPr>
      <w:r>
        <w:t>i)</w:t>
      </w:r>
      <w:r>
        <w:tab/>
        <w:t>eðli gagnanna sem aðilinn hyggst stjórna eða vinna og, ef um er að ræða persónuupplýsingar, upplýsingar um flokka persónuupplýsinga,</w:t>
      </w:r>
    </w:p>
    <w:p w14:paraId="4BEF5DBC" w14:textId="77777777" w:rsidR="00900A3D" w:rsidRDefault="000E1836" w:rsidP="0074118B">
      <w:pPr>
        <w:pStyle w:val="NumberedText"/>
        <w:spacing w:after="330"/>
        <w:ind w:left="293" w:hanging="293"/>
      </w:pPr>
      <w:r>
        <w:t>j)</w:t>
      </w:r>
      <w:r>
        <w:tab/>
        <w:t>önnur skjöl sem sýna fram á að kröfur 18. gr. séu uppfylltar.</w:t>
      </w:r>
    </w:p>
    <w:p w14:paraId="4BEF5DBD" w14:textId="77777777" w:rsidR="00900A3D" w:rsidRDefault="000E1836" w:rsidP="0074118B">
      <w:pPr>
        <w:pStyle w:val="AlineaWithParag"/>
        <w:spacing w:after="330"/>
      </w:pPr>
      <w:r>
        <w:t>5.</w:t>
      </w:r>
      <w:r>
        <w:tab/>
        <w:t>Ef aðilinn hefur lagt fram allar nauðsynlegar upplýsingar skv. 4. mgr. og eftir að lögbæra yfirvaldið, sem annast skráningu gagnavildarstofnana, hefur metið umsóknina um skráningu og komist að þeirri niðurstöðu að aðilinn uppfylli kröfur 18. gr., skal það skrá aðilann í opinberu landsskrána yfir viðurkenndar gagnavildarstofnanir innan 12 vikna frá viðtöku umsóknarinnar um skráningu. Skráningin skal gilda í öllum aðildarríkjunum.</w:t>
      </w:r>
    </w:p>
    <w:p w14:paraId="4BEF5DBE" w14:textId="77777777" w:rsidR="00900A3D" w:rsidRDefault="000E1836" w:rsidP="0074118B">
      <w:pPr>
        <w:pStyle w:val="Alinea"/>
        <w:spacing w:after="330"/>
      </w:pPr>
      <w:r>
        <w:t>Lögbæra yfirvaldið sem annast skráningu gagnavildarstofnana skal tilkynna framkvæmdastjórninni um sérhverja skráningu. Framkvæmdastjórnin skal færa skráninguna inn í opinbera skrá Sambandsins yfir viðurkenndar gagnavildarstofnanir.</w:t>
      </w:r>
    </w:p>
    <w:p w14:paraId="4BEF5DBF" w14:textId="77777777" w:rsidR="00900A3D" w:rsidRDefault="000E1836" w:rsidP="0074118B">
      <w:pPr>
        <w:pStyle w:val="AlineaWithParag"/>
        <w:spacing w:after="330"/>
      </w:pPr>
      <w:r>
        <w:t>6.</w:t>
      </w:r>
      <w:r>
        <w:tab/>
        <w:t xml:space="preserve">Upplýsingarnar sem um getur í a-, b-, f-, g- og </w:t>
      </w:r>
      <w:proofErr w:type="spellStart"/>
      <w:r>
        <w:t>h-lið</w:t>
      </w:r>
      <w:proofErr w:type="spellEnd"/>
      <w:r>
        <w:t xml:space="preserve"> 4. mgr. skulu birtar í viðeigandi opinberri landsskrá yfir viðurkenndar gagnavildarstofnanir.</w:t>
      </w:r>
    </w:p>
    <w:p w14:paraId="4BEF5DC0" w14:textId="77777777" w:rsidR="00900A3D" w:rsidRDefault="000E1836" w:rsidP="0074118B">
      <w:pPr>
        <w:pStyle w:val="AlineaWithParag"/>
        <w:spacing w:after="330"/>
      </w:pPr>
      <w:r>
        <w:t>7.</w:t>
      </w:r>
      <w:r>
        <w:tab/>
        <w:t xml:space="preserve">Viðurkennd gagnavildarstofnun skal tilkynna viðkomandi </w:t>
      </w:r>
      <w:proofErr w:type="spellStart"/>
      <w:r>
        <w:t>lögbæru</w:t>
      </w:r>
      <w:proofErr w:type="spellEnd"/>
      <w:r>
        <w:t xml:space="preserve"> yfirvaldi sem annast skráningu gagnavildarstofnana um allar breytingar á upplýsingunum, sem veittar eru skv. 4. mgr., innan 14 daga frá dagsetningu breytingarinnar.</w:t>
      </w:r>
    </w:p>
    <w:p w14:paraId="4BEF5DC1" w14:textId="77777777" w:rsidR="00900A3D" w:rsidRDefault="000E1836" w:rsidP="0074118B">
      <w:pPr>
        <w:pStyle w:val="Alinea"/>
        <w:spacing w:after="0"/>
      </w:pPr>
      <w:r>
        <w:t>Lögbæra yfirvaldið sem annast skráningu gagnavildarstofnana skal tafarlaust tilkynna framkvæmdastjórninni um hverja slíka tilkynningu með rafrænum hætti. Á grundvelli slíkrar tilkynningar skal framkvæmdastjórnin tafarlaust uppfæra opinbera skrá Sambandsins yfir viðurkenndar gagnavildarstofnanir.</w:t>
      </w:r>
      <w:r>
        <w:br w:type="page"/>
      </w:r>
    </w:p>
    <w:p w14:paraId="4BEF5DC2" w14:textId="77777777" w:rsidR="00900A3D" w:rsidRDefault="000E1836">
      <w:pPr>
        <w:pStyle w:val="TIART"/>
      </w:pPr>
      <w:r>
        <w:lastRenderedPageBreak/>
        <w:t>20. gr.</w:t>
      </w:r>
    </w:p>
    <w:p w14:paraId="4BEF5DC3" w14:textId="77777777" w:rsidR="00900A3D" w:rsidRDefault="000E1836">
      <w:pPr>
        <w:pStyle w:val="STIART"/>
      </w:pPr>
      <w:r>
        <w:t>Kröfur um gagnsæi</w:t>
      </w:r>
    </w:p>
    <w:p w14:paraId="4BEF5DC4" w14:textId="77777777" w:rsidR="00900A3D" w:rsidRDefault="000E1836" w:rsidP="0074118B">
      <w:pPr>
        <w:pStyle w:val="AlineaWithParag"/>
        <w:spacing w:after="270"/>
      </w:pPr>
      <w:r>
        <w:t>1.</w:t>
      </w:r>
      <w:r>
        <w:tab/>
        <w:t>Viðurkennd gagnavildarstofnun skal halda ítarlegar og nákvæmar skrár yfir:</w:t>
      </w:r>
    </w:p>
    <w:p w14:paraId="4BEF5DC5" w14:textId="77777777" w:rsidR="00900A3D" w:rsidRDefault="000E1836" w:rsidP="0074118B">
      <w:pPr>
        <w:pStyle w:val="NumberedText"/>
        <w:spacing w:after="270"/>
        <w:ind w:left="293" w:hanging="293"/>
      </w:pPr>
      <w:r>
        <w:t>a)</w:t>
      </w:r>
      <w:r>
        <w:tab/>
        <w:t>alla einstaklinga eða lögaðila sem gefinn var kostur á að vinna gögn í vörslu þeirrar gagnavildarstofnunar og samskiptaupplýsingar þeirra,</w:t>
      </w:r>
    </w:p>
    <w:p w14:paraId="4BEF5DC6" w14:textId="77777777" w:rsidR="00900A3D" w:rsidRDefault="000E1836" w:rsidP="0074118B">
      <w:pPr>
        <w:pStyle w:val="NumberedText"/>
        <w:spacing w:after="270"/>
        <w:ind w:left="293" w:hanging="293"/>
      </w:pPr>
      <w:r>
        <w:t>b)</w:t>
      </w:r>
      <w:r>
        <w:tab/>
        <w:t>dagsetningu eða tímalengd vinnslu persónuupplýsinga eða notkunar á ópersónulegum upplýsingum,</w:t>
      </w:r>
    </w:p>
    <w:p w14:paraId="4BEF5DC7" w14:textId="77777777" w:rsidR="00900A3D" w:rsidRDefault="000E1836" w:rsidP="0074118B">
      <w:pPr>
        <w:pStyle w:val="NumberedText"/>
        <w:spacing w:after="270"/>
        <w:ind w:left="293" w:hanging="293"/>
      </w:pPr>
      <w:r>
        <w:t>c)</w:t>
      </w:r>
      <w:r>
        <w:tab/>
        <w:t>tilgang vinnslunnar sem einstaklingurinn eða lögaðilinn, sem gefinn var kostur á vinnslunni, gaf upp,</w:t>
      </w:r>
    </w:p>
    <w:p w14:paraId="4BEF5DC8" w14:textId="77777777" w:rsidR="00900A3D" w:rsidRDefault="000E1836" w:rsidP="0074118B">
      <w:pPr>
        <w:pStyle w:val="NumberedText"/>
        <w:spacing w:after="270"/>
        <w:ind w:left="293" w:hanging="293"/>
      </w:pPr>
      <w:r>
        <w:t>d)</w:t>
      </w:r>
      <w:r>
        <w:tab/>
        <w:t>gjöld sem einstaklingar eða lögaðilar sem vinna gögnin greiða, ef einhver eru.</w:t>
      </w:r>
    </w:p>
    <w:p w14:paraId="4BEF5DC9" w14:textId="77777777" w:rsidR="00900A3D" w:rsidRDefault="000E1836" w:rsidP="0074118B">
      <w:pPr>
        <w:pStyle w:val="AlineaWithParag"/>
        <w:spacing w:after="270"/>
      </w:pPr>
      <w:r>
        <w:t>2.</w:t>
      </w:r>
      <w:r>
        <w:tab/>
        <w:t xml:space="preserve">Viðurkennd gagnavildarstofnun skal taka saman og senda viðkomandi </w:t>
      </w:r>
      <w:proofErr w:type="spellStart"/>
      <w:r>
        <w:t>lögbæru</w:t>
      </w:r>
      <w:proofErr w:type="spellEnd"/>
      <w:r>
        <w:t xml:space="preserve"> yfirvaldi sem annast skráningu gagnavildarstofnana árlega skýrslu um starfsemina, þar sem koma skal fram a.m.k. eftirfarandi:</w:t>
      </w:r>
    </w:p>
    <w:p w14:paraId="4BEF5DCA" w14:textId="77777777" w:rsidR="00900A3D" w:rsidRDefault="000E1836" w:rsidP="0074118B">
      <w:pPr>
        <w:pStyle w:val="NumberedText"/>
        <w:spacing w:after="270"/>
        <w:ind w:left="293" w:hanging="293"/>
      </w:pPr>
      <w:r>
        <w:t>a)</w:t>
      </w:r>
      <w:r>
        <w:tab/>
        <w:t>upplýsingar um starfsemi viðurkenndu gagnavildarstofnunarinnar,</w:t>
      </w:r>
    </w:p>
    <w:p w14:paraId="4BEF5DCB" w14:textId="77777777" w:rsidR="00900A3D" w:rsidRDefault="000E1836" w:rsidP="0074118B">
      <w:pPr>
        <w:pStyle w:val="NumberedText"/>
        <w:spacing w:after="270"/>
        <w:ind w:left="293" w:hanging="293"/>
      </w:pPr>
      <w:r>
        <w:t>b)</w:t>
      </w:r>
      <w:r>
        <w:tab/>
        <w:t>lýsing á því hvernig stuðlað hefur verið að þeim markmiðum er varða almannahagsmuni, sem söfnun gagnanna þjónaði, á viðkomandi fjárhagsári,</w:t>
      </w:r>
    </w:p>
    <w:p w14:paraId="4BEF5DCC" w14:textId="77777777" w:rsidR="00900A3D" w:rsidRDefault="000E1836" w:rsidP="0074118B">
      <w:pPr>
        <w:pStyle w:val="NumberedText"/>
        <w:spacing w:after="270"/>
        <w:ind w:left="293" w:hanging="293"/>
      </w:pPr>
      <w:r>
        <w:t>c)</w:t>
      </w:r>
      <w:r>
        <w:tab/>
        <w:t>skrá yfir alla einstaklinga og lögaðila sem fengið hafa leyfi til að vinna gögn í hennar vörslu, auk stuttrar lýsingar á þeim markmiðum er varða almannahagsmuni sem stefnt er að með slíkri gagnavinnslu og lýsingu á þeim tæknilegu úrræðum sem notuð eru, þ.m.t. lýsing á þeirri tækni sem notuð er til að viðhalda friðhelgi einkalífsins og persónuvernd,</w:t>
      </w:r>
    </w:p>
    <w:p w14:paraId="4BEF5DCD" w14:textId="77777777" w:rsidR="00900A3D" w:rsidRDefault="000E1836" w:rsidP="0074118B">
      <w:pPr>
        <w:pStyle w:val="NumberedText"/>
        <w:spacing w:after="270"/>
        <w:ind w:left="293" w:hanging="293"/>
      </w:pPr>
      <w:r>
        <w:t>d)</w:t>
      </w:r>
      <w:r>
        <w:tab/>
        <w:t>samantekt á niðurstöðum gagnavinnslunnar sem gagnavildarstofnunin heimilar, eftir atvikum,</w:t>
      </w:r>
    </w:p>
    <w:p w14:paraId="4BEF5DCE" w14:textId="77777777" w:rsidR="00900A3D" w:rsidRDefault="000E1836" w:rsidP="0074118B">
      <w:pPr>
        <w:pStyle w:val="NumberedText"/>
        <w:spacing w:after="270"/>
        <w:ind w:left="293" w:hanging="293"/>
      </w:pPr>
      <w:r>
        <w:t>e)</w:t>
      </w:r>
      <w:r>
        <w:tab/>
        <w:t>upplýsingar um tekjulindir gagnavildarstofnunarinnar, einkum allar tekjur af því að veita aðgang að gögnunum, ásamt upplýsingum um útgjöld.</w:t>
      </w:r>
    </w:p>
    <w:p w14:paraId="4BEF5DCF" w14:textId="77777777" w:rsidR="00900A3D" w:rsidRDefault="000E1836">
      <w:pPr>
        <w:pStyle w:val="TIART"/>
      </w:pPr>
      <w:r>
        <w:t>21. gr.</w:t>
      </w:r>
    </w:p>
    <w:p w14:paraId="4BEF5DD0" w14:textId="77777777" w:rsidR="00900A3D" w:rsidRDefault="000E1836">
      <w:pPr>
        <w:pStyle w:val="STIART"/>
      </w:pPr>
      <w:r>
        <w:t>Sértækar kröfur til að standa vörð um réttindi og hagsmuni skráðra aðila og handhafa gagna að því er varðar gögn þeirra</w:t>
      </w:r>
    </w:p>
    <w:p w14:paraId="4BEF5DD1" w14:textId="77777777" w:rsidR="00900A3D" w:rsidRDefault="000E1836" w:rsidP="0074118B">
      <w:pPr>
        <w:pStyle w:val="AlineaWithParag"/>
        <w:spacing w:after="270"/>
      </w:pPr>
      <w:r>
        <w:t>1.</w:t>
      </w:r>
      <w:r>
        <w:tab/>
        <w:t>Viðurkennd gagnavildarstofnun skal upplýsa skráða aðila eða handhafa gagna, áður en nokkur vinnsla fer fram á gögnum þeirra, með skýrum og auðskiljanlegum hætti um:</w:t>
      </w:r>
    </w:p>
    <w:p w14:paraId="4BEF5DD2" w14:textId="77777777" w:rsidR="00900A3D" w:rsidRDefault="000E1836" w:rsidP="0074118B">
      <w:pPr>
        <w:pStyle w:val="NumberedText"/>
        <w:spacing w:after="270"/>
        <w:ind w:left="293" w:hanging="293"/>
      </w:pPr>
      <w:r>
        <w:t>a)</w:t>
      </w:r>
      <w:r>
        <w:tab/>
        <w:t>þau markmið er varða almannahagsmuni og, ef við á, þann tiltekna, skýra og lögmæta tilgang sem vinnsla persónuupplýsinga á að þjóna og er ástæða þess að gagnanotandi fær leyfi til að vinna gögn þeirra,</w:t>
      </w:r>
    </w:p>
    <w:p w14:paraId="4BEF5DD3" w14:textId="77777777" w:rsidR="00900A3D" w:rsidRDefault="000E1836" w:rsidP="0074118B">
      <w:pPr>
        <w:pStyle w:val="NumberedText"/>
        <w:spacing w:after="270"/>
        <w:ind w:left="293" w:hanging="293"/>
      </w:pPr>
      <w:r>
        <w:t>b)</w:t>
      </w:r>
      <w:r>
        <w:tab/>
        <w:t>staðsetningu vinnslu sem fer fram í þriðja landi og þau markmið er varða almannahagsmuni sem eru ástæða þess að hún er leyfð, þegar viðurkennda gagnavildarstofnunin annast vinnsluna.</w:t>
      </w:r>
    </w:p>
    <w:p w14:paraId="4BEF5DD4" w14:textId="77777777" w:rsidR="00900A3D" w:rsidRDefault="000E1836" w:rsidP="0074118B">
      <w:pPr>
        <w:pStyle w:val="AlineaWithParag"/>
        <w:spacing w:after="270"/>
      </w:pPr>
      <w:r>
        <w:t>2.</w:t>
      </w:r>
      <w:r>
        <w:tab/>
        <w:t>Viðurkennda gagnavildarstofnunin skal ekki nota gögnin í öðrum tilgangi en í þágu þeirra markmiða er varða almannahagsmuni sem skráði aðilinn eða handhafi gagnanna heimilar vinnsluna fyrir. Viðurkennda gagnavildarstofnunin skal ekki nota villandi markaðsaðferðir til að falast eftir gagnaafhendingu.</w:t>
      </w:r>
    </w:p>
    <w:p w14:paraId="4BEF5DD5" w14:textId="77777777" w:rsidR="00900A3D" w:rsidRDefault="000E1836" w:rsidP="0074118B">
      <w:pPr>
        <w:pStyle w:val="AlineaWithParag"/>
        <w:spacing w:after="270"/>
      </w:pPr>
      <w:r>
        <w:t>3.</w:t>
      </w:r>
      <w:r>
        <w:tab/>
        <w:t>Viðurkennda gagnavildarstofnunin skal leggja til tól til að afla samþykkis skráðra aðila eða leyfa til að vinna gögn sem handhafar gagna gera aðgengileg. Viðurkennda gagnavildarstofnunin skal einnig sjá fyrir tólum til að auðvelt sé að draga til baka slíkt samþykki eða leyfi.</w:t>
      </w:r>
    </w:p>
    <w:p w14:paraId="4BEF5DD6" w14:textId="77777777" w:rsidR="00900A3D" w:rsidRDefault="000E1836" w:rsidP="0074118B">
      <w:pPr>
        <w:pStyle w:val="AlineaWithParag"/>
        <w:spacing w:after="270"/>
      </w:pPr>
      <w:r>
        <w:t>4.</w:t>
      </w:r>
      <w:r>
        <w:tab/>
        <w:t>Viðurkennda gagnavildarstofnunin skal gera ráðstafanir til að tryggja viðunandi öryggisstig fyrir geymslu og vinnslu ópersónulegra upplýsinga sem hún hefur safnað á grundvelli gagnavildar.</w:t>
      </w:r>
    </w:p>
    <w:p w14:paraId="4BEF5DD7" w14:textId="77777777" w:rsidR="00900A3D" w:rsidRDefault="000E1836" w:rsidP="0074118B">
      <w:pPr>
        <w:pStyle w:val="AlineaWithParag"/>
        <w:spacing w:after="0"/>
      </w:pPr>
      <w:r>
        <w:lastRenderedPageBreak/>
        <w:t>5.</w:t>
      </w:r>
      <w:r>
        <w:tab/>
        <w:t>Viðurkennda gagnavildarstofnunin skal upplýsa handhafa gagna tafarlaust um óheimila miðlun, aðgang að eða notkun á ópersónulegum upplýsingum sem hún hefur deilt,</w:t>
      </w:r>
      <w:r>
        <w:br w:type="page"/>
      </w:r>
    </w:p>
    <w:p w14:paraId="4BEF5DD8" w14:textId="77777777" w:rsidR="00900A3D" w:rsidRDefault="000E1836" w:rsidP="0074118B">
      <w:pPr>
        <w:pStyle w:val="AlineaWithParag"/>
        <w:spacing w:after="290"/>
      </w:pPr>
      <w:r>
        <w:lastRenderedPageBreak/>
        <w:t>6.</w:t>
      </w:r>
      <w:r>
        <w:tab/>
        <w:t>Ef viðurkennda gagnavildarstofnunin greiðir fyrir gagnavinnslu þriðju aðila, m.a. með því að leggja til tól til að afla samþykkis skráðra aðila eða leyfa til að vinna gögn sem handhafar gagna gera aðgengileg skal hún, ef við á, tilgreina í lögsögu hvaða þriðja lands fyrirhugað er að nota gögnin.</w:t>
      </w:r>
    </w:p>
    <w:p w14:paraId="4BEF5DD9" w14:textId="77777777" w:rsidR="00900A3D" w:rsidRDefault="000E1836">
      <w:pPr>
        <w:pStyle w:val="TIART"/>
      </w:pPr>
      <w:r>
        <w:t>22. gr.</w:t>
      </w:r>
    </w:p>
    <w:p w14:paraId="4BEF5DDA" w14:textId="77777777" w:rsidR="00900A3D" w:rsidRDefault="000E1836">
      <w:pPr>
        <w:pStyle w:val="STIART"/>
      </w:pPr>
      <w:r>
        <w:t>Reglubók</w:t>
      </w:r>
    </w:p>
    <w:p w14:paraId="4BEF5DDB" w14:textId="77777777" w:rsidR="00900A3D" w:rsidRDefault="000E1836" w:rsidP="0074118B">
      <w:pPr>
        <w:pStyle w:val="AlineaWithParag"/>
        <w:spacing w:after="290"/>
      </w:pPr>
      <w:r>
        <w:t>1.</w:t>
      </w:r>
      <w:r>
        <w:tab/>
        <w:t xml:space="preserve">Framkvæmdastjórnin skal samþykkja framseldar gerðir í samræmi við 32. gr. sem bæta við þessa reglugerð með því að koma á fót reglubók sem mælir fyrir um: </w:t>
      </w:r>
    </w:p>
    <w:p w14:paraId="4BEF5DDC" w14:textId="77777777" w:rsidR="00900A3D" w:rsidRDefault="000E1836" w:rsidP="0074118B">
      <w:pPr>
        <w:pStyle w:val="NumberedText"/>
        <w:spacing w:after="290"/>
        <w:ind w:left="293" w:hanging="293"/>
      </w:pPr>
      <w:r>
        <w:t>a)</w:t>
      </w:r>
      <w:r>
        <w:tab/>
        <w:t xml:space="preserve">viðeigandi upplýsingakröfur til að tryggja að skráðir aðilar og handhafar gagna fái, áður en samþykki eða leyfi fyrir gagnavild er veitt, nægilega ítarlegar, skýrar og gagnsæjar upplýsingar um notkun gagnanna, tól til að veita og draga til baka samþykki eða leyfi og ráðstafanir sem gerðar eru til að koma í veg fyrir misnotkun gagna sem deilt er með gagnavildarstofnuninni, </w:t>
      </w:r>
    </w:p>
    <w:p w14:paraId="4BEF5DDD" w14:textId="77777777" w:rsidR="00900A3D" w:rsidRDefault="000E1836" w:rsidP="0074118B">
      <w:pPr>
        <w:pStyle w:val="NumberedText"/>
        <w:spacing w:after="290"/>
        <w:ind w:left="293" w:hanging="293"/>
      </w:pPr>
      <w:r>
        <w:t>b)</w:t>
      </w:r>
      <w:r>
        <w:tab/>
        <w:t>viðeigandi tæknilegar kröfur og öryggiskröfur til að tryggja viðeigandi öryggisstig fyrir geymslu og vinnslu gagna, sem og fyrir tólin til að veita og draga til baka samþykki eða leyfi,</w:t>
      </w:r>
    </w:p>
    <w:p w14:paraId="4BEF5DDE" w14:textId="77777777" w:rsidR="00900A3D" w:rsidRDefault="000E1836" w:rsidP="0074118B">
      <w:pPr>
        <w:pStyle w:val="NumberedText"/>
        <w:spacing w:after="290"/>
        <w:ind w:left="293" w:hanging="293"/>
      </w:pPr>
      <w:r>
        <w:t>c)</w:t>
      </w:r>
      <w:r>
        <w:tab/>
        <w:t>samskiptavegvísa með þverfaglegri nálgun til að auka vitund um gagnavild, um heitið „viðurkennd gagnavildarstofnun í Sambandinu“ og um reglubókina meðal viðkomandi hagsmunaaðila, einkum handhafa gagna og skráðra einstaklinga sem myndu mögulega deila gögnum sínum,</w:t>
      </w:r>
    </w:p>
    <w:p w14:paraId="4BEF5DDF" w14:textId="77777777" w:rsidR="00900A3D" w:rsidRDefault="000E1836" w:rsidP="0074118B">
      <w:pPr>
        <w:pStyle w:val="NumberedText"/>
        <w:spacing w:after="290"/>
        <w:ind w:left="293" w:hanging="293"/>
      </w:pPr>
      <w:r>
        <w:t>d)</w:t>
      </w:r>
      <w:r>
        <w:tab/>
        <w:t>tilmæli um viðeigandi samvirknistaðla.</w:t>
      </w:r>
    </w:p>
    <w:p w14:paraId="4BEF5DE0" w14:textId="77777777" w:rsidR="00900A3D" w:rsidRDefault="000E1836" w:rsidP="0074118B">
      <w:pPr>
        <w:pStyle w:val="AlineaWithParag"/>
        <w:spacing w:after="290"/>
      </w:pPr>
      <w:r>
        <w:t>2.</w:t>
      </w:r>
      <w:r>
        <w:tab/>
        <w:t>Reglubókina, sem um getur í 1. mgr., skal útbúa í nánu samstarfi við gagnavildarstofnanir og viðkomandi hagsmunaaðila.</w:t>
      </w:r>
    </w:p>
    <w:p w14:paraId="4BEF5DE1" w14:textId="77777777" w:rsidR="00900A3D" w:rsidRDefault="000E1836">
      <w:pPr>
        <w:pStyle w:val="TIART"/>
      </w:pPr>
      <w:r>
        <w:t>23. gr.</w:t>
      </w:r>
    </w:p>
    <w:p w14:paraId="4BEF5DE2" w14:textId="77777777" w:rsidR="00900A3D" w:rsidRDefault="000E1836">
      <w:pPr>
        <w:pStyle w:val="STIART"/>
      </w:pPr>
      <w:r>
        <w:t>Lögbær yfirvöld sem annast skráningu gagnavildarstofnana</w:t>
      </w:r>
    </w:p>
    <w:p w14:paraId="4BEF5DE3" w14:textId="77777777" w:rsidR="00900A3D" w:rsidRDefault="000E1836" w:rsidP="0074118B">
      <w:pPr>
        <w:pStyle w:val="AlineaWithParag"/>
        <w:spacing w:after="290"/>
      </w:pPr>
      <w:r>
        <w:t>1.</w:t>
      </w:r>
      <w:r>
        <w:tab/>
        <w:t>Sérhvert aðildarríki skal tilnefna eitt eða fleiri lögbær yfirvöld til að bera ábyrgð á opinberri landsskrá þess yfir gagnavildarstofnanir.</w:t>
      </w:r>
    </w:p>
    <w:p w14:paraId="4BEF5DE4" w14:textId="77777777" w:rsidR="00900A3D" w:rsidRDefault="000E1836" w:rsidP="0074118B">
      <w:pPr>
        <w:pStyle w:val="Alinea"/>
        <w:spacing w:after="290"/>
      </w:pPr>
      <w:proofErr w:type="spellStart"/>
      <w:r>
        <w:t>Lögbæru</w:t>
      </w:r>
      <w:proofErr w:type="spellEnd"/>
      <w:r>
        <w:t xml:space="preserve"> yfirvöldin sem annast skráningu gagnavildarstofnana skulu uppfylla kröfurnar sem settar eru fram í 26. gr.</w:t>
      </w:r>
    </w:p>
    <w:p w14:paraId="4BEF5DE5" w14:textId="77777777" w:rsidR="00900A3D" w:rsidRDefault="000E1836" w:rsidP="0074118B">
      <w:pPr>
        <w:pStyle w:val="AlineaWithParag"/>
        <w:spacing w:after="290"/>
      </w:pPr>
      <w:r>
        <w:t>2.</w:t>
      </w:r>
      <w:r>
        <w:tab/>
        <w:t xml:space="preserve">Sérhvert aðildarríki skal tilkynna framkvæmdastjórninni, eigi síðar en 24. september 2023, hvaða </w:t>
      </w:r>
      <w:proofErr w:type="spellStart"/>
      <w:r>
        <w:t>lögbæru</w:t>
      </w:r>
      <w:proofErr w:type="spellEnd"/>
      <w:r>
        <w:t xml:space="preserve"> yfirvöld þeirra annast skráningu gagnavildarstofnana. Sérhvert aðildarríki skal einnig tilkynna framkvæmdastjórninni um allar síðari breytingar á þessum </w:t>
      </w:r>
      <w:proofErr w:type="spellStart"/>
      <w:r>
        <w:t>lögbæru</w:t>
      </w:r>
      <w:proofErr w:type="spellEnd"/>
      <w:r>
        <w:t xml:space="preserve"> yfirvöldum.</w:t>
      </w:r>
    </w:p>
    <w:p w14:paraId="4BEF5DE6" w14:textId="77777777" w:rsidR="00900A3D" w:rsidRDefault="000E1836" w:rsidP="0074118B">
      <w:pPr>
        <w:pStyle w:val="AlineaWithParag"/>
        <w:spacing w:after="290"/>
      </w:pPr>
      <w:r>
        <w:t>3.</w:t>
      </w:r>
      <w:r>
        <w:tab/>
        <w:t>Lögbært yfirvald sem annast skráningu gagnavildarstofnana í aðildarríki skal sinna verkefnum sínum í samstarfi við viðkomandi persónuverndaryfirvald, ef slík verkefni tengjast vinnslu persónuupplýsinga, og við viðeigandi yfirvöld viðkomandi geira í því aðildarríki.</w:t>
      </w:r>
    </w:p>
    <w:p w14:paraId="4BEF5DE7" w14:textId="77777777" w:rsidR="00900A3D" w:rsidRDefault="000E1836">
      <w:pPr>
        <w:pStyle w:val="TIART"/>
      </w:pPr>
      <w:r>
        <w:t>24. gr.</w:t>
      </w:r>
    </w:p>
    <w:p w14:paraId="4BEF5DE8" w14:textId="77777777" w:rsidR="00900A3D" w:rsidRDefault="000E1836">
      <w:pPr>
        <w:pStyle w:val="STIART"/>
      </w:pPr>
      <w:r>
        <w:t>Eftirlit með reglufylgni</w:t>
      </w:r>
    </w:p>
    <w:p w14:paraId="4BEF5DE9" w14:textId="77777777" w:rsidR="00900A3D" w:rsidRDefault="000E1836" w:rsidP="0074118B">
      <w:pPr>
        <w:pStyle w:val="AlineaWithParag"/>
        <w:spacing w:after="290"/>
      </w:pPr>
      <w:r>
        <w:t>1.</w:t>
      </w:r>
      <w:r>
        <w:tab/>
      </w:r>
      <w:proofErr w:type="spellStart"/>
      <w:r>
        <w:t>Lögbæru</w:t>
      </w:r>
      <w:proofErr w:type="spellEnd"/>
      <w:r>
        <w:t xml:space="preserve"> yfirvöldin sem annast skráningu gagnavildarstofnana skulu hafa eftirlit og umsjón með því að viðurkenndar gagnavildarstofnanir fari að kröfunum sem mælt er fyrir um í þessum kafla. Lögbæra yfirvaldið sem annast skráningu gagnavildarstofnana getur einnig, á grundvelli beiðni frá einstaklingi eða lögaðila, haft eftirlit og umsjón með því að slíkar viðurkenndar gagnavildarstofnanir fari að tilskildum ákvæðum. </w:t>
      </w:r>
    </w:p>
    <w:p w14:paraId="4BEF5DEA" w14:textId="77777777" w:rsidR="00900A3D" w:rsidRDefault="000E1836" w:rsidP="0074118B">
      <w:pPr>
        <w:pStyle w:val="AlineaWithParag"/>
        <w:spacing w:after="0"/>
      </w:pPr>
      <w:r>
        <w:t>2.</w:t>
      </w:r>
      <w:r>
        <w:tab/>
      </w:r>
      <w:proofErr w:type="spellStart"/>
      <w:r>
        <w:t>Lögbæru</w:t>
      </w:r>
      <w:proofErr w:type="spellEnd"/>
      <w:r>
        <w:t xml:space="preserve"> yfirvöldin sem annast skráningu gagnavildarstofnana skulu hafa heimild til að óska eftir nauðsynlegum upplýsingum frá viðurkenndum gagnavildarstofnunum til að sannreyna að farið sé að kröfum þessa kafla. Upplýsingabeiðnir skulu vera í réttu hlutfalli við framkvæmd verkefnisins og skulu rökstuddar.</w:t>
      </w:r>
      <w:r>
        <w:br w:type="page"/>
      </w:r>
    </w:p>
    <w:p w14:paraId="4BEF5DEB" w14:textId="77777777" w:rsidR="00900A3D" w:rsidRDefault="000E1836" w:rsidP="0074118B">
      <w:pPr>
        <w:pStyle w:val="AlineaWithParag"/>
        <w:spacing w:after="355"/>
      </w:pPr>
      <w:r>
        <w:lastRenderedPageBreak/>
        <w:t>3.</w:t>
      </w:r>
      <w:r>
        <w:tab/>
        <w:t>Ef lögbæra yfirvaldið sem annast skráningu gagnavildarstofnana kemst að því að viðurkennd gagnavildarstofnun uppfyllir ekki eina eða fleiri af kröfum þessa kafla skal það tilkynna henni um þá niðurstöðu og gefa henni tækifæri til að koma sjónarmiðum sínum á framfæri innan 30 daga frá viðtöku tilkynningarinnar.</w:t>
      </w:r>
    </w:p>
    <w:p w14:paraId="4BEF5DEC" w14:textId="77777777" w:rsidR="00900A3D" w:rsidRDefault="000E1836" w:rsidP="0074118B">
      <w:pPr>
        <w:pStyle w:val="AlineaWithParag"/>
        <w:spacing w:after="355"/>
      </w:pPr>
      <w:r>
        <w:t>4.</w:t>
      </w:r>
      <w:r>
        <w:tab/>
        <w:t>Lögbæra yfirvaldið sem annast skráningu gagnavildarstofnana skal hafa vald til að krefjast þess að bundinn verði endi á brotið sem um getur í 3. mgr., annað hvort tafarlaust eða innan hæfilegs frests, og skal gera viðeigandi og hlutfallslegar ráðstafanir með það að markmiði að tryggja að farið sé að tilskildum ákvæðum.</w:t>
      </w:r>
    </w:p>
    <w:p w14:paraId="4BEF5DED" w14:textId="77777777" w:rsidR="00900A3D" w:rsidRDefault="000E1836" w:rsidP="0074118B">
      <w:pPr>
        <w:pStyle w:val="AlineaWithParag"/>
        <w:spacing w:after="355"/>
      </w:pPr>
      <w:r>
        <w:t>5.</w:t>
      </w:r>
      <w:r>
        <w:tab/>
        <w:t>Ef viðurkennd gagnavildarstofnun uppfyllir ekki eina eða fleiri af kröfum þessa kafla, jafnvel eftir að lögbæra yfirvaldið sem annast skráningu gagnavildarstofnana hefur sent henni tilkynningu í samræmi við 3. mgr., skal hún:</w:t>
      </w:r>
    </w:p>
    <w:p w14:paraId="4BEF5DEE" w14:textId="77777777" w:rsidR="00900A3D" w:rsidRDefault="000E1836" w:rsidP="0074118B">
      <w:pPr>
        <w:pStyle w:val="NumberedText"/>
        <w:spacing w:after="355"/>
        <w:ind w:left="293" w:hanging="293"/>
      </w:pPr>
      <w:r>
        <w:t>a)</w:t>
      </w:r>
      <w:r>
        <w:tab/>
        <w:t>missa rétt sinn til að nota heitið „viðurkennd gagnavildarstofnun í Sambandinu“ í öllum skriflegum og munnlegum samskiptum,</w:t>
      </w:r>
    </w:p>
    <w:p w14:paraId="4BEF5DEF" w14:textId="77777777" w:rsidR="00900A3D" w:rsidRDefault="000E1836" w:rsidP="0074118B">
      <w:pPr>
        <w:pStyle w:val="NumberedText"/>
        <w:spacing w:after="355"/>
        <w:ind w:left="293" w:hanging="293"/>
      </w:pPr>
      <w:r>
        <w:t>b)</w:t>
      </w:r>
      <w:r>
        <w:tab/>
        <w:t>fjarlægð af viðeigandi opinberri landsskrá yfir viðurkenndar gagnavildarstofnanir og af opinberri skrá Sambandsins yfir viðurkenndar gagnavildarstofnanir.</w:t>
      </w:r>
    </w:p>
    <w:p w14:paraId="4BEF5DF0" w14:textId="77777777" w:rsidR="00900A3D" w:rsidRDefault="000E1836" w:rsidP="0074118B">
      <w:pPr>
        <w:pStyle w:val="Alinea"/>
        <w:spacing w:after="355"/>
      </w:pPr>
      <w:r>
        <w:t>Lögbæra yfirvaldið sem annast skráningu gagnavildarstofnana skal birta sérhverja ákvörðun um afturköllun á réttinum til að nota heitið „viðurkennd gagnavildarstofnun í Sambandinu“ samkvæmt a-lið fyrstu undirgreinar.</w:t>
      </w:r>
    </w:p>
    <w:p w14:paraId="4BEF5DF1" w14:textId="77777777" w:rsidR="00900A3D" w:rsidRDefault="000E1836" w:rsidP="0074118B">
      <w:pPr>
        <w:pStyle w:val="AlineaWithParag"/>
        <w:spacing w:after="355"/>
      </w:pPr>
      <w:r>
        <w:t>6.</w:t>
      </w:r>
      <w:r>
        <w:tab/>
        <w:t xml:space="preserve">Ef viðurkennd gagnavildarstofnun hefur höfuðstöðvar sínar eða lagalegan fyrirsvarsmann í einu aðildarríki en starfar í öðrum aðildarríkjum skulu lögbæra yfirvaldið sem annast skráningu gagnavildarstofnana í aðildarríkinu þar sem höfuðstöðvarnar eru eða þar sem lagalegi fyrirsvarsmaðurinn er staðsettur og lögbær yfirvöld sem annast skráningu gagnavildarstofnana í hinum aðildarríkjunum sem um ræðir starfa saman og aðstoða hvert annað. Slík aðstoð og samvinna getur falið í sér upplýsingaskipti milli </w:t>
      </w:r>
      <w:proofErr w:type="spellStart"/>
      <w:r>
        <w:t>lögbæru</w:t>
      </w:r>
      <w:proofErr w:type="spellEnd"/>
      <w:r>
        <w:t xml:space="preserve"> yfirvaldanna sem annast skráningar á hlutaðeigandi gagnavildarstofnunum vegna verkefna þeirra samkvæmt þessari reglugerð og rökstuddar beiðnir um að gripið sé til ráðstafananna sem um getur í þessari grein.</w:t>
      </w:r>
    </w:p>
    <w:p w14:paraId="4BEF5DF2" w14:textId="77777777" w:rsidR="00900A3D" w:rsidRDefault="000E1836" w:rsidP="0074118B">
      <w:pPr>
        <w:pStyle w:val="Alinea"/>
        <w:spacing w:after="355"/>
      </w:pPr>
      <w:r>
        <w:t xml:space="preserve">Þegar lögbært yfirvald sem annast skráningu gagnavildarstofnana í einu aðildarríki óskar eftir aðstoð </w:t>
      </w:r>
      <w:proofErr w:type="spellStart"/>
      <w:r>
        <w:t>lögbærs</w:t>
      </w:r>
      <w:proofErr w:type="spellEnd"/>
      <w:r>
        <w:t xml:space="preserve"> yfirvalds sem annast skráningu gagnavildarstofnana í öðru aðildarríki skal það leggja fram rökstudda beiðni. Lögbæra yfirvaldið sem annast skráningu gagnavildarstofnana skal, að fram kominni slíkri beiðni, svara tafarlaust og innan tímaramma sem er í réttu hlutfalli við það hversu brýn beiðnin er.</w:t>
      </w:r>
    </w:p>
    <w:p w14:paraId="4BEF5DF3" w14:textId="77777777" w:rsidR="00900A3D" w:rsidRDefault="000E1836" w:rsidP="0074118B">
      <w:pPr>
        <w:pStyle w:val="Alinea"/>
        <w:spacing w:after="355"/>
      </w:pPr>
      <w:r>
        <w:t>Allar upplýsingar sem skipst er á í tengslum við aðstoð sem óskað er eftir og veitt er samkvæmt þessari málsgrein skal aðeins nota í tengslum við málið sem lá til grundvallar beiðninni.</w:t>
      </w:r>
    </w:p>
    <w:p w14:paraId="4BEF5DF4" w14:textId="77777777" w:rsidR="00900A3D" w:rsidRDefault="000E1836">
      <w:pPr>
        <w:pStyle w:val="TIART"/>
      </w:pPr>
      <w:r>
        <w:t>25. gr.</w:t>
      </w:r>
    </w:p>
    <w:p w14:paraId="4BEF5DF5" w14:textId="77777777" w:rsidR="00900A3D" w:rsidRDefault="000E1836">
      <w:pPr>
        <w:pStyle w:val="STIART"/>
      </w:pPr>
      <w:r>
        <w:t>Evrópskt samþykkiseyðublað fyrir gagnavild</w:t>
      </w:r>
    </w:p>
    <w:p w14:paraId="4BEF5DF6" w14:textId="77777777" w:rsidR="00900A3D" w:rsidRDefault="000E1836" w:rsidP="0074118B">
      <w:pPr>
        <w:pStyle w:val="AlineaWithParag"/>
        <w:spacing w:after="355"/>
      </w:pPr>
      <w:r>
        <w:t>1.</w:t>
      </w:r>
      <w:r>
        <w:tab/>
        <w:t>Til að greiða fyrir söfnun gagna á grundvelli gagnavildar skal framkvæmdastjórnin samþykkja framkvæmdargerðir til að koma á og þróa evrópskt samþykkiseyðublað fyrir gagnavild, að höfðu samráði við Evrópska persónuverndarráðið, að teknu tilliti til ráðlegginga Evrópska gagnanýsköpunarráðsins og með tilhlýðilegri þátttöku viðkomandi hagsmunaaðila. Eyðublaðið skal gera það kleift að afla samþykkis eða leyfis um öll aðildarríkin á samræmdu sniði. Þessar framkvæmdargerðir skulu samþykktar í samræmi við ráðgjafarnefndarmeðferðina sem um getur í 2. mgr. 33. gr.</w:t>
      </w:r>
    </w:p>
    <w:p w14:paraId="4BEF5DF7" w14:textId="77777777" w:rsidR="00900A3D" w:rsidRDefault="000E1836" w:rsidP="0074118B">
      <w:pPr>
        <w:pStyle w:val="AlineaWithParag"/>
        <w:spacing w:after="355"/>
      </w:pPr>
      <w:r>
        <w:t>2.</w:t>
      </w:r>
      <w:r>
        <w:tab/>
        <w:t>Evrópska samþykkiseyðublaðið fyrir gagnavild skal byggt upp í einingum sem gera kleift að laga það að tilteknum geirum og mismunandi tilgangi.</w:t>
      </w:r>
    </w:p>
    <w:p w14:paraId="4BEF5DF8" w14:textId="77777777" w:rsidR="00900A3D" w:rsidRDefault="000E1836" w:rsidP="0074118B">
      <w:pPr>
        <w:pStyle w:val="AlineaWithParag"/>
        <w:spacing w:after="355"/>
      </w:pPr>
      <w:r>
        <w:t>3.</w:t>
      </w:r>
      <w:r>
        <w:tab/>
        <w:t>Þegar persónuupplýsingar eru látnar í té skal evrópska samþykkiseyðublaðið fyrir gagnavild tryggja að skráðir aðilar geti veitt og dregið til baka samþykki fyrir tiltekinni gagnavinnsluaðgerð í samræmi við kröfur reglugerðar (ESB) 2016/679.</w:t>
      </w:r>
    </w:p>
    <w:p w14:paraId="4BEF5DF9" w14:textId="77777777" w:rsidR="00900A3D" w:rsidRDefault="000E1836" w:rsidP="0074118B">
      <w:pPr>
        <w:pStyle w:val="AlineaWithParag"/>
        <w:spacing w:after="0"/>
      </w:pPr>
      <w:r>
        <w:t>4.</w:t>
      </w:r>
      <w:r>
        <w:tab/>
        <w:t xml:space="preserve">Eyðublaðið skal vera aðgengilegt á þann hátt að unnt sé að prenta það út á pappír og það sé auðskiljanlegt, ásamt því að vera á rafrænu, </w:t>
      </w:r>
      <w:proofErr w:type="spellStart"/>
      <w:r>
        <w:t>tölvulesanlegu</w:t>
      </w:r>
      <w:proofErr w:type="spellEnd"/>
      <w:r>
        <w:t xml:space="preserve"> formi.</w:t>
      </w:r>
      <w:r>
        <w:br w:type="page"/>
      </w:r>
    </w:p>
    <w:p w14:paraId="4BEF5DFA" w14:textId="77777777" w:rsidR="00900A3D" w:rsidRDefault="000E1836" w:rsidP="0074118B">
      <w:pPr>
        <w:pStyle w:val="DivisionChapterTI1"/>
        <w:spacing w:line="200" w:lineRule="exact"/>
      </w:pPr>
      <w:r>
        <w:rPr>
          <w:i/>
        </w:rPr>
        <w:lastRenderedPageBreak/>
        <w:t>V. KAFLI</w:t>
      </w:r>
    </w:p>
    <w:p w14:paraId="4BEF5DFB" w14:textId="77777777" w:rsidR="00900A3D" w:rsidRPr="0074118B" w:rsidRDefault="000E1836">
      <w:pPr>
        <w:pStyle w:val="DivisionChapterSTI1"/>
        <w:rPr>
          <w:caps w:val="0"/>
          <w:sz w:val="18"/>
          <w:szCs w:val="18"/>
        </w:rPr>
      </w:pPr>
      <w:r>
        <w:rPr>
          <w:i/>
          <w:caps w:val="0"/>
          <w:sz w:val="18"/>
        </w:rPr>
        <w:t>Lögbær yfirvöld og málsmeðferðarákvæði</w:t>
      </w:r>
    </w:p>
    <w:p w14:paraId="4BEF5DFC" w14:textId="77777777" w:rsidR="00900A3D" w:rsidRDefault="000E1836">
      <w:pPr>
        <w:pStyle w:val="TIART"/>
      </w:pPr>
      <w:r>
        <w:t>26. gr.</w:t>
      </w:r>
    </w:p>
    <w:p w14:paraId="4BEF5DFD" w14:textId="77777777" w:rsidR="00900A3D" w:rsidRDefault="000E1836">
      <w:pPr>
        <w:pStyle w:val="STIART"/>
      </w:pPr>
      <w:r>
        <w:t>Kröfur sem gerðar eru til lögbærra yfirvalda</w:t>
      </w:r>
    </w:p>
    <w:p w14:paraId="4BEF5DFE" w14:textId="77777777" w:rsidR="00900A3D" w:rsidRDefault="000E1836" w:rsidP="0074118B">
      <w:pPr>
        <w:pStyle w:val="AlineaWithParag"/>
        <w:spacing w:after="660"/>
      </w:pPr>
      <w:r>
        <w:t>1.</w:t>
      </w:r>
      <w:r>
        <w:tab/>
        <w:t>Lögbær yfirvöld á sviði gagnamilligönguþjónustu og lögbær yfirvöld sem annast skráningu gagnavildarstofnana skulu vera lagalega aðgreind frá og starfa óháð öllum veitendum gagnamilligönguþjónustu eða viðurkenndum gagnavildarstofnunum.  Hlutverk lögbærra yfirvalda á sviði gagnamilligönguþjónustu og lögbærra yfirvalda sem annast skráningu gagnavildarstofnana getur verið í höndum sama yfirvalds. Aðildarríki geta annaðhvort komið á fót einu eða fleiri nýjum yfirvöldum í þessum tilgangi eða reitt sig á þau sem fyrir eru.</w:t>
      </w:r>
    </w:p>
    <w:p w14:paraId="4BEF5DFF" w14:textId="77777777" w:rsidR="00900A3D" w:rsidRDefault="000E1836" w:rsidP="0074118B">
      <w:pPr>
        <w:pStyle w:val="AlineaWithParag"/>
        <w:spacing w:after="660"/>
      </w:pPr>
      <w:r>
        <w:t>2.</w:t>
      </w:r>
      <w:r>
        <w:tab/>
        <w:t>Lögbær yfirvöld á sviði gagnamilligönguþjónustu og lögbær yfirvöld sem annast skráningu gagnavildarstofnana skulu sinna verkefnum sínum á óhlutdrægan, gagnsæjan, samræmdan, áreiðanlegan og tímanlegan hátt. Þegar þau sinna verkefnum sínum skulu þau standa vörð um sanngjarna samkeppni og bann við mismunun.</w:t>
      </w:r>
    </w:p>
    <w:p w14:paraId="4BEF5E00" w14:textId="77777777" w:rsidR="00900A3D" w:rsidRDefault="000E1836" w:rsidP="0074118B">
      <w:pPr>
        <w:pStyle w:val="AlineaWithParag"/>
        <w:spacing w:after="660"/>
      </w:pPr>
      <w:r>
        <w:t>3.</w:t>
      </w:r>
      <w:r>
        <w:tab/>
        <w:t xml:space="preserve">Æðstu stjórnendur og starfsfólk sem ber ábyrgð á framkvæmd viðeigandi verkefna </w:t>
      </w:r>
      <w:proofErr w:type="spellStart"/>
      <w:r>
        <w:t>lögbæru</w:t>
      </w:r>
      <w:proofErr w:type="spellEnd"/>
      <w:r>
        <w:t xml:space="preserve"> yfirvaldanna á sviði gagnamilligönguþjónustu og </w:t>
      </w:r>
      <w:proofErr w:type="spellStart"/>
      <w:r>
        <w:t>lögbæru</w:t>
      </w:r>
      <w:proofErr w:type="spellEnd"/>
      <w:r>
        <w:t xml:space="preserve"> yfirvaldanna sem annast skráningu gagnavildarstofnana skulu hvorki vera hönnuðir, framleiðendur, birgjar, uppsetningaraðilar, innkaupsaðilar, eigendur, notendur eða viðhaldsaðilar þjónustunnar sem þeir meta né vera viðurkenndir fulltrúar neins þessara aðila. Þetta skal ekki útiloka notkun á þjónustunni, sem metin er, sem nauðsynleg er vegna starfs lögbæra yfirvaldsins á sviði gagnamilligönguþjónustu og lögbæra yfirvaldsins sem annast skráningu gagnavildarstofnana eða notkun á slíkri þjónustu í persónulegum tilgangi.</w:t>
      </w:r>
    </w:p>
    <w:p w14:paraId="4BEF5E01" w14:textId="77777777" w:rsidR="00900A3D" w:rsidRDefault="000E1836" w:rsidP="0074118B">
      <w:pPr>
        <w:pStyle w:val="AlineaWithParag"/>
        <w:spacing w:after="660"/>
      </w:pPr>
      <w:r>
        <w:t>4.</w:t>
      </w:r>
      <w:r>
        <w:tab/>
        <w:t>Æðstu stjórnendur og starfsfólk lögbærra yfirvalda á sviði gagnamilligönguþjónustu og lögbærra yfirvalda sem annast skráningu gagnavildarstofnana skulu ekki taka þátt í neinni starfsemi sem gæti haft áhrif á sjálfstætt mat þeirra eða heilindi í tengslum við mat sem þeim hefur verið falið að framkvæma.</w:t>
      </w:r>
    </w:p>
    <w:p w14:paraId="4BEF5E02" w14:textId="77777777" w:rsidR="00900A3D" w:rsidRDefault="000E1836" w:rsidP="0074118B">
      <w:pPr>
        <w:pStyle w:val="AlineaWithParag"/>
        <w:spacing w:after="660"/>
      </w:pPr>
      <w:r>
        <w:t>5.</w:t>
      </w:r>
      <w:r>
        <w:tab/>
      </w:r>
      <w:proofErr w:type="spellStart"/>
      <w:r>
        <w:t>Lögbæru</w:t>
      </w:r>
      <w:proofErr w:type="spellEnd"/>
      <w:r>
        <w:t xml:space="preserve"> yfirvöldin á sviði gagnamilligönguþjónustu og </w:t>
      </w:r>
      <w:proofErr w:type="spellStart"/>
      <w:r>
        <w:t>lögbæru</w:t>
      </w:r>
      <w:proofErr w:type="spellEnd"/>
      <w:r>
        <w:t xml:space="preserve"> yfirvöldin sem annast skráningu gagnavildarstofnana skulu hafa yfir að ráða nægu fjármagni og mannafla til að leysa af hendi þau verkefni sem þeim eru falin, þ.m.t. nauðsynleg tækniþekking og úrræði. </w:t>
      </w:r>
    </w:p>
    <w:p w14:paraId="4BEF5E03" w14:textId="77777777" w:rsidR="00900A3D" w:rsidRDefault="000E1836" w:rsidP="0074118B">
      <w:pPr>
        <w:pStyle w:val="AlineaWithParag"/>
        <w:spacing w:after="660"/>
      </w:pPr>
      <w:r>
        <w:t>6.</w:t>
      </w:r>
      <w:r>
        <w:tab/>
      </w:r>
      <w:proofErr w:type="spellStart"/>
      <w:r>
        <w:t>Lögbæru</w:t>
      </w:r>
      <w:proofErr w:type="spellEnd"/>
      <w:r>
        <w:t xml:space="preserve"> yfirvöldin á sviði gagnamilligönguþjónustu og </w:t>
      </w:r>
      <w:proofErr w:type="spellStart"/>
      <w:r>
        <w:t>lögbæru</w:t>
      </w:r>
      <w:proofErr w:type="spellEnd"/>
      <w:r>
        <w:t xml:space="preserve"> yfirvöldin sem annast skráningu gagnavildarstofnana í aðildarríki skulu láta framkvæmdastjórninni og </w:t>
      </w:r>
      <w:proofErr w:type="spellStart"/>
      <w:r>
        <w:t>lögbærum</w:t>
      </w:r>
      <w:proofErr w:type="spellEnd"/>
      <w:r>
        <w:t xml:space="preserve"> yfirvöldum á sviði gagnamilligönguþjónustu og </w:t>
      </w:r>
      <w:proofErr w:type="spellStart"/>
      <w:r>
        <w:t>lögbærum</w:t>
      </w:r>
      <w:proofErr w:type="spellEnd"/>
      <w:r>
        <w:t xml:space="preserve"> yfirvöldum sem annast skráningu gagnavildarstofnana í öðrum aðildarríkjum í té, komi fram rökstudd beiðni þar um, án tafar þær upplýsingar sem þau þurfa til að sinna verkefnum sínum samkvæmt þessari reglugerð. Ef lögbært yfirvald á sviði gagnamilligönguþjónustu eða lögbært yfirvald sem annast skráningu gagnavildarstofnana telur að upplýsingarnar sem beðið er um séu trúnaðarmál í samræmi við lög Sambandsins og landslög um viðskiptaleynd og þagnarskyldu skulu framkvæmdastjórnin og öll önnur hlutaðeigandi lögbær yfirvöld á sviði gagnamilligönguþjónustu eða lögbær yfirvöld sem annast skráningu gagnavildarstofnana tryggja slíkan trúnað. </w:t>
      </w:r>
    </w:p>
    <w:p w14:paraId="4BEF5E04" w14:textId="77777777" w:rsidR="00900A3D" w:rsidRDefault="000E1836">
      <w:pPr>
        <w:pStyle w:val="TIART"/>
      </w:pPr>
      <w:r>
        <w:t>27. gr.</w:t>
      </w:r>
    </w:p>
    <w:p w14:paraId="4BEF5E05" w14:textId="77777777" w:rsidR="00900A3D" w:rsidRDefault="000E1836">
      <w:pPr>
        <w:pStyle w:val="STIART"/>
      </w:pPr>
      <w:r>
        <w:t>Réttur til að leggja fram kvörtun</w:t>
      </w:r>
    </w:p>
    <w:p w14:paraId="4BEF5E06" w14:textId="77777777" w:rsidR="00900A3D" w:rsidRDefault="000E1836" w:rsidP="0074118B">
      <w:pPr>
        <w:pStyle w:val="AlineaWithParag"/>
        <w:spacing w:after="0"/>
      </w:pPr>
      <w:r>
        <w:t>1.</w:t>
      </w:r>
      <w:r>
        <w:tab/>
        <w:t xml:space="preserve">Einstaklingar og lögaðilar skulu eiga rétt á að leggja fram kvörtun í tengslum við hvert mál sem fellur undir gildissvið þessarar reglugerðar, sem einstaklingar eða, ef við á, sem hluti af hópi, hjá viðkomandi </w:t>
      </w:r>
      <w:proofErr w:type="spellStart"/>
      <w:r>
        <w:t>lögbæru</w:t>
      </w:r>
      <w:proofErr w:type="spellEnd"/>
      <w:r>
        <w:t xml:space="preserve"> yfirvaldi á sviði gagnamilligönguþjónustu gegn veitanda gagnamilligönguþjónustu eða hjá viðkomandi </w:t>
      </w:r>
      <w:proofErr w:type="spellStart"/>
      <w:r>
        <w:t>lögbæru</w:t>
      </w:r>
      <w:proofErr w:type="spellEnd"/>
      <w:r>
        <w:t xml:space="preserve"> yfirvaldi sem annast skráningu gagnavildarstofnana gegn viðurkenndri gagnavildarstofnun.</w:t>
      </w:r>
      <w:r>
        <w:br w:type="page"/>
      </w:r>
    </w:p>
    <w:p w14:paraId="4BEF5E07" w14:textId="77777777" w:rsidR="00900A3D" w:rsidRDefault="000E1836" w:rsidP="0074118B">
      <w:pPr>
        <w:pStyle w:val="AlineaWithParag"/>
        <w:spacing w:after="550"/>
      </w:pPr>
      <w:r>
        <w:lastRenderedPageBreak/>
        <w:t>2.</w:t>
      </w:r>
      <w:r>
        <w:tab/>
        <w:t>Lögbæra yfirvaldið á sviði gagnamilligönguþjónustu eða lögbæra yfirvaldið sem annast skráningu gagnavildarstofnana, sem kvörtunin er lögð fram hjá, skal upplýsa kvörtunaraðilann um:</w:t>
      </w:r>
    </w:p>
    <w:p w14:paraId="4BEF5E08" w14:textId="77777777" w:rsidR="00900A3D" w:rsidRDefault="000E1836" w:rsidP="0074118B">
      <w:pPr>
        <w:pStyle w:val="NumberedText"/>
        <w:spacing w:after="550"/>
        <w:ind w:left="293" w:hanging="293"/>
      </w:pPr>
      <w:r>
        <w:t>a)</w:t>
      </w:r>
      <w:r>
        <w:tab/>
        <w:t>framvindu málsmeðferðarinnar og þá ákvörðun sem tekin er og</w:t>
      </w:r>
    </w:p>
    <w:p w14:paraId="4BEF5E09" w14:textId="77777777" w:rsidR="00900A3D" w:rsidRDefault="000E1836" w:rsidP="0074118B">
      <w:pPr>
        <w:pStyle w:val="NumberedText"/>
        <w:spacing w:after="550"/>
        <w:ind w:left="293" w:hanging="293"/>
      </w:pPr>
      <w:r>
        <w:t>b)</w:t>
      </w:r>
      <w:r>
        <w:tab/>
        <w:t>réttarúrræðin sem kveðið er á um í 28. gr.</w:t>
      </w:r>
    </w:p>
    <w:p w14:paraId="4BEF5E0A" w14:textId="77777777" w:rsidR="00900A3D" w:rsidRDefault="000E1836">
      <w:pPr>
        <w:pStyle w:val="TIART"/>
      </w:pPr>
      <w:r>
        <w:t>28. gr.</w:t>
      </w:r>
    </w:p>
    <w:p w14:paraId="4BEF5E0B" w14:textId="77777777" w:rsidR="00900A3D" w:rsidRDefault="000E1836">
      <w:pPr>
        <w:pStyle w:val="STIART"/>
      </w:pPr>
      <w:r>
        <w:t>Réttur til skilvirks réttarúrræðis</w:t>
      </w:r>
    </w:p>
    <w:p w14:paraId="4BEF5E0C" w14:textId="77777777" w:rsidR="00900A3D" w:rsidRDefault="000E1836" w:rsidP="0074118B">
      <w:pPr>
        <w:pStyle w:val="AlineaWithParag"/>
        <w:spacing w:after="550"/>
      </w:pPr>
      <w:r>
        <w:t>1.</w:t>
      </w:r>
      <w:r>
        <w:tab/>
        <w:t xml:space="preserve">Þrátt fyrir hvers konar stjórnsýsluúrræði eða önnur úrræði utan dómstóla skulu allir einstaklingar og lögaðilar sem málið varðar hafa rétt til skilvirks réttarúrræðis að því er varðar lagalega bindandi ákvarðanir sem um getur í 14. gr., sem teknar eru af </w:t>
      </w:r>
      <w:proofErr w:type="spellStart"/>
      <w:r>
        <w:t>lögbærum</w:t>
      </w:r>
      <w:proofErr w:type="spellEnd"/>
      <w:r>
        <w:t xml:space="preserve"> yfirvöldum á sviði gagnamilligönguþjónustu við stjórnun á, eftirlit með og framfylgd tilkynningarfyrirkomulagsins fyrir veitendur gagnamilligönguþjónustu, og lagalega bindandi ákvarðanir sem um getur í 19. og 24. gr., sem teknar eru af </w:t>
      </w:r>
      <w:proofErr w:type="spellStart"/>
      <w:r>
        <w:t>lögbærum</w:t>
      </w:r>
      <w:proofErr w:type="spellEnd"/>
      <w:r>
        <w:t xml:space="preserve"> yfirvöldum sem annast skráningu gagnavildarstofnana við eftirlit með viðurkenndum gagnavildarstofnunum.</w:t>
      </w:r>
    </w:p>
    <w:p w14:paraId="4BEF5E0D" w14:textId="77777777" w:rsidR="00900A3D" w:rsidRDefault="000E1836" w:rsidP="0074118B">
      <w:pPr>
        <w:pStyle w:val="AlineaWithParag"/>
        <w:spacing w:after="550"/>
      </w:pPr>
      <w:r>
        <w:t>2.</w:t>
      </w:r>
      <w:r>
        <w:tab/>
        <w:t>Málsmeðferðir samkvæmt þessari grein skulu fara fram fyrir dómstólum aðildarríkis lögbæra yfirvaldsins á sviði gagnamilligönguþjónustu eða lögbæra yfirvaldsins sem annast skráningu gagnavildarstofnana, sem fulltrúar eins eða fleiri einstaklinga eða lögaðila leita réttar síns gegn sem einstaklingar eða, ef við á, sem hluti af hópi.</w:t>
      </w:r>
    </w:p>
    <w:p w14:paraId="4BEF5E0E" w14:textId="77777777" w:rsidR="00900A3D" w:rsidRDefault="000E1836" w:rsidP="0074118B">
      <w:pPr>
        <w:pStyle w:val="AlineaWithParag"/>
        <w:spacing w:after="550"/>
      </w:pPr>
      <w:r>
        <w:t>3.</w:t>
      </w:r>
      <w:r>
        <w:tab/>
        <w:t>Ef lögbært yfirvald á sviði gagnamilligönguþjónustu eða lögbært yfirvald sem annast skráningu gagnavildarstofnana bregst ekki við kvörtun skal sérhver einstaklingur og lögaðili sem málið hefur áhrif á eiga, í samræmi við landslög, rétt á annað hvort skilvirku réttarúrræði eða aðgangi að endurskoðun óhlutdrægs aðila með viðeigandi sérþekkingu.</w:t>
      </w:r>
    </w:p>
    <w:p w14:paraId="4BEF5E0F" w14:textId="77777777" w:rsidR="00900A3D" w:rsidRDefault="000E1836" w:rsidP="0074118B">
      <w:pPr>
        <w:pStyle w:val="DivisionChapterTI1"/>
        <w:spacing w:line="200" w:lineRule="exact"/>
      </w:pPr>
      <w:r>
        <w:rPr>
          <w:i/>
        </w:rPr>
        <w:t>VI. KAFLI</w:t>
      </w:r>
    </w:p>
    <w:p w14:paraId="4BEF5E10" w14:textId="77777777" w:rsidR="00900A3D" w:rsidRPr="0074118B" w:rsidRDefault="000E1836">
      <w:pPr>
        <w:pStyle w:val="DivisionChapterSTI1"/>
        <w:rPr>
          <w:caps w:val="0"/>
          <w:sz w:val="18"/>
          <w:szCs w:val="18"/>
        </w:rPr>
      </w:pPr>
      <w:r>
        <w:rPr>
          <w:i/>
          <w:caps w:val="0"/>
          <w:sz w:val="18"/>
        </w:rPr>
        <w:t>Evrópska gagnanýsköpunarráðið</w:t>
      </w:r>
    </w:p>
    <w:p w14:paraId="4BEF5E11" w14:textId="77777777" w:rsidR="00900A3D" w:rsidRDefault="000E1836">
      <w:pPr>
        <w:pStyle w:val="TIART"/>
      </w:pPr>
      <w:r>
        <w:t>29. gr.</w:t>
      </w:r>
    </w:p>
    <w:p w14:paraId="4BEF5E12" w14:textId="77777777" w:rsidR="00900A3D" w:rsidRDefault="000E1836">
      <w:pPr>
        <w:pStyle w:val="STIART"/>
      </w:pPr>
      <w:r>
        <w:t>Evrópska gagnanýsköpunarráðið</w:t>
      </w:r>
    </w:p>
    <w:p w14:paraId="4BEF5E13" w14:textId="77777777" w:rsidR="00900A3D" w:rsidRDefault="000E1836" w:rsidP="0074118B">
      <w:pPr>
        <w:pStyle w:val="AlineaWithParag"/>
        <w:spacing w:after="550"/>
      </w:pPr>
      <w:r>
        <w:t>1.</w:t>
      </w:r>
      <w:r>
        <w:tab/>
        <w:t>Framkvæmdastjórnin skal koma á fót Evrópsku gagnanýsköpunarráði í formi sérfræðingahóps sem í sitja fulltrúar lögbærra yfirvalda allra aðildarríkjanna á sviði gagnamilligönguþjónustu og lögbærra yfirvalda sem annast skráningu gagnavildarstofnana, Evrópska persónuverndarráðsins, Evrópsku persónuverndarstofnunarinnar, Netöryggisstofnunar Evrópusambandsins (ENISA), framkvæmdastjórnarinnar, sendifulltrúi lítilla og meðalstórra fyrirtækja í ESB eða fulltrúi sem tilnefndur er af neti sendifulltrúa lítilla og meðalstórra fyrirtækja og aðrir fulltrúar viðeigandi aðila í tilteknum geirum, auk aðila með sértæka sérþekkingu. Við tilnefningu einstakra sérfræðinga skal framkvæmdastjórnin leitast við að ná jöfnu kynjahlutfalli og landfræðilegu jafnvægi meðal aðila í sérfræðingahópnum.</w:t>
      </w:r>
    </w:p>
    <w:p w14:paraId="4BEF5E14" w14:textId="77777777" w:rsidR="00900A3D" w:rsidRDefault="000E1836" w:rsidP="0074118B">
      <w:pPr>
        <w:pStyle w:val="AlineaWithParag"/>
        <w:spacing w:after="550"/>
      </w:pPr>
      <w:r>
        <w:t>2.</w:t>
      </w:r>
      <w:r>
        <w:tab/>
        <w:t>Evrópska gagnanýsköpunarráðið skal samanstanda af a.m.k. eftirfarandi þremur undirhópum:</w:t>
      </w:r>
    </w:p>
    <w:p w14:paraId="4BEF5E15" w14:textId="77777777" w:rsidR="00900A3D" w:rsidRDefault="000E1836" w:rsidP="0074118B">
      <w:pPr>
        <w:pStyle w:val="NumberedText"/>
        <w:spacing w:after="550"/>
        <w:ind w:left="293" w:hanging="293"/>
      </w:pPr>
      <w:r>
        <w:t>a)</w:t>
      </w:r>
      <w:r>
        <w:tab/>
        <w:t xml:space="preserve">undirhópi sem samanstendur af </w:t>
      </w:r>
      <w:proofErr w:type="spellStart"/>
      <w:r>
        <w:t>lögbærum</w:t>
      </w:r>
      <w:proofErr w:type="spellEnd"/>
      <w:r>
        <w:t xml:space="preserve"> yfirvöldum á sviði gagnamilligönguþjónustu og </w:t>
      </w:r>
      <w:proofErr w:type="spellStart"/>
      <w:r>
        <w:t>lögbærum</w:t>
      </w:r>
      <w:proofErr w:type="spellEnd"/>
      <w:r>
        <w:t xml:space="preserve"> yfirvöldum sem annast skráningu gagnavildarstofnana með það fyrir augum að sinna verkefnunum skv. a-, c-, j- og </w:t>
      </w:r>
      <w:proofErr w:type="spellStart"/>
      <w:r>
        <w:t>k-lið</w:t>
      </w:r>
      <w:proofErr w:type="spellEnd"/>
      <w:r>
        <w:t xml:space="preserve"> 30. gr.,</w:t>
      </w:r>
    </w:p>
    <w:p w14:paraId="4BEF5E16" w14:textId="77777777" w:rsidR="00900A3D" w:rsidRDefault="000E1836" w:rsidP="0074118B">
      <w:pPr>
        <w:pStyle w:val="NumberedText"/>
        <w:spacing w:after="0"/>
        <w:ind w:left="293" w:hanging="293"/>
      </w:pPr>
      <w:r>
        <w:t>b)</w:t>
      </w:r>
      <w:r>
        <w:tab/>
        <w:t xml:space="preserve">undirhópi fyrir tæknilega umræðu um stöðlun, </w:t>
      </w:r>
      <w:proofErr w:type="spellStart"/>
      <w:r>
        <w:t>flytjanleika</w:t>
      </w:r>
      <w:proofErr w:type="spellEnd"/>
      <w:r>
        <w:t xml:space="preserve"> og samvirkni skv. f- og </w:t>
      </w:r>
      <w:proofErr w:type="spellStart"/>
      <w:r>
        <w:t>g-lið</w:t>
      </w:r>
      <w:proofErr w:type="spellEnd"/>
      <w:r>
        <w:t xml:space="preserve"> 30. gr.,</w:t>
      </w:r>
      <w:r>
        <w:br w:type="page"/>
      </w:r>
    </w:p>
    <w:p w14:paraId="4BEF5E17" w14:textId="77777777" w:rsidR="00900A3D" w:rsidRDefault="000E1836" w:rsidP="00964CF0">
      <w:pPr>
        <w:pStyle w:val="NumberedText"/>
        <w:spacing w:after="295"/>
        <w:ind w:left="293" w:hanging="293"/>
      </w:pPr>
      <w:r>
        <w:lastRenderedPageBreak/>
        <w:t>c)</w:t>
      </w:r>
      <w:r>
        <w:tab/>
        <w:t xml:space="preserve">undirhópi fyrir þátttöku hagsmunaaðila sem samanstendur af viðkomandi fulltrúum atvinnulífsins, rannsókna, háskólasamfélagsins, borgaralegs samfélags, staðlastofnana, viðkomandi sameiginlegra evrópskra gagnasvæða og annarra viðkomandi hagsmunaaðila og þriðju aðila sem veita Evrópska gagnanýsköpunarráðinu ráðgjöf um verkefni skv. d-, e-, f-, g- og </w:t>
      </w:r>
      <w:proofErr w:type="spellStart"/>
      <w:r>
        <w:t>h-lið</w:t>
      </w:r>
      <w:proofErr w:type="spellEnd"/>
      <w:r>
        <w:t xml:space="preserve"> 30. gr.</w:t>
      </w:r>
    </w:p>
    <w:p w14:paraId="4BEF5E18" w14:textId="77777777" w:rsidR="00900A3D" w:rsidRDefault="000E1836" w:rsidP="00964CF0">
      <w:pPr>
        <w:pStyle w:val="AlineaWithParag"/>
        <w:spacing w:after="295"/>
      </w:pPr>
      <w:r>
        <w:t>3.</w:t>
      </w:r>
      <w:r>
        <w:tab/>
        <w:t>Framkvæmdastjórnin skal stýra fundum Evrópska gagnanýsköpunarráðsins.</w:t>
      </w:r>
    </w:p>
    <w:p w14:paraId="4BEF5E19" w14:textId="77777777" w:rsidR="00900A3D" w:rsidRDefault="000E1836" w:rsidP="00964CF0">
      <w:pPr>
        <w:pStyle w:val="AlineaWithParag"/>
        <w:spacing w:after="295"/>
      </w:pPr>
      <w:r>
        <w:t>4.</w:t>
      </w:r>
      <w:r>
        <w:tab/>
        <w:t>Evrópska gagnanýsköpunarráðið skal njóta aðstoðar skrifstofu sem framkvæmdastjórnin sér því fyrir.</w:t>
      </w:r>
    </w:p>
    <w:p w14:paraId="4BEF5E1A" w14:textId="77777777" w:rsidR="00900A3D" w:rsidRDefault="000E1836">
      <w:pPr>
        <w:pStyle w:val="TIART"/>
      </w:pPr>
      <w:r>
        <w:t>30. gr.</w:t>
      </w:r>
    </w:p>
    <w:p w14:paraId="4BEF5E1B" w14:textId="77777777" w:rsidR="00900A3D" w:rsidRDefault="000E1836">
      <w:pPr>
        <w:pStyle w:val="STIART"/>
      </w:pPr>
      <w:r>
        <w:t>Verkefni Evrópska gagnanýsköpunarráðsins</w:t>
      </w:r>
    </w:p>
    <w:p w14:paraId="4BEF5E1C" w14:textId="77777777" w:rsidR="00900A3D" w:rsidRDefault="000E1836" w:rsidP="00964CF0">
      <w:pPr>
        <w:pStyle w:val="Alinea"/>
        <w:spacing w:after="295"/>
      </w:pPr>
      <w:r>
        <w:t xml:space="preserve"> Evrópska gagnanýsköpunarráðið skal sinna eftirfarandi verkefnum:</w:t>
      </w:r>
    </w:p>
    <w:p w14:paraId="4BEF5E1D" w14:textId="77777777" w:rsidR="00900A3D" w:rsidRDefault="000E1836" w:rsidP="00964CF0">
      <w:pPr>
        <w:pStyle w:val="NumberedText"/>
        <w:spacing w:after="295"/>
        <w:ind w:left="343" w:hanging="343"/>
      </w:pPr>
      <w:r>
        <w:t>a)</w:t>
      </w:r>
      <w:r>
        <w:tab/>
        <w:t xml:space="preserve">veita framkvæmdastjórninni ráðgjöf og aðstoð að því er varðar þróun samræmdra starfsvenja opinberra aðila og þar til </w:t>
      </w:r>
      <w:proofErr w:type="spellStart"/>
      <w:r>
        <w:t>bærra</w:t>
      </w:r>
      <w:proofErr w:type="spellEnd"/>
      <w:r>
        <w:t xml:space="preserve"> aðila, sem um getur í 1. mgr. 7. gr., við vinnslu beiðna um endurnotkun gagnaflokkanna sem um getur í 1. mgr. 3. gr.,</w:t>
      </w:r>
    </w:p>
    <w:p w14:paraId="4BEF5E1E" w14:textId="77777777" w:rsidR="00900A3D" w:rsidRDefault="000E1836" w:rsidP="00964CF0">
      <w:pPr>
        <w:pStyle w:val="NumberedText"/>
        <w:spacing w:after="295"/>
        <w:ind w:left="343" w:hanging="343"/>
      </w:pPr>
      <w:r>
        <w:t>b)</w:t>
      </w:r>
      <w:r>
        <w:tab/>
        <w:t>veita framkvæmdastjórninni ráðgjöf og aðstoð að því er varðar þróun samræmdra starfsvenja varðandi gagnavild í öllu Sambandinu,</w:t>
      </w:r>
    </w:p>
    <w:p w14:paraId="4BEF5E1F" w14:textId="77777777" w:rsidR="00900A3D" w:rsidRDefault="000E1836" w:rsidP="00964CF0">
      <w:pPr>
        <w:pStyle w:val="NumberedText"/>
        <w:spacing w:after="295"/>
        <w:ind w:left="343" w:hanging="343"/>
      </w:pPr>
      <w:r>
        <w:t>c)</w:t>
      </w:r>
      <w:r>
        <w:tab/>
        <w:t>veita framkvæmdastjórninni ráðgjöf og aðstoð að því er varðar þróun samræmdra starfsvenja lögbærra yfirvalda á sviði gagnamilligönguþjónustu og lögbærra yfirvalda sem annast skráningu gagnavildarstofnana við beitingu krafna sem gilda um veitendur gagnamilligönguþjónustu og viðurkenndar gagnavildarstofnanir,</w:t>
      </w:r>
    </w:p>
    <w:p w14:paraId="4BEF5E20" w14:textId="77777777" w:rsidR="00900A3D" w:rsidRDefault="000E1836" w:rsidP="00964CF0">
      <w:pPr>
        <w:pStyle w:val="NumberedText"/>
        <w:spacing w:after="295"/>
        <w:ind w:left="343" w:hanging="343"/>
      </w:pPr>
      <w:r>
        <w:t>d)</w:t>
      </w:r>
      <w:r>
        <w:tab/>
        <w:t xml:space="preserve">veita framkvæmdastjórninni ráðgjöf og aðstoð að því er varðar þróun samræmdra viðmiðunarreglna um hvernig best sé, í tengslum við þessa reglugerð, að vernda viðkvæmar ópersónulegar viðskiptaupplýsingar, einkum viðskiptaleyndarmál en einnig ópersónulegar upplýsingar sem innihalda efni sem heyrir undir hugverkarétt, gegn ólöglegum aðgangi sem hefur í för með sér hættu á hugverkaréttindaþjófnaði eða </w:t>
      </w:r>
      <w:proofErr w:type="spellStart"/>
      <w:r>
        <w:t>iðnaðarnjósnum</w:t>
      </w:r>
      <w:proofErr w:type="spellEnd"/>
      <w:r>
        <w:t xml:space="preserve">, </w:t>
      </w:r>
    </w:p>
    <w:p w14:paraId="4BEF5E21" w14:textId="77777777" w:rsidR="00900A3D" w:rsidRDefault="000E1836" w:rsidP="00964CF0">
      <w:pPr>
        <w:pStyle w:val="NumberedText"/>
        <w:spacing w:after="295"/>
        <w:ind w:left="343" w:hanging="343"/>
      </w:pPr>
      <w:r>
        <w:t>e)</w:t>
      </w:r>
      <w:r>
        <w:tab/>
        <w:t>veita framkvæmdastjórninni ráðgjöf og aðstoð að því er varðar þróun samræmdra viðmiðunarreglna um netöryggiskröfur fyrir gagnaskipti og geymslu gagna,</w:t>
      </w:r>
    </w:p>
    <w:p w14:paraId="4BEF5E22" w14:textId="77777777" w:rsidR="00900A3D" w:rsidRDefault="000E1836" w:rsidP="00964CF0">
      <w:pPr>
        <w:pStyle w:val="NumberedText"/>
        <w:spacing w:after="295"/>
        <w:ind w:left="343" w:hanging="343"/>
      </w:pPr>
      <w:r>
        <w:t>f)</w:t>
      </w:r>
      <w:r>
        <w:tab/>
        <w:t xml:space="preserve">veita framkvæmdastjórninni ráðgjöf, einkum að teknu tilliti til innleggs frá staðlastofnunum, um forgangsröðun staðla þvert á geira, sem nota á og þróa fyrir </w:t>
      </w:r>
      <w:proofErr w:type="spellStart"/>
      <w:r>
        <w:t>gagnanotkun</w:t>
      </w:r>
      <w:proofErr w:type="spellEnd"/>
      <w:r>
        <w:t xml:space="preserve"> og deilingu gagna þvert á geira milli nýrra sameiginlegra evrópskra gagnasvæða, samanburð og miðlun bestu starfsvenja milli geira að því er varðar geiratengdar kröfur um öryggi og aðgangsferli, með hliðsjón af geirabundinni vinnu við gerð staðla, einkum í því skyni að skýra og greina á milli hvaða staðlar og starfsvenjur liggja þvert á geira og hver eru bundin við tiltekna geira,</w:t>
      </w:r>
    </w:p>
    <w:p w14:paraId="4BEF5E23" w14:textId="77777777" w:rsidR="00900A3D" w:rsidRDefault="000E1836" w:rsidP="00964CF0">
      <w:pPr>
        <w:pStyle w:val="NumberedText"/>
        <w:spacing w:after="295"/>
        <w:ind w:left="343" w:hanging="343"/>
      </w:pPr>
      <w:r>
        <w:t>g)</w:t>
      </w:r>
      <w:r>
        <w:tab/>
        <w:t>aðstoða framkvæmdastjórnina, einkum að teknu tilliti til innleggs frá staðlastofnunum, við að taka á uppskiptingu innri markaðarins og gagnahagkerfisins á innri markaðnum með því að efla samvirkni gagna yfir landamæri og þvert á geira ásamt gagnadeilingarþjónustu milli mismunandi geira og sviða og byggja á fyrirliggjandi evrópskum, alþjóðlegum eða landsbundnum stöðlum, m.a. í því skyni að hvetja til stofnunar sameiginlegra evrópskra gagnasvæða,</w:t>
      </w:r>
    </w:p>
    <w:p w14:paraId="4BEF5E24" w14:textId="77777777" w:rsidR="00900A3D" w:rsidRDefault="000E1836" w:rsidP="00964CF0">
      <w:pPr>
        <w:pStyle w:val="NumberedText"/>
        <w:spacing w:after="295"/>
        <w:ind w:left="343" w:hanging="343"/>
      </w:pPr>
      <w:r>
        <w:t>h)</w:t>
      </w:r>
      <w:r>
        <w:tab/>
        <w:t>leggja til viðmiðunarreglur um sameiginleg evrópsk gagnasvæði, þ.e. samvirkandi ramma sameiginlegra staðla og starfsvenja sem þjóna ákveðnum tilgangi, eru bundnir við tiltekna geira eða eru þvert á geira, til að deila eða vinna í sameiningu gögn, m.a. vegna þróunar á nýjum vörum og þjónustu, vísindarannsókna eða framtaksverkefna borgaralegs samfélags, þar sem slíkir sameiginlegir staðlar og starfsvenjur taka tillit til fyrirliggjandi staðla, eru í samræmi við samkeppnisreglur og tryggja öllum þátttakendum aðgang án mismununar í þeim tilgangi að greiða fyrir gagnadeilingu í Sambandinu og nýta möguleika fyrirliggjandi og framtíðargagnasvæða, þar sem m.a. er fjallað um:</w:t>
      </w:r>
    </w:p>
    <w:p w14:paraId="4BEF5E25" w14:textId="77777777" w:rsidR="00900A3D" w:rsidRDefault="000E1836" w:rsidP="00964CF0">
      <w:pPr>
        <w:pStyle w:val="NumberedText"/>
        <w:tabs>
          <w:tab w:val="clear" w:pos="2047"/>
        </w:tabs>
        <w:spacing w:after="295"/>
        <w:ind w:left="697" w:hanging="353"/>
      </w:pPr>
      <w:r>
        <w:t>i.</w:t>
      </w:r>
      <w:r>
        <w:tab/>
        <w:t xml:space="preserve">staðla sem liggja þvert á geira sem nota á og þróa fyrir </w:t>
      </w:r>
      <w:proofErr w:type="spellStart"/>
      <w:r>
        <w:t>gagnanotkun</w:t>
      </w:r>
      <w:proofErr w:type="spellEnd"/>
      <w:r>
        <w:t xml:space="preserve"> og deilingu gagna þvert á geira, samanburð og miðlun bestu starfsvenja milli geira að því er varðar geiratengdar kröfur um öryggi og aðgangsferli, með hliðsjón af geirabundinni vinnu við gerð staðla, einkum í því skyni að skýra og greina á milli hvaða staðlar og starfsvenjur liggja þvert á geira og hver eru bundin við tiltekna geira,</w:t>
      </w:r>
    </w:p>
    <w:p w14:paraId="4BEF5E26" w14:textId="77777777" w:rsidR="00900A3D" w:rsidRDefault="000E1836" w:rsidP="0074118B">
      <w:pPr>
        <w:pStyle w:val="NumberedText"/>
        <w:tabs>
          <w:tab w:val="clear" w:pos="2047"/>
        </w:tabs>
        <w:spacing w:after="0"/>
        <w:ind w:left="697" w:hanging="353"/>
      </w:pPr>
      <w:r>
        <w:lastRenderedPageBreak/>
        <w:t>ii.</w:t>
      </w:r>
      <w:r>
        <w:tab/>
        <w:t>kröfur til að sporna við hindrunum í vegi markaðsaðgangs og til að koma í veg fyrir sjálfhelduáhrif í þeim tilgangi að tryggja sanngjarna samkeppni og samvirkni,</w:t>
      </w:r>
      <w:r>
        <w:br w:type="page"/>
      </w:r>
    </w:p>
    <w:p w14:paraId="4BEF5E27" w14:textId="77777777" w:rsidR="00900A3D" w:rsidRDefault="000E1836" w:rsidP="00964CF0">
      <w:pPr>
        <w:pStyle w:val="NumberedText"/>
        <w:tabs>
          <w:tab w:val="clear" w:pos="2047"/>
        </w:tabs>
        <w:spacing w:after="250"/>
        <w:ind w:left="697" w:hanging="353"/>
      </w:pPr>
      <w:r>
        <w:lastRenderedPageBreak/>
        <w:t>iii.</w:t>
      </w:r>
      <w:r>
        <w:tab/>
        <w:t>fullnægjandi vernd fyrir löglega miðlun gagna til þriðju landa, þ.m.t. verndarráðstafanir gegn hvers konar miðlun sem er bönnuð samkvæmt lögum Sambandsins,</w:t>
      </w:r>
    </w:p>
    <w:p w14:paraId="4BEF5E28" w14:textId="77777777" w:rsidR="00900A3D" w:rsidRDefault="000E1836" w:rsidP="00964CF0">
      <w:pPr>
        <w:pStyle w:val="NumberedText"/>
        <w:tabs>
          <w:tab w:val="clear" w:pos="2047"/>
        </w:tabs>
        <w:spacing w:after="250"/>
        <w:ind w:left="697" w:hanging="353"/>
      </w:pPr>
      <w:r>
        <w:t>iv.</w:t>
      </w:r>
      <w:r>
        <w:tab/>
        <w:t>fullnægjandi fyrirsvar, sem er án mismununar, viðkomandi hagsmunaaðila við stjórnun sameiginlegra evrópskra gagnasvæða,</w:t>
      </w:r>
    </w:p>
    <w:p w14:paraId="4BEF5E29" w14:textId="77777777" w:rsidR="00900A3D" w:rsidRDefault="000E1836" w:rsidP="00964CF0">
      <w:pPr>
        <w:pStyle w:val="NumberedText"/>
        <w:tabs>
          <w:tab w:val="clear" w:pos="2047"/>
        </w:tabs>
        <w:spacing w:after="250"/>
        <w:ind w:left="697" w:hanging="353"/>
      </w:pPr>
      <w:r>
        <w:t>v.</w:t>
      </w:r>
      <w:r>
        <w:tab/>
        <w:t>fylgni við netöryggiskröfur í samræmi við lög Sambandsins,</w:t>
      </w:r>
    </w:p>
    <w:p w14:paraId="4BEF5E2A" w14:textId="77777777" w:rsidR="00900A3D" w:rsidRDefault="000E1836" w:rsidP="00964CF0">
      <w:pPr>
        <w:pStyle w:val="NumberedText"/>
        <w:spacing w:after="250"/>
        <w:ind w:left="343" w:hanging="343"/>
      </w:pPr>
      <w:r>
        <w:t>i)</w:t>
      </w:r>
      <w:r>
        <w:tab/>
        <w:t>greiða fyrir samstarfi milli aðildarríkjanna um setningu samræmdra skilyrða sem gera kleift að endurnota þá gagnaflokka, sem um getur í 1. mgr. 3. gr. og eru í vörslu opinberra aðila, á öllum innri markaðnum,</w:t>
      </w:r>
    </w:p>
    <w:p w14:paraId="4BEF5E2B" w14:textId="77777777" w:rsidR="00900A3D" w:rsidRDefault="000E1836" w:rsidP="00964CF0">
      <w:pPr>
        <w:pStyle w:val="NumberedText"/>
        <w:spacing w:after="250"/>
        <w:ind w:left="343" w:hanging="343"/>
      </w:pPr>
      <w:r>
        <w:t>j)</w:t>
      </w:r>
      <w:r>
        <w:tab/>
        <w:t xml:space="preserve">greiða fyrir samstarfi milli lögbærra yfirvalda á sviði gagnamilligönguþjónustu og lögbærra yfirvalda </w:t>
      </w:r>
      <w:proofErr w:type="spellStart"/>
      <w:r>
        <w:t>sam</w:t>
      </w:r>
      <w:proofErr w:type="spellEnd"/>
      <w:r>
        <w:t xml:space="preserve"> annast skráningu gagnavildarstofnana með því að byggja upp getu og með upplýsingaskiptum, einkum með því að koma á aðferðum fyrir skilvirk upplýsingaskipti í tengslum við tilkynningarmálsmeðferðina fyrir veitendur gagnamilligönguþjónustu og skráningu og eftirlit með viðurkenndum gagnavildarstofnunum, þ.m.t. </w:t>
      </w:r>
      <w:proofErr w:type="spellStart"/>
      <w:r>
        <w:t>samræming</w:t>
      </w:r>
      <w:proofErr w:type="spellEnd"/>
      <w:r>
        <w:t xml:space="preserve"> að því er varðar ákvörðun gjalda eða viðurlaga, sem og að greiða fyrir samstarfi milli lögbærra yfirvalda á sviði gagnamilligönguþjónustu og lögbærra yfirvalda sem annast skráningu gagnavildarstofnana að því er varðar alþjóðlegan aðgang og alþjóðlega miðlun á gögnum,</w:t>
      </w:r>
    </w:p>
    <w:p w14:paraId="4BEF5E2C" w14:textId="77777777" w:rsidR="00900A3D" w:rsidRDefault="000E1836" w:rsidP="00964CF0">
      <w:pPr>
        <w:pStyle w:val="NumberedText"/>
        <w:spacing w:after="250"/>
        <w:ind w:left="343" w:hanging="343"/>
      </w:pPr>
      <w:r>
        <w:t>k)</w:t>
      </w:r>
      <w:r>
        <w:tab/>
        <w:t>veita framkvæmdastjórninni ráðgjöf og aðstoð að því er varðar mat á því hvort samþykkja eigi framkvæmdargerðirnar sem um getur í 11. og 12. mgr. 5. gr.,</w:t>
      </w:r>
    </w:p>
    <w:p w14:paraId="4BEF5E2D" w14:textId="77777777" w:rsidR="00900A3D" w:rsidRDefault="000E1836" w:rsidP="00964CF0">
      <w:pPr>
        <w:pStyle w:val="NumberedText"/>
        <w:spacing w:after="250"/>
        <w:ind w:left="343" w:hanging="343"/>
      </w:pPr>
      <w:r>
        <w:t>l)</w:t>
      </w:r>
      <w:r>
        <w:tab/>
        <w:t>veita framkvæmdastjórninni ráðgjöf og aðstoð að því er varðar þróun evrópska samþykkiseyðublaðsins fyrir gagnavild í samræmi við 1. mgr. 25. gr.,</w:t>
      </w:r>
    </w:p>
    <w:p w14:paraId="4BEF5E2E" w14:textId="77777777" w:rsidR="00900A3D" w:rsidRDefault="000E1836" w:rsidP="00964CF0">
      <w:pPr>
        <w:pStyle w:val="NumberedText"/>
        <w:spacing w:after="250"/>
        <w:ind w:left="343" w:hanging="343"/>
      </w:pPr>
      <w:r>
        <w:t>m)</w:t>
      </w:r>
      <w:r>
        <w:tab/>
        <w:t>veita framkvæmdastjórninni ráðgjöf um úrbætur á alþjóðlegu regluverki fyrir ópersónulegar upplýsingar, þ.m.t. stöðlun.</w:t>
      </w:r>
    </w:p>
    <w:p w14:paraId="4BEF5E2F" w14:textId="77777777" w:rsidR="00900A3D" w:rsidRDefault="000E1836" w:rsidP="00964CF0">
      <w:pPr>
        <w:pStyle w:val="DivisionChapterTI1"/>
        <w:spacing w:line="200" w:lineRule="exact"/>
      </w:pPr>
      <w:r>
        <w:rPr>
          <w:i/>
        </w:rPr>
        <w:t>VII. KAFLI</w:t>
      </w:r>
    </w:p>
    <w:p w14:paraId="4BEF5E30" w14:textId="77777777" w:rsidR="00900A3D" w:rsidRPr="00964CF0" w:rsidRDefault="000E1836">
      <w:pPr>
        <w:pStyle w:val="DivisionChapterSTI1"/>
        <w:rPr>
          <w:caps w:val="0"/>
          <w:sz w:val="18"/>
          <w:szCs w:val="18"/>
        </w:rPr>
      </w:pPr>
      <w:r>
        <w:rPr>
          <w:i/>
          <w:caps w:val="0"/>
          <w:sz w:val="18"/>
        </w:rPr>
        <w:t>Alþjóðlegur aðgangur og alþjóðleg miðlun</w:t>
      </w:r>
    </w:p>
    <w:p w14:paraId="4BEF5E31" w14:textId="77777777" w:rsidR="00900A3D" w:rsidRDefault="000E1836">
      <w:pPr>
        <w:pStyle w:val="TIART"/>
      </w:pPr>
      <w:r>
        <w:t>31. gr.</w:t>
      </w:r>
    </w:p>
    <w:p w14:paraId="4BEF5E32" w14:textId="77777777" w:rsidR="00900A3D" w:rsidRDefault="000E1836">
      <w:pPr>
        <w:pStyle w:val="STIART"/>
      </w:pPr>
      <w:r>
        <w:t>Alþjóðlegur aðgangur og alþjóðleg miðlun</w:t>
      </w:r>
    </w:p>
    <w:p w14:paraId="4BEF5E33" w14:textId="77777777" w:rsidR="00900A3D" w:rsidRDefault="000E1836" w:rsidP="00964CF0">
      <w:pPr>
        <w:pStyle w:val="AlineaWithParag"/>
        <w:spacing w:after="250"/>
      </w:pPr>
      <w:r>
        <w:t>1.</w:t>
      </w:r>
      <w:r>
        <w:tab/>
        <w:t xml:space="preserve">Opinberi aðilinn, einstaklingurinn eða lögaðilinn sem veittur hefur verið réttur til að endurnota gögn skv. II. kafla, veitandi gagnamilligönguþjónustu eða viðurkennda gagnavildarstofnunin skulu gera allar raunhæfar tæknilegar, lagalegar og </w:t>
      </w:r>
      <w:proofErr w:type="spellStart"/>
      <w:r>
        <w:t>skipulagslegar</w:t>
      </w:r>
      <w:proofErr w:type="spellEnd"/>
      <w:r>
        <w:t xml:space="preserve"> ráðstafanir, þ.m.t. samningsbundið fyrirkomulag, til að koma í veg fyrir alþjóðlega miðlun á ópersónulegum upplýsingum sem geymdar eru í Sambandinu eða alþjóðlegan aðgang stjórnvalda að þeim, ef slík miðlun eða aðgangur myndi brjóta í bága við lög Sambandsins eða landslög viðkomandi aðildarríkis, sbr. þó ákvæði 2. eða 3. mgr.</w:t>
      </w:r>
    </w:p>
    <w:p w14:paraId="4BEF5E34" w14:textId="77777777" w:rsidR="00900A3D" w:rsidRDefault="000E1836" w:rsidP="00964CF0">
      <w:pPr>
        <w:pStyle w:val="AlineaWithParag"/>
        <w:spacing w:after="250"/>
      </w:pPr>
      <w:r>
        <w:t>2.</w:t>
      </w:r>
      <w:r>
        <w:tab/>
        <w:t>Ákvarðanir eða dóma dómstóls í þriðja landi og ákvarðanir stjórnsýsluyfirvalds í þriðja landi, sem krefjast þess að opinber aðili, einstaklingur eða lögaðili sem veittur hefur verið réttur til að endurnota gögn skv. II. kafla, veitandi gagnamilligönguþjónustu eða viðurkennd gagnavildarstofnun miðli eða veiti aðgang að ópersónulegum upplýsingum innan gildissviðs þessarar reglugerðar sem geymdar eru í Sambandinu, skal því aðeins viðurkenna eða framfylgja með einhverjum hætti að slíkt byggist á alþjóðasamningi, s.s. samningi um gagnkvæma dómsmálaaðstoð, sem er í gildi milli þriðja landsins sem leggur fram beiðni og Sambandsins, eða einhverjum slíkum samningi milli þriðja landsins sem leggur fram beiðni og aðildarríkis.</w:t>
      </w:r>
    </w:p>
    <w:p w14:paraId="4BEF5E35" w14:textId="77777777" w:rsidR="00900A3D" w:rsidRDefault="000E1836" w:rsidP="00964CF0">
      <w:pPr>
        <w:pStyle w:val="AlineaWithParag"/>
        <w:spacing w:after="250"/>
      </w:pPr>
      <w:r>
        <w:t>3.</w:t>
      </w:r>
      <w:r>
        <w:tab/>
        <w:t>Ef ekki liggur fyrir alþjóðasamningur eins og um getur í 2. mgr. þessarar greinar og opinber aðili, einstaklingur eða lögaðili sem veittur hefur verið réttur til að endurnota gögn skv. II. kafla, veitandi gagnamilligönguþjónustu eða viðurkennd gagnavildarstofnun er viðtakandi ákvörðunar eða dóms dómstóls í þriðja landi eða ákvörðunar stjórnsýsluyfirvalds í þriðja landi um að miðla beri eða veita aðgang að ópersónulegum upplýsingum innan gildissviðs þessarar reglugerðar sem geymdar eru í Sambandinu, og fylgni við slíka ákvörðun myndi hætta á viðtakandinn bryti í bága við lög Sambandsins eða landslög viðkomandi aðildarríkis, skal eingöngu miðla slíkum gögnum til þess yfirvalds þriðja lands eða veita því aðgang að þeim ef:</w:t>
      </w:r>
    </w:p>
    <w:p w14:paraId="4BEF5E36" w14:textId="77777777" w:rsidR="00900A3D" w:rsidRDefault="000E1836" w:rsidP="00964CF0">
      <w:pPr>
        <w:pStyle w:val="NumberedText"/>
        <w:spacing w:after="0"/>
        <w:ind w:left="293" w:hanging="293"/>
      </w:pPr>
      <w:r>
        <w:t>a)</w:t>
      </w:r>
      <w:r>
        <w:tab/>
        <w:t>kerfi þriðja landsins krefst þess að sett séu fram rök og meðalhóf til grundvallar slíkri ákvörðun eða dómi og að ákvörðunin eða dómurinn sé í eðli sínu nákvæmur, t.d. með því að sýna fram á nægilega tengingu við tiltekna grunaða einstaklinga eða brot,</w:t>
      </w:r>
      <w:r>
        <w:br w:type="page"/>
      </w:r>
    </w:p>
    <w:p w14:paraId="4BEF5E37" w14:textId="77777777" w:rsidR="00900A3D" w:rsidRDefault="000E1836" w:rsidP="00964CF0">
      <w:pPr>
        <w:pStyle w:val="NumberedText"/>
        <w:spacing w:after="425"/>
        <w:ind w:left="293" w:hanging="293"/>
      </w:pPr>
      <w:r>
        <w:lastRenderedPageBreak/>
        <w:t>b)</w:t>
      </w:r>
      <w:r>
        <w:tab/>
        <w:t xml:space="preserve">rökstudd andmæli viðtakanda sæta endurskoðun þar til </w:t>
      </w:r>
      <w:proofErr w:type="spellStart"/>
      <w:r>
        <w:t>bærs</w:t>
      </w:r>
      <w:proofErr w:type="spellEnd"/>
      <w:r>
        <w:t xml:space="preserve"> dómstóls í þriðja landinu og</w:t>
      </w:r>
    </w:p>
    <w:p w14:paraId="4BEF5E38" w14:textId="77777777" w:rsidR="00900A3D" w:rsidRDefault="000E1836" w:rsidP="00964CF0">
      <w:pPr>
        <w:pStyle w:val="NumberedText"/>
        <w:spacing w:after="425"/>
        <w:ind w:left="293" w:hanging="293"/>
      </w:pPr>
      <w:r>
        <w:t>c)</w:t>
      </w:r>
      <w:r>
        <w:tab/>
        <w:t>þar til bæri dómstóllinn í þriðja landinu, sem gefur út ákvörðunina eða dóminn eða sem endurskoðar ákvörðun stjórnsýsluyfirvalds, hefur valdheimild samkvæmt lögum þess þriðja lands til að taka tilhlýðilegt tillit til viðeigandi lagalegra hagsmuna veitanda gagna sem njóta verndar samkvæmt lögum Sambandsins eða landslögum viðkomandi aðildarríkis.</w:t>
      </w:r>
    </w:p>
    <w:p w14:paraId="4BEF5E39" w14:textId="77777777" w:rsidR="00900A3D" w:rsidRDefault="000E1836" w:rsidP="00964CF0">
      <w:pPr>
        <w:pStyle w:val="AlineaWithParag"/>
        <w:spacing w:after="425"/>
      </w:pPr>
      <w:r>
        <w:t>4.</w:t>
      </w:r>
      <w:r>
        <w:tab/>
        <w:t>Ef skilyrðin sem mælt er fyrir um í 2. eða 3. mgr. eru uppfyllt skal opinberi aðilinn, einstaklingurinn eða lögaðilinn sem veittur hefur verið réttur til að endurnota gögnin skv. II. kafla, veitandi gagnamilligönguþjónustu eða viðurkennda gagnavildarstofnunin leggja fram það lágmarksmagn gagna sem leyfilegt er til að svara beiðni, byggt á réttlátri túlkun á beiðninni.</w:t>
      </w:r>
    </w:p>
    <w:p w14:paraId="4BEF5E3A" w14:textId="77777777" w:rsidR="00900A3D" w:rsidRDefault="000E1836" w:rsidP="00964CF0">
      <w:pPr>
        <w:pStyle w:val="AlineaWithParag"/>
        <w:spacing w:after="425"/>
      </w:pPr>
      <w:r>
        <w:t>5.</w:t>
      </w:r>
      <w:r>
        <w:tab/>
        <w:t>Opinberi aðilinn, einstaklingurinn eða lögaðilinn sem veittur var réttur til að endurnota gögn skv. II. kafla, veitandi gagnamilligönguþjónustu og viðurkennda gagnavildarstofnunin skulu upplýsa handhafa gagnanna um að fyrir liggi beiðni stjórnsýsluyfirvalds í þriðja landi um aðgang að gögnum hans áður en orðið er við þeirri beiðni, nema þegar beiðnin þjónar löggæslutilgangi og svo lengi sem nauðsynlegt er til að viðhalda skilvirkni löggæslustarfsins.</w:t>
      </w:r>
    </w:p>
    <w:p w14:paraId="4BEF5E3B" w14:textId="77777777" w:rsidR="00900A3D" w:rsidRDefault="000E1836" w:rsidP="00964CF0">
      <w:pPr>
        <w:pStyle w:val="DivisionChapterTI1"/>
        <w:spacing w:line="200" w:lineRule="exact"/>
      </w:pPr>
      <w:r>
        <w:rPr>
          <w:i/>
        </w:rPr>
        <w:t>VIII. KAFLI</w:t>
      </w:r>
    </w:p>
    <w:p w14:paraId="4BEF5E3C" w14:textId="77777777" w:rsidR="00900A3D" w:rsidRPr="00964CF0" w:rsidRDefault="000E1836">
      <w:pPr>
        <w:pStyle w:val="DivisionChapterSTI1"/>
        <w:rPr>
          <w:caps w:val="0"/>
          <w:sz w:val="18"/>
          <w:szCs w:val="18"/>
        </w:rPr>
      </w:pPr>
      <w:r>
        <w:rPr>
          <w:i/>
          <w:caps w:val="0"/>
          <w:sz w:val="18"/>
        </w:rPr>
        <w:t>Framsal og nefndarmeðferð</w:t>
      </w:r>
    </w:p>
    <w:p w14:paraId="4BEF5E3D" w14:textId="77777777" w:rsidR="00900A3D" w:rsidRDefault="000E1836">
      <w:pPr>
        <w:pStyle w:val="TIART"/>
      </w:pPr>
      <w:r>
        <w:t>32. gr.</w:t>
      </w:r>
    </w:p>
    <w:p w14:paraId="4BEF5E3E" w14:textId="77777777" w:rsidR="00900A3D" w:rsidRDefault="000E1836">
      <w:pPr>
        <w:pStyle w:val="STIART"/>
      </w:pPr>
      <w:r>
        <w:t>Beiting framsals</w:t>
      </w:r>
    </w:p>
    <w:p w14:paraId="4BEF5E3F" w14:textId="77777777" w:rsidR="00900A3D" w:rsidRDefault="000E1836" w:rsidP="00964CF0">
      <w:pPr>
        <w:pStyle w:val="AlineaWithParag"/>
        <w:spacing w:after="425"/>
      </w:pPr>
      <w:r>
        <w:t>1.</w:t>
      </w:r>
      <w:r>
        <w:tab/>
        <w:t>Framkvæmdastjórninni er falið vald til að samþykkja framseldar gerðir að uppfylltum þeim skilyrðum sem mælt er fyrir um í þessari grein.</w:t>
      </w:r>
    </w:p>
    <w:p w14:paraId="4BEF5E40" w14:textId="77777777" w:rsidR="00900A3D" w:rsidRDefault="000E1836" w:rsidP="00964CF0">
      <w:pPr>
        <w:pStyle w:val="AlineaWithParag"/>
        <w:spacing w:after="425"/>
      </w:pPr>
      <w:r>
        <w:t>2.</w:t>
      </w:r>
      <w:r>
        <w:tab/>
        <w:t>Framkvæmdastjórninni skal falið vald til að samþykkja framseldu gerðirnar sem um getur í 13. mgr. 5. gr. og 1. mgr. 22. gr. um óákveðinn tíma frá 23. júní 2022.</w:t>
      </w:r>
    </w:p>
    <w:p w14:paraId="4BEF5E41" w14:textId="77777777" w:rsidR="00900A3D" w:rsidRDefault="000E1836" w:rsidP="00964CF0">
      <w:pPr>
        <w:pStyle w:val="AlineaWithParag"/>
        <w:spacing w:after="425"/>
      </w:pPr>
      <w:r>
        <w:t>3.</w:t>
      </w:r>
      <w:r>
        <w:tab/>
        <w:t>Evrópuþinginu eða ráðinu er hvenær sem er heimilt að afturkalla valdaframsalið sem um getur í 13. mgr. 5. gr. og 1. mgr. 22. gr. Með ákvörðun um afturköllun skal binda enda á valdaframsalið sem um getur í þeirri ákvörðun. Ákvörðunin öðlast gildi daginn eftir birtingu hennar í Stjórnartíðindum Evrópusambandsins eða síðar, eftir því sem tilgreint er í henni. Hún skal ekki hafa áhrif á gildi neinna framseldra gerða sem þegar eru í gildi.</w:t>
      </w:r>
    </w:p>
    <w:p w14:paraId="4BEF5E42" w14:textId="77777777" w:rsidR="00900A3D" w:rsidRDefault="000E1836" w:rsidP="00964CF0">
      <w:pPr>
        <w:pStyle w:val="AlineaWithParag"/>
        <w:spacing w:after="425"/>
      </w:pPr>
      <w:r>
        <w:t>4.</w:t>
      </w:r>
      <w:r>
        <w:tab/>
        <w:t>Áður en framseld gerð er samþykkt skal framkvæmdastjórnin hafa samráð við sérfræðinga sem hvert aðildarríki hefur tilnefnt í samræmi við meginreglurnar sem mælt er fyrir um í samstarfssamningnum milli stofnana um betri lagasetningu frá 13. apríl 2016.</w:t>
      </w:r>
    </w:p>
    <w:p w14:paraId="4BEF5E43" w14:textId="77777777" w:rsidR="00900A3D" w:rsidRDefault="000E1836" w:rsidP="00964CF0">
      <w:pPr>
        <w:pStyle w:val="AlineaWithParag"/>
        <w:spacing w:after="425"/>
      </w:pPr>
      <w:r>
        <w:t>5.</w:t>
      </w:r>
      <w:r>
        <w:tab/>
        <w:t>Um leið og framkvæmdastjórnin samþykkir framselda gerð skal hún samtímis tilkynna það Evrópuþinginu og ráðinu.</w:t>
      </w:r>
    </w:p>
    <w:p w14:paraId="4BEF5E44" w14:textId="77777777" w:rsidR="00900A3D" w:rsidRDefault="000E1836" w:rsidP="00964CF0">
      <w:pPr>
        <w:pStyle w:val="AlineaWithParag"/>
        <w:spacing w:after="425"/>
      </w:pPr>
      <w:r>
        <w:t>6.</w:t>
      </w:r>
      <w:r>
        <w:tab/>
        <w:t>Framseld gerð sem er samþykkt skv. 13. mgr. 5. gr. eða 1. mgr. 22. gr. skal því aðeins öðlast gildi að Evrópuþingið eða ráðið hafi ekki haft uppi nein andmæli innan þriggja mánaða frá tilkynningu um gerðina til Evrópuþingsins og ráðsins eða ef bæði Evrópuþingið og ráðið hafa upplýst framkvæmdastjórnina, áður en fresturinn er liðinn, um þá fyrirætlan sína að hreyfa ekki andmælum. Þessi frestur skal framlengdur um þrjá mánuði að frumkvæði Evrópuþingsins eða ráðsins.</w:t>
      </w:r>
    </w:p>
    <w:p w14:paraId="4BEF5E45" w14:textId="77777777" w:rsidR="00900A3D" w:rsidRDefault="000E1836">
      <w:pPr>
        <w:pStyle w:val="TIART"/>
      </w:pPr>
      <w:r>
        <w:t>33. gr.</w:t>
      </w:r>
    </w:p>
    <w:p w14:paraId="4BEF5E46" w14:textId="77777777" w:rsidR="00900A3D" w:rsidRDefault="000E1836">
      <w:pPr>
        <w:pStyle w:val="STIART"/>
      </w:pPr>
      <w:r>
        <w:t>Nefndarmeðferð</w:t>
      </w:r>
    </w:p>
    <w:p w14:paraId="4BEF5E47" w14:textId="77777777" w:rsidR="00900A3D" w:rsidRDefault="000E1836" w:rsidP="00964CF0">
      <w:pPr>
        <w:pStyle w:val="AlineaWithParag"/>
        <w:spacing w:after="0"/>
      </w:pPr>
      <w:r>
        <w:t>1.</w:t>
      </w:r>
      <w:r>
        <w:tab/>
        <w:t>Framkvæmdastjórnin skal njóta aðstoðar nefndar. Þessi nefnd skal vera nefnd í skilningi reglugerðar (ESB) nr. 182/2011.</w:t>
      </w:r>
      <w:r>
        <w:br w:type="page"/>
      </w:r>
    </w:p>
    <w:p w14:paraId="4BEF5E48" w14:textId="77777777" w:rsidR="00900A3D" w:rsidRDefault="000E1836" w:rsidP="00964CF0">
      <w:pPr>
        <w:pStyle w:val="AlineaWithParag"/>
        <w:spacing w:after="345"/>
      </w:pPr>
      <w:r>
        <w:lastRenderedPageBreak/>
        <w:t>2.</w:t>
      </w:r>
      <w:r>
        <w:tab/>
        <w:t>Þegar vísað er til þessarar málsgreinar gildir 4. gr. reglugerðar (ESB) nr. 182/2011.</w:t>
      </w:r>
    </w:p>
    <w:p w14:paraId="4BEF5E49" w14:textId="77777777" w:rsidR="00900A3D" w:rsidRDefault="000E1836" w:rsidP="00964CF0">
      <w:pPr>
        <w:pStyle w:val="AlineaWithParag"/>
        <w:spacing w:after="345"/>
      </w:pPr>
      <w:r>
        <w:t>3.</w:t>
      </w:r>
      <w:r>
        <w:tab/>
        <w:t>Þegar vísað er til þessarar málsgreinar gildir 5. gr. reglugerðar (ESB) nr. 182/2011.</w:t>
      </w:r>
    </w:p>
    <w:p w14:paraId="4BEF5E4A" w14:textId="77777777" w:rsidR="00900A3D" w:rsidRDefault="000E1836" w:rsidP="00964CF0">
      <w:pPr>
        <w:pStyle w:val="DivisionChapterTI1"/>
        <w:spacing w:line="200" w:lineRule="exact"/>
      </w:pPr>
      <w:r>
        <w:rPr>
          <w:i/>
        </w:rPr>
        <w:t>IX. KAFLI</w:t>
      </w:r>
    </w:p>
    <w:p w14:paraId="4BEF5E4B" w14:textId="77777777" w:rsidR="00900A3D" w:rsidRPr="00964CF0" w:rsidRDefault="000E1836">
      <w:pPr>
        <w:pStyle w:val="DivisionChapterSTI1"/>
        <w:rPr>
          <w:caps w:val="0"/>
          <w:sz w:val="18"/>
          <w:szCs w:val="18"/>
        </w:rPr>
      </w:pPr>
      <w:r>
        <w:rPr>
          <w:i/>
          <w:caps w:val="0"/>
          <w:sz w:val="18"/>
        </w:rPr>
        <w:t>Lokaákvæði og umbreytingarákvæði</w:t>
      </w:r>
    </w:p>
    <w:p w14:paraId="4BEF5E4C" w14:textId="77777777" w:rsidR="00900A3D" w:rsidRDefault="000E1836">
      <w:pPr>
        <w:pStyle w:val="TIART"/>
      </w:pPr>
      <w:r>
        <w:t>34. gr.</w:t>
      </w:r>
    </w:p>
    <w:p w14:paraId="4BEF5E4D" w14:textId="77777777" w:rsidR="00900A3D" w:rsidRDefault="000E1836">
      <w:pPr>
        <w:pStyle w:val="STIART"/>
      </w:pPr>
      <w:r>
        <w:t>Viðurlög</w:t>
      </w:r>
    </w:p>
    <w:p w14:paraId="4BEF5E4E" w14:textId="77777777" w:rsidR="00900A3D" w:rsidRDefault="000E1836" w:rsidP="00964CF0">
      <w:pPr>
        <w:pStyle w:val="AlineaWithParag"/>
        <w:spacing w:after="345"/>
      </w:pPr>
      <w:r>
        <w:t>1.</w:t>
      </w:r>
      <w:r>
        <w:tab/>
        <w:t>Aðildarríkin skulu setja reglur um viðurlög við brotum gegn skyldum varðandi miðlun ópersónulegra upplýsinga til þriðju landa skv. 14. mgr. 5. gr. og 31. gr., gegn tilkynningarskyldu veitanda gagnamilligönguþjónustu skv. 11. gr., gegn skilyrðunum fyrir því að veita gagnamilligönguþjónustu skv. 12. gr. og gegn skilyrðunum fyrir skráningu sem viðurkennd gagnavildarstofnun skv. 18., 20., 21. og 22. gr. og skulu gera allar nauðsynlegar ráðstafanir til að tryggja að þeim sé beitt. Viðurlögin sem kveðið er á um skulu vera skilvirk, í réttu hlutfalli við brot og hafa varnaðaráhrif. Aðildarríkin skulu taka tillit til tilmæla Evrópska gagnanýsköpunarráðsins í reglum sínum um viðurlög. Eigi síðar en 24. september 2023 skulu aðildarríkin tilkynna framkvæmdastjórninni um þessar reglur og þessar ráðstafanir og skulu tilkynna henni án tafar um allar síðari breytingar sem varða þær.</w:t>
      </w:r>
    </w:p>
    <w:p w14:paraId="4BEF5E4F" w14:textId="77777777" w:rsidR="00900A3D" w:rsidRDefault="000E1836" w:rsidP="00964CF0">
      <w:pPr>
        <w:pStyle w:val="AlineaWithParag"/>
        <w:spacing w:after="345"/>
      </w:pPr>
      <w:r>
        <w:t>2.</w:t>
      </w:r>
      <w:r>
        <w:tab/>
        <w:t>Aðildarríkin skulu taka tillit til eftirfarandi leiðbeinandi viðmiðana, sem ekki eru tæmandi, um beitingu viðurlaga gegn veitendum gagnamilligönguþjónustu og viðurkenndum gagnavildarstofnunum vegna brota á þessari reglugerð, eftir því sem við á:</w:t>
      </w:r>
    </w:p>
    <w:p w14:paraId="4BEF5E50" w14:textId="77777777" w:rsidR="00900A3D" w:rsidRDefault="000E1836" w:rsidP="00964CF0">
      <w:pPr>
        <w:pStyle w:val="NumberedText"/>
        <w:spacing w:after="345"/>
        <w:ind w:left="293" w:hanging="293"/>
      </w:pPr>
      <w:r>
        <w:t>a)</w:t>
      </w:r>
      <w:r>
        <w:tab/>
        <w:t>þess hvers eðlis og hversu alvarlegt, umfangsmikið og langvarandi brotið er,</w:t>
      </w:r>
    </w:p>
    <w:p w14:paraId="4BEF5E51" w14:textId="77777777" w:rsidR="00900A3D" w:rsidRDefault="000E1836" w:rsidP="00964CF0">
      <w:pPr>
        <w:pStyle w:val="NumberedText"/>
        <w:spacing w:after="345"/>
        <w:ind w:left="293" w:hanging="293"/>
      </w:pPr>
      <w:r>
        <w:t>b)</w:t>
      </w:r>
      <w:r>
        <w:tab/>
        <w:t>aðgerða sem veitandi gagnamilligönguþjónustu eða viðurkennda gagnavildarstofnunin hefur gripið til í því skyni að draga úr eða bæta tjón sem leiðir af brotinu,</w:t>
      </w:r>
    </w:p>
    <w:p w14:paraId="4BEF5E52" w14:textId="77777777" w:rsidR="00900A3D" w:rsidRDefault="000E1836" w:rsidP="00964CF0">
      <w:pPr>
        <w:pStyle w:val="NumberedText"/>
        <w:spacing w:after="345"/>
        <w:ind w:left="293" w:hanging="293"/>
      </w:pPr>
      <w:r>
        <w:t>c)</w:t>
      </w:r>
      <w:r>
        <w:tab/>
        <w:t>fyrri brota veitanda gagnamilligönguþjónustu eða viðurkenndu gagnavildarstofnunarinnar,</w:t>
      </w:r>
    </w:p>
    <w:p w14:paraId="4BEF5E53" w14:textId="77777777" w:rsidR="00900A3D" w:rsidRDefault="000E1836" w:rsidP="00964CF0">
      <w:pPr>
        <w:pStyle w:val="NumberedText"/>
        <w:spacing w:after="345"/>
        <w:ind w:left="293" w:hanging="293"/>
      </w:pPr>
      <w:r>
        <w:t>d)</w:t>
      </w:r>
      <w:r>
        <w:tab/>
        <w:t>fjárhagslegs ávinnings veitanda gagnamilligönguþjónustu eða viðurkenndrar gagnavildarstofnunar af brotinu eða taps sem hann eða hún kemst hjá með því, að svo miklu leyti sem hægt er að staðfesta á áreiðanlegan hátt slíkan ávinning eða tap,</w:t>
      </w:r>
    </w:p>
    <w:p w14:paraId="4BEF5E54" w14:textId="77777777" w:rsidR="00900A3D" w:rsidRDefault="000E1836" w:rsidP="00964CF0">
      <w:pPr>
        <w:pStyle w:val="NumberedText"/>
        <w:spacing w:after="345"/>
        <w:ind w:left="293" w:hanging="293"/>
      </w:pPr>
      <w:r>
        <w:t>e)</w:t>
      </w:r>
      <w:r>
        <w:tab/>
        <w:t>annarra íþyngjandi eða mildandi þátta sem eiga við um málsatvik.</w:t>
      </w:r>
    </w:p>
    <w:p w14:paraId="4BEF5E55" w14:textId="77777777" w:rsidR="00900A3D" w:rsidRDefault="000E1836">
      <w:pPr>
        <w:pStyle w:val="TIART"/>
      </w:pPr>
      <w:r>
        <w:t>35. gr.</w:t>
      </w:r>
    </w:p>
    <w:p w14:paraId="4BEF5E56" w14:textId="77777777" w:rsidR="00900A3D" w:rsidRDefault="000E1836">
      <w:pPr>
        <w:pStyle w:val="STIART"/>
      </w:pPr>
      <w:r>
        <w:t>Mat og endurskoðun</w:t>
      </w:r>
    </w:p>
    <w:p w14:paraId="4BEF5E57" w14:textId="77777777" w:rsidR="00900A3D" w:rsidRDefault="000E1836" w:rsidP="00964CF0">
      <w:pPr>
        <w:pStyle w:val="Alinea"/>
        <w:spacing w:after="345"/>
      </w:pPr>
      <w:r>
        <w:t>Eigi síðar en 24. september 2025 skal framkvæmdastjórnin framkvæma mat á þessari reglugerð og leggja fyrir Evrópuþingið, ráðið og efnahags- og félagsmálanefnd Evrópusambandsins skýrslu með helstu niðurstöðum hennar. Skýrslunni skulu fylgja tillögur að nýrri löggjöf, ef nauðsyn krefur.</w:t>
      </w:r>
    </w:p>
    <w:p w14:paraId="4BEF5E58" w14:textId="77777777" w:rsidR="00900A3D" w:rsidRDefault="000E1836" w:rsidP="00964CF0">
      <w:pPr>
        <w:pStyle w:val="Alinea"/>
        <w:spacing w:after="345"/>
      </w:pPr>
      <w:r>
        <w:t>Í skýrslunni skal einkum meta eftirfarandi:</w:t>
      </w:r>
    </w:p>
    <w:p w14:paraId="4BEF5E59" w14:textId="77777777" w:rsidR="00900A3D" w:rsidRDefault="000E1836" w:rsidP="00964CF0">
      <w:pPr>
        <w:pStyle w:val="NumberedText"/>
        <w:spacing w:after="345"/>
        <w:ind w:left="293" w:hanging="293"/>
      </w:pPr>
      <w:r>
        <w:t>a)</w:t>
      </w:r>
      <w:r>
        <w:tab/>
        <w:t>beitingu og virkni reglnanna um viðurlög sem aðildarríkin mæla fyrir um skv. 34. gr.,</w:t>
      </w:r>
    </w:p>
    <w:p w14:paraId="4BEF5E5A" w14:textId="77777777" w:rsidR="00900A3D" w:rsidRDefault="000E1836" w:rsidP="00964CF0">
      <w:pPr>
        <w:pStyle w:val="NumberedText"/>
        <w:spacing w:after="345"/>
        <w:ind w:left="293" w:hanging="293"/>
      </w:pPr>
      <w:r>
        <w:t>b)</w:t>
      </w:r>
      <w:r>
        <w:tab/>
        <w:t>að hve miklu leyti lagalegir fyrirsvarsmenn veitanda gagnamilligönguþjónustu og viðurkenndra gagnavildarstofnana, sem ekki hafa staðfestu í Sambandinu, fara að þessari reglugerð og í hvaða mæli viðurlögum, sem lögð eru á þessa veitendur og stofnanir, er framfylgt,</w:t>
      </w:r>
    </w:p>
    <w:p w14:paraId="4BEF5E5B" w14:textId="77777777" w:rsidR="000E1836" w:rsidRDefault="000E1836" w:rsidP="00964CF0">
      <w:pPr>
        <w:pStyle w:val="NumberedText"/>
        <w:spacing w:after="0"/>
        <w:ind w:left="293" w:hanging="293"/>
      </w:pPr>
      <w:r>
        <w:t>c)</w:t>
      </w:r>
      <w:r>
        <w:tab/>
        <w:t>tegund gagnavildarstofnana sem skráðar eru í IV. kafla og yfirlit yfir markmið er varða almannahagsmuni sem deiling gagna þjónar, með það fyrir augum að setja skýr viðmið í þeim efnum.</w:t>
      </w:r>
      <w:r>
        <w:br w:type="page"/>
      </w:r>
    </w:p>
    <w:p w14:paraId="4BEF5E5C" w14:textId="77777777" w:rsidR="00900A3D" w:rsidRDefault="000E1836" w:rsidP="00DC0829">
      <w:pPr>
        <w:pStyle w:val="Alinea"/>
        <w:spacing w:after="800"/>
      </w:pPr>
      <w:r>
        <w:lastRenderedPageBreak/>
        <w:t>Aðildarríkin skulu láta framkvæmdastjórninni í té þær upplýsingar sem nauðsynlegar eru til að unnt sé að taka þessa skýrslu saman.</w:t>
      </w:r>
    </w:p>
    <w:p w14:paraId="4BEF5E5D" w14:textId="77777777" w:rsidR="00900A3D" w:rsidRDefault="000E1836">
      <w:pPr>
        <w:pStyle w:val="TIART"/>
      </w:pPr>
      <w:r>
        <w:t>36. gr.</w:t>
      </w:r>
    </w:p>
    <w:p w14:paraId="4BEF5E5E" w14:textId="77777777" w:rsidR="00900A3D" w:rsidRDefault="000E1836">
      <w:pPr>
        <w:pStyle w:val="STIART"/>
      </w:pPr>
      <w:r>
        <w:t>Breyting á reglugerð (ESB) nr. 2018/1724</w:t>
      </w:r>
    </w:p>
    <w:p w14:paraId="4BEF5E5F" w14:textId="77777777" w:rsidR="00900A3D" w:rsidRDefault="000E1836">
      <w:pPr>
        <w:pStyle w:val="Alinea"/>
      </w:pPr>
      <w:r>
        <w:t>Í stað færslunnar „Að stofna, reka og loka fyrirtæki“ í töflunni í II. viðauka við reglugerð (ESB) 2018/1724 kemur eftirfarandi:</w:t>
      </w:r>
    </w:p>
    <w:tbl>
      <w:tblPr>
        <w:tblW w:w="9228" w:type="dxa"/>
        <w:tblInd w:w="12"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008"/>
        <w:gridCol w:w="3348"/>
      </w:tblGrid>
      <w:tr w:rsidR="00900A3D" w14:paraId="4BEF5E63" w14:textId="77777777" w:rsidTr="007A23D8">
        <w:trPr>
          <w:trHeight w:val="200"/>
          <w:tblHeader/>
        </w:trPr>
        <w:tc>
          <w:tcPr>
            <w:tcW w:w="1872" w:type="dxa"/>
            <w:tcBorders>
              <w:bottom w:val="single" w:sz="4" w:space="0" w:color="auto"/>
            </w:tcBorders>
            <w:tcMar>
              <w:top w:w="60" w:type="dxa"/>
              <w:left w:w="0" w:type="dxa"/>
              <w:bottom w:w="60" w:type="dxa"/>
            </w:tcMar>
            <w:vAlign w:val="center"/>
          </w:tcPr>
          <w:p w14:paraId="4BEF5E60" w14:textId="77777777" w:rsidR="00900A3D" w:rsidRDefault="000E1836" w:rsidP="007A23D8">
            <w:pPr>
              <w:pStyle w:val="TableHeader"/>
            </w:pPr>
            <w:r>
              <w:t>Viðburðir í lífi fólks</w:t>
            </w:r>
          </w:p>
        </w:tc>
        <w:tc>
          <w:tcPr>
            <w:tcW w:w="4008" w:type="dxa"/>
            <w:tcMar>
              <w:top w:w="60" w:type="dxa"/>
              <w:bottom w:w="60" w:type="dxa"/>
            </w:tcMar>
            <w:vAlign w:val="center"/>
          </w:tcPr>
          <w:p w14:paraId="4BEF5E61" w14:textId="77777777" w:rsidR="00900A3D" w:rsidRDefault="000E1836" w:rsidP="007A23D8">
            <w:pPr>
              <w:pStyle w:val="TableHeader"/>
            </w:pPr>
            <w:r>
              <w:t>Málsmeðferðir</w:t>
            </w:r>
          </w:p>
        </w:tc>
        <w:tc>
          <w:tcPr>
            <w:tcW w:w="3348" w:type="dxa"/>
            <w:tcMar>
              <w:top w:w="60" w:type="dxa"/>
              <w:bottom w:w="60" w:type="dxa"/>
              <w:right w:w="0" w:type="dxa"/>
            </w:tcMar>
            <w:vAlign w:val="center"/>
          </w:tcPr>
          <w:p w14:paraId="4BEF5E62" w14:textId="77777777" w:rsidR="00900A3D" w:rsidRDefault="000E1836" w:rsidP="007A23D8">
            <w:pPr>
              <w:pStyle w:val="TableHeader"/>
            </w:pPr>
            <w:r>
              <w:t xml:space="preserve">Vænt niðurstaða, með fyrirvara um mat </w:t>
            </w:r>
            <w:proofErr w:type="spellStart"/>
            <w:r>
              <w:t>lögbærs</w:t>
            </w:r>
            <w:proofErr w:type="spellEnd"/>
            <w:r>
              <w:t xml:space="preserve"> yfirvalds á umsókninni í samræmi við landslög, þar sem við á</w:t>
            </w:r>
          </w:p>
        </w:tc>
      </w:tr>
      <w:tr w:rsidR="00900A3D" w14:paraId="4BEF5E67" w14:textId="77777777" w:rsidTr="00DC0829">
        <w:trPr>
          <w:trHeight w:val="200"/>
        </w:trPr>
        <w:tc>
          <w:tcPr>
            <w:tcW w:w="1872" w:type="dxa"/>
            <w:tcBorders>
              <w:bottom w:val="nil"/>
            </w:tcBorders>
            <w:tcMar>
              <w:top w:w="60" w:type="dxa"/>
              <w:left w:w="0" w:type="dxa"/>
              <w:bottom w:w="60" w:type="dxa"/>
            </w:tcMar>
          </w:tcPr>
          <w:p w14:paraId="4BEF5E64" w14:textId="77777777" w:rsidR="00900A3D" w:rsidRDefault="000E1836" w:rsidP="00DC0829">
            <w:pPr>
              <w:pStyle w:val="TableCellLeft"/>
            </w:pPr>
            <w:r>
              <w:t>Að stofna, reka og loka fyrirtæki</w:t>
            </w:r>
          </w:p>
        </w:tc>
        <w:tc>
          <w:tcPr>
            <w:tcW w:w="4008" w:type="dxa"/>
            <w:tcMar>
              <w:top w:w="60" w:type="dxa"/>
              <w:bottom w:w="60" w:type="dxa"/>
            </w:tcMar>
          </w:tcPr>
          <w:p w14:paraId="4BEF5E65" w14:textId="77777777" w:rsidR="00900A3D" w:rsidRDefault="000E1836" w:rsidP="00DC0829">
            <w:pPr>
              <w:pStyle w:val="TableCellLeft"/>
            </w:pPr>
            <w:r>
              <w:t>Tilkynning um atvinnustarfsemi, leyfi til að stunda atvinnustarfsemi, breytingar á atvinnustarfsemi og lok atvinnustarfsemi sem fela ekki í sér ógjaldfærnimeðferð eða skiptameðferð, að undanskilinni upphaflegri skráningu atvinnustarfsemi í fyrirtækjaskrá og að undanskilinni málsmeðferð varðandi stofnun eða síðari framlagningu gagna af hálfu félaga eða fyrirtækja í skilningi annarrar málsgreinar 54. gr. sáttmálans um starfshætti Evrópusambandsins</w:t>
            </w:r>
          </w:p>
        </w:tc>
        <w:tc>
          <w:tcPr>
            <w:tcW w:w="3348" w:type="dxa"/>
            <w:tcMar>
              <w:top w:w="60" w:type="dxa"/>
              <w:bottom w:w="60" w:type="dxa"/>
              <w:right w:w="0" w:type="dxa"/>
            </w:tcMar>
          </w:tcPr>
          <w:p w14:paraId="4BEF5E66" w14:textId="77777777" w:rsidR="00900A3D" w:rsidRDefault="000E1836" w:rsidP="00DC0829">
            <w:pPr>
              <w:pStyle w:val="TableCellLeft"/>
            </w:pPr>
            <w:r>
              <w:t>Staðfesting á móttöku tilkynningar eða breytingar eða á móttöku beiðni um leyfi til atvinnustarfsemi</w:t>
            </w:r>
          </w:p>
        </w:tc>
      </w:tr>
      <w:tr w:rsidR="00900A3D" w14:paraId="4BEF5E6B" w14:textId="77777777" w:rsidTr="00DC0829">
        <w:trPr>
          <w:trHeight w:val="200"/>
        </w:trPr>
        <w:tc>
          <w:tcPr>
            <w:tcW w:w="1872" w:type="dxa"/>
            <w:vMerge w:val="restart"/>
            <w:tcBorders>
              <w:top w:val="nil"/>
            </w:tcBorders>
            <w:tcMar>
              <w:top w:w="60" w:type="dxa"/>
              <w:left w:w="0" w:type="dxa"/>
              <w:bottom w:w="60" w:type="dxa"/>
            </w:tcMar>
          </w:tcPr>
          <w:p w14:paraId="4BEF5E68" w14:textId="77777777" w:rsidR="00900A3D" w:rsidRDefault="00900A3D" w:rsidP="00DC0829">
            <w:pPr>
              <w:pStyle w:val="TableCellLeft"/>
            </w:pPr>
          </w:p>
        </w:tc>
        <w:tc>
          <w:tcPr>
            <w:tcW w:w="4008" w:type="dxa"/>
            <w:tcMar>
              <w:top w:w="60" w:type="dxa"/>
              <w:bottom w:w="60" w:type="dxa"/>
            </w:tcMar>
          </w:tcPr>
          <w:p w14:paraId="4BEF5E69" w14:textId="77777777" w:rsidR="00900A3D" w:rsidRDefault="000E1836" w:rsidP="00DC0829">
            <w:pPr>
              <w:pStyle w:val="TableCellLeft"/>
            </w:pPr>
            <w:r>
              <w:t>Skráning vinnuveitanda (einstaklings) í skyldubundin lífeyris- og tryggingakerfi</w:t>
            </w:r>
          </w:p>
        </w:tc>
        <w:tc>
          <w:tcPr>
            <w:tcW w:w="3348" w:type="dxa"/>
            <w:tcMar>
              <w:top w:w="60" w:type="dxa"/>
              <w:bottom w:w="60" w:type="dxa"/>
              <w:right w:w="0" w:type="dxa"/>
            </w:tcMar>
          </w:tcPr>
          <w:p w14:paraId="4BEF5E6A" w14:textId="77777777" w:rsidR="00900A3D" w:rsidRDefault="000E1836" w:rsidP="00DC0829">
            <w:pPr>
              <w:pStyle w:val="TableCellLeft"/>
            </w:pPr>
            <w:r>
              <w:t>Staðfesting á skráningu eða skráningarnúmer almannatrygginga</w:t>
            </w:r>
          </w:p>
        </w:tc>
      </w:tr>
      <w:tr w:rsidR="00900A3D" w14:paraId="4BEF5E6F" w14:textId="77777777" w:rsidTr="00DC0829">
        <w:trPr>
          <w:trHeight w:val="440"/>
        </w:trPr>
        <w:tc>
          <w:tcPr>
            <w:tcW w:w="1872" w:type="dxa"/>
            <w:vMerge/>
            <w:tcMar>
              <w:top w:w="60" w:type="dxa"/>
              <w:left w:w="0" w:type="dxa"/>
              <w:bottom w:w="60" w:type="dxa"/>
            </w:tcMar>
          </w:tcPr>
          <w:p w14:paraId="4BEF5E6C" w14:textId="77777777" w:rsidR="00900A3D" w:rsidRDefault="00900A3D" w:rsidP="00DC0829">
            <w:pPr>
              <w:pStyle w:val="Para"/>
              <w:jc w:val="left"/>
            </w:pPr>
          </w:p>
        </w:tc>
        <w:tc>
          <w:tcPr>
            <w:tcW w:w="4008" w:type="dxa"/>
            <w:tcMar>
              <w:top w:w="60" w:type="dxa"/>
              <w:bottom w:w="60" w:type="dxa"/>
            </w:tcMar>
          </w:tcPr>
          <w:p w14:paraId="4BEF5E6D" w14:textId="77777777" w:rsidR="00900A3D" w:rsidRDefault="000E1836" w:rsidP="00DC0829">
            <w:pPr>
              <w:pStyle w:val="TableCellLeft"/>
            </w:pPr>
            <w:r>
              <w:t>Skráning starfsmanna í skyldubundin lífeyris- og tryggingakerfi</w:t>
            </w:r>
          </w:p>
        </w:tc>
        <w:tc>
          <w:tcPr>
            <w:tcW w:w="3348" w:type="dxa"/>
            <w:tcMar>
              <w:top w:w="60" w:type="dxa"/>
              <w:bottom w:w="60" w:type="dxa"/>
              <w:right w:w="0" w:type="dxa"/>
            </w:tcMar>
          </w:tcPr>
          <w:p w14:paraId="4BEF5E6E" w14:textId="77777777" w:rsidR="00900A3D" w:rsidRDefault="000E1836" w:rsidP="00DC0829">
            <w:pPr>
              <w:pStyle w:val="TableCellLeft"/>
            </w:pPr>
            <w:r>
              <w:t>Staðfesting á skráningu eða skráningarnúmer almannatrygginga</w:t>
            </w:r>
          </w:p>
        </w:tc>
      </w:tr>
      <w:tr w:rsidR="00900A3D" w14:paraId="4BEF5E73" w14:textId="77777777" w:rsidTr="00DC0829">
        <w:trPr>
          <w:trHeight w:val="440"/>
        </w:trPr>
        <w:tc>
          <w:tcPr>
            <w:tcW w:w="1872" w:type="dxa"/>
            <w:vMerge/>
            <w:tcMar>
              <w:top w:w="60" w:type="dxa"/>
              <w:left w:w="0" w:type="dxa"/>
              <w:bottom w:w="60" w:type="dxa"/>
            </w:tcMar>
          </w:tcPr>
          <w:p w14:paraId="4BEF5E70" w14:textId="77777777" w:rsidR="00900A3D" w:rsidRDefault="00900A3D" w:rsidP="00DC0829">
            <w:pPr>
              <w:pStyle w:val="Para"/>
              <w:jc w:val="left"/>
            </w:pPr>
          </w:p>
        </w:tc>
        <w:tc>
          <w:tcPr>
            <w:tcW w:w="4008" w:type="dxa"/>
            <w:tcMar>
              <w:top w:w="60" w:type="dxa"/>
              <w:bottom w:w="60" w:type="dxa"/>
            </w:tcMar>
          </w:tcPr>
          <w:p w14:paraId="4BEF5E71" w14:textId="77777777" w:rsidR="00900A3D" w:rsidRDefault="000E1836" w:rsidP="00DC0829">
            <w:pPr>
              <w:pStyle w:val="TableCellLeft"/>
            </w:pPr>
            <w:r>
              <w:t>Að leggja fram skattframtal fyrirtækis</w:t>
            </w:r>
          </w:p>
        </w:tc>
        <w:tc>
          <w:tcPr>
            <w:tcW w:w="3348" w:type="dxa"/>
            <w:tcMar>
              <w:top w:w="60" w:type="dxa"/>
              <w:bottom w:w="60" w:type="dxa"/>
              <w:right w:w="0" w:type="dxa"/>
            </w:tcMar>
          </w:tcPr>
          <w:p w14:paraId="4BEF5E72" w14:textId="77777777" w:rsidR="00900A3D" w:rsidRDefault="000E1836" w:rsidP="00DC0829">
            <w:pPr>
              <w:pStyle w:val="TableCellLeft"/>
            </w:pPr>
            <w:r>
              <w:t>Staðfesting á móttöku skattframtalsins</w:t>
            </w:r>
          </w:p>
        </w:tc>
      </w:tr>
      <w:tr w:rsidR="00900A3D" w14:paraId="4BEF5E77" w14:textId="77777777" w:rsidTr="00DC0829">
        <w:trPr>
          <w:trHeight w:val="440"/>
        </w:trPr>
        <w:tc>
          <w:tcPr>
            <w:tcW w:w="1872" w:type="dxa"/>
            <w:vMerge/>
            <w:tcMar>
              <w:top w:w="60" w:type="dxa"/>
              <w:left w:w="0" w:type="dxa"/>
              <w:bottom w:w="60" w:type="dxa"/>
            </w:tcMar>
          </w:tcPr>
          <w:p w14:paraId="4BEF5E74" w14:textId="77777777" w:rsidR="00900A3D" w:rsidRDefault="00900A3D" w:rsidP="00DC0829">
            <w:pPr>
              <w:pStyle w:val="Para"/>
              <w:jc w:val="left"/>
            </w:pPr>
          </w:p>
        </w:tc>
        <w:tc>
          <w:tcPr>
            <w:tcW w:w="4008" w:type="dxa"/>
            <w:tcMar>
              <w:top w:w="60" w:type="dxa"/>
              <w:bottom w:w="60" w:type="dxa"/>
            </w:tcMar>
          </w:tcPr>
          <w:p w14:paraId="4BEF5E75" w14:textId="77777777" w:rsidR="00900A3D" w:rsidRDefault="000E1836" w:rsidP="00DC0829">
            <w:pPr>
              <w:pStyle w:val="TableCellLeft"/>
            </w:pPr>
            <w:r>
              <w:t>Tilkynning til almannatryggingakerfa um lok samnings við starfsmann, að undanskildum málsmeðferðum vegna hópuppsagnar starfsmannasamninga</w:t>
            </w:r>
          </w:p>
        </w:tc>
        <w:tc>
          <w:tcPr>
            <w:tcW w:w="3348" w:type="dxa"/>
            <w:tcMar>
              <w:top w:w="60" w:type="dxa"/>
              <w:bottom w:w="60" w:type="dxa"/>
              <w:right w:w="0" w:type="dxa"/>
            </w:tcMar>
          </w:tcPr>
          <w:p w14:paraId="4BEF5E76" w14:textId="77777777" w:rsidR="00900A3D" w:rsidRDefault="000E1836" w:rsidP="00DC0829">
            <w:pPr>
              <w:pStyle w:val="TableCellLeft"/>
            </w:pPr>
            <w:r>
              <w:t>Staðfesting á móttöku tilkynningarinnar</w:t>
            </w:r>
          </w:p>
        </w:tc>
      </w:tr>
      <w:tr w:rsidR="00900A3D" w14:paraId="4BEF5E7B" w14:textId="77777777" w:rsidTr="00DC0829">
        <w:trPr>
          <w:trHeight w:val="440"/>
        </w:trPr>
        <w:tc>
          <w:tcPr>
            <w:tcW w:w="1872" w:type="dxa"/>
            <w:vMerge/>
            <w:tcMar>
              <w:top w:w="60" w:type="dxa"/>
              <w:left w:w="0" w:type="dxa"/>
              <w:bottom w:w="60" w:type="dxa"/>
            </w:tcMar>
          </w:tcPr>
          <w:p w14:paraId="4BEF5E78" w14:textId="77777777" w:rsidR="00900A3D" w:rsidRDefault="00900A3D" w:rsidP="00DC0829">
            <w:pPr>
              <w:pStyle w:val="Para"/>
              <w:jc w:val="left"/>
            </w:pPr>
          </w:p>
        </w:tc>
        <w:tc>
          <w:tcPr>
            <w:tcW w:w="4008" w:type="dxa"/>
            <w:tcMar>
              <w:top w:w="60" w:type="dxa"/>
              <w:bottom w:w="60" w:type="dxa"/>
            </w:tcMar>
          </w:tcPr>
          <w:p w14:paraId="4BEF5E79" w14:textId="77777777" w:rsidR="00900A3D" w:rsidRDefault="000E1836" w:rsidP="00DC0829">
            <w:pPr>
              <w:pStyle w:val="TableCellLeft"/>
            </w:pPr>
            <w:r>
              <w:t>Greiðsla framlaga til félagslegra kerfa vegna starfsmanna</w:t>
            </w:r>
          </w:p>
        </w:tc>
        <w:tc>
          <w:tcPr>
            <w:tcW w:w="3348" w:type="dxa"/>
            <w:tcMar>
              <w:top w:w="60" w:type="dxa"/>
              <w:bottom w:w="60" w:type="dxa"/>
              <w:right w:w="0" w:type="dxa"/>
            </w:tcMar>
          </w:tcPr>
          <w:p w14:paraId="4BEF5E7A" w14:textId="77777777" w:rsidR="00900A3D" w:rsidRDefault="000E1836" w:rsidP="00DC0829">
            <w:pPr>
              <w:pStyle w:val="TableCellLeft"/>
            </w:pPr>
            <w:r>
              <w:t>Kvittun eða annað form staðfestingar á greiðslu framlaga til félagslegra kerfa vegna starfsmanna</w:t>
            </w:r>
          </w:p>
        </w:tc>
      </w:tr>
      <w:tr w:rsidR="00900A3D" w14:paraId="4BEF5E7F" w14:textId="77777777" w:rsidTr="00DC0829">
        <w:trPr>
          <w:trHeight w:val="440"/>
        </w:trPr>
        <w:tc>
          <w:tcPr>
            <w:tcW w:w="1872" w:type="dxa"/>
            <w:vMerge/>
            <w:tcMar>
              <w:top w:w="60" w:type="dxa"/>
              <w:left w:w="0" w:type="dxa"/>
              <w:bottom w:w="60" w:type="dxa"/>
            </w:tcMar>
          </w:tcPr>
          <w:p w14:paraId="4BEF5E7C" w14:textId="77777777" w:rsidR="00900A3D" w:rsidRDefault="00900A3D" w:rsidP="00DC0829">
            <w:pPr>
              <w:pStyle w:val="Para"/>
              <w:jc w:val="left"/>
            </w:pPr>
          </w:p>
        </w:tc>
        <w:tc>
          <w:tcPr>
            <w:tcW w:w="4008" w:type="dxa"/>
            <w:tcMar>
              <w:top w:w="60" w:type="dxa"/>
              <w:bottom w:w="60" w:type="dxa"/>
            </w:tcMar>
          </w:tcPr>
          <w:p w14:paraId="4BEF5E7D" w14:textId="77777777" w:rsidR="00900A3D" w:rsidRDefault="000E1836" w:rsidP="00DC0829">
            <w:pPr>
              <w:pStyle w:val="TableCellLeft"/>
            </w:pPr>
            <w:r>
              <w:t xml:space="preserve">Tilkynning um veitanda gagnamilligönguþjónustu </w:t>
            </w:r>
          </w:p>
        </w:tc>
        <w:tc>
          <w:tcPr>
            <w:tcW w:w="3348" w:type="dxa"/>
            <w:tcMar>
              <w:top w:w="60" w:type="dxa"/>
              <w:bottom w:w="60" w:type="dxa"/>
              <w:right w:w="0" w:type="dxa"/>
            </w:tcMar>
          </w:tcPr>
          <w:p w14:paraId="4BEF5E7E" w14:textId="77777777" w:rsidR="00900A3D" w:rsidRDefault="000E1836" w:rsidP="00DC0829">
            <w:pPr>
              <w:pStyle w:val="TableCellLeft"/>
            </w:pPr>
            <w:r>
              <w:t>Staðfesting á móttöku tilkynningarinnar</w:t>
            </w:r>
          </w:p>
        </w:tc>
      </w:tr>
      <w:tr w:rsidR="00900A3D" w14:paraId="4BEF5E83" w14:textId="77777777" w:rsidTr="00DC0829">
        <w:trPr>
          <w:trHeight w:val="440"/>
        </w:trPr>
        <w:tc>
          <w:tcPr>
            <w:tcW w:w="1872" w:type="dxa"/>
            <w:vMerge/>
            <w:tcMar>
              <w:top w:w="60" w:type="dxa"/>
              <w:left w:w="0" w:type="dxa"/>
              <w:bottom w:w="60" w:type="dxa"/>
            </w:tcMar>
          </w:tcPr>
          <w:p w14:paraId="4BEF5E80" w14:textId="77777777" w:rsidR="00900A3D" w:rsidRDefault="00900A3D" w:rsidP="00DC0829">
            <w:pPr>
              <w:pStyle w:val="Para"/>
              <w:jc w:val="left"/>
            </w:pPr>
          </w:p>
        </w:tc>
        <w:tc>
          <w:tcPr>
            <w:tcW w:w="4008" w:type="dxa"/>
            <w:tcMar>
              <w:top w:w="60" w:type="dxa"/>
              <w:bottom w:w="60" w:type="dxa"/>
            </w:tcMar>
          </w:tcPr>
          <w:p w14:paraId="4BEF5E81" w14:textId="77777777" w:rsidR="00900A3D" w:rsidRDefault="000E1836" w:rsidP="00DC0829">
            <w:pPr>
              <w:pStyle w:val="TableCellLeft"/>
            </w:pPr>
            <w:r>
              <w:t>Skráning sem viðurkennd gagnavildarstofnun í Sambandinu.</w:t>
            </w:r>
          </w:p>
        </w:tc>
        <w:tc>
          <w:tcPr>
            <w:tcW w:w="3348" w:type="dxa"/>
            <w:tcMar>
              <w:top w:w="60" w:type="dxa"/>
              <w:bottom w:w="60" w:type="dxa"/>
              <w:right w:w="0" w:type="dxa"/>
            </w:tcMar>
          </w:tcPr>
          <w:p w14:paraId="4BEF5E82" w14:textId="77777777" w:rsidR="00900A3D" w:rsidRDefault="000E1836" w:rsidP="00DC0829">
            <w:pPr>
              <w:pStyle w:val="TableCellLeft"/>
            </w:pPr>
            <w:r>
              <w:t>Staðfesting skráningar</w:t>
            </w:r>
          </w:p>
        </w:tc>
      </w:tr>
    </w:tbl>
    <w:p w14:paraId="4BEF5E84" w14:textId="77777777" w:rsidR="00900A3D" w:rsidRDefault="000E1836" w:rsidP="00DC0829">
      <w:pPr>
        <w:pStyle w:val="TIART"/>
        <w:spacing w:before="3000"/>
      </w:pPr>
      <w:r>
        <w:t>37. gr.</w:t>
      </w:r>
    </w:p>
    <w:p w14:paraId="4BEF5E85" w14:textId="77777777" w:rsidR="00900A3D" w:rsidRDefault="000E1836">
      <w:pPr>
        <w:pStyle w:val="STIART"/>
      </w:pPr>
      <w:r>
        <w:t>Umbreytingarfyrirkomulag</w:t>
      </w:r>
    </w:p>
    <w:p w14:paraId="4BEF5E86" w14:textId="77777777" w:rsidR="00900A3D" w:rsidRDefault="000E1836" w:rsidP="00DC0829">
      <w:pPr>
        <w:pStyle w:val="Alinea"/>
        <w:spacing w:after="0"/>
      </w:pPr>
      <w:r>
        <w:t>Aðilar sem veita gagnamilligönguþjónustuna, sem um getur í 10. gr., 23. júní 2022 skulu uppfylla skyldurnar sem settar eru fram í III. kafla eigi síðar en 24. september 2025.</w:t>
      </w:r>
      <w:r>
        <w:br w:type="page"/>
      </w:r>
    </w:p>
    <w:p w14:paraId="4BEF5E87" w14:textId="77777777" w:rsidR="00900A3D" w:rsidRDefault="000E1836">
      <w:pPr>
        <w:pStyle w:val="TIART"/>
      </w:pPr>
      <w:r>
        <w:lastRenderedPageBreak/>
        <w:t>38. gr.</w:t>
      </w:r>
    </w:p>
    <w:p w14:paraId="4BEF5E88" w14:textId="77777777" w:rsidR="00900A3D" w:rsidRDefault="000E1836">
      <w:pPr>
        <w:pStyle w:val="STIART"/>
      </w:pPr>
      <w:r>
        <w:t>Gildistaka og framkvæmd</w:t>
      </w:r>
    </w:p>
    <w:p w14:paraId="4BEF5E89" w14:textId="77777777" w:rsidR="00900A3D" w:rsidRDefault="000E1836">
      <w:pPr>
        <w:pStyle w:val="Alinea"/>
      </w:pPr>
      <w:r>
        <w:t xml:space="preserve">Reglugerð þessi öðlast gildi á tuttugasta degi eftir að hún birtist í </w:t>
      </w:r>
      <w:r>
        <w:rPr>
          <w:i/>
          <w:iCs/>
        </w:rPr>
        <w:t>Stjórnartíðindum Evrópusambandsins.</w:t>
      </w:r>
    </w:p>
    <w:p w14:paraId="4BEF5E8A" w14:textId="77777777" w:rsidR="00900A3D" w:rsidRDefault="000E1836">
      <w:pPr>
        <w:pStyle w:val="Alinea"/>
      </w:pPr>
      <w:r>
        <w:t>Hún kemur til framkvæmda frá og með 24. september 2023.</w:t>
      </w:r>
    </w:p>
    <w:p w14:paraId="4BEF5E8B" w14:textId="77777777" w:rsidR="00900A3D" w:rsidRDefault="000E1836" w:rsidP="00DC0829">
      <w:pPr>
        <w:pStyle w:val="Final"/>
        <w:spacing w:before="600" w:after="300"/>
        <w:ind w:left="1020"/>
      </w:pPr>
      <w:r>
        <w:t>Reglugerð þessi er bindandi í heild sinni og gildir í öllum aðildarríkjunum án frekari lögfestingar.</w:t>
      </w:r>
    </w:p>
    <w:p w14:paraId="4BEF5E8C" w14:textId="77777777" w:rsidR="00900A3D" w:rsidRDefault="000E1836" w:rsidP="00DC0829">
      <w:pPr>
        <w:pStyle w:val="Final"/>
        <w:ind w:left="1020"/>
      </w:pPr>
      <w:r>
        <w:t>Gjört í Brussel 30. maí 2022.</w:t>
      </w:r>
    </w:p>
    <w:tbl>
      <w:tblPr>
        <w:tblW w:w="7908" w:type="dxa"/>
        <w:tblInd w:w="670" w:type="dxa"/>
        <w:tblLook w:val="04A0" w:firstRow="1" w:lastRow="0" w:firstColumn="1" w:lastColumn="0" w:noHBand="0" w:noVBand="1"/>
      </w:tblPr>
      <w:tblGrid>
        <w:gridCol w:w="4490"/>
        <w:gridCol w:w="3418"/>
      </w:tblGrid>
      <w:tr w:rsidR="00900A3D" w14:paraId="4BEF5E93" w14:textId="77777777" w:rsidTr="000D4671">
        <w:trPr>
          <w:trHeight w:val="300"/>
        </w:trPr>
        <w:tc>
          <w:tcPr>
            <w:tcW w:w="4490" w:type="dxa"/>
          </w:tcPr>
          <w:p w14:paraId="4BEF5E8D" w14:textId="77777777" w:rsidR="00900A3D" w:rsidRDefault="000E1836" w:rsidP="00DC0829">
            <w:pPr>
              <w:pStyle w:val="Signatory"/>
              <w:spacing w:after="120"/>
              <w:rPr>
                <w:i/>
              </w:rPr>
            </w:pPr>
            <w:r>
              <w:rPr>
                <w:i/>
              </w:rPr>
              <w:t>Fyrir hönd Evrópuþingsins,</w:t>
            </w:r>
          </w:p>
          <w:p w14:paraId="4BEF5E8E" w14:textId="77777777" w:rsidR="00DC0829" w:rsidRPr="00DC0829" w:rsidRDefault="00DC0829" w:rsidP="00DC0829">
            <w:pPr>
              <w:pStyle w:val="Signatory"/>
              <w:spacing w:after="120" w:line="200" w:lineRule="exact"/>
              <w:rPr>
                <w:sz w:val="16"/>
                <w:szCs w:val="16"/>
              </w:rPr>
            </w:pPr>
            <w:r>
              <w:rPr>
                <w:sz w:val="16"/>
              </w:rPr>
              <w:t xml:space="preserve">R. </w:t>
            </w:r>
            <w:proofErr w:type="spellStart"/>
            <w:r>
              <w:rPr>
                <w:sz w:val="16"/>
              </w:rPr>
              <w:t>Metsola</w:t>
            </w:r>
            <w:proofErr w:type="spellEnd"/>
          </w:p>
          <w:p w14:paraId="4BEF5E8F" w14:textId="77777777" w:rsidR="00900A3D" w:rsidRDefault="000E1836" w:rsidP="00DC0829">
            <w:pPr>
              <w:pStyle w:val="Signatory"/>
            </w:pPr>
            <w:r>
              <w:rPr>
                <w:i/>
              </w:rPr>
              <w:t>forseti.</w:t>
            </w:r>
          </w:p>
        </w:tc>
        <w:tc>
          <w:tcPr>
            <w:tcW w:w="3418" w:type="dxa"/>
          </w:tcPr>
          <w:p w14:paraId="4BEF5E90" w14:textId="77777777" w:rsidR="00900A3D" w:rsidRDefault="000E1836" w:rsidP="00DC0829">
            <w:pPr>
              <w:pStyle w:val="Signatory"/>
              <w:spacing w:after="120"/>
              <w:rPr>
                <w:i/>
              </w:rPr>
            </w:pPr>
            <w:r>
              <w:rPr>
                <w:i/>
              </w:rPr>
              <w:t>Fyrir hönd ráðsins,</w:t>
            </w:r>
          </w:p>
          <w:p w14:paraId="4BEF5E91" w14:textId="77777777" w:rsidR="00DC0829" w:rsidRPr="00DC0829" w:rsidRDefault="00DC0829" w:rsidP="00DC0829">
            <w:pPr>
              <w:pStyle w:val="Signatory"/>
              <w:spacing w:after="120" w:line="200" w:lineRule="exact"/>
              <w:rPr>
                <w:sz w:val="16"/>
                <w:szCs w:val="16"/>
              </w:rPr>
            </w:pPr>
            <w:r>
              <w:rPr>
                <w:sz w:val="16"/>
              </w:rPr>
              <w:t xml:space="preserve">B. </w:t>
            </w:r>
            <w:proofErr w:type="spellStart"/>
            <w:r>
              <w:rPr>
                <w:sz w:val="16"/>
              </w:rPr>
              <w:t>Le</w:t>
            </w:r>
            <w:proofErr w:type="spellEnd"/>
            <w:r>
              <w:rPr>
                <w:sz w:val="16"/>
              </w:rPr>
              <w:t xml:space="preserve"> </w:t>
            </w:r>
            <w:proofErr w:type="spellStart"/>
            <w:r>
              <w:rPr>
                <w:sz w:val="16"/>
              </w:rPr>
              <w:t>Maire</w:t>
            </w:r>
            <w:proofErr w:type="spellEnd"/>
          </w:p>
          <w:p w14:paraId="4BEF5E92" w14:textId="77777777" w:rsidR="00900A3D" w:rsidRDefault="000E1836" w:rsidP="00DC0829">
            <w:pPr>
              <w:pStyle w:val="Signatory"/>
            </w:pPr>
            <w:r>
              <w:rPr>
                <w:i/>
              </w:rPr>
              <w:t>forseti.</w:t>
            </w:r>
          </w:p>
        </w:tc>
      </w:tr>
    </w:tbl>
    <w:p w14:paraId="4BEF5E94" w14:textId="77777777" w:rsidR="00900A3D" w:rsidRDefault="00DC0829" w:rsidP="00DC0829">
      <w:pPr>
        <w:pStyle w:val="line4"/>
        <w:pBdr>
          <w:bottom w:val="none" w:sz="0" w:space="0" w:color="auto"/>
        </w:pBdr>
        <w:tabs>
          <w:tab w:val="left" w:leader="underscore" w:pos="1020"/>
        </w:tabs>
        <w:spacing w:before="240"/>
        <w:ind w:left="0" w:right="0"/>
      </w:pPr>
      <w:r>
        <w:tab/>
      </w:r>
    </w:p>
    <w:sectPr w:rsidR="00900A3D" w:rsidSect="000E1836">
      <w:headerReference w:type="default" r:id="rId8"/>
      <w:pgSz w:w="11906" w:h="16838" w:code="9"/>
      <w:pgMar w:top="1680" w:right="1333" w:bottom="840" w:left="1333" w:header="920"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9C835" w14:textId="77777777" w:rsidR="00F34880" w:rsidRDefault="00F34880">
      <w:pPr>
        <w:spacing w:after="0" w:line="240" w:lineRule="auto"/>
      </w:pPr>
      <w:r>
        <w:separator/>
      </w:r>
    </w:p>
  </w:endnote>
  <w:endnote w:type="continuationSeparator" w:id="0">
    <w:p w14:paraId="149972B0" w14:textId="77777777" w:rsidR="00F34880" w:rsidRDefault="00F34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8CD0E" w14:textId="77777777" w:rsidR="00F34880" w:rsidRDefault="00F34880">
      <w:pPr>
        <w:pStyle w:val="FooterRule"/>
        <w:rPr>
          <w:lang w:val="de-DE"/>
        </w:rPr>
      </w:pPr>
      <w:r>
        <w:rPr>
          <w:lang w:val="de-DE"/>
        </w:rPr>
        <w:tab/>
      </w:r>
    </w:p>
  </w:footnote>
  <w:footnote w:type="continuationSeparator" w:id="0">
    <w:p w14:paraId="7258A29B" w14:textId="77777777" w:rsidR="00F34880" w:rsidRDefault="00F34880">
      <w:pPr>
        <w:spacing w:after="0" w:line="240" w:lineRule="auto"/>
      </w:pPr>
      <w:r>
        <w:continuationSeparator/>
      </w:r>
    </w:p>
  </w:footnote>
  <w:footnote w:type="continuationNotice" w:id="1">
    <w:p w14:paraId="6A1CF9AE" w14:textId="77777777" w:rsidR="00F34880" w:rsidRDefault="00F34880">
      <w:pPr>
        <w:spacing w:after="0" w:line="240" w:lineRule="auto"/>
      </w:pPr>
    </w:p>
  </w:footnote>
  <w:footnote w:id="2">
    <w:p w14:paraId="4BEF5E9B" w14:textId="77777777" w:rsidR="000E1836" w:rsidRDefault="000E1836" w:rsidP="00E65541">
      <w:pPr>
        <w:pStyle w:val="Textineanmlsgreinar"/>
      </w:pPr>
      <w:r>
        <w:t>(</w:t>
      </w:r>
      <w:r>
        <w:rPr>
          <w:rStyle w:val="Tilvsunneanmlsgrein"/>
        </w:rPr>
        <w:footnoteRef/>
      </w:r>
      <w:r>
        <w:t>)</w:t>
      </w:r>
      <w:r>
        <w:tab/>
      </w:r>
      <w:proofErr w:type="spellStart"/>
      <w:r>
        <w:t>Stjtíð</w:t>
      </w:r>
      <w:proofErr w:type="spellEnd"/>
      <w:r>
        <w:t>. ESB C 286, 16.7.2021, bls. 38.</w:t>
      </w:r>
    </w:p>
  </w:footnote>
  <w:footnote w:id="3">
    <w:p w14:paraId="4BEF5E9C" w14:textId="77777777" w:rsidR="000E1836" w:rsidRDefault="000E1836" w:rsidP="00E65541">
      <w:pPr>
        <w:pStyle w:val="Textineanmlsgreinar"/>
      </w:pPr>
      <w:r>
        <w:t>(</w:t>
      </w:r>
      <w:r>
        <w:rPr>
          <w:rStyle w:val="Tilvsunneanmlsgrein"/>
        </w:rPr>
        <w:footnoteRef/>
      </w:r>
      <w:r>
        <w:t>)</w:t>
      </w:r>
      <w:r>
        <w:tab/>
        <w:t>Afstaða Evrópuþingsins frá 6. apríl 2022 (hefur enn ekki verið birt í Stjórnartíðindunum) og ákvörðun ráðsins frá 16. maí 2022.</w:t>
      </w:r>
    </w:p>
  </w:footnote>
  <w:footnote w:id="4">
    <w:p w14:paraId="4BEF5E9D" w14:textId="77777777" w:rsidR="000E1836" w:rsidRDefault="000E1836" w:rsidP="00E65541">
      <w:pPr>
        <w:pStyle w:val="Textineanmlsgreinar"/>
      </w:pPr>
      <w:r>
        <w:t>(</w:t>
      </w:r>
      <w:r>
        <w:rPr>
          <w:rStyle w:val="Tilvsunneanmlsgrein"/>
        </w:rPr>
        <w:footnoteRef/>
      </w:r>
      <w:r>
        <w:t>)</w:t>
      </w:r>
      <w:r>
        <w:tab/>
        <w:t>Tilmæli framkvæmdastjórnarinnar 2003/361/EB frá 6. maí 2003 um skilgreininguna á örfyrirtækjum, litlum fyrirtækjum og meðalstórum fyrirtækjum (</w:t>
      </w:r>
      <w:proofErr w:type="spellStart"/>
      <w:r>
        <w:t>Stjtíð</w:t>
      </w:r>
      <w:proofErr w:type="spellEnd"/>
      <w:r>
        <w:t>. ESB L 124, 20.5.2003, bls. 36).</w:t>
      </w:r>
    </w:p>
  </w:footnote>
  <w:footnote w:id="5">
    <w:p w14:paraId="4BEF5E9E" w14:textId="77777777" w:rsidR="000E1836" w:rsidRDefault="000E1836" w:rsidP="00E65541">
      <w:pPr>
        <w:pStyle w:val="Textineanmlsgreinar"/>
      </w:pPr>
      <w:r>
        <w:t>(</w:t>
      </w:r>
      <w:r>
        <w:rPr>
          <w:rStyle w:val="Tilvsunneanmlsgrein"/>
        </w:rPr>
        <w:footnoteRef/>
      </w:r>
      <w:r>
        <w:t>)</w:t>
      </w:r>
      <w:r>
        <w:tab/>
        <w:t>Tilskipun Evrópuþingsins og ráðsins 2011/24/ESB frá 9. mars 2011 um réttindi sjúklinga varðandi heilbrigðisþjónustu yfir landamæri (</w:t>
      </w:r>
      <w:proofErr w:type="spellStart"/>
      <w:r>
        <w:t>Stjtíð</w:t>
      </w:r>
      <w:proofErr w:type="spellEnd"/>
      <w:r>
        <w:t>. ESB L 88, 4.4.2011, bls. 45).</w:t>
      </w:r>
    </w:p>
  </w:footnote>
  <w:footnote w:id="6">
    <w:p w14:paraId="4BEF5E9F" w14:textId="77777777" w:rsidR="000E1836" w:rsidRDefault="000E1836" w:rsidP="00E65541">
      <w:pPr>
        <w:pStyle w:val="Textineanmlsgreinar"/>
      </w:pPr>
      <w:r>
        <w:t>(</w:t>
      </w:r>
      <w:r>
        <w:rPr>
          <w:rStyle w:val="Tilvsunneanmlsgrein"/>
        </w:rPr>
        <w:footnoteRef/>
      </w:r>
      <w:r>
        <w:t>)</w:t>
      </w:r>
      <w:r>
        <w:tab/>
        <w:t>Reglugerð Evrópuþingsins og ráðsins (ESB) 2019/1239 frá 20. júní 2019 um að koma á sameiginlegri gátt fyrir siglingar í Evrópu og um niðurfellingu á tilskipun 2010/65/ESB (</w:t>
      </w:r>
      <w:proofErr w:type="spellStart"/>
      <w:r>
        <w:t>Stjtíð</w:t>
      </w:r>
      <w:proofErr w:type="spellEnd"/>
      <w:r>
        <w:t>. ESB L 198, 25.7.2019, bls. 64).</w:t>
      </w:r>
    </w:p>
  </w:footnote>
  <w:footnote w:id="7">
    <w:p w14:paraId="4BEF5EA0" w14:textId="77777777" w:rsidR="000E1836" w:rsidRDefault="000E1836" w:rsidP="00E65541">
      <w:pPr>
        <w:pStyle w:val="Textineanmlsgreinar"/>
      </w:pPr>
      <w:r>
        <w:t>(</w:t>
      </w:r>
      <w:r>
        <w:rPr>
          <w:rStyle w:val="Tilvsunneanmlsgrein"/>
        </w:rPr>
        <w:footnoteRef/>
      </w:r>
      <w:r>
        <w:t>)</w:t>
      </w:r>
      <w:r>
        <w:tab/>
        <w:t>Reglugerð Evrópuþingsins og ráðsins (ESB) 2020/1056 frá 15. júlí 2020 um rafrænar upplýsingar um vöruflutninga (</w:t>
      </w:r>
      <w:proofErr w:type="spellStart"/>
      <w:r>
        <w:t>Stjtíð</w:t>
      </w:r>
      <w:proofErr w:type="spellEnd"/>
      <w:r>
        <w:t>. ESB L 249, 31.7.2020, bls. 33).</w:t>
      </w:r>
    </w:p>
  </w:footnote>
  <w:footnote w:id="8">
    <w:p w14:paraId="4BEF5EA1" w14:textId="77777777" w:rsidR="000E1836" w:rsidRDefault="000E1836" w:rsidP="00E65541">
      <w:pPr>
        <w:pStyle w:val="Textineanmlsgreinar"/>
      </w:pPr>
      <w:r>
        <w:t>(</w:t>
      </w:r>
      <w:r>
        <w:rPr>
          <w:rStyle w:val="Tilvsunneanmlsgrein"/>
        </w:rPr>
        <w:footnoteRef/>
      </w:r>
      <w:r>
        <w:t>)</w:t>
      </w:r>
      <w:r>
        <w:tab/>
        <w:t xml:space="preserve">Tilskipun Evrópuþingsins og ráðsins 2010/40/ESB frá 7. júlí 2010 um ramma um útbreiðslu </w:t>
      </w:r>
      <w:proofErr w:type="spellStart"/>
      <w:r>
        <w:t>skynvæddra</w:t>
      </w:r>
      <w:proofErr w:type="spellEnd"/>
      <w:r>
        <w:t xml:space="preserve"> flutningakerfa á sviði flutninga á vegum og um tengingu þeirra við aðra flutningsmáta (</w:t>
      </w:r>
      <w:proofErr w:type="spellStart"/>
      <w:r>
        <w:t>Stjtíð</w:t>
      </w:r>
      <w:proofErr w:type="spellEnd"/>
      <w:r>
        <w:t>. ESB L 207, 6.8.2010, bls. 1).</w:t>
      </w:r>
    </w:p>
  </w:footnote>
  <w:footnote w:id="9">
    <w:p w14:paraId="4BEF5EA2" w14:textId="77777777" w:rsidR="000E1836" w:rsidRDefault="000E1836" w:rsidP="00E65541">
      <w:pPr>
        <w:pStyle w:val="Textineanmlsgreinar"/>
      </w:pPr>
      <w:r>
        <w:t>(</w:t>
      </w:r>
      <w:r>
        <w:rPr>
          <w:rStyle w:val="Tilvsunneanmlsgrein"/>
        </w:rPr>
        <w:footnoteRef/>
      </w:r>
      <w:r>
        <w:t>)</w:t>
      </w:r>
      <w:r>
        <w:tab/>
        <w:t>Reglugerð Evrópuþingsins og ráðsins (EB) nr. 223/2009 frá 11. mars 2009 um evrópskar hagskýrslur og niðurfellingu reglugerðar Evrópuþingsins og ráðsins (EB, KBE) nr. 1101/2008 um afhendingu gagna sem eru háð trúnaðarkvöðum í hagskýrslum til Hagstofu Evrópubandalaganna, reglugerðar ráðsins (EB) nr. 322/97 um hagskýrslur Bandalagsins og ákvörðunar ráðsins 89/382/EBE, KBE um að koma á fót hagskýrsluáætlunarnefnd Evrópubandalaganna (</w:t>
      </w:r>
      <w:proofErr w:type="spellStart"/>
      <w:r>
        <w:t>Stjtíð</w:t>
      </w:r>
      <w:proofErr w:type="spellEnd"/>
      <w:r>
        <w:t>. ESB L 87, 31.3.2009, bls. 164).</w:t>
      </w:r>
    </w:p>
  </w:footnote>
  <w:footnote w:id="10">
    <w:p w14:paraId="4BEF5EA3" w14:textId="77777777" w:rsidR="000E1836" w:rsidRDefault="000E1836" w:rsidP="00E65541">
      <w:pPr>
        <w:pStyle w:val="Textineanmlsgreinar"/>
      </w:pPr>
      <w:r>
        <w:t>(</w:t>
      </w:r>
      <w:r>
        <w:rPr>
          <w:rStyle w:val="Tilvsunneanmlsgrein"/>
        </w:rPr>
        <w:footnoteRef/>
      </w:r>
      <w:r>
        <w:t>)</w:t>
      </w:r>
      <w:r>
        <w:tab/>
        <w:t xml:space="preserve">Reglugerð Evrópuþingsins og ráðsins (ESB) 2018/858 frá 30. maí 2018 um viðurkenningu á og markaðseftirlit með vélknúnum ökutækjum og </w:t>
      </w:r>
      <w:proofErr w:type="spellStart"/>
      <w:r>
        <w:t>eftirvögnum</w:t>
      </w:r>
      <w:proofErr w:type="spellEnd"/>
      <w:r>
        <w:t xml:space="preserve"> þeirra og á kerfum, íhlutum og aðskildum tæknieiningum sem ætlaðar eru í slík ökutæki, um breytingu á reglugerðum (EB) nr. 715/2007 og (EB) nr. 595/2009 og niðurfellingu tilskipunar 2007/46/EB (</w:t>
      </w:r>
      <w:proofErr w:type="spellStart"/>
      <w:r>
        <w:t>Stjtíð</w:t>
      </w:r>
      <w:proofErr w:type="spellEnd"/>
      <w:r>
        <w:t>. ESB L 151, 14.6.2018, bls. 1).</w:t>
      </w:r>
    </w:p>
  </w:footnote>
  <w:footnote w:id="11">
    <w:p w14:paraId="4BEF5EA4" w14:textId="77777777" w:rsidR="000E1836" w:rsidRDefault="000E1836" w:rsidP="00E65541">
      <w:pPr>
        <w:pStyle w:val="Textineanmlsgreinar"/>
      </w:pPr>
      <w:r>
        <w:t>(</w:t>
      </w:r>
      <w:r>
        <w:rPr>
          <w:rStyle w:val="Tilvsunneanmlsgrein"/>
        </w:rPr>
        <w:footnoteRef/>
      </w:r>
      <w:r>
        <w:t>)</w:t>
      </w:r>
      <w:r>
        <w:tab/>
        <w:t>Reglugerð Evrópuþingsins og ráðsins (ESB) 2018/1807 frá 14. nóvember 2018 um ramma um frjálst flæði ópersónulegra upplýsinga í Evrópusambandinu (</w:t>
      </w:r>
      <w:proofErr w:type="spellStart"/>
      <w:r>
        <w:t>Stjtíð</w:t>
      </w:r>
      <w:proofErr w:type="spellEnd"/>
      <w:r>
        <w:t>. ESB L 303, 28.11.2018, bls. 59).</w:t>
      </w:r>
    </w:p>
  </w:footnote>
  <w:footnote w:id="12">
    <w:p w14:paraId="4BEF5EA5" w14:textId="77777777" w:rsidR="000E1836" w:rsidRDefault="000E1836" w:rsidP="00E65541">
      <w:pPr>
        <w:pStyle w:val="Textineanmlsgreinar"/>
      </w:pPr>
      <w:r>
        <w:t>(</w:t>
      </w:r>
      <w:r>
        <w:rPr>
          <w:rStyle w:val="Tilvsunneanmlsgrein"/>
        </w:rPr>
        <w:footnoteRef/>
      </w:r>
      <w:r>
        <w:t>)</w:t>
      </w:r>
      <w:r>
        <w:tab/>
        <w:t>Tilskipun Evrópuþingsins og ráðsins 2000/31/EB frá 8. júní 2000 um tiltekna lagalega þætti þjónustu, einkum rafrænna viðskipta, í tengslum við upplýsingasamfélagið á innri markaðnum (tilskipun um rafræn viðskipti) (</w:t>
      </w:r>
      <w:proofErr w:type="spellStart"/>
      <w:r>
        <w:t>Stjtíð</w:t>
      </w:r>
      <w:proofErr w:type="spellEnd"/>
      <w:r>
        <w:t>. EB L 178, 17.7.2000, bls. 1).</w:t>
      </w:r>
    </w:p>
  </w:footnote>
  <w:footnote w:id="13">
    <w:p w14:paraId="4BEF5EA6" w14:textId="77777777" w:rsidR="000E1836" w:rsidRDefault="000E1836" w:rsidP="00E65541">
      <w:pPr>
        <w:pStyle w:val="Textineanmlsgreinar"/>
      </w:pPr>
      <w:r>
        <w:t>(</w:t>
      </w:r>
      <w:r>
        <w:rPr>
          <w:rStyle w:val="Tilvsunneanmlsgrein"/>
        </w:rPr>
        <w:footnoteRef/>
      </w:r>
      <w:r>
        <w:t>)</w:t>
      </w:r>
      <w:r>
        <w:tab/>
        <w:t>Tilskipun Evrópuþingsins og ráðsins 2001/29/EB frá 22. maí 2001 um samræmingu tiltekinna þátta höfundaréttar og skyldra réttinda í upplýsingasamfélaginu (</w:t>
      </w:r>
      <w:proofErr w:type="spellStart"/>
      <w:r>
        <w:t>Stjtíð</w:t>
      </w:r>
      <w:proofErr w:type="spellEnd"/>
      <w:r>
        <w:t>. EB L 167, 22.6.2001, bls. 10).</w:t>
      </w:r>
    </w:p>
  </w:footnote>
  <w:footnote w:id="14">
    <w:p w14:paraId="4BEF5EA7" w14:textId="77777777" w:rsidR="000E1836" w:rsidRDefault="000E1836" w:rsidP="00E65541">
      <w:pPr>
        <w:pStyle w:val="Textineanmlsgreinar"/>
      </w:pPr>
      <w:r>
        <w:t>(</w:t>
      </w:r>
      <w:r>
        <w:rPr>
          <w:rStyle w:val="Tilvsunneanmlsgrein"/>
        </w:rPr>
        <w:footnoteRef/>
      </w:r>
      <w:r>
        <w:t>)</w:t>
      </w:r>
      <w:r>
        <w:tab/>
        <w:t>Tilskipun Evrópuþingsins og ráðsins 2004/48/EB frá 29. apríl 2004 um framfylgd hugverkaréttinda (</w:t>
      </w:r>
      <w:proofErr w:type="spellStart"/>
      <w:r>
        <w:t>Stjtíð</w:t>
      </w:r>
      <w:proofErr w:type="spellEnd"/>
      <w:r>
        <w:t>. ESB L 157, 30.4.2004, bls. 45).</w:t>
      </w:r>
    </w:p>
  </w:footnote>
  <w:footnote w:id="15">
    <w:p w14:paraId="4BEF5EA8" w14:textId="77777777" w:rsidR="000E1836" w:rsidRDefault="000E1836" w:rsidP="00E65541">
      <w:pPr>
        <w:pStyle w:val="Textineanmlsgreinar"/>
      </w:pPr>
      <w:r>
        <w:t>(</w:t>
      </w:r>
      <w:r>
        <w:rPr>
          <w:rStyle w:val="Tilvsunneanmlsgrein"/>
        </w:rPr>
        <w:footnoteRef/>
      </w:r>
      <w:r>
        <w:t>)</w:t>
      </w:r>
      <w:r>
        <w:tab/>
        <w:t>Tilskipun Evrópuþingsins og ráðsins 2007/2/EB frá 14. mars 2007 um að koma á grunngerð fyrir landupplýsingar í Evrópubandalaginu (INSPIRE) (</w:t>
      </w:r>
      <w:proofErr w:type="spellStart"/>
      <w:r>
        <w:t>Stjtíð</w:t>
      </w:r>
      <w:proofErr w:type="spellEnd"/>
      <w:r>
        <w:t>. ESB L 108, 25.4.2007, bls. 1).</w:t>
      </w:r>
    </w:p>
  </w:footnote>
  <w:footnote w:id="16">
    <w:p w14:paraId="4BEF5EA9" w14:textId="77777777" w:rsidR="000E1836" w:rsidRDefault="000E1836" w:rsidP="00E65541">
      <w:pPr>
        <w:pStyle w:val="Textineanmlsgreinar"/>
      </w:pPr>
      <w:r>
        <w:t>(</w:t>
      </w:r>
      <w:r>
        <w:rPr>
          <w:rStyle w:val="Tilvsunneanmlsgrein"/>
        </w:rPr>
        <w:footnoteRef/>
      </w:r>
      <w:r>
        <w:t>)</w:t>
      </w:r>
      <w:r>
        <w:tab/>
        <w:t>Tilskipun Evrópuþingsins og ráðsins (ESB) 2015/849 frá 20. maí 2015 um ráðstafanir gegn því að fjármálakerfið sé notað til peningaþvættis eða til fjármögnunar hryðjuverka, um breytingu á reglugerð Evrópuþingsins og ráðsins (ESB) nr. 648/2012, og um niðurfellingu á tilskipun Evrópuþingsins og ráðsins 2005/60/EB og tilskipun framkvæmdastjórnarinnar 2006/70/EB (</w:t>
      </w:r>
      <w:proofErr w:type="spellStart"/>
      <w:r>
        <w:t>Stjtíð</w:t>
      </w:r>
      <w:proofErr w:type="spellEnd"/>
      <w:r>
        <w:t>. ESB L 141, 5.6.2015, bls. 73).</w:t>
      </w:r>
    </w:p>
  </w:footnote>
  <w:footnote w:id="17">
    <w:p w14:paraId="4BEF5EAA" w14:textId="77777777" w:rsidR="000E1836" w:rsidRDefault="000E1836" w:rsidP="00E65541">
      <w:pPr>
        <w:pStyle w:val="Textineanmlsgreinar"/>
      </w:pPr>
      <w:r>
        <w:t>(</w:t>
      </w:r>
      <w:r>
        <w:rPr>
          <w:rStyle w:val="Tilvsunneanmlsgrein"/>
        </w:rPr>
        <w:footnoteRef/>
      </w:r>
      <w:r>
        <w:t>)</w:t>
      </w:r>
      <w:r>
        <w:tab/>
        <w:t>Tilskipun Evrópuþingsins og ráðsins (ESB) 2016/943 frá 8. júní 2016 um verndun trúnaðarupplýsinga um sérþekkingu og viðskiptaupplýsinga (viðskiptaleyndarmál) gegn ólögmætri öflun, notkun og birtingu þeirra (</w:t>
      </w:r>
      <w:proofErr w:type="spellStart"/>
      <w:r>
        <w:t>Stjtíð</w:t>
      </w:r>
      <w:proofErr w:type="spellEnd"/>
      <w:r>
        <w:t>. ESB L 157, 15.6.2016, bls. 1).</w:t>
      </w:r>
    </w:p>
  </w:footnote>
  <w:footnote w:id="18">
    <w:p w14:paraId="4BEF5EAB" w14:textId="77777777" w:rsidR="000E1836" w:rsidRDefault="000E1836" w:rsidP="00E65541">
      <w:pPr>
        <w:pStyle w:val="Textineanmlsgreinar"/>
      </w:pPr>
      <w:r>
        <w:t>(</w:t>
      </w:r>
      <w:r>
        <w:rPr>
          <w:rStyle w:val="Tilvsunneanmlsgrein"/>
        </w:rPr>
        <w:footnoteRef/>
      </w:r>
      <w:r>
        <w:t>)</w:t>
      </w:r>
      <w:r>
        <w:tab/>
        <w:t>Tilskipun Evrópuþingsins og ráðsins (ESB) 2017/1132 frá 14. júní 2017 um tiltekna þætti félagaréttar (</w:t>
      </w:r>
      <w:proofErr w:type="spellStart"/>
      <w:r>
        <w:t>Stjtíð</w:t>
      </w:r>
      <w:proofErr w:type="spellEnd"/>
      <w:r>
        <w:t>. ESB L 169, 30.6.2017, bls. 46).</w:t>
      </w:r>
    </w:p>
  </w:footnote>
  <w:footnote w:id="19">
    <w:p w14:paraId="4BEF5EAC" w14:textId="77777777" w:rsidR="000E1836" w:rsidRDefault="000E1836" w:rsidP="00E65541">
      <w:pPr>
        <w:pStyle w:val="Textineanmlsgreinar"/>
      </w:pPr>
      <w:r>
        <w:t>(</w:t>
      </w:r>
      <w:r>
        <w:rPr>
          <w:rStyle w:val="Tilvsunneanmlsgrein"/>
        </w:rPr>
        <w:footnoteRef/>
      </w:r>
      <w:r>
        <w:t>)</w:t>
      </w:r>
      <w:r>
        <w:tab/>
        <w:t>Tilskipun Evrópuþingsins og ráðsins (ESB) 2019/790 frá 17. apríl 2019 um höfundarétt og skyld réttindi á stafræna innri markaðnum og um breytingu á tilskipunum 96/9/EB og 2001/29/EB (</w:t>
      </w:r>
      <w:proofErr w:type="spellStart"/>
      <w:r>
        <w:t>Stjtíð</w:t>
      </w:r>
      <w:proofErr w:type="spellEnd"/>
      <w:r>
        <w:t>. ESB L 130, 17.5.2019, bls. 92).</w:t>
      </w:r>
    </w:p>
  </w:footnote>
  <w:footnote w:id="20">
    <w:p w14:paraId="4BEF5EAD" w14:textId="77777777" w:rsidR="000E1836" w:rsidRDefault="000E1836" w:rsidP="00E65541">
      <w:pPr>
        <w:pStyle w:val="Textineanmlsgreinar"/>
      </w:pPr>
      <w:r>
        <w:t>(</w:t>
      </w:r>
      <w:r>
        <w:rPr>
          <w:rStyle w:val="Tilvsunneanmlsgrein"/>
        </w:rPr>
        <w:footnoteRef/>
      </w:r>
      <w:r>
        <w:t>)</w:t>
      </w:r>
      <w:r>
        <w:tab/>
        <w:t>Tilskipun Evrópuþingsins og ráðsins (ESB) 2019/1024 frá 20. júní 2019 um opin gögn og endurnotkun upplýsinga frá hinu opinbera (</w:t>
      </w:r>
      <w:proofErr w:type="spellStart"/>
      <w:r>
        <w:t>Stjtíð</w:t>
      </w:r>
      <w:proofErr w:type="spellEnd"/>
      <w:r>
        <w:t>. ESB L 172, 26.6.2019, bls. 56).</w:t>
      </w:r>
    </w:p>
  </w:footnote>
  <w:footnote w:id="21">
    <w:p w14:paraId="4BEF5EAE" w14:textId="77777777" w:rsidR="000E1836" w:rsidRDefault="000E1836" w:rsidP="00E65541">
      <w:pPr>
        <w:pStyle w:val="Textineanmlsgreinar"/>
      </w:pPr>
      <w:r>
        <w:t>(</w:t>
      </w:r>
      <w:r>
        <w:rPr>
          <w:rStyle w:val="Tilvsunneanmlsgrein"/>
        </w:rPr>
        <w:footnoteRef/>
      </w:r>
      <w:r>
        <w:t>)</w:t>
      </w:r>
      <w:r>
        <w:tab/>
        <w:t>Tilskipun Evrópuþingsins og ráðsins 2009/81/EB frá 13. júlí 2009 um samræmingu reglna um útboð og gerð samningsyfirvalda eða samningsstofnana á tilteknum verksamningum, vörusamningum og þjónustusamningum á sviði varnar- og öryggismála og um breytingu á tilskipunum 2004/17/EB og 2004/18/EB (</w:t>
      </w:r>
      <w:proofErr w:type="spellStart"/>
      <w:r>
        <w:t>Stjtíð</w:t>
      </w:r>
      <w:proofErr w:type="spellEnd"/>
      <w:r>
        <w:t xml:space="preserve"> ESB L 216, 20.8.2009, bls. 76).</w:t>
      </w:r>
    </w:p>
  </w:footnote>
  <w:footnote w:id="22">
    <w:p w14:paraId="4BEF5EAF" w14:textId="77777777" w:rsidR="000E1836" w:rsidRDefault="000E1836" w:rsidP="00E65541">
      <w:pPr>
        <w:pStyle w:val="Textineanmlsgreinar"/>
      </w:pPr>
      <w:r>
        <w:t>(</w:t>
      </w:r>
      <w:r>
        <w:rPr>
          <w:rStyle w:val="Tilvsunneanmlsgrein"/>
        </w:rPr>
        <w:footnoteRef/>
      </w:r>
      <w:r>
        <w:t>)</w:t>
      </w:r>
      <w:r>
        <w:tab/>
        <w:t>Reglugerð Evrópuþingsins og ráðsins (ESB) 2016/679 frá 27. apríl 2016 um vernd einstaklinga í tengslum við vinnslu persónuupplýsinga og um frjálsa miðlun slíkra upplýsinga og niðurfellingu tilskipunar 95/46/EB (almenna persónuverndarreglugerðin) (</w:t>
      </w:r>
      <w:proofErr w:type="spellStart"/>
      <w:r>
        <w:t>Stjtíð</w:t>
      </w:r>
      <w:proofErr w:type="spellEnd"/>
      <w:r>
        <w:t>. ESB L 119, 4.5.2016, bls. 1).</w:t>
      </w:r>
    </w:p>
  </w:footnote>
  <w:footnote w:id="23">
    <w:p w14:paraId="4BEF5EB0" w14:textId="77777777" w:rsidR="000E1836" w:rsidRDefault="000E1836" w:rsidP="00E65541">
      <w:pPr>
        <w:pStyle w:val="Textineanmlsgreinar"/>
      </w:pPr>
      <w:r>
        <w:t>(</w:t>
      </w:r>
      <w:r>
        <w:rPr>
          <w:rStyle w:val="Tilvsunneanmlsgrein"/>
        </w:rPr>
        <w:footnoteRef/>
      </w:r>
      <w:r>
        <w:t>)</w:t>
      </w:r>
      <w:r>
        <w:tab/>
        <w:t>Reglugerð Evrópuþingsins og ráðsins (ESB) 2018/1725 frá 23. október 2018 um vernd einstaklinga í tengslum við vinnslu meginstofnana, stofnana, skrifstofa og fagstofnana Sambandsins á persónuupplýsingum og um frjálsa miðlun slíkra upplýsinga og um niðurfellingu reglugerðar (EB) nr. 45/2001 og ákvörðunar nr. 1247/2002/EB (</w:t>
      </w:r>
      <w:proofErr w:type="spellStart"/>
      <w:r>
        <w:t>Stjtíð</w:t>
      </w:r>
      <w:proofErr w:type="spellEnd"/>
      <w:r>
        <w:t>. ESB L 295, 21.11.2018, bls. 39).</w:t>
      </w:r>
    </w:p>
  </w:footnote>
  <w:footnote w:id="24">
    <w:p w14:paraId="4BEF5EB1" w14:textId="77777777" w:rsidR="000E1836" w:rsidRDefault="000E1836" w:rsidP="00E65541">
      <w:pPr>
        <w:pStyle w:val="Textineanmlsgreinar"/>
      </w:pPr>
      <w:r>
        <w:t>(</w:t>
      </w:r>
      <w:r>
        <w:rPr>
          <w:rStyle w:val="Tilvsunneanmlsgrein"/>
        </w:rPr>
        <w:footnoteRef/>
      </w:r>
      <w:r>
        <w:t>)</w:t>
      </w:r>
      <w:r>
        <w:tab/>
        <w:t>Tilskipun Evrópuþingsins og ráðsins 2002/58/EB frá 12. júlí 2002 um vinnslu persónuupplýsinga og um verndun einkalífs á sviði rafrænna fjarskipta (tilskipun um friðhelgi einkalífsins og rafræn fjarskipti) (</w:t>
      </w:r>
      <w:proofErr w:type="spellStart"/>
      <w:r>
        <w:t>Stjtíð</w:t>
      </w:r>
      <w:proofErr w:type="spellEnd"/>
      <w:r>
        <w:t>. EB L 201, 31.7.2002, bls. 37).</w:t>
      </w:r>
    </w:p>
  </w:footnote>
  <w:footnote w:id="25">
    <w:p w14:paraId="4BEF5EB2" w14:textId="77777777" w:rsidR="000E1836" w:rsidRDefault="000E1836" w:rsidP="00E65541">
      <w:pPr>
        <w:pStyle w:val="Textineanmlsgreinar"/>
      </w:pPr>
      <w:r>
        <w:t>(</w:t>
      </w:r>
      <w:r>
        <w:rPr>
          <w:rStyle w:val="Tilvsunneanmlsgrein"/>
        </w:rPr>
        <w:footnoteRef/>
      </w:r>
      <w:r>
        <w:t>)</w:t>
      </w:r>
      <w:r>
        <w:tab/>
        <w:t>Tilskipun Evrópuþingsins og ráðsins (ESB) 2016/680 frá 27. apríl 2016 um vernd einstaklinga að því er varðar vinnslu lögbærra yfirvalda á persónuupplýsingum í tengslum við að koma í veg fyrir, rannsaka, koma upp um eða saksækja fyrir refsiverð brot eða fullnægja refsiviðurlögum og frjálsa miðlun slíkra upplýsinga og um niðurfellingu rammaákvörðunar ráðsins 2008/977/DIM (</w:t>
      </w:r>
      <w:proofErr w:type="spellStart"/>
      <w:r>
        <w:t>Stjtíð</w:t>
      </w:r>
      <w:proofErr w:type="spellEnd"/>
      <w:r>
        <w:t>. ESB L 119, 4.5.2016, bls. 89).</w:t>
      </w:r>
    </w:p>
  </w:footnote>
  <w:footnote w:id="26">
    <w:p w14:paraId="4BEF5EB3" w14:textId="77777777" w:rsidR="000E1836" w:rsidRDefault="000E1836" w:rsidP="00E65541">
      <w:pPr>
        <w:pStyle w:val="Textineanmlsgreinar"/>
      </w:pPr>
      <w:r>
        <w:t>(</w:t>
      </w:r>
      <w:r>
        <w:rPr>
          <w:rStyle w:val="Tilvsunneanmlsgrein"/>
        </w:rPr>
        <w:footnoteRef/>
      </w:r>
      <w:r>
        <w:t>)</w:t>
      </w:r>
      <w:r>
        <w:tab/>
        <w:t>Reglugerð framkvæmdastjórnarinnar (ESB) nr. 557/2013 frá 17. júní 2013 um framkvæmd reglugerðar Evrópuþingsins og ráðsins (EB) nr. 223/2009 að því er varðar aðgang að trúnaðargögnum í vísindaskyni og um niðurfellingu á reglugerð framkvæmdastjórnarinnar (EB) nr. 831/2002 (</w:t>
      </w:r>
      <w:proofErr w:type="spellStart"/>
      <w:r>
        <w:t>Stjtíð</w:t>
      </w:r>
      <w:proofErr w:type="spellEnd"/>
      <w:r>
        <w:t>. ESB L 164, 18.6.2013, bls. 16).</w:t>
      </w:r>
    </w:p>
  </w:footnote>
  <w:footnote w:id="27">
    <w:p w14:paraId="4BEF5EB4" w14:textId="77777777" w:rsidR="000E1836" w:rsidRDefault="000E1836" w:rsidP="00E65541">
      <w:pPr>
        <w:pStyle w:val="Textineanmlsgreinar"/>
      </w:pPr>
      <w:r>
        <w:t>(</w:t>
      </w:r>
      <w:r>
        <w:rPr>
          <w:rStyle w:val="Tilvsunneanmlsgrein"/>
        </w:rPr>
        <w:footnoteRef/>
      </w:r>
      <w:r>
        <w:t>)</w:t>
      </w:r>
      <w:r>
        <w:tab/>
        <w:t xml:space="preserve">Tilskipun Evrópuþingsins og ráðsins 96/9/EB frá 11. mars 1996 um </w:t>
      </w:r>
      <w:proofErr w:type="spellStart"/>
      <w:r>
        <w:t>lögverndun</w:t>
      </w:r>
      <w:proofErr w:type="spellEnd"/>
      <w:r>
        <w:t xml:space="preserve"> gagnagrunna (</w:t>
      </w:r>
      <w:proofErr w:type="spellStart"/>
      <w:r>
        <w:t>Stjtíð</w:t>
      </w:r>
      <w:proofErr w:type="spellEnd"/>
      <w:r>
        <w:t>. EB L 77, 27.3.1996, bls. 20).</w:t>
      </w:r>
    </w:p>
  </w:footnote>
  <w:footnote w:id="28">
    <w:p w14:paraId="4BEF5EB5" w14:textId="77777777" w:rsidR="000E1836" w:rsidRDefault="000E1836" w:rsidP="00E65541">
      <w:pPr>
        <w:pStyle w:val="Textineanmlsgreinar"/>
      </w:pPr>
      <w:r>
        <w:t>(</w:t>
      </w:r>
      <w:r>
        <w:rPr>
          <w:rStyle w:val="Tilvsunneanmlsgrein"/>
        </w:rPr>
        <w:footnoteRef/>
      </w:r>
      <w:r>
        <w:t>)</w:t>
      </w:r>
      <w:r>
        <w:tab/>
        <w:t xml:space="preserve">Reglugerð Evrópuþingsins og ráðsins (ESB) nr. 600/2014 frá 15. maí 2014 um markaði fyrir </w:t>
      </w:r>
      <w:proofErr w:type="spellStart"/>
      <w:r>
        <w:t>fjármálagerninga</w:t>
      </w:r>
      <w:proofErr w:type="spellEnd"/>
      <w:r>
        <w:t xml:space="preserve"> og um breytingu á reglugerð (ESB) nr. 648/2012 (</w:t>
      </w:r>
      <w:proofErr w:type="spellStart"/>
      <w:r>
        <w:t>Stjtíð</w:t>
      </w:r>
      <w:proofErr w:type="spellEnd"/>
      <w:r>
        <w:t>. ESB L 173, 12.6.2014, bls. 84).</w:t>
      </w:r>
    </w:p>
  </w:footnote>
  <w:footnote w:id="29">
    <w:p w14:paraId="4BEF5EB6" w14:textId="77777777" w:rsidR="000E1836" w:rsidRDefault="000E1836" w:rsidP="00E65541">
      <w:pPr>
        <w:pStyle w:val="Textineanmlsgreinar"/>
      </w:pPr>
      <w:r>
        <w:t>(</w:t>
      </w:r>
      <w:r>
        <w:rPr>
          <w:rStyle w:val="Tilvsunneanmlsgrein"/>
        </w:rPr>
        <w:footnoteRef/>
      </w:r>
      <w:r>
        <w:t>)</w:t>
      </w:r>
      <w:r>
        <w:tab/>
        <w:t>Tilskipun Evrópuþingsins og ráðsins (ESB) 2015/2366 frá 25. nóvember 2015 um greiðsluþjónustu á innri markaðnum, um breytingu á tilskipunum 2002/65/EB, 2009/110/EB og 2013/36/ESB og á reglugerð (ESB) nr. 1093/2010 og niðurfellingu á tilskipun 2007/64/EB (</w:t>
      </w:r>
      <w:proofErr w:type="spellStart"/>
      <w:r>
        <w:t>Stjtíð</w:t>
      </w:r>
      <w:proofErr w:type="spellEnd"/>
      <w:r>
        <w:t>. ESB L 337, 23.12.2015, bls. 35).</w:t>
      </w:r>
    </w:p>
  </w:footnote>
  <w:footnote w:id="30">
    <w:p w14:paraId="4BEF5EB7" w14:textId="77777777" w:rsidR="000E1836" w:rsidRDefault="000E1836" w:rsidP="00E65541">
      <w:pPr>
        <w:pStyle w:val="Textineanmlsgreinar"/>
      </w:pPr>
      <w:r>
        <w:t>(</w:t>
      </w:r>
      <w:r>
        <w:rPr>
          <w:rStyle w:val="Tilvsunneanmlsgrein"/>
        </w:rPr>
        <w:footnoteRef/>
      </w:r>
      <w:r>
        <w:t>)</w:t>
      </w:r>
      <w:r>
        <w:tab/>
        <w:t>Reglugerð Evrópuþingsins og ráðsins (ESB) 2018/1724 frá 2. október 2018 um að koma á sameiginlegri stafrænni gátt til að veita aðgang að upplýsingum, málsmeðferðarreglum og aðstoð og þjónustu til lausnar á vandamálum og um breytingu á reglugerð (ESB) nr. 1024/2012 (</w:t>
      </w:r>
      <w:proofErr w:type="spellStart"/>
      <w:r>
        <w:t>Stjtíð</w:t>
      </w:r>
      <w:proofErr w:type="spellEnd"/>
      <w:r>
        <w:t>. ESB L 295, 21.11.2018, bls. 1).</w:t>
      </w:r>
    </w:p>
  </w:footnote>
  <w:footnote w:id="31">
    <w:p w14:paraId="4BEF5EB8" w14:textId="77777777" w:rsidR="000E1836" w:rsidRDefault="000E1836" w:rsidP="00E65541">
      <w:pPr>
        <w:pStyle w:val="Textineanmlsgreinar"/>
      </w:pPr>
      <w:r>
        <w:t>(</w:t>
      </w:r>
      <w:r>
        <w:rPr>
          <w:rStyle w:val="Tilvsunneanmlsgrein"/>
        </w:rPr>
        <w:footnoteRef/>
      </w:r>
      <w:r>
        <w:t>)</w:t>
      </w:r>
      <w:r>
        <w:tab/>
      </w:r>
      <w:proofErr w:type="spellStart"/>
      <w:r>
        <w:t>Stjtíð</w:t>
      </w:r>
      <w:proofErr w:type="spellEnd"/>
      <w:r>
        <w:t>. ESB L 123, 12.5.2016, bls. 1.</w:t>
      </w:r>
    </w:p>
  </w:footnote>
  <w:footnote w:id="32">
    <w:p w14:paraId="4BEF5EB9" w14:textId="77777777" w:rsidR="000E1836" w:rsidRDefault="000E1836" w:rsidP="00E65541">
      <w:pPr>
        <w:pStyle w:val="Textineanmlsgreinar"/>
      </w:pPr>
      <w:r>
        <w:t>(</w:t>
      </w:r>
      <w:r>
        <w:rPr>
          <w:rStyle w:val="Tilvsunneanmlsgrein"/>
        </w:rPr>
        <w:footnoteRef/>
      </w:r>
      <w:r>
        <w:t>)</w:t>
      </w:r>
      <w:r>
        <w:tab/>
        <w:t>Reglugerð Evrópuþingsins og ráðsins (ESB) nr. 182/2011 frá 16. febrúar 2011 um reglur og almennar meginreglur varðandi tilhögun eftirlits aðildarríkjanna með framkvæmdastjórninni þegar hún beitir framkvæmdarvaldi sínu (</w:t>
      </w:r>
      <w:proofErr w:type="spellStart"/>
      <w:r>
        <w:t>Stjtíð</w:t>
      </w:r>
      <w:proofErr w:type="spellEnd"/>
      <w:r>
        <w:t>. ESB L 55, 28.2.2011, bls. 13).</w:t>
      </w:r>
    </w:p>
  </w:footnote>
  <w:footnote w:id="33">
    <w:p w14:paraId="4BEF5EBA" w14:textId="77777777" w:rsidR="000E1836" w:rsidRDefault="000E1836" w:rsidP="00E65541">
      <w:pPr>
        <w:pStyle w:val="Textineanmlsgreinar"/>
      </w:pPr>
      <w:r>
        <w:t>(</w:t>
      </w:r>
      <w:r>
        <w:rPr>
          <w:rStyle w:val="Tilvsunneanmlsgrein"/>
        </w:rPr>
        <w:footnoteRef/>
      </w:r>
      <w:r>
        <w:t>)</w:t>
      </w:r>
      <w:r>
        <w:tab/>
        <w:t>Tilskipun Evrópuþingsins og ráðsins (ESB) 2016/2102 frá 26. október 2016 um aðgengi vefsetra opinberra aðila og smáforrita þeirra fyrir fartæki (</w:t>
      </w:r>
      <w:proofErr w:type="spellStart"/>
      <w:r>
        <w:t>Stjtíð</w:t>
      </w:r>
      <w:proofErr w:type="spellEnd"/>
      <w:r>
        <w:t>. ESB L 327, 2.12.2016, bls. 1).</w:t>
      </w:r>
    </w:p>
  </w:footnote>
  <w:footnote w:id="34">
    <w:p w14:paraId="4BEF5EBB" w14:textId="77777777" w:rsidR="000E1836" w:rsidRDefault="000E1836" w:rsidP="00E65541">
      <w:pPr>
        <w:pStyle w:val="Textineanmlsgreinar"/>
      </w:pPr>
      <w:r>
        <w:t>(</w:t>
      </w:r>
      <w:r>
        <w:rPr>
          <w:rStyle w:val="Tilvsunneanmlsgrein"/>
        </w:rPr>
        <w:footnoteRef/>
      </w:r>
      <w:r>
        <w:t>)</w:t>
      </w:r>
      <w:r>
        <w:tab/>
        <w:t>Tilskipun Evrópuþingsins og ráðsins (ESB) 2019/882 frá 17. apríl 2019 um kröfur um aðgengi að vörum og þjónustu (</w:t>
      </w:r>
      <w:proofErr w:type="spellStart"/>
      <w:r>
        <w:t>Stjtíð</w:t>
      </w:r>
      <w:proofErr w:type="spellEnd"/>
      <w:r>
        <w:t>. ESB L 151, 7.6.2019, bls. 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014820"/>
      <w:docPartObj>
        <w:docPartGallery w:val="Page Numbers (Top of Page)"/>
        <w:docPartUnique/>
      </w:docPartObj>
    </w:sdtPr>
    <w:sdtEndPr>
      <w:rPr>
        <w:noProof/>
      </w:rPr>
    </w:sdtEndPr>
    <w:sdtContent>
      <w:p w14:paraId="4BEF5E9A" w14:textId="77777777" w:rsidR="000E1836" w:rsidRDefault="000E1836">
        <w:pPr>
          <w:pStyle w:val="Suhaus"/>
          <w:jc w:val="right"/>
        </w:pPr>
        <w:r>
          <w:fldChar w:fldCharType="begin"/>
        </w:r>
        <w:r>
          <w:instrText xml:space="preserve"> PAGE   \* MERGEFORMAT </w:instrText>
        </w:r>
        <w:r>
          <w:fldChar w:fldCharType="separate"/>
        </w:r>
        <w:r w:rsidR="00784107">
          <w:t>44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D19D3"/>
    <w:multiLevelType w:val="hybridMultilevel"/>
    <w:tmpl w:val="C8CE26D2"/>
    <w:lvl w:ilvl="0" w:tplc="CD48D4A2">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64A12FEB"/>
    <w:multiLevelType w:val="hybridMultilevel"/>
    <w:tmpl w:val="5ED6C5BA"/>
    <w:lvl w:ilvl="0" w:tplc="57724CBC">
      <w:start w:val="1"/>
      <w:numFmt w:val="upp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6CAF3640"/>
    <w:multiLevelType w:val="hybridMultilevel"/>
    <w:tmpl w:val="185CD1C6"/>
    <w:lvl w:ilvl="0" w:tplc="4300D4B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5123854">
    <w:abstractNumId w:val="2"/>
  </w:num>
  <w:num w:numId="2" w16cid:durableId="1022244513">
    <w:abstractNumId w:val="0"/>
  </w:num>
  <w:num w:numId="3" w16cid:durableId="2031760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NotDisplayPageBoundaries/>
  <w:proofState w:spelling="clean" w:grammar="clean"/>
  <w:defaultTabStop w:val="720"/>
  <w:autoHyphenation/>
  <w:consecutiveHyphenLimit w:val="2"/>
  <w:hyphenationZone w:val="357"/>
  <w:doNotHyphenateCaps/>
  <w:defaultTableStyle w:val="EFTATable"/>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A3D"/>
    <w:rsid w:val="000D4671"/>
    <w:rsid w:val="000E1836"/>
    <w:rsid w:val="00100A86"/>
    <w:rsid w:val="00281AF7"/>
    <w:rsid w:val="0074118B"/>
    <w:rsid w:val="0075179B"/>
    <w:rsid w:val="00784107"/>
    <w:rsid w:val="007A23D8"/>
    <w:rsid w:val="008237BD"/>
    <w:rsid w:val="00900A3D"/>
    <w:rsid w:val="00964CF0"/>
    <w:rsid w:val="00A556C0"/>
    <w:rsid w:val="00B001B4"/>
    <w:rsid w:val="00BE5C26"/>
    <w:rsid w:val="00DC0829"/>
    <w:rsid w:val="00E65541"/>
    <w:rsid w:val="00E859CA"/>
    <w:rsid w:val="00ED5ADB"/>
    <w:rsid w:val="00F34880"/>
  </w:rsids>
  <m:mathPr>
    <m:mathFont m:val="Cambria Math"/>
    <m:brkBin m:val="before"/>
    <m:brkBinSub m:val="--"/>
    <m:smallFrac m:val="0"/>
    <m:dispDef/>
    <m:lMargin m:val="0"/>
    <m:rMargin m:val="0"/>
    <m:defJc m:val="centerGroup"/>
    <m:wrapIndent m:val="1440"/>
    <m:intLim m:val="subSup"/>
    <m:naryLim m:val="undOvr"/>
  </m:mathPr>
  <w:themeFontLang w:val="en-GB"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F5C61"/>
  <w15:docId w15:val="{F18B6534-8A23-4AEC-B6FE-82BF350B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20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pPr>
      <w:shd w:val="clear" w:color="auto" w:fill="FF0000"/>
      <w:spacing w:line="240" w:lineRule="exact"/>
      <w:jc w:val="both"/>
    </w:pPr>
    <w:rPr>
      <w:rFonts w:ascii="Times New Roman" w:hAnsi="Times New Roman"/>
      <w:color w:val="00B050"/>
      <w:sz w:val="1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line4">
    <w:name w:val="line4"/>
    <w:next w:val="Para"/>
    <w:qFormat/>
    <w:pPr>
      <w:widowControl w:val="0"/>
      <w:pBdr>
        <w:bottom w:val="single" w:sz="4" w:space="1" w:color="auto"/>
      </w:pBdr>
      <w:suppressAutoHyphens/>
      <w:spacing w:after="257" w:line="240" w:lineRule="exact"/>
      <w:ind w:left="4162" w:right="4162"/>
      <w:jc w:val="center"/>
    </w:pPr>
    <w:rPr>
      <w:rFonts w:ascii="Times New Roman" w:hAnsi="Times New Roman"/>
      <w:sz w:val="18"/>
    </w:rPr>
  </w:style>
  <w:style w:type="paragraph" w:customStyle="1" w:styleId="line2">
    <w:name w:val="line2"/>
    <w:basedOn w:val="line4"/>
    <w:next w:val="Para"/>
    <w:qFormat/>
    <w:pPr>
      <w:ind w:left="4282" w:right="4282"/>
    </w:pPr>
  </w:style>
  <w:style w:type="paragraph" w:customStyle="1" w:styleId="line8">
    <w:name w:val="line8"/>
    <w:basedOn w:val="line2"/>
    <w:next w:val="Para"/>
    <w:qFormat/>
    <w:pPr>
      <w:ind w:left="4126" w:right="4126"/>
    </w:pPr>
  </w:style>
  <w:style w:type="paragraph" w:customStyle="1" w:styleId="line12">
    <w:name w:val="line12"/>
    <w:basedOn w:val="line2"/>
    <w:next w:val="Para"/>
    <w:qFormat/>
    <w:pPr>
      <w:ind w:left="3614" w:right="3614"/>
    </w:pPr>
  </w:style>
  <w:style w:type="paragraph" w:styleId="Suhaus">
    <w:name w:val="header"/>
    <w:basedOn w:val="Para"/>
    <w:link w:val="SuhausStaf"/>
    <w:uiPriority w:val="99"/>
    <w:unhideWhenUsed/>
    <w:pPr>
      <w:spacing w:after="100" w:line="200" w:lineRule="exact"/>
    </w:pPr>
  </w:style>
  <w:style w:type="character" w:customStyle="1" w:styleId="SuhausStaf">
    <w:name w:val="Síðuhaus Staf"/>
    <w:basedOn w:val="Sjlfgefinleturgermlsgreinar"/>
    <w:link w:val="Suhaus"/>
    <w:uiPriority w:val="99"/>
    <w:rPr>
      <w:rFonts w:ascii="Times New Roman" w:hAnsi="Times New Roman"/>
      <w:sz w:val="18"/>
      <w14:ligatures w14:val="standard"/>
    </w:rPr>
  </w:style>
  <w:style w:type="paragraph" w:styleId="Suftur">
    <w:name w:val="footer"/>
    <w:basedOn w:val="Para"/>
    <w:link w:val="SufturStaf"/>
    <w:uiPriority w:val="99"/>
    <w:unhideWhenUsed/>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Pr>
      <w:rFonts w:ascii="Times New Roman" w:hAnsi="Times New Roman"/>
      <w:sz w:val="18"/>
      <w14:ligatures w14:val="standard"/>
    </w:rPr>
  </w:style>
  <w:style w:type="table" w:styleId="Hnitanettflu">
    <w:name w:val="Table Grid"/>
    <w:basedOn w:val="Tafla-venjuleg"/>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Title"/>
    <w:basedOn w:val="Para"/>
    <w:next w:val="SectionSubTitle"/>
    <w:qFormat/>
    <w:pPr>
      <w:keepNext/>
      <w:keepLines/>
      <w:suppressAutoHyphens/>
      <w:spacing w:line="680" w:lineRule="exact"/>
      <w:jc w:val="center"/>
      <w:outlineLvl w:val="0"/>
    </w:pPr>
    <w:rPr>
      <w:b/>
      <w:caps/>
      <w:color w:val="666666"/>
      <w:sz w:val="72"/>
    </w:rPr>
  </w:style>
  <w:style w:type="paragraph" w:customStyle="1" w:styleId="SectionSubTitle">
    <w:name w:val="SectionSubTitle"/>
    <w:basedOn w:val="Para"/>
    <w:next w:val="MainTitle"/>
    <w:qFormat/>
    <w:pPr>
      <w:keepNext/>
      <w:keepLines/>
      <w:suppressAutoHyphens/>
      <w:spacing w:after="500" w:line="400" w:lineRule="exact"/>
      <w:jc w:val="center"/>
      <w:outlineLvl w:val="1"/>
    </w:pPr>
    <w:rPr>
      <w:b/>
      <w:caps/>
      <w:color w:val="666666"/>
      <w:sz w:val="36"/>
    </w:rPr>
  </w:style>
  <w:style w:type="paragraph" w:customStyle="1" w:styleId="MainTitle">
    <w:name w:val="MainTitle"/>
    <w:basedOn w:val="Para"/>
    <w:qFormat/>
    <w:pPr>
      <w:keepNext/>
      <w:suppressAutoHyphens/>
      <w:spacing w:after="120"/>
      <w:jc w:val="center"/>
      <w:outlineLvl w:val="2"/>
    </w:pPr>
    <w:rPr>
      <w:b/>
    </w:rPr>
  </w:style>
  <w:style w:type="paragraph" w:customStyle="1" w:styleId="MainTitleItalic">
    <w:name w:val="MainTitleItalic"/>
    <w:basedOn w:val="MainTitle"/>
    <w:next w:val="Venjulegur"/>
    <w:qFormat/>
    <w:pPr>
      <w:spacing w:after="240"/>
    </w:pPr>
    <w:rPr>
      <w:b w:val="0"/>
      <w:i/>
    </w:rPr>
  </w:style>
  <w:style w:type="paragraph" w:customStyle="1" w:styleId="PreambleInit">
    <w:name w:val="PreambleInit"/>
    <w:basedOn w:val="ParaSmall"/>
    <w:qFormat/>
    <w:pPr>
      <w:spacing w:before="240" w:after="240"/>
    </w:pPr>
  </w:style>
  <w:style w:type="paragraph" w:customStyle="1" w:styleId="Pa8">
    <w:name w:val="Pa8"/>
    <w:basedOn w:val="Venjulegur"/>
    <w:next w:val="Venjulegur"/>
    <w:uiPriority w:val="99"/>
    <w:pPr>
      <w:autoSpaceDE w:val="0"/>
      <w:autoSpaceDN w:val="0"/>
      <w:adjustRightInd w:val="0"/>
      <w:spacing w:after="0" w:line="241" w:lineRule="atLeast"/>
    </w:pPr>
    <w:rPr>
      <w:rFonts w:cs="Times New Roman"/>
      <w:sz w:val="24"/>
      <w:szCs w:val="24"/>
    </w:rPr>
  </w:style>
  <w:style w:type="paragraph" w:customStyle="1" w:styleId="GrSeq1">
    <w:name w:val="GrSeq1"/>
    <w:basedOn w:val="Para"/>
    <w:qFormat/>
    <w:pPr>
      <w:keepNext/>
      <w:keepLines/>
      <w:tabs>
        <w:tab w:val="left" w:pos="2027"/>
      </w:tabs>
      <w:suppressAutoHyphens/>
      <w:ind w:left="1020" w:hanging="1020"/>
    </w:pPr>
    <w:rPr>
      <w:rFonts w:eastAsia="Times New Roman" w:cs="Times New Roman"/>
      <w:b/>
      <w:bCs/>
      <w:szCs w:val="18"/>
    </w:rPr>
  </w:style>
  <w:style w:type="paragraph" w:customStyle="1" w:styleId="NumberedText">
    <w:name w:val="NumberedText"/>
    <w:basedOn w:val="Para"/>
    <w:qFormat/>
    <w:pPr>
      <w:tabs>
        <w:tab w:val="left" w:pos="2047"/>
      </w:tabs>
      <w:ind w:left="1020" w:hanging="1020"/>
    </w:pPr>
    <w:rPr>
      <w:rFonts w:eastAsia="Times New Roman" w:cs="Times New Roman"/>
      <w:szCs w:val="18"/>
    </w:rPr>
  </w:style>
  <w:style w:type="paragraph" w:styleId="Textineanmlsgreinar">
    <w:name w:val="footnote text"/>
    <w:basedOn w:val="ParaSmall"/>
    <w:link w:val="TextineanmlsgreinarStaf"/>
    <w:uiPriority w:val="99"/>
    <w:semiHidden/>
    <w:unhideWhenUsed/>
    <w:pPr>
      <w:spacing w:after="0"/>
      <w:ind w:left="300" w:hanging="300"/>
    </w:pPr>
    <w:rPr>
      <w:szCs w:val="20"/>
    </w:rPr>
  </w:style>
  <w:style w:type="character" w:customStyle="1" w:styleId="TextineanmlsgreinarStaf">
    <w:name w:val="Texti neðanmálsgreinar Staf"/>
    <w:basedOn w:val="Sjlfgefinleturgermlsgreinar"/>
    <w:link w:val="Textineanmlsgreinar"/>
    <w:uiPriority w:val="99"/>
    <w:semiHidden/>
    <w:rPr>
      <w:rFonts w:ascii="Times New Roman" w:hAnsi="Times New Roman"/>
      <w:sz w:val="16"/>
      <w:szCs w:val="20"/>
      <w14:ligatures w14:val="standard"/>
    </w:rPr>
  </w:style>
  <w:style w:type="character" w:styleId="Tilvsunneanmlsgrein">
    <w:name w:val="footnote reference"/>
    <w:basedOn w:val="Sjlfgefinleturgermlsgreinar"/>
    <w:uiPriority w:val="99"/>
    <w:semiHidden/>
    <w:unhideWhenUsed/>
    <w:rPr>
      <w:rFonts w:ascii="Times New Roman" w:hAnsi="Times New Roman"/>
      <w:b w:val="0"/>
      <w:i w:val="0"/>
      <w:color w:val="auto"/>
      <w:position w:val="-2"/>
      <w:sz w:val="16"/>
      <w:vertAlign w:val="superscript"/>
    </w:rPr>
  </w:style>
  <w:style w:type="paragraph" w:customStyle="1" w:styleId="Footnote">
    <w:name w:val="Footnote"/>
    <w:basedOn w:val="Textineanmlsgreinar"/>
    <w:qFormat/>
    <w:pPr>
      <w:spacing w:line="180" w:lineRule="exact"/>
    </w:pPr>
    <w:rPr>
      <w:rFonts w:eastAsia="Times New Roman" w:cs="Times New Roman"/>
      <w:sz w:val="14"/>
      <w:szCs w:val="14"/>
    </w:rPr>
  </w:style>
  <w:style w:type="paragraph" w:customStyle="1" w:styleId="FooterRule">
    <w:name w:val="FooterRule"/>
    <w:basedOn w:val="Para"/>
    <w:next w:val="Para"/>
    <w:qFormat/>
    <w:pPr>
      <w:tabs>
        <w:tab w:val="left" w:pos="2041"/>
      </w:tabs>
      <w:adjustRightInd w:val="0"/>
      <w:snapToGrid w:val="0"/>
      <w:spacing w:after="20" w:line="200" w:lineRule="exact"/>
      <w:ind w:right="-57"/>
    </w:pPr>
    <w:rPr>
      <w:u w:val="single"/>
    </w:rPr>
  </w:style>
  <w:style w:type="paragraph" w:customStyle="1" w:styleId="PreambleFinal">
    <w:name w:val="PreambleFinal"/>
    <w:basedOn w:val="PreambleInit"/>
    <w:qFormat/>
    <w:pPr>
      <w:spacing w:before="480" w:after="480" w:line="240" w:lineRule="exact"/>
      <w:jc w:val="left"/>
    </w:pPr>
  </w:style>
  <w:style w:type="paragraph" w:customStyle="1" w:styleId="Visas">
    <w:name w:val="Visas"/>
    <w:basedOn w:val="PreambleInit"/>
    <w:qFormat/>
    <w:pPr>
      <w:spacing w:line="240" w:lineRule="exact"/>
    </w:pPr>
    <w:rPr>
      <w:sz w:val="18"/>
    </w:rPr>
  </w:style>
  <w:style w:type="paragraph" w:customStyle="1" w:styleId="GrSeq2">
    <w:name w:val="GrSeq2"/>
    <w:basedOn w:val="GrSeq1"/>
    <w:qFormat/>
    <w:rPr>
      <w:i/>
    </w:rPr>
  </w:style>
  <w:style w:type="paragraph" w:customStyle="1" w:styleId="GrSeq3">
    <w:name w:val="GrSeq3"/>
    <w:basedOn w:val="GrSeq2"/>
    <w:next w:val="Para"/>
    <w:qFormat/>
    <w:rPr>
      <w:b w:val="0"/>
    </w:rPr>
  </w:style>
  <w:style w:type="paragraph" w:customStyle="1" w:styleId="GrSeq4">
    <w:name w:val="GrSeq4"/>
    <w:basedOn w:val="GrSeq3"/>
    <w:next w:val="Para"/>
    <w:qFormat/>
    <w:rPr>
      <w:i w:val="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0">
    <w:name w:val="Pa10"/>
    <w:basedOn w:val="Default"/>
    <w:next w:val="Default"/>
    <w:uiPriority w:val="99"/>
    <w:pPr>
      <w:spacing w:line="241" w:lineRule="atLeast"/>
    </w:pPr>
    <w:rPr>
      <w:color w:val="auto"/>
    </w:rPr>
  </w:style>
  <w:style w:type="paragraph" w:customStyle="1" w:styleId="TableTitle">
    <w:name w:val="TableTitle"/>
    <w:basedOn w:val="Para"/>
    <w:next w:val="Para"/>
    <w:qFormat/>
    <w:pPr>
      <w:keepNext/>
      <w:spacing w:after="120"/>
    </w:pPr>
  </w:style>
  <w:style w:type="paragraph" w:customStyle="1" w:styleId="Pa4">
    <w:name w:val="Pa4"/>
    <w:basedOn w:val="Default"/>
    <w:next w:val="Default"/>
    <w:uiPriority w:val="99"/>
    <w:pPr>
      <w:spacing w:line="241" w:lineRule="atLeast"/>
    </w:pPr>
    <w:rPr>
      <w:color w:val="auto"/>
    </w:rPr>
  </w:style>
  <w:style w:type="paragraph" w:customStyle="1" w:styleId="TableHeader">
    <w:name w:val="TableHeader"/>
    <w:basedOn w:val="Para"/>
    <w:qFormat/>
    <w:pPr>
      <w:spacing w:after="100" w:afterAutospacing="1" w:line="200" w:lineRule="exact"/>
      <w:jc w:val="center"/>
    </w:pPr>
    <w:rPr>
      <w:bCs/>
      <w:sz w:val="16"/>
    </w:rPr>
  </w:style>
  <w:style w:type="paragraph" w:customStyle="1" w:styleId="Pa15">
    <w:name w:val="Pa15"/>
    <w:basedOn w:val="Default"/>
    <w:next w:val="Default"/>
    <w:uiPriority w:val="99"/>
    <w:pPr>
      <w:spacing w:line="221" w:lineRule="atLeast"/>
    </w:pPr>
    <w:rPr>
      <w:color w:val="auto"/>
    </w:rPr>
  </w:style>
  <w:style w:type="paragraph" w:customStyle="1" w:styleId="Pa2">
    <w:name w:val="Pa2"/>
    <w:basedOn w:val="Default"/>
    <w:next w:val="Default"/>
    <w:uiPriority w:val="99"/>
    <w:pPr>
      <w:spacing w:line="241" w:lineRule="atLeast"/>
    </w:pPr>
    <w:rPr>
      <w:color w:val="auto"/>
    </w:rPr>
  </w:style>
  <w:style w:type="paragraph" w:customStyle="1" w:styleId="TableCell">
    <w:name w:val="TableCell"/>
    <w:basedOn w:val="TableHeader"/>
    <w:qFormat/>
    <w:rPr>
      <w:sz w:val="18"/>
    </w:rPr>
  </w:style>
  <w:style w:type="paragraph" w:customStyle="1" w:styleId="Pa16">
    <w:name w:val="Pa16"/>
    <w:basedOn w:val="Default"/>
    <w:next w:val="Default"/>
    <w:uiPriority w:val="99"/>
    <w:pPr>
      <w:spacing w:line="221" w:lineRule="atLeast"/>
    </w:pPr>
    <w:rPr>
      <w:color w:val="auto"/>
    </w:rPr>
  </w:style>
  <w:style w:type="paragraph" w:customStyle="1" w:styleId="TableCellRight">
    <w:name w:val="TableCellRight"/>
    <w:basedOn w:val="TableCell"/>
    <w:qFormat/>
    <w:pPr>
      <w:jc w:val="right"/>
    </w:pPr>
  </w:style>
  <w:style w:type="paragraph" w:customStyle="1" w:styleId="TableCellLeft">
    <w:name w:val="TableCellLeft"/>
    <w:basedOn w:val="TableCell"/>
    <w:qFormat/>
    <w:pPr>
      <w:jc w:val="left"/>
    </w:pPr>
  </w:style>
  <w:style w:type="paragraph" w:customStyle="1" w:styleId="TableGrNotes">
    <w:name w:val="TableGrNotes"/>
    <w:basedOn w:val="Para"/>
    <w:qFormat/>
    <w:pPr>
      <w:spacing w:after="0" w:line="180" w:lineRule="exact"/>
      <w:ind w:left="280" w:hanging="280"/>
    </w:pPr>
    <w:rPr>
      <w:sz w:val="16"/>
    </w:rPr>
  </w:style>
  <w:style w:type="paragraph" w:customStyle="1" w:styleId="NormalSmall">
    <w:name w:val="NormalSmall"/>
    <w:basedOn w:val="Venjulegur"/>
    <w:qFormat/>
    <w:pPr>
      <w:spacing w:after="120" w:line="200" w:lineRule="exact"/>
    </w:pPr>
    <w:rPr>
      <w:sz w:val="16"/>
    </w:rPr>
  </w:style>
  <w:style w:type="paragraph" w:customStyle="1" w:styleId="TIART">
    <w:name w:val="TIART"/>
    <w:basedOn w:val="Para"/>
    <w:qFormat/>
    <w:pPr>
      <w:keepNext/>
      <w:keepLines/>
      <w:suppressAutoHyphens/>
      <w:jc w:val="center"/>
    </w:pPr>
    <w:rPr>
      <w:i/>
    </w:rPr>
  </w:style>
  <w:style w:type="paragraph" w:customStyle="1" w:styleId="STIART">
    <w:name w:val="STIART"/>
    <w:basedOn w:val="Para"/>
    <w:qFormat/>
    <w:pPr>
      <w:keepNext/>
      <w:keepLines/>
      <w:suppressAutoHyphens/>
      <w:jc w:val="center"/>
    </w:pPr>
    <w:rPr>
      <w:b/>
    </w:rPr>
  </w:style>
  <w:style w:type="paragraph" w:customStyle="1" w:styleId="Final">
    <w:name w:val="Final"/>
    <w:basedOn w:val="Para"/>
    <w:qFormat/>
    <w:pPr>
      <w:ind w:left="547" w:right="547"/>
    </w:pPr>
  </w:style>
  <w:style w:type="paragraph" w:customStyle="1" w:styleId="AnnexTI">
    <w:name w:val="AnnexTI"/>
    <w:basedOn w:val="ParaSmall"/>
    <w:qFormat/>
    <w:pPr>
      <w:keepNext/>
      <w:keepLines/>
      <w:suppressAutoHyphens/>
      <w:jc w:val="center"/>
    </w:pPr>
    <w:rPr>
      <w:i/>
    </w:rPr>
  </w:style>
  <w:style w:type="paragraph" w:customStyle="1" w:styleId="AnnexSTI">
    <w:name w:val="AnnexSTI"/>
    <w:basedOn w:val="Para"/>
    <w:qFormat/>
    <w:pPr>
      <w:keepNext/>
      <w:keepLines/>
      <w:suppressAutoHyphens/>
      <w:spacing w:after="400"/>
      <w:jc w:val="center"/>
    </w:pPr>
    <w:rPr>
      <w:b/>
    </w:rPr>
  </w:style>
  <w:style w:type="paragraph" w:customStyle="1" w:styleId="SmallNumberedText">
    <w:name w:val="SmallNumberedText"/>
    <w:basedOn w:val="ParaSmall"/>
    <w:qFormat/>
    <w:pPr>
      <w:ind w:left="280" w:hanging="280"/>
    </w:pPr>
  </w:style>
  <w:style w:type="paragraph" w:customStyle="1" w:styleId="QuoteStart">
    <w:name w:val="QuoteStart"/>
    <w:basedOn w:val="NumberedText"/>
    <w:qFormat/>
    <w:pPr>
      <w:spacing w:after="100" w:afterAutospacing="1"/>
      <w:ind w:left="0" w:firstLine="0"/>
    </w:pPr>
    <w:rPr>
      <w:i/>
    </w:rPr>
  </w:style>
  <w:style w:type="character" w:styleId="Tengill">
    <w:name w:val="Hyperlink"/>
    <w:basedOn w:val="Sjlfgefinleturgermlsgreinar"/>
    <w:uiPriority w:val="99"/>
    <w:unhideWhenUsed/>
    <w:rPr>
      <w:color w:val="0000FF" w:themeColor="hyperlink"/>
      <w:u w:val="none"/>
    </w:rPr>
  </w:style>
  <w:style w:type="paragraph" w:customStyle="1" w:styleId="SNF">
    <w:name w:val="SNF"/>
    <w:basedOn w:val="Para"/>
    <w:qFormat/>
    <w:rPr>
      <w:color w:val="FF0000"/>
    </w:rPr>
  </w:style>
  <w:style w:type="paragraph" w:customStyle="1" w:styleId="QuoteFootnoteRule">
    <w:name w:val="QuoteFootnoteRule"/>
    <w:basedOn w:val="Para"/>
    <w:qFormat/>
    <w:pPr>
      <w:keepNext/>
      <w:keepLines/>
      <w:pBdr>
        <w:bottom w:val="single" w:sz="4" w:space="1" w:color="auto"/>
      </w:pBdr>
      <w:spacing w:after="0" w:line="180" w:lineRule="exact"/>
      <w:ind w:right="8226"/>
    </w:pPr>
  </w:style>
  <w:style w:type="character" w:styleId="Tilvsunathugasemd">
    <w:name w:val="annotation reference"/>
    <w:basedOn w:val="Sjlfgefinleturgermlsgreinar"/>
    <w:uiPriority w:val="99"/>
    <w:semiHidden/>
    <w:unhideWhenUsed/>
    <w:rPr>
      <w:sz w:val="16"/>
      <w:szCs w:val="16"/>
    </w:rPr>
  </w:style>
  <w:style w:type="paragraph" w:styleId="Textiathugasemdar">
    <w:name w:val="annotation text"/>
    <w:basedOn w:val="Venjulegur"/>
    <w:link w:val="TextiathugasemdarStaf"/>
    <w:uiPriority w:val="99"/>
    <w:semiHidden/>
    <w:unhideWhenUsed/>
    <w:pPr>
      <w:spacing w:line="240" w:lineRule="auto"/>
    </w:pPr>
    <w:rPr>
      <w:sz w:val="20"/>
      <w:szCs w:val="20"/>
    </w:rPr>
  </w:style>
  <w:style w:type="character" w:customStyle="1" w:styleId="TextiathugasemdarStaf">
    <w:name w:val="Texti athugasemdar Staf"/>
    <w:basedOn w:val="Sjlfgefinleturgermlsgreinar"/>
    <w:link w:val="Textiathugasemdar"/>
    <w:uiPriority w:val="99"/>
    <w:semiHidden/>
    <w:rPr>
      <w:rFonts w:ascii="Times New Roman" w:hAnsi="Times New Roman"/>
      <w:sz w:val="20"/>
      <w:szCs w:val="20"/>
    </w:rPr>
  </w:style>
  <w:style w:type="paragraph" w:styleId="Efniathugasemdar">
    <w:name w:val="annotation subject"/>
    <w:basedOn w:val="Textiathugasemdar"/>
    <w:next w:val="Textiathugasemdar"/>
    <w:link w:val="EfniathugasemdarStaf"/>
    <w:uiPriority w:val="99"/>
    <w:semiHidden/>
    <w:unhideWhenUsed/>
    <w:rPr>
      <w:b/>
      <w:bCs/>
    </w:rPr>
  </w:style>
  <w:style w:type="character" w:customStyle="1" w:styleId="EfniathugasemdarStaf">
    <w:name w:val="Efni athugasemdar Staf"/>
    <w:basedOn w:val="TextiathugasemdarStaf"/>
    <w:link w:val="Efniathugasemdar"/>
    <w:uiPriority w:val="99"/>
    <w:semiHidden/>
    <w:rPr>
      <w:rFonts w:ascii="Times New Roman" w:hAnsi="Times New Roman"/>
      <w:b/>
      <w:bCs/>
      <w:sz w:val="20"/>
      <w:szCs w:val="20"/>
    </w:rPr>
  </w:style>
  <w:style w:type="paragraph" w:styleId="Endurskoun">
    <w:name w:val="Revision"/>
    <w:hidden/>
    <w:uiPriority w:val="99"/>
    <w:semiHidden/>
    <w:pPr>
      <w:spacing w:after="0" w:line="240" w:lineRule="auto"/>
    </w:pPr>
    <w:rPr>
      <w:rFonts w:ascii="Times New Roman" w:hAnsi="Times New Roman"/>
      <w:sz w:val="18"/>
    </w:rPr>
  </w:style>
  <w:style w:type="paragraph" w:styleId="Blrutexti">
    <w:name w:val="Balloon Text"/>
    <w:basedOn w:val="Venjulegur"/>
    <w:link w:val="BlrutextiStaf"/>
    <w:uiPriority w:val="99"/>
    <w:semiHidden/>
    <w:unhideWhenUsed/>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Pr>
      <w:rFonts w:ascii="Tahoma" w:hAnsi="Tahoma" w:cs="Tahoma"/>
      <w:sz w:val="16"/>
      <w:szCs w:val="16"/>
    </w:rPr>
  </w:style>
  <w:style w:type="paragraph" w:customStyle="1" w:styleId="Consid">
    <w:name w:val="Consid"/>
    <w:basedOn w:val="Para"/>
    <w:qFormat/>
    <w:pPr>
      <w:ind w:left="540" w:hanging="540"/>
    </w:pPr>
  </w:style>
  <w:style w:type="paragraph" w:customStyle="1" w:styleId="ConsidWithoutNumber">
    <w:name w:val="ConsidWithoutNumber"/>
    <w:basedOn w:val="Consid"/>
    <w:qFormat/>
    <w:pPr>
      <w:ind w:left="0" w:firstLine="0"/>
    </w:pPr>
  </w:style>
  <w:style w:type="paragraph" w:customStyle="1" w:styleId="Alinea">
    <w:name w:val="Alinea"/>
    <w:basedOn w:val="Para"/>
    <w:qFormat/>
  </w:style>
  <w:style w:type="paragraph" w:customStyle="1" w:styleId="AlineaWithParag">
    <w:name w:val="AlineaWithParag"/>
    <w:basedOn w:val="Para"/>
    <w:qFormat/>
    <w:pPr>
      <w:tabs>
        <w:tab w:val="left" w:pos="400"/>
      </w:tabs>
    </w:pPr>
  </w:style>
  <w:style w:type="paragraph" w:customStyle="1" w:styleId="SignatoryItalic">
    <w:name w:val="SignatoryItalic"/>
    <w:basedOn w:val="Para"/>
    <w:qFormat/>
    <w:pPr>
      <w:spacing w:after="60"/>
      <w:jc w:val="center"/>
    </w:pPr>
    <w:rPr>
      <w:i/>
    </w:rPr>
  </w:style>
  <w:style w:type="paragraph" w:customStyle="1" w:styleId="Signatory">
    <w:name w:val="Signatory"/>
    <w:basedOn w:val="Para"/>
    <w:qFormat/>
    <w:pPr>
      <w:keepNext/>
      <w:keepLines/>
      <w:suppressAutoHyphens/>
      <w:spacing w:after="60"/>
      <w:jc w:val="center"/>
    </w:pPr>
  </w:style>
  <w:style w:type="paragraph" w:customStyle="1" w:styleId="TIARTquoted">
    <w:name w:val="TIART_quoted"/>
    <w:basedOn w:val="TIART"/>
    <w:qFormat/>
    <w:pPr>
      <w:jc w:val="left"/>
    </w:pPr>
  </w:style>
  <w:style w:type="paragraph" w:customStyle="1" w:styleId="STIARTquoted">
    <w:name w:val="STIART_quoted"/>
    <w:basedOn w:val="STIART"/>
    <w:qFormat/>
    <w:pPr>
      <w:jc w:val="left"/>
    </w:pPr>
  </w:style>
  <w:style w:type="paragraph" w:customStyle="1" w:styleId="MainTitleRoman">
    <w:name w:val="MainTitleRoman"/>
    <w:basedOn w:val="MainTitle"/>
    <w:qFormat/>
    <w:rPr>
      <w:b w:val="0"/>
    </w:rPr>
  </w:style>
  <w:style w:type="paragraph" w:customStyle="1" w:styleId="MainTitleSmall">
    <w:name w:val="MainTitleSmall"/>
    <w:basedOn w:val="MainTitle"/>
    <w:qFormat/>
    <w:pPr>
      <w:spacing w:line="200" w:lineRule="exact"/>
    </w:pPr>
    <w:rPr>
      <w:sz w:val="16"/>
    </w:rPr>
  </w:style>
  <w:style w:type="paragraph" w:customStyle="1" w:styleId="MainTitleRomanSmall">
    <w:name w:val="MainTitleRomanSmall"/>
    <w:basedOn w:val="MainTitleSmall"/>
    <w:qFormat/>
    <w:rPr>
      <w:b w:val="0"/>
    </w:rPr>
  </w:style>
  <w:style w:type="paragraph" w:customStyle="1" w:styleId="Formula">
    <w:name w:val="Formula"/>
    <w:basedOn w:val="Para"/>
    <w:qFormat/>
    <w:pPr>
      <w:spacing w:line="240" w:lineRule="auto"/>
    </w:pPr>
    <w:rPr>
      <w:rFonts w:ascii="Cambria Math" w:hAnsi="Cambria Math"/>
    </w:rPr>
  </w:style>
  <w:style w:type="paragraph" w:customStyle="1" w:styleId="FormulaSmall">
    <w:name w:val="FormulaSmall"/>
    <w:basedOn w:val="Formula"/>
    <w:qFormat/>
    <w:rPr>
      <w:rFonts w:eastAsiaTheme="minorEastAsia"/>
      <w:sz w:val="16"/>
    </w:rPr>
  </w:style>
  <w:style w:type="table" w:customStyle="1" w:styleId="EFTATable">
    <w:name w:val="EFTATable"/>
    <w:basedOn w:val="Tafla-venjuleg"/>
    <w:uiPriority w:val="99"/>
    <w:pPr>
      <w:spacing w:after="0" w:line="200" w:lineRule="exact"/>
    </w:pPr>
    <w:rPr>
      <w:rFonts w:ascii="Times New Roman" w:hAnsi="Times New Roman"/>
      <w:sz w:val="16"/>
    </w:rPr>
    <w:tblPr>
      <w:tblBorders>
        <w:top w:val="single" w:sz="4" w:space="0" w:color="auto"/>
        <w:bottom w:val="single" w:sz="4" w:space="0" w:color="auto"/>
        <w:insideH w:val="single" w:sz="4" w:space="0" w:color="auto"/>
        <w:insideV w:val="single" w:sz="4" w:space="0" w:color="auto"/>
      </w:tblBorders>
      <w:tblCellMar>
        <w:top w:w="20" w:type="dxa"/>
        <w:left w:w="40" w:type="dxa"/>
        <w:bottom w:w="20" w:type="dxa"/>
        <w:right w:w="40" w:type="dxa"/>
      </w:tblCellMar>
    </w:tblPr>
  </w:style>
  <w:style w:type="paragraph" w:customStyle="1" w:styleId="TableTIGrNotes">
    <w:name w:val="TableTIGrNotes"/>
    <w:basedOn w:val="TableGrNotes"/>
    <w:qFormat/>
    <w:pPr>
      <w:spacing w:after="120"/>
    </w:pPr>
  </w:style>
  <w:style w:type="paragraph" w:customStyle="1" w:styleId="TableGrAnnotations">
    <w:name w:val="TableGrAnnotations"/>
    <w:basedOn w:val="ParaSmall"/>
    <w:qFormat/>
    <w:pPr>
      <w:spacing w:after="0" w:line="180" w:lineRule="exact"/>
    </w:pPr>
    <w:rPr>
      <w:sz w:val="14"/>
    </w:rPr>
  </w:style>
  <w:style w:type="paragraph" w:customStyle="1" w:styleId="FigureTI">
    <w:name w:val="FigureTI"/>
    <w:basedOn w:val="Para"/>
    <w:qFormat/>
    <w:pPr>
      <w:keepNext/>
      <w:keepLines/>
      <w:suppressAutoHyphens/>
      <w:jc w:val="center"/>
    </w:pPr>
    <w:rPr>
      <w:i/>
    </w:rPr>
  </w:style>
  <w:style w:type="paragraph" w:customStyle="1" w:styleId="FigureSTI">
    <w:name w:val="FigureSTI"/>
    <w:basedOn w:val="Para"/>
    <w:qFormat/>
    <w:pPr>
      <w:keepNext/>
      <w:keepLines/>
      <w:suppressAutoHyphens/>
      <w:jc w:val="center"/>
    </w:pPr>
    <w:rPr>
      <w:b/>
    </w:rPr>
  </w:style>
  <w:style w:type="paragraph" w:customStyle="1" w:styleId="FigureTISmall">
    <w:name w:val="FigureTISmall"/>
    <w:basedOn w:val="ParaSmall"/>
    <w:qFormat/>
    <w:pPr>
      <w:keepNext/>
      <w:keepLines/>
      <w:suppressAutoHyphens/>
      <w:jc w:val="center"/>
    </w:pPr>
    <w:rPr>
      <w:i/>
    </w:rPr>
  </w:style>
  <w:style w:type="paragraph" w:customStyle="1" w:styleId="FigureSTISmall">
    <w:name w:val="FigureSTISmall"/>
    <w:basedOn w:val="ParaSmall"/>
    <w:qFormat/>
    <w:pPr>
      <w:keepNext/>
      <w:keepLines/>
      <w:suppressAutoHyphens/>
      <w:jc w:val="center"/>
    </w:pPr>
    <w:rPr>
      <w:b/>
    </w:rPr>
  </w:style>
  <w:style w:type="paragraph" w:customStyle="1" w:styleId="AnnexNumberedText">
    <w:name w:val="AnnexNumberedText"/>
    <w:basedOn w:val="AnnexNormal"/>
    <w:qFormat/>
    <w:pPr>
      <w:spacing w:after="120"/>
      <w:ind w:left="280" w:hanging="280"/>
    </w:pPr>
  </w:style>
  <w:style w:type="paragraph" w:customStyle="1" w:styleId="AnnexNormal">
    <w:name w:val="AnnexNormal"/>
    <w:basedOn w:val="Para"/>
    <w:qFormat/>
  </w:style>
  <w:style w:type="paragraph" w:customStyle="1" w:styleId="AnnexGrSeq4">
    <w:name w:val="AnnexGrSeq4"/>
    <w:basedOn w:val="ParaSmall"/>
    <w:qFormat/>
    <w:pPr>
      <w:keepNext/>
      <w:keepLines/>
      <w:suppressAutoHyphens/>
      <w:jc w:val="center"/>
    </w:pPr>
  </w:style>
  <w:style w:type="paragraph" w:customStyle="1" w:styleId="AnnexTableCellLeft">
    <w:name w:val="AnnexTableCellLeft"/>
    <w:basedOn w:val="Para"/>
    <w:qFormat/>
    <w:pPr>
      <w:spacing w:after="0"/>
    </w:pPr>
  </w:style>
  <w:style w:type="paragraph" w:customStyle="1" w:styleId="AnnexTableHeader">
    <w:name w:val="AnnexTableHeader"/>
    <w:basedOn w:val="Para"/>
    <w:qFormat/>
    <w:pPr>
      <w:spacing w:after="0"/>
      <w:jc w:val="center"/>
    </w:pPr>
    <w:rPr>
      <w:sz w:val="16"/>
    </w:rPr>
  </w:style>
  <w:style w:type="paragraph" w:customStyle="1" w:styleId="AnnexTableGrNotes">
    <w:name w:val="AnnexTableGrNotes"/>
    <w:basedOn w:val="Para"/>
    <w:qFormat/>
    <w:pPr>
      <w:spacing w:after="0" w:line="220" w:lineRule="exact"/>
      <w:ind w:left="280" w:hanging="280"/>
    </w:pPr>
    <w:rPr>
      <w:sz w:val="16"/>
    </w:rPr>
  </w:style>
  <w:style w:type="paragraph" w:customStyle="1" w:styleId="AnnexTableGrAnnotations">
    <w:name w:val="AnnexTableGrAnnotations"/>
    <w:basedOn w:val="AnnexTableGrNotes"/>
    <w:qFormat/>
    <w:pPr>
      <w:ind w:left="0" w:firstLine="0"/>
    </w:pPr>
  </w:style>
  <w:style w:type="paragraph" w:customStyle="1" w:styleId="AnnexTableCell">
    <w:name w:val="AnnexTableCell"/>
    <w:basedOn w:val="Para"/>
    <w:qFormat/>
    <w:pPr>
      <w:spacing w:after="0"/>
      <w:jc w:val="center"/>
    </w:pPr>
  </w:style>
  <w:style w:type="paragraph" w:customStyle="1" w:styleId="Style1">
    <w:name w:val="Style1"/>
    <w:basedOn w:val="AnnexTableCell"/>
    <w:qFormat/>
  </w:style>
  <w:style w:type="paragraph" w:customStyle="1" w:styleId="AnnexTableCellRight">
    <w:name w:val="AnnexTableCellRight"/>
    <w:basedOn w:val="AnnexTableCell"/>
    <w:qFormat/>
    <w:pPr>
      <w:jc w:val="right"/>
    </w:pPr>
  </w:style>
  <w:style w:type="paragraph" w:customStyle="1" w:styleId="AnnexGrSeq1">
    <w:name w:val="AnnexGrSeq1"/>
    <w:basedOn w:val="ParaSmall"/>
    <w:qFormat/>
    <w:pPr>
      <w:keepNext/>
      <w:keepLines/>
      <w:suppressAutoHyphens/>
      <w:jc w:val="center"/>
    </w:pPr>
  </w:style>
  <w:style w:type="paragraph" w:customStyle="1" w:styleId="AnnexGrSeq2">
    <w:name w:val="AnnexGrSeq2"/>
    <w:basedOn w:val="AnnexGrSeq1"/>
    <w:qFormat/>
    <w:pPr>
      <w:spacing w:line="240" w:lineRule="exact"/>
    </w:pPr>
    <w:rPr>
      <w:sz w:val="18"/>
    </w:rPr>
  </w:style>
  <w:style w:type="paragraph" w:customStyle="1" w:styleId="AnnexGrSeq3">
    <w:name w:val="AnnexGrSeq3"/>
    <w:basedOn w:val="AnnexGrSeq2"/>
    <w:qFormat/>
  </w:style>
  <w:style w:type="paragraph" w:customStyle="1" w:styleId="AnnexAlinea">
    <w:name w:val="AnnexAlinea"/>
    <w:basedOn w:val="ParaSmall"/>
    <w:qFormat/>
  </w:style>
  <w:style w:type="paragraph" w:customStyle="1" w:styleId="AnnexAlineaWithParag">
    <w:name w:val="AnnexAlineaWithParag"/>
    <w:basedOn w:val="AnnexNormal"/>
    <w:qFormat/>
    <w:pPr>
      <w:tabs>
        <w:tab w:val="left" w:pos="400"/>
      </w:tabs>
    </w:pPr>
  </w:style>
  <w:style w:type="paragraph" w:customStyle="1" w:styleId="AnnexTIART">
    <w:name w:val="AnnexTIART"/>
    <w:basedOn w:val="ParaSmall"/>
    <w:qFormat/>
    <w:pPr>
      <w:keepNext/>
      <w:keepLines/>
      <w:suppressAutoHyphens/>
      <w:jc w:val="center"/>
    </w:pPr>
    <w:rPr>
      <w:i/>
    </w:rPr>
  </w:style>
  <w:style w:type="paragraph" w:customStyle="1" w:styleId="AnnexSTIART">
    <w:name w:val="AnnexSTIART"/>
    <w:basedOn w:val="AnnexTIART"/>
    <w:qFormat/>
    <w:rPr>
      <w:b/>
      <w:i w:val="0"/>
    </w:rPr>
  </w:style>
  <w:style w:type="paragraph" w:customStyle="1" w:styleId="AnnexDivisionTI">
    <w:name w:val="AnnexDivisionTI"/>
    <w:basedOn w:val="ParaSmall"/>
    <w:qFormat/>
    <w:pPr>
      <w:keepNext/>
      <w:keepLines/>
      <w:suppressAutoHyphens/>
      <w:jc w:val="center"/>
    </w:pPr>
  </w:style>
  <w:style w:type="paragraph" w:customStyle="1" w:styleId="AnnexDivisionSTI">
    <w:name w:val="AnnexDivisionSTI"/>
    <w:basedOn w:val="ParaSmall"/>
    <w:qFormat/>
    <w:pPr>
      <w:keepNext/>
      <w:keepLines/>
      <w:suppressAutoHyphens/>
      <w:jc w:val="center"/>
    </w:pPr>
  </w:style>
  <w:style w:type="paragraph" w:customStyle="1" w:styleId="DivConsidTIlt51">
    <w:name w:val="DivConsidTIlt51"/>
    <w:basedOn w:val="Para"/>
    <w:qFormat/>
    <w:pPr>
      <w:keepNext/>
      <w:keepLines/>
      <w:suppressAutoHyphens/>
      <w:jc w:val="center"/>
    </w:pPr>
    <w:rPr>
      <w:caps/>
      <w:sz w:val="16"/>
    </w:rPr>
  </w:style>
  <w:style w:type="paragraph" w:customStyle="1" w:styleId="DivConsidSTIlt51">
    <w:name w:val="DivConsidSTIlt51"/>
    <w:basedOn w:val="Para"/>
    <w:qFormat/>
    <w:pPr>
      <w:keepNext/>
      <w:keepLines/>
      <w:suppressAutoHyphens/>
      <w:jc w:val="center"/>
    </w:pPr>
    <w:rPr>
      <w:b/>
    </w:rPr>
  </w:style>
  <w:style w:type="paragraph" w:customStyle="1" w:styleId="AnnexFigureSTI">
    <w:name w:val="AnnexFigureSTI"/>
    <w:basedOn w:val="ParaSmall"/>
    <w:qFormat/>
    <w:pPr>
      <w:keepNext/>
      <w:keepLines/>
      <w:suppressAutoHyphens/>
      <w:jc w:val="center"/>
    </w:pPr>
    <w:rPr>
      <w:b/>
    </w:rPr>
  </w:style>
  <w:style w:type="paragraph" w:customStyle="1" w:styleId="AnnexFigureTI">
    <w:name w:val="AnnexFigureTI"/>
    <w:basedOn w:val="ParaSmall"/>
    <w:qFormat/>
    <w:pPr>
      <w:keepNext/>
      <w:keepLines/>
      <w:suppressAutoHyphens/>
      <w:jc w:val="center"/>
    </w:pPr>
    <w:rPr>
      <w:i/>
    </w:rPr>
  </w:style>
  <w:style w:type="paragraph" w:customStyle="1" w:styleId="Para">
    <w:name w:val="Para"/>
    <w:qFormat/>
    <w:pPr>
      <w:spacing w:line="240" w:lineRule="exact"/>
      <w:jc w:val="both"/>
    </w:pPr>
    <w:rPr>
      <w:rFonts w:ascii="Times New Roman" w:hAnsi="Times New Roman"/>
      <w:sz w:val="18"/>
      <w14:ligatures w14:val="standard"/>
    </w:rPr>
  </w:style>
  <w:style w:type="paragraph" w:customStyle="1" w:styleId="ParaSmall">
    <w:name w:val="ParaSmall"/>
    <w:basedOn w:val="Para"/>
    <w:qFormat/>
    <w:pPr>
      <w:spacing w:line="200" w:lineRule="exact"/>
    </w:pPr>
    <w:rPr>
      <w:sz w:val="16"/>
    </w:rPr>
  </w:style>
  <w:style w:type="paragraph" w:styleId="Tilvitnun">
    <w:name w:val="Quote"/>
    <w:basedOn w:val="Para"/>
    <w:next w:val="Para"/>
    <w:link w:val="TilvitnunStaf"/>
    <w:uiPriority w:val="29"/>
    <w:qFormat/>
    <w:rPr>
      <w:i/>
      <w:iCs/>
      <w:color w:val="000000" w:themeColor="text1"/>
    </w:rPr>
  </w:style>
  <w:style w:type="character" w:customStyle="1" w:styleId="TilvitnunStaf">
    <w:name w:val="Tilvitnun Staf"/>
    <w:basedOn w:val="Sjlfgefinleturgermlsgreinar"/>
    <w:link w:val="Tilvitnun"/>
    <w:uiPriority w:val="29"/>
    <w:rPr>
      <w:rFonts w:ascii="Times New Roman" w:hAnsi="Times New Roman"/>
      <w:i/>
      <w:iCs/>
      <w:color w:val="000000" w:themeColor="text1"/>
      <w:sz w:val="18"/>
      <w14:ligatures w14:val="standard"/>
    </w:rPr>
  </w:style>
  <w:style w:type="paragraph" w:customStyle="1" w:styleId="SequenceNumber">
    <w:name w:val="SequenceNumber"/>
    <w:basedOn w:val="Para"/>
    <w:qFormat/>
    <w:pPr>
      <w:jc w:val="right"/>
    </w:pPr>
    <w:rPr>
      <w:b/>
    </w:rPr>
  </w:style>
  <w:style w:type="paragraph" w:customStyle="1" w:styleId="SignatorySmall">
    <w:name w:val="SignatorySmall"/>
    <w:basedOn w:val="ParaSmall"/>
    <w:qFormat/>
    <w:pPr>
      <w:spacing w:after="60"/>
      <w:jc w:val="center"/>
    </w:pPr>
  </w:style>
  <w:style w:type="paragraph" w:customStyle="1" w:styleId="SignatoryItalicSmall">
    <w:name w:val="SignatoryItalicSmall"/>
    <w:basedOn w:val="SignatorySmall"/>
    <w:qFormat/>
    <w:rPr>
      <w:i/>
    </w:rPr>
  </w:style>
  <w:style w:type="paragraph" w:customStyle="1" w:styleId="GrSeq5">
    <w:name w:val="GrSeq5"/>
    <w:basedOn w:val="GrSeq1"/>
    <w:qFormat/>
    <w:rPr>
      <w:b w:val="0"/>
    </w:rPr>
  </w:style>
  <w:style w:type="paragraph" w:customStyle="1" w:styleId="GrSeq6">
    <w:name w:val="GrSeq6"/>
    <w:basedOn w:val="GrSeq5"/>
    <w:qFormat/>
  </w:style>
  <w:style w:type="paragraph" w:customStyle="1" w:styleId="GrSeq7">
    <w:name w:val="GrSeq7"/>
    <w:basedOn w:val="GrSeq6"/>
    <w:qFormat/>
  </w:style>
  <w:style w:type="paragraph" w:customStyle="1" w:styleId="AnnexGrSeq5">
    <w:name w:val="AnnexGrSeq5"/>
    <w:basedOn w:val="AnnexGrSeq4"/>
    <w:qFormat/>
    <w:pPr>
      <w:spacing w:line="240" w:lineRule="exact"/>
    </w:pPr>
    <w:rPr>
      <w:sz w:val="18"/>
    </w:rPr>
  </w:style>
  <w:style w:type="paragraph" w:customStyle="1" w:styleId="AnnexGrSeq6">
    <w:name w:val="AnnexGrSeq6"/>
    <w:basedOn w:val="AnnexGrSeq5"/>
    <w:qFormat/>
  </w:style>
  <w:style w:type="paragraph" w:customStyle="1" w:styleId="AnnexGrSeq7">
    <w:name w:val="AnnexGrSeq7"/>
    <w:basedOn w:val="AnnexGrSeq6"/>
    <w:qFormat/>
  </w:style>
  <w:style w:type="paragraph" w:customStyle="1" w:styleId="AnnexQuoteFootnoteRule">
    <w:name w:val="AnnexQuoteFootnoteRule"/>
    <w:basedOn w:val="AnnexNormal"/>
    <w:qFormat/>
    <w:pPr>
      <w:pBdr>
        <w:bottom w:val="single" w:sz="4" w:space="1" w:color="auto"/>
      </w:pBdr>
      <w:spacing w:after="0"/>
      <w:ind w:right="7500"/>
    </w:pPr>
  </w:style>
  <w:style w:type="paragraph" w:customStyle="1" w:styleId="RotatedHeader">
    <w:name w:val="RotatedHeader"/>
    <w:basedOn w:val="Suhaus"/>
    <w:qFormat/>
    <w:pPr>
      <w:pBdr>
        <w:bottom w:val="single" w:sz="4" w:space="6" w:color="auto"/>
      </w:pBdr>
      <w:tabs>
        <w:tab w:val="center" w:pos="4848"/>
        <w:tab w:val="right" w:pos="9611"/>
      </w:tabs>
      <w:spacing w:after="120"/>
    </w:pPr>
  </w:style>
  <w:style w:type="paragraph" w:customStyle="1" w:styleId="DivConsidTIlt52">
    <w:name w:val="DivConsidTIlt52"/>
    <w:basedOn w:val="Para"/>
    <w:qFormat/>
    <w:pPr>
      <w:keepNext/>
      <w:keepLines/>
      <w:suppressAutoHyphens/>
      <w:jc w:val="center"/>
    </w:pPr>
    <w:rPr>
      <w:caps/>
      <w:sz w:val="16"/>
    </w:rPr>
  </w:style>
  <w:style w:type="paragraph" w:customStyle="1" w:styleId="DivConsidSTIlt52">
    <w:name w:val="DivConsidSTIlt52"/>
    <w:basedOn w:val="Para"/>
    <w:qFormat/>
    <w:pPr>
      <w:keepNext/>
      <w:suppressAutoHyphens/>
      <w:jc w:val="center"/>
    </w:pPr>
    <w:rPr>
      <w:b/>
    </w:rPr>
  </w:style>
  <w:style w:type="paragraph" w:customStyle="1" w:styleId="DivConsidTIlt53">
    <w:name w:val="DivConsidTIlt53"/>
    <w:basedOn w:val="Para"/>
    <w:qFormat/>
    <w:pPr>
      <w:keepNext/>
      <w:keepLines/>
      <w:suppressAutoHyphens/>
      <w:jc w:val="left"/>
    </w:pPr>
  </w:style>
  <w:style w:type="paragraph" w:customStyle="1" w:styleId="DivConsidSTIlt53">
    <w:name w:val="DivConsidSTIlt53"/>
    <w:basedOn w:val="Para"/>
    <w:qFormat/>
    <w:pPr>
      <w:keepNext/>
      <w:keepLines/>
      <w:suppressAutoHyphens/>
      <w:jc w:val="left"/>
    </w:pPr>
  </w:style>
  <w:style w:type="paragraph" w:customStyle="1" w:styleId="DivConsidTIlt54">
    <w:name w:val="DivConsidTIlt54"/>
    <w:basedOn w:val="Para"/>
    <w:qFormat/>
    <w:pPr>
      <w:keepNext/>
      <w:keepLines/>
      <w:suppressAutoHyphens/>
      <w:jc w:val="left"/>
    </w:pPr>
  </w:style>
  <w:style w:type="paragraph" w:customStyle="1" w:styleId="DivConsidSTIlt54">
    <w:name w:val="DivConsidSTIlt54"/>
    <w:basedOn w:val="Para"/>
    <w:qFormat/>
    <w:pPr>
      <w:keepNext/>
      <w:keepLines/>
      <w:suppressAutoHyphens/>
      <w:jc w:val="left"/>
    </w:pPr>
  </w:style>
  <w:style w:type="paragraph" w:customStyle="1" w:styleId="DivConsidTIgt51">
    <w:name w:val="DivConsidTIgt51"/>
    <w:basedOn w:val="Para"/>
    <w:qFormat/>
    <w:pPr>
      <w:jc w:val="center"/>
    </w:pPr>
    <w:rPr>
      <w:caps/>
      <w:sz w:val="16"/>
    </w:rPr>
  </w:style>
  <w:style w:type="paragraph" w:customStyle="1" w:styleId="DivConsidSTIgt55">
    <w:name w:val="DivConsidSTIgt55"/>
    <w:basedOn w:val="Para"/>
    <w:qFormat/>
    <w:pPr>
      <w:jc w:val="left"/>
    </w:pPr>
  </w:style>
  <w:style w:type="paragraph" w:customStyle="1" w:styleId="DivConsidTIgt56">
    <w:name w:val="DivConsidTIgt56"/>
    <w:basedOn w:val="Para"/>
    <w:qFormat/>
    <w:pPr>
      <w:keepNext/>
      <w:keepLines/>
      <w:suppressAutoHyphens/>
      <w:jc w:val="left"/>
    </w:pPr>
  </w:style>
  <w:style w:type="paragraph" w:customStyle="1" w:styleId="DivConsidSTIgt56">
    <w:name w:val="DivConsidSTIgt56"/>
    <w:basedOn w:val="Para"/>
    <w:qFormat/>
    <w:pPr>
      <w:jc w:val="left"/>
    </w:pPr>
  </w:style>
  <w:style w:type="paragraph" w:customStyle="1" w:styleId="DivConsidTIgt57">
    <w:name w:val="DivConsidTIgt57"/>
    <w:basedOn w:val="DivConsidTIgt56"/>
    <w:qFormat/>
  </w:style>
  <w:style w:type="paragraph" w:customStyle="1" w:styleId="DivConsidSTIgt57">
    <w:name w:val="DivConsidSTIgt57"/>
    <w:basedOn w:val="DivConsidSTIgt56"/>
    <w:qFormat/>
  </w:style>
  <w:style w:type="paragraph" w:customStyle="1" w:styleId="DivConsidTIgt58">
    <w:name w:val="DivConsidTIgt58"/>
    <w:basedOn w:val="DivConsidTIgt57"/>
    <w:qFormat/>
  </w:style>
  <w:style w:type="paragraph" w:customStyle="1" w:styleId="DivConsidSTIgt58">
    <w:name w:val="DivConsidSTIgt58"/>
    <w:basedOn w:val="DivConsidSTIgt57"/>
    <w:qFormat/>
  </w:style>
  <w:style w:type="paragraph" w:customStyle="1" w:styleId="DivisionTI1">
    <w:name w:val="DivisionTI1"/>
    <w:basedOn w:val="Para"/>
    <w:qFormat/>
    <w:pPr>
      <w:keepNext/>
      <w:keepLines/>
      <w:suppressAutoHyphens/>
      <w:jc w:val="center"/>
    </w:pPr>
    <w:rPr>
      <w:caps/>
      <w:sz w:val="16"/>
    </w:rPr>
  </w:style>
  <w:style w:type="paragraph" w:customStyle="1" w:styleId="DivisionSTI1">
    <w:name w:val="DivisionSTI1"/>
    <w:basedOn w:val="Para"/>
    <w:qFormat/>
    <w:pPr>
      <w:keepNext/>
      <w:keepLines/>
      <w:suppressAutoHyphens/>
      <w:jc w:val="center"/>
    </w:pPr>
  </w:style>
  <w:style w:type="paragraph" w:customStyle="1" w:styleId="DivisionTI2">
    <w:name w:val="DivisionTI2"/>
    <w:basedOn w:val="Para"/>
    <w:qFormat/>
    <w:pPr>
      <w:keepNext/>
      <w:keepLines/>
      <w:suppressAutoHyphens/>
      <w:jc w:val="center"/>
    </w:pPr>
  </w:style>
  <w:style w:type="paragraph" w:customStyle="1" w:styleId="DivisionSTI2">
    <w:name w:val="DivisionSTI2"/>
    <w:basedOn w:val="Para"/>
    <w:qFormat/>
    <w:pPr>
      <w:keepNext/>
      <w:keepLines/>
      <w:suppressAutoHyphens/>
      <w:jc w:val="center"/>
    </w:pPr>
  </w:style>
  <w:style w:type="paragraph" w:customStyle="1" w:styleId="DivisionTI3">
    <w:name w:val="DivisionTI3"/>
    <w:basedOn w:val="Para"/>
    <w:qFormat/>
    <w:pPr>
      <w:keepNext/>
      <w:keepLines/>
      <w:suppressAutoHyphens/>
      <w:jc w:val="left"/>
    </w:pPr>
  </w:style>
  <w:style w:type="paragraph" w:customStyle="1" w:styleId="DivisionSTI3">
    <w:name w:val="DivisionSTI3"/>
    <w:basedOn w:val="Para"/>
    <w:qFormat/>
    <w:pPr>
      <w:keepNext/>
      <w:keepLines/>
      <w:suppressAutoHyphens/>
      <w:jc w:val="left"/>
    </w:pPr>
  </w:style>
  <w:style w:type="paragraph" w:customStyle="1" w:styleId="DivisionTI4">
    <w:name w:val="DivisionTI4"/>
    <w:basedOn w:val="DivisionTI3"/>
    <w:qFormat/>
  </w:style>
  <w:style w:type="paragraph" w:customStyle="1" w:styleId="DivisionSTI4">
    <w:name w:val="DivisionSTI4"/>
    <w:basedOn w:val="DivisionSTI3"/>
    <w:qFormat/>
  </w:style>
  <w:style w:type="paragraph" w:customStyle="1" w:styleId="DivisionTI5">
    <w:name w:val="DivisionTI5"/>
    <w:basedOn w:val="DivisionTI4"/>
    <w:qFormat/>
  </w:style>
  <w:style w:type="paragraph" w:customStyle="1" w:styleId="DivisionSTI5">
    <w:name w:val="DivisionSTI5"/>
    <w:basedOn w:val="DivisionSTI4"/>
    <w:qFormat/>
  </w:style>
  <w:style w:type="paragraph" w:customStyle="1" w:styleId="DivisionTI6">
    <w:name w:val="DivisionTI6"/>
    <w:basedOn w:val="DivisionTI5"/>
    <w:qFormat/>
  </w:style>
  <w:style w:type="paragraph" w:customStyle="1" w:styleId="DivisionSTI6">
    <w:name w:val="DivisionSTI6"/>
    <w:basedOn w:val="DivisionSTI5"/>
    <w:qFormat/>
  </w:style>
  <w:style w:type="paragraph" w:customStyle="1" w:styleId="DivisionTI7">
    <w:name w:val="DivisionTI7"/>
    <w:basedOn w:val="DivisionTI6"/>
    <w:qFormat/>
  </w:style>
  <w:style w:type="paragraph" w:customStyle="1" w:styleId="DivisionSTI7">
    <w:name w:val="DivisionSTI7"/>
    <w:basedOn w:val="DivisionSTI6"/>
    <w:qFormat/>
  </w:style>
  <w:style w:type="paragraph" w:customStyle="1" w:styleId="DivisionTI8">
    <w:name w:val="DivisionTI8"/>
    <w:basedOn w:val="DivisionTI7"/>
    <w:qFormat/>
  </w:style>
  <w:style w:type="paragraph" w:customStyle="1" w:styleId="DivisionSTI8">
    <w:name w:val="DivisionSTI8"/>
    <w:basedOn w:val="DivisionSTI7"/>
    <w:qFormat/>
  </w:style>
  <w:style w:type="paragraph" w:customStyle="1" w:styleId="DivConsidSTIgt51">
    <w:name w:val="DivConsidSTIgt51"/>
    <w:basedOn w:val="DivConsidSTIgt55"/>
    <w:qFormat/>
    <w:pPr>
      <w:jc w:val="center"/>
    </w:pPr>
    <w:rPr>
      <w:sz w:val="16"/>
    </w:rPr>
  </w:style>
  <w:style w:type="paragraph" w:customStyle="1" w:styleId="DivConsidTIgt52">
    <w:name w:val="DivConsidTIgt52"/>
    <w:basedOn w:val="DivConsidTIgt51"/>
    <w:qFormat/>
  </w:style>
  <w:style w:type="paragraph" w:customStyle="1" w:styleId="DivConsidSTIgt52">
    <w:name w:val="DivConsidSTIgt52"/>
    <w:basedOn w:val="DivConsidSTIgt51"/>
    <w:qFormat/>
  </w:style>
  <w:style w:type="paragraph" w:customStyle="1" w:styleId="DivConsidTIgt53">
    <w:name w:val="DivConsidTIgt53"/>
    <w:basedOn w:val="DivConsidTIgt51"/>
    <w:qFormat/>
    <w:pPr>
      <w:jc w:val="left"/>
    </w:pPr>
  </w:style>
  <w:style w:type="paragraph" w:customStyle="1" w:styleId="DivConsidSTIgt53">
    <w:name w:val="DivConsidSTIgt53"/>
    <w:basedOn w:val="DivConsidSTIgt55"/>
    <w:qFormat/>
  </w:style>
  <w:style w:type="paragraph" w:customStyle="1" w:styleId="DivConsidTIgt54">
    <w:name w:val="DivConsidTIgt54"/>
    <w:basedOn w:val="DivConsidTIgt51"/>
    <w:qFormat/>
    <w:pPr>
      <w:jc w:val="left"/>
    </w:pPr>
    <w:rPr>
      <w:sz w:val="18"/>
    </w:rPr>
  </w:style>
  <w:style w:type="paragraph" w:customStyle="1" w:styleId="DivConsidSTIgt54">
    <w:name w:val="DivConsidSTIgt54"/>
    <w:basedOn w:val="DivConsidSTIgt55"/>
    <w:qFormat/>
  </w:style>
  <w:style w:type="paragraph" w:customStyle="1" w:styleId="DivConsidTIgt55">
    <w:name w:val="DivConsidTIgt55"/>
    <w:basedOn w:val="DivConsidTIgt51"/>
    <w:qFormat/>
    <w:pPr>
      <w:jc w:val="left"/>
    </w:pPr>
  </w:style>
  <w:style w:type="paragraph" w:customStyle="1" w:styleId="DivisionChapterTI1">
    <w:name w:val="DivisionChapterTI1"/>
    <w:basedOn w:val="Para"/>
    <w:qFormat/>
    <w:pPr>
      <w:keepNext/>
      <w:keepLines/>
      <w:suppressAutoHyphens/>
      <w:jc w:val="center"/>
    </w:pPr>
    <w:rPr>
      <w:caps/>
      <w:sz w:val="16"/>
    </w:rPr>
  </w:style>
  <w:style w:type="paragraph" w:customStyle="1" w:styleId="DivisionChapterSTI1">
    <w:name w:val="DivisionChapterSTI1"/>
    <w:basedOn w:val="Para"/>
    <w:qFormat/>
    <w:pPr>
      <w:keepNext/>
      <w:keepLines/>
      <w:suppressAutoHyphens/>
      <w:jc w:val="center"/>
    </w:pPr>
    <w:rPr>
      <w:b/>
      <w:caps/>
      <w:sz w:val="16"/>
    </w:rPr>
  </w:style>
  <w:style w:type="paragraph" w:customStyle="1" w:styleId="DivisionSectionTI1">
    <w:name w:val="DivisionSectionTI1"/>
    <w:basedOn w:val="Para"/>
    <w:qFormat/>
    <w:pPr>
      <w:keepNext/>
      <w:keepLines/>
      <w:suppressAutoHyphens/>
      <w:jc w:val="center"/>
    </w:pPr>
    <w:rPr>
      <w:caps/>
      <w:sz w:val="16"/>
    </w:rPr>
  </w:style>
  <w:style w:type="paragraph" w:customStyle="1" w:styleId="DivisionSectionSTI1">
    <w:name w:val="DivisionSectionSTI1"/>
    <w:basedOn w:val="Para"/>
    <w:qFormat/>
    <w:pPr>
      <w:jc w:val="center"/>
    </w:pPr>
    <w:rPr>
      <w:b/>
      <w:caps/>
      <w:sz w:val="16"/>
    </w:rPr>
  </w:style>
  <w:style w:type="character" w:styleId="NotaurTengill">
    <w:name w:val="FollowedHyperlink"/>
    <w:basedOn w:val="Sjlfgefinleturgermlsgreinar"/>
    <w:uiPriority w:val="99"/>
    <w:semiHidden/>
    <w:unhideWhenUsed/>
    <w:rPr>
      <w:color w:val="0000FF"/>
      <w:u w:val="none"/>
    </w:rPr>
  </w:style>
  <w:style w:type="character" w:customStyle="1" w:styleId="Footnote8pt">
    <w:name w:val="Footnote8pt"/>
    <w:basedOn w:val="Sjlfgefinleturgermlsgreinar"/>
    <w:uiPriority w:val="1"/>
    <w:qFormat/>
    <w:rPr>
      <w:rFonts w:ascii="Times New Roman" w:hAnsi="Times New Roman"/>
      <w:color w:val="auto"/>
      <w:sz w:val="16"/>
      <w:lang w:val="is-IS"/>
    </w:rPr>
  </w:style>
  <w:style w:type="character" w:customStyle="1" w:styleId="Footnote7pt">
    <w:name w:val="Footnote7pt"/>
    <w:basedOn w:val="Sjlfgefinleturgermlsgreinar"/>
    <w:uiPriority w:val="1"/>
    <w:qFormat/>
    <w:rPr>
      <w:rFonts w:ascii="Times New Roman" w:hAnsi="Times New Roman"/>
      <w:color w:val="auto"/>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95983-5747-48A5-AA94-FD191407E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25109</Words>
  <Characters>143124</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amplexor</Company>
  <LinksUpToDate>false</LinksUpToDate>
  <CharactersWithSpaces>167898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EFTA</dc:creator>
  <cp:lastModifiedBy>Helga Hauksdóttir</cp:lastModifiedBy>
  <cp:revision>2</cp:revision>
  <cp:lastPrinted>2017-02-23T13:37:00Z</cp:lastPrinted>
  <dcterms:created xsi:type="dcterms:W3CDTF">2026-06-30T14:32:00Z</dcterms:created>
  <dcterms:modified xsi:type="dcterms:W3CDTF">2026-06-30T14:32:00Z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ue_date">
    <vt:lpwstr>27.10.2016</vt:lpwstr>
  </property>
  <property fmtid="{D5CDD505-2E9C-101B-9397-08002B2CF9AE}" pid="3" name="volume">
    <vt:lpwstr>56</vt:lpwstr>
  </property>
  <property fmtid="{D5CDD505-2E9C-101B-9397-08002B2CF9AE}" pid="4" name="rhead">
    <vt:lpwstr>EØS-tillegget til Den europeiske unions tidende</vt:lpwstr>
  </property>
  <property fmtid="{D5CDD505-2E9C-101B-9397-08002B2CF9AE}" pid="5" name="producer">
    <vt:lpwstr>amplexor</vt:lpwstr>
  </property>
  <property fmtid="{D5CDD505-2E9C-101B-9397-08002B2CF9AE}" pid="6" name="issue_nr">
    <vt:lpwstr>23</vt:lpwstr>
  </property>
  <property fmtid="{D5CDD505-2E9C-101B-9397-08002B2CF9AE}" pid="7" name="MSIP_Label_4d8b67f9-f4c8-4356-80b8-97d601b9597d_Enabled">
    <vt:lpwstr>true</vt:lpwstr>
  </property>
  <property fmtid="{D5CDD505-2E9C-101B-9397-08002B2CF9AE}" pid="8" name="MSIP_Label_4d8b67f9-f4c8-4356-80b8-97d601b9597d_SetDate">
    <vt:lpwstr>2026-06-30T14:32:39Z</vt:lpwstr>
  </property>
  <property fmtid="{D5CDD505-2E9C-101B-9397-08002B2CF9AE}" pid="9" name="MSIP_Label_4d8b67f9-f4c8-4356-80b8-97d601b9597d_Method">
    <vt:lpwstr>Standard</vt:lpwstr>
  </property>
  <property fmtid="{D5CDD505-2E9C-101B-9397-08002B2CF9AE}" pid="10" name="MSIP_Label_4d8b67f9-f4c8-4356-80b8-97d601b9597d_Name">
    <vt:lpwstr>Varin</vt:lpwstr>
  </property>
  <property fmtid="{D5CDD505-2E9C-101B-9397-08002B2CF9AE}" pid="11" name="MSIP_Label_4d8b67f9-f4c8-4356-80b8-97d601b9597d_SiteId">
    <vt:lpwstr>bc14a44e-e0fb-4e0b-a535-100579d41b65</vt:lpwstr>
  </property>
  <property fmtid="{D5CDD505-2E9C-101B-9397-08002B2CF9AE}" pid="12" name="MSIP_Label_4d8b67f9-f4c8-4356-80b8-97d601b9597d_ActionId">
    <vt:lpwstr>0b0e6c49-5d08-4f60-8855-c8712fbb4d03</vt:lpwstr>
  </property>
  <property fmtid="{D5CDD505-2E9C-101B-9397-08002B2CF9AE}" pid="13" name="MSIP_Label_4d8b67f9-f4c8-4356-80b8-97d601b9597d_ContentBits">
    <vt:lpwstr>0</vt:lpwstr>
  </property>
  <property fmtid="{D5CDD505-2E9C-101B-9397-08002B2CF9AE}" pid="14" name="MSIP_Label_4d8b67f9-f4c8-4356-80b8-97d601b9597d_Tag">
    <vt:lpwstr>10, 3, 0, 1</vt:lpwstr>
  </property>
</Properties>
</file>