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452D63A2" w:rsidR="00E71F27" w:rsidRDefault="00E71F27" w:rsidP="00E71F27">
      <w:pPr>
        <w:pStyle w:val="Nmeringsskjalsmls"/>
      </w:pPr>
      <w:bookmarkStart w:id="0" w:name="_Toc303616026"/>
      <w:bookmarkStart w:id="1" w:name="_Toc303616027"/>
      <w:r>
        <w:t>1</w:t>
      </w:r>
      <w:r w:rsidR="00301215">
        <w:t>5</w:t>
      </w:r>
      <w:r w:rsidR="001750E2">
        <w:t>4</w:t>
      </w:r>
      <w:r>
        <w:t>. löggjafarþing 20</w:t>
      </w:r>
      <w:bookmarkEnd w:id="0"/>
      <w:r w:rsidR="00A0329D">
        <w:t>2</w:t>
      </w:r>
      <w:r w:rsidR="001750E2">
        <w:t>3</w:t>
      </w:r>
      <w:r>
        <w:t>–20</w:t>
      </w:r>
      <w:r w:rsidR="00A0329D">
        <w:t>2</w:t>
      </w:r>
      <w:r w:rsidR="001750E2">
        <w:t>4</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77777777" w:rsidR="00E71F27" w:rsidRPr="002675EE" w:rsidRDefault="00E71F27" w:rsidP="002675EE">
      <w:pPr>
        <w:pStyle w:val="Fyrirsgn-skjalategund"/>
      </w:pPr>
      <w:bookmarkStart w:id="2" w:name="_Hlk48638365"/>
      <w:r w:rsidRPr="002675EE">
        <w:t>Frumvarp til laga</w:t>
      </w:r>
    </w:p>
    <w:p w14:paraId="5683D276" w14:textId="2EC7E976" w:rsidR="00E71F27" w:rsidRPr="002675EE" w:rsidRDefault="00E71F27" w:rsidP="002675EE">
      <w:pPr>
        <w:pStyle w:val="Fyrirsgn-undirfyrirsgn"/>
      </w:pPr>
      <w:r w:rsidRPr="002675EE">
        <w:t>um</w:t>
      </w:r>
      <w:r w:rsidR="00A0329D">
        <w:t xml:space="preserve"> </w:t>
      </w:r>
      <w:r w:rsidR="00A0329D" w:rsidRPr="00C55F45">
        <w:rPr>
          <w:rFonts w:eastAsia="Calibri" w:cs="Times New Roman"/>
        </w:rPr>
        <w:t xml:space="preserve">breytingu á </w:t>
      </w:r>
      <w:bookmarkStart w:id="3" w:name="_Hlk40274699"/>
      <w:r w:rsidR="00A0329D" w:rsidRPr="00C55F45">
        <w:rPr>
          <w:rFonts w:eastAsia="Calibri" w:cs="Times New Roman"/>
        </w:rPr>
        <w:t xml:space="preserve">lögum </w:t>
      </w:r>
      <w:bookmarkStart w:id="4" w:name="_Hlk65763340"/>
      <w:r w:rsidR="00A0329D" w:rsidRPr="00C55F45">
        <w:rPr>
          <w:rFonts w:eastAsia="Calibri" w:cs="Times New Roman"/>
        </w:rPr>
        <w:t xml:space="preserve">nr. </w:t>
      </w:r>
      <w:bookmarkStart w:id="5" w:name="_Hlk40183994"/>
      <w:r w:rsidR="00A0329D" w:rsidRPr="00C55F45">
        <w:rPr>
          <w:rFonts w:eastAsia="Calibri" w:cs="Times New Roman"/>
        </w:rPr>
        <w:t xml:space="preserve">48/2011, um verndar- og orkunýtingaráætlun </w:t>
      </w:r>
      <w:bookmarkEnd w:id="3"/>
      <w:bookmarkEnd w:id="4"/>
      <w:bookmarkEnd w:id="5"/>
      <w:r w:rsidR="00A0329D" w:rsidRPr="00C55F45">
        <w:rPr>
          <w:rFonts w:eastAsia="Calibri" w:cs="Times New Roman"/>
        </w:rPr>
        <w:t>(</w:t>
      </w:r>
      <w:r w:rsidR="009A3A3B">
        <w:rPr>
          <w:rFonts w:eastAsia="Calibri" w:cs="Times New Roman"/>
        </w:rPr>
        <w:t>virkjunarkost</w:t>
      </w:r>
      <w:r w:rsidR="001750E2">
        <w:rPr>
          <w:rFonts w:eastAsia="Calibri" w:cs="Times New Roman"/>
        </w:rPr>
        <w:t>ir</w:t>
      </w:r>
      <w:r w:rsidR="009A3A3B">
        <w:rPr>
          <w:rFonts w:eastAsia="Calibri" w:cs="Times New Roman"/>
        </w:rPr>
        <w:t xml:space="preserve"> í </w:t>
      </w:r>
      <w:r w:rsidR="00A0329D" w:rsidRPr="00C55F45">
        <w:rPr>
          <w:rFonts w:eastAsia="Calibri" w:cs="Times New Roman"/>
        </w:rPr>
        <w:t>vindork</w:t>
      </w:r>
      <w:r w:rsidR="009A3A3B">
        <w:rPr>
          <w:rFonts w:eastAsia="Calibri" w:cs="Times New Roman"/>
        </w:rPr>
        <w:t>u</w:t>
      </w:r>
      <w:r w:rsidR="00A0329D" w:rsidRPr="00C55F45">
        <w:rPr>
          <w:rFonts w:eastAsia="Calibri" w:cs="Times New Roman"/>
        </w:rPr>
        <w:t>)</w:t>
      </w:r>
      <w:r w:rsidR="009841CD">
        <w:rPr>
          <w:rFonts w:eastAsia="Calibri" w:cs="Times New Roman"/>
        </w:rPr>
        <w:t>.</w:t>
      </w:r>
    </w:p>
    <w:p w14:paraId="1A2DC9F1" w14:textId="77777777" w:rsidR="005D5AEE" w:rsidRPr="005D5AEE" w:rsidRDefault="005D5AEE" w:rsidP="005D5AEE"/>
    <w:p w14:paraId="69A8EA8E" w14:textId="708971D5" w:rsidR="00E71F27" w:rsidRDefault="00E71F27" w:rsidP="00E71F27">
      <w:pPr>
        <w:pStyle w:val="Frrherra"/>
      </w:pPr>
      <w:r>
        <w:t>Frá</w:t>
      </w:r>
      <w:r w:rsidR="00A0329D">
        <w:t xml:space="preserve"> umhverfis-</w:t>
      </w:r>
      <w:r w:rsidR="001750E2">
        <w:t>, orku-</w:t>
      </w:r>
      <w:r w:rsidR="00A0329D">
        <w:t xml:space="preserve"> og </w:t>
      </w:r>
      <w:r w:rsidR="001750E2">
        <w:t>loftslags</w:t>
      </w:r>
      <w:r>
        <w:t xml:space="preserve">ráðherra. </w:t>
      </w:r>
    </w:p>
    <w:p w14:paraId="103B38C8" w14:textId="77777777" w:rsidR="00E71F27" w:rsidRPr="005B08E3" w:rsidRDefault="00E71F27" w:rsidP="00E71F27"/>
    <w:p w14:paraId="4AFE1969" w14:textId="77777777" w:rsidR="00E71F27" w:rsidRDefault="00E71F27" w:rsidP="00E71F27">
      <w:bookmarkStart w:id="6" w:name="_Hlk40362436"/>
    </w:p>
    <w:p w14:paraId="55CE5E84" w14:textId="19684A43" w:rsidR="00C35574" w:rsidRDefault="00A0329D" w:rsidP="00943B67">
      <w:pPr>
        <w:pStyle w:val="Kaflafyrirsgn"/>
      </w:pPr>
      <w:r>
        <w:t xml:space="preserve"> </w:t>
      </w:r>
    </w:p>
    <w:p w14:paraId="2AAC3B6F" w14:textId="69C09E3D" w:rsidR="00C35574" w:rsidRDefault="00C35574" w:rsidP="00943B67">
      <w:bookmarkStart w:id="7" w:name="_Hlk155341331"/>
    </w:p>
    <w:p w14:paraId="78A00239" w14:textId="5BBB6C5C" w:rsidR="00A0329D" w:rsidRPr="00A0329D" w:rsidRDefault="00FF7354" w:rsidP="00A0329D">
      <w:pPr>
        <w:jc w:val="center"/>
      </w:pPr>
      <w:bookmarkStart w:id="8" w:name="_Hlk151555190"/>
      <w:r>
        <w:t>1</w:t>
      </w:r>
      <w:r w:rsidR="00A0329D" w:rsidRPr="00A0329D">
        <w:t>. gr.</w:t>
      </w:r>
    </w:p>
    <w:p w14:paraId="2D823A59" w14:textId="1C23303D" w:rsidR="00A0329D" w:rsidRPr="00A0329D" w:rsidRDefault="00A0329D" w:rsidP="00A0329D">
      <w:bookmarkStart w:id="9" w:name="_Hlk152743913"/>
      <w:r w:rsidRPr="00A0329D">
        <w:t xml:space="preserve">Á eftir 4. </w:t>
      </w:r>
      <w:proofErr w:type="spellStart"/>
      <w:r w:rsidRPr="00A0329D">
        <w:t>tölul</w:t>
      </w:r>
      <w:proofErr w:type="spellEnd"/>
      <w:r w:rsidRPr="00A0329D">
        <w:t xml:space="preserve">. 2. mgr. 2. gr. laganna kemur nýr töluliður sem verður 5. </w:t>
      </w:r>
      <w:proofErr w:type="spellStart"/>
      <w:r w:rsidRPr="00A0329D">
        <w:t>tölul</w:t>
      </w:r>
      <w:proofErr w:type="spellEnd"/>
      <w:r w:rsidRPr="00A0329D">
        <w:t>.</w:t>
      </w:r>
      <w:r w:rsidR="009841CD">
        <w:t>,</w:t>
      </w:r>
      <w:r w:rsidRPr="00A0329D">
        <w:t xml:space="preserve"> </w:t>
      </w:r>
      <w:r w:rsidR="00970DE8" w:rsidRPr="009841CD">
        <w:t>svohljóðandi</w:t>
      </w:r>
      <w:r w:rsidRPr="00A0329D">
        <w:t xml:space="preserve">: </w:t>
      </w:r>
    </w:p>
    <w:p w14:paraId="780522B3" w14:textId="2DC97539" w:rsidR="00A0329D" w:rsidRDefault="00A0329D" w:rsidP="00A0329D">
      <w:r w:rsidRPr="00A0329D">
        <w:t xml:space="preserve">Vindorka: Nýting vinds til framleiðslu </w:t>
      </w:r>
      <w:r w:rsidR="00FF7354">
        <w:t xml:space="preserve">á </w:t>
      </w:r>
      <w:r w:rsidRPr="00A0329D">
        <w:t>orku</w:t>
      </w:r>
      <w:r w:rsidR="00FF7354">
        <w:t xml:space="preserve">. </w:t>
      </w:r>
      <w:bookmarkStart w:id="10" w:name="_Hlk151533378"/>
      <w:bookmarkEnd w:id="8"/>
      <w:r w:rsidR="00FF7354">
        <w:t xml:space="preserve"> </w:t>
      </w:r>
    </w:p>
    <w:bookmarkEnd w:id="9"/>
    <w:p w14:paraId="5AC786B5" w14:textId="77777777" w:rsidR="00FF7354" w:rsidRDefault="00FF7354" w:rsidP="00A0329D"/>
    <w:bookmarkEnd w:id="10"/>
    <w:p w14:paraId="6B6C038E" w14:textId="6E9C9827" w:rsidR="00FF7354" w:rsidRPr="00A0329D" w:rsidRDefault="00FF7354" w:rsidP="00FF7354">
      <w:pPr>
        <w:jc w:val="center"/>
      </w:pPr>
      <w:r>
        <w:t>2</w:t>
      </w:r>
      <w:r w:rsidRPr="00A0329D">
        <w:t>. gr.</w:t>
      </w:r>
    </w:p>
    <w:p w14:paraId="24FC6139" w14:textId="0E4C6DD3" w:rsidR="0074152D" w:rsidRDefault="00FF7354" w:rsidP="00FF7354">
      <w:bookmarkStart w:id="11" w:name="_Hlk152744476"/>
      <w:r>
        <w:t>Fyrsti málsl</w:t>
      </w:r>
      <w:r w:rsidR="001750E2">
        <w:t>i</w:t>
      </w:r>
      <w:r>
        <w:t xml:space="preserve">ður 3. mgr. 3. gr. </w:t>
      </w:r>
      <w:r w:rsidRPr="00A0329D">
        <w:t xml:space="preserve">laganna </w:t>
      </w:r>
      <w:r>
        <w:t xml:space="preserve">orðast svo: </w:t>
      </w:r>
      <w:r w:rsidRPr="00FF7354">
        <w:t xml:space="preserve">Verndar- og orkunýtingaráætlun tekur til landsvæða og virkjunarkosta sem verkefnisstjórn skv. 8. gr. hefur fjallað um og hafa uppsett rafafl 10 MW eða meira eða uppsett varmaafl 50 MW eða meira eða vindorkumannvirki í hæstu stöðu </w:t>
      </w:r>
      <w:r>
        <w:t>yfir</w:t>
      </w:r>
      <w:r w:rsidR="009841CD">
        <w:t xml:space="preserve"> </w:t>
      </w:r>
      <w:r w:rsidRPr="00FF7354">
        <w:t xml:space="preserve">100 metra </w:t>
      </w:r>
      <w:r>
        <w:t>að hæð</w:t>
      </w:r>
      <w:r w:rsidRPr="00FF7354">
        <w:t xml:space="preserve">.  </w:t>
      </w:r>
      <w:r>
        <w:t xml:space="preserve"> </w:t>
      </w:r>
    </w:p>
    <w:bookmarkEnd w:id="11"/>
    <w:p w14:paraId="15DDA812" w14:textId="77777777" w:rsidR="00FF7354" w:rsidRDefault="00FF7354" w:rsidP="000C3252"/>
    <w:p w14:paraId="217A40B6" w14:textId="1A5FBBFD" w:rsidR="0074152D" w:rsidRPr="00A0329D" w:rsidRDefault="00FF7354" w:rsidP="0074152D">
      <w:pPr>
        <w:jc w:val="center"/>
      </w:pPr>
      <w:r>
        <w:t>3</w:t>
      </w:r>
      <w:r w:rsidR="0074152D" w:rsidRPr="00A0329D">
        <w:t>. gr.</w:t>
      </w:r>
    </w:p>
    <w:p w14:paraId="56D2BF97" w14:textId="08EFBD42" w:rsidR="0074152D" w:rsidRPr="00A0329D" w:rsidRDefault="00FF7354">
      <w:r>
        <w:t>S</w:t>
      </w:r>
      <w:r w:rsidR="0074152D">
        <w:t xml:space="preserve">íðasti málsliður </w:t>
      </w:r>
      <w:bookmarkStart w:id="12" w:name="_Hlk148682181"/>
      <w:r>
        <w:t>3</w:t>
      </w:r>
      <w:r w:rsidR="0074152D">
        <w:t xml:space="preserve">. mgr. 3. gr. </w:t>
      </w:r>
      <w:bookmarkEnd w:id="12"/>
      <w:r w:rsidR="0074152D">
        <w:t xml:space="preserve">orðast svo: </w:t>
      </w:r>
      <w:r w:rsidR="0074152D" w:rsidRPr="000C3252">
        <w:t xml:space="preserve">Verndar- og orkunýtingaráætlun tekur ekki til landsvæða í </w:t>
      </w:r>
      <w:bookmarkStart w:id="13" w:name="_Hlk152318913"/>
      <w:r w:rsidR="0074152D" w:rsidRPr="000C3252">
        <w:t>A-hluta náttúruminjaskrár,</w:t>
      </w:r>
      <w:r w:rsidR="00B04BA7">
        <w:t xml:space="preserve"> </w:t>
      </w:r>
      <w:r w:rsidR="0074152D" w:rsidRPr="000C3252">
        <w:t>sbr.</w:t>
      </w:r>
      <w:r w:rsidR="00B04BA7">
        <w:t xml:space="preserve"> </w:t>
      </w:r>
      <w:r w:rsidR="0074152D" w:rsidRPr="000C3252">
        <w:t>lög um náttúruvernd nema tiltekið sé í frið</w:t>
      </w:r>
      <w:r w:rsidR="003A0CE3">
        <w:softHyphen/>
      </w:r>
      <w:r w:rsidR="0074152D" w:rsidRPr="000C3252">
        <w:t xml:space="preserve">lýsingarskilmálum að virkjunarframkvæmdir séu heimilar </w:t>
      </w:r>
      <w:bookmarkStart w:id="14" w:name="_Hlk152582669"/>
      <w:r w:rsidR="0074152D" w:rsidRPr="000C3252">
        <w:t>á viðkomandi svæði</w:t>
      </w:r>
      <w:r w:rsidR="003A0CE3">
        <w:t>,</w:t>
      </w:r>
      <w:r w:rsidR="00BA7A77">
        <w:t xml:space="preserve"> </w:t>
      </w:r>
      <w:bookmarkStart w:id="15" w:name="_Hlk151533673"/>
      <w:r w:rsidR="00BA7A77" w:rsidRPr="003A0CE3">
        <w:t>auk</w:t>
      </w:r>
      <w:r w:rsidR="00BA7A77">
        <w:t xml:space="preserve"> þess sem áætlunin tekur ekki til svæða </w:t>
      </w:r>
      <w:r w:rsidR="007D21F2">
        <w:t>á</w:t>
      </w:r>
      <w:r w:rsidR="00BA7A77">
        <w:t xml:space="preserve"> B-hluta náttúruminjaskrár, </w:t>
      </w:r>
      <w:r w:rsidR="000C3252">
        <w:t xml:space="preserve">svæða </w:t>
      </w:r>
      <w:r w:rsidR="007D21F2">
        <w:t xml:space="preserve">innan marka </w:t>
      </w:r>
      <w:r w:rsidR="00BA7A77">
        <w:t>friðlýstra menningarminja, svæða á heimsminjaskrá UNESCO</w:t>
      </w:r>
      <w:r w:rsidR="003A0CE3">
        <w:t>,</w:t>
      </w:r>
      <w:r w:rsidR="00BA7A77">
        <w:t xml:space="preserve"> </w:t>
      </w:r>
      <w:r w:rsidR="009A44BE" w:rsidRPr="003A0CE3">
        <w:t>auk</w:t>
      </w:r>
      <w:r w:rsidR="00BA7A77">
        <w:t xml:space="preserve"> svæða sem tilnefnd hafa verið á skrána, </w:t>
      </w:r>
      <w:proofErr w:type="spellStart"/>
      <w:r w:rsidR="00BA7A77">
        <w:t>Ramsar</w:t>
      </w:r>
      <w:proofErr w:type="spellEnd"/>
      <w:r w:rsidR="009A44BE">
        <w:t>-</w:t>
      </w:r>
      <w:r w:rsidR="00BA7A77">
        <w:t>svæða og svæða innan marka miðhálendislínu eins og hún er skilgreind í landsskipulagsstefnu</w:t>
      </w:r>
      <w:r w:rsidR="00BA7A77" w:rsidRPr="00602432">
        <w:t>,</w:t>
      </w:r>
      <w:r w:rsidR="00BA7A77">
        <w:t xml:space="preserve"> þegar um er að ræða virkjunarkosti til nýtingar vindorku.  </w:t>
      </w:r>
    </w:p>
    <w:bookmarkEnd w:id="13"/>
    <w:bookmarkEnd w:id="14"/>
    <w:bookmarkEnd w:id="15"/>
    <w:p w14:paraId="781119F8" w14:textId="77777777" w:rsidR="00A0329D" w:rsidRPr="00A0329D" w:rsidRDefault="00A0329D" w:rsidP="00A0329D"/>
    <w:p w14:paraId="431E437E" w14:textId="63CDB6BC" w:rsidR="00A0329D" w:rsidRPr="00A0329D" w:rsidRDefault="00FF7354" w:rsidP="00A0329D">
      <w:pPr>
        <w:jc w:val="center"/>
      </w:pPr>
      <w:bookmarkStart w:id="16" w:name="_Hlk148423830"/>
      <w:r>
        <w:t>4</w:t>
      </w:r>
      <w:r w:rsidR="00A0329D" w:rsidRPr="00A0329D">
        <w:t>. gr.</w:t>
      </w:r>
    </w:p>
    <w:bookmarkEnd w:id="16"/>
    <w:p w14:paraId="7B10111C" w14:textId="703C34FC" w:rsidR="00A0329D" w:rsidRPr="00A0329D" w:rsidRDefault="009841CD" w:rsidP="00A0329D">
      <w:pPr>
        <w:jc w:val="left"/>
      </w:pPr>
      <w:r>
        <w:t>Fyrsti</w:t>
      </w:r>
      <w:r w:rsidR="00A0329D" w:rsidRPr="00A0329D">
        <w:t xml:space="preserve"> málslið</w:t>
      </w:r>
      <w:r>
        <w:t>ur</w:t>
      </w:r>
      <w:r w:rsidR="00A0329D" w:rsidRPr="00A0329D">
        <w:t xml:space="preserve"> 1. mgr. 7. gr. orðast svo: Verndar- og orkunýtingaráætlun er bindandi við gerð skipulagsáætlana nema um sé að ræða </w:t>
      </w:r>
      <w:bookmarkStart w:id="17" w:name="_Hlk151555734"/>
      <w:r w:rsidR="00EC64FB">
        <w:t xml:space="preserve">virkjunarkosti til nýtingar </w:t>
      </w:r>
      <w:r w:rsidR="00A0329D" w:rsidRPr="00A0329D">
        <w:t>vindorku</w:t>
      </w:r>
      <w:bookmarkEnd w:id="17"/>
      <w:r w:rsidR="00A0329D" w:rsidRPr="00A0329D">
        <w:t>.</w:t>
      </w:r>
    </w:p>
    <w:p w14:paraId="326D654B" w14:textId="77777777" w:rsidR="00A0329D" w:rsidRPr="00A0329D" w:rsidRDefault="00A0329D" w:rsidP="00A0329D">
      <w:pPr>
        <w:ind w:firstLine="0"/>
      </w:pPr>
    </w:p>
    <w:p w14:paraId="29D3CD7B" w14:textId="37205969" w:rsidR="00A0329D" w:rsidRPr="00A0329D" w:rsidRDefault="00FF7354" w:rsidP="00A0329D">
      <w:pPr>
        <w:jc w:val="center"/>
      </w:pPr>
      <w:bookmarkStart w:id="18" w:name="_Hlk56428171"/>
      <w:bookmarkStart w:id="19" w:name="_Hlk153269640"/>
      <w:r>
        <w:t>5</w:t>
      </w:r>
      <w:r w:rsidR="00A0329D" w:rsidRPr="00A0329D">
        <w:t>. gr.</w:t>
      </w:r>
    </w:p>
    <w:p w14:paraId="3D7EBC5A" w14:textId="632F82C1" w:rsidR="00A0329D" w:rsidRDefault="006417A2" w:rsidP="000C3252">
      <w:bookmarkStart w:id="20" w:name="_Hlk55814040"/>
      <w:bookmarkEnd w:id="18"/>
      <w:r>
        <w:t xml:space="preserve">Á eftir </w:t>
      </w:r>
      <w:r w:rsidR="009841CD">
        <w:t xml:space="preserve">2. </w:t>
      </w:r>
      <w:r>
        <w:t>málslið 1. mgr. 10</w:t>
      </w:r>
      <w:r w:rsidR="00A0329D" w:rsidRPr="00A0329D">
        <w:t>. gr. laganna k</w:t>
      </w:r>
      <w:r w:rsidR="00437640">
        <w:t>emur</w:t>
      </w:r>
      <w:r w:rsidR="00970DE8">
        <w:t xml:space="preserve"> </w:t>
      </w:r>
      <w:r w:rsidR="00A0329D" w:rsidRPr="00A0329D">
        <w:t>ný</w:t>
      </w:r>
      <w:r>
        <w:t>r</w:t>
      </w:r>
      <w:r w:rsidR="00A0329D" w:rsidRPr="00A0329D">
        <w:t xml:space="preserve"> </w:t>
      </w:r>
      <w:r>
        <w:t>málsliður</w:t>
      </w:r>
      <w:r w:rsidR="00970DE8">
        <w:t>, svohljóðandi</w:t>
      </w:r>
      <w:r w:rsidR="00A0329D" w:rsidRPr="00A0329D">
        <w:t>:</w:t>
      </w:r>
    </w:p>
    <w:p w14:paraId="1A08E27B" w14:textId="13F9D4A1" w:rsidR="00ED73BB" w:rsidRDefault="007D21F2" w:rsidP="00AE0727">
      <w:bookmarkStart w:id="21" w:name="_Hlk65764218"/>
      <w:bookmarkStart w:id="22" w:name="_Hlk151538802"/>
      <w:bookmarkStart w:id="23" w:name="_Hlk148681544"/>
      <w:bookmarkStart w:id="24" w:name="_Hlk148681616"/>
      <w:bookmarkEnd w:id="20"/>
      <w:r>
        <w:t xml:space="preserve">Við mat og tillögur </w:t>
      </w:r>
      <w:r w:rsidR="009A44BE">
        <w:t xml:space="preserve">um flokkun </w:t>
      </w:r>
      <w:r>
        <w:t>virkjunarkost</w:t>
      </w:r>
      <w:r w:rsidR="009A44BE">
        <w:t>a</w:t>
      </w:r>
      <w:r>
        <w:t xml:space="preserve"> í vindorku skal verkefnisstjórn </w:t>
      </w:r>
      <w:r w:rsidR="006417A2">
        <w:t xml:space="preserve">jafnframt </w:t>
      </w:r>
      <w:bookmarkEnd w:id="21"/>
      <w:r>
        <w:t xml:space="preserve">horfa til </w:t>
      </w:r>
      <w:r w:rsidR="00AE0727">
        <w:t xml:space="preserve">þingsályktunar </w:t>
      </w:r>
      <w:bookmarkStart w:id="25" w:name="_Hlk56591136"/>
      <w:r w:rsidR="00652AE2">
        <w:t xml:space="preserve">um </w:t>
      </w:r>
      <w:bookmarkEnd w:id="25"/>
      <w:r>
        <w:t xml:space="preserve">stefnu stjórnvalda um vindorku </w:t>
      </w:r>
      <w:r w:rsidR="00AE0727">
        <w:t xml:space="preserve">þar sem </w:t>
      </w:r>
      <w:r w:rsidR="00652AE2">
        <w:t xml:space="preserve">gerð </w:t>
      </w:r>
      <w:r>
        <w:t>er</w:t>
      </w:r>
      <w:r w:rsidR="00652AE2">
        <w:t xml:space="preserve"> grein fyrir</w:t>
      </w:r>
      <w:r w:rsidR="00AE0727">
        <w:t xml:space="preserve"> </w:t>
      </w:r>
      <w:r>
        <w:t xml:space="preserve">helstu forsendum fyrir nýtingu vindorku til orkuframleiðslu. </w:t>
      </w:r>
    </w:p>
    <w:bookmarkEnd w:id="19"/>
    <w:p w14:paraId="7324DE38" w14:textId="7D866E52" w:rsidR="001B04AA" w:rsidRDefault="001B04AA" w:rsidP="00AE0727"/>
    <w:bookmarkEnd w:id="22"/>
    <w:p w14:paraId="1EB349E8" w14:textId="3CC91A20" w:rsidR="006417A2" w:rsidRDefault="009030BE" w:rsidP="00AE0727">
      <w:r>
        <w:t xml:space="preserve"> </w:t>
      </w:r>
    </w:p>
    <w:p w14:paraId="62B75B3B" w14:textId="28F74C91" w:rsidR="00537933" w:rsidRDefault="009030BE" w:rsidP="00AE0727">
      <w:r>
        <w:t xml:space="preserve"> </w:t>
      </w:r>
    </w:p>
    <w:p w14:paraId="19B7F0D5" w14:textId="05B35A62" w:rsidR="004F471F" w:rsidRDefault="009030BE" w:rsidP="00AE0727">
      <w:r>
        <w:rPr>
          <w:rFonts w:ascii="Source Sans Pro" w:hAnsi="Source Sans Pro"/>
          <w:b/>
          <w:bCs/>
          <w:color w:val="333333"/>
          <w:shd w:val="clear" w:color="auto" w:fill="FFFFFF"/>
        </w:rPr>
        <w:lastRenderedPageBreak/>
        <w:t xml:space="preserve"> </w:t>
      </w:r>
    </w:p>
    <w:p w14:paraId="547A3A52" w14:textId="2F1A4686" w:rsidR="006417A2" w:rsidRPr="00A0329D" w:rsidRDefault="001B04AA" w:rsidP="006417A2">
      <w:pPr>
        <w:jc w:val="center"/>
      </w:pPr>
      <w:r>
        <w:t>6</w:t>
      </w:r>
      <w:r w:rsidR="006417A2" w:rsidRPr="00A0329D">
        <w:t>. gr.</w:t>
      </w:r>
    </w:p>
    <w:p w14:paraId="6CCC3D72" w14:textId="681B96D1" w:rsidR="006417A2" w:rsidRDefault="006417A2" w:rsidP="006417A2">
      <w:r w:rsidRPr="00A0329D">
        <w:t>Á eftir 10. gr. laganna k</w:t>
      </w:r>
      <w:r w:rsidR="001B04AA">
        <w:t>e</w:t>
      </w:r>
      <w:r>
        <w:t>m</w:t>
      </w:r>
      <w:r w:rsidR="001B04AA">
        <w:t>ur</w:t>
      </w:r>
      <w:r>
        <w:t xml:space="preserve"> </w:t>
      </w:r>
      <w:r w:rsidR="001B04AA">
        <w:t>ný grein</w:t>
      </w:r>
      <w:r w:rsidR="009841CD">
        <w:t>,</w:t>
      </w:r>
      <w:r w:rsidR="001B04AA">
        <w:t xml:space="preserve"> </w:t>
      </w:r>
      <w:r w:rsidRPr="00A0329D">
        <w:t>10. gr. a</w:t>
      </w:r>
      <w:r>
        <w:t>, ásamt fyrirsögn, svohljóðandi</w:t>
      </w:r>
      <w:r w:rsidRPr="00A0329D">
        <w:t>:</w:t>
      </w:r>
    </w:p>
    <w:p w14:paraId="766DA821" w14:textId="077607F7" w:rsidR="006417A2" w:rsidRPr="000C3252" w:rsidRDefault="006417A2" w:rsidP="00AE0727">
      <w:pPr>
        <w:rPr>
          <w:i/>
          <w:iCs/>
        </w:rPr>
      </w:pPr>
      <w:bookmarkStart w:id="26" w:name="_Hlk151542774"/>
      <w:r w:rsidRPr="000C3252">
        <w:rPr>
          <w:i/>
          <w:iCs/>
        </w:rPr>
        <w:t xml:space="preserve">Sérstök </w:t>
      </w:r>
      <w:bookmarkStart w:id="27" w:name="_Hlk153269533"/>
      <w:r w:rsidRPr="000C3252">
        <w:rPr>
          <w:i/>
          <w:iCs/>
        </w:rPr>
        <w:t>málsmeðferð tiltekinna virkjunarkosta í vindorku</w:t>
      </w:r>
      <w:r w:rsidR="002015BE">
        <w:rPr>
          <w:i/>
          <w:iCs/>
        </w:rPr>
        <w:t xml:space="preserve"> í þágu </w:t>
      </w:r>
      <w:r w:rsidR="002015BE" w:rsidRPr="002015BE">
        <w:rPr>
          <w:i/>
          <w:iCs/>
        </w:rPr>
        <w:t>orkuskipt</w:t>
      </w:r>
      <w:r w:rsidR="002D6A2D">
        <w:rPr>
          <w:i/>
          <w:iCs/>
        </w:rPr>
        <w:t>a</w:t>
      </w:r>
      <w:r w:rsidR="002015BE" w:rsidRPr="002015BE">
        <w:rPr>
          <w:i/>
          <w:iCs/>
        </w:rPr>
        <w:t xml:space="preserve"> og kolefnishlutleysi</w:t>
      </w:r>
      <w:r w:rsidR="002015BE">
        <w:rPr>
          <w:i/>
          <w:iCs/>
        </w:rPr>
        <w:t>s</w:t>
      </w:r>
      <w:bookmarkEnd w:id="27"/>
      <w:r w:rsidR="002015BE">
        <w:rPr>
          <w:i/>
          <w:iCs/>
        </w:rPr>
        <w:t>.</w:t>
      </w:r>
    </w:p>
    <w:p w14:paraId="762BB9FA" w14:textId="5B02BE0F" w:rsidR="00D70909" w:rsidRDefault="00D70909" w:rsidP="00AE0727">
      <w:bookmarkStart w:id="28" w:name="_Hlk151542794"/>
      <w:bookmarkEnd w:id="26"/>
      <w:r>
        <w:t>Við mat á virkjunarkostum í vindorku skal verkefnisstjórn</w:t>
      </w:r>
      <w:r w:rsidR="006417A2">
        <w:t xml:space="preserve"> </w:t>
      </w:r>
      <w:r w:rsidR="001B04AA">
        <w:t>kanna</w:t>
      </w:r>
      <w:r w:rsidR="006417A2">
        <w:t xml:space="preserve"> hvort einstakir virkjunarkostir uppfyll</w:t>
      </w:r>
      <w:r w:rsidR="001B04AA">
        <w:t>i</w:t>
      </w:r>
      <w:r w:rsidR="006417A2">
        <w:t xml:space="preserve"> eftirfarandi skilyrði: </w:t>
      </w:r>
    </w:p>
    <w:p w14:paraId="5A861405" w14:textId="164807A1" w:rsidR="00D70909" w:rsidRPr="00D70909" w:rsidRDefault="00D70909" w:rsidP="00D70909">
      <w:pPr>
        <w:pStyle w:val="Mlsgreinlista"/>
        <w:numPr>
          <w:ilvl w:val="0"/>
          <w:numId w:val="24"/>
        </w:numPr>
      </w:pPr>
      <w:bookmarkStart w:id="29" w:name="_Hlk151542823"/>
      <w:bookmarkEnd w:id="28"/>
      <w:r w:rsidRPr="00D70909">
        <w:t>Virkjunarkostur</w:t>
      </w:r>
      <w:r>
        <w:t>inn</w:t>
      </w:r>
      <w:r w:rsidRPr="00D70909">
        <w:t xml:space="preserve"> komi til með að vera liður í því að ná markmiðum Íslands við </w:t>
      </w:r>
      <w:bookmarkStart w:id="30" w:name="_Hlk151542751"/>
      <w:r w:rsidRPr="00D70909">
        <w:t>orkuskipti og kolefnishlutleysi</w:t>
      </w:r>
      <w:bookmarkEnd w:id="30"/>
      <w:r w:rsidRPr="00D70909">
        <w:t xml:space="preserve">. </w:t>
      </w:r>
    </w:p>
    <w:p w14:paraId="2E3D6EEC" w14:textId="3E4EB478" w:rsidR="00D70909" w:rsidRPr="00D70909" w:rsidRDefault="00D70909" w:rsidP="00D70909">
      <w:pPr>
        <w:pStyle w:val="Mlsgreinlista"/>
        <w:numPr>
          <w:ilvl w:val="0"/>
          <w:numId w:val="24"/>
        </w:numPr>
      </w:pPr>
      <w:r w:rsidRPr="00D70909">
        <w:t>Virkjunarkostur</w:t>
      </w:r>
      <w:r>
        <w:t>inn</w:t>
      </w:r>
      <w:r w:rsidRPr="00D70909">
        <w:t xml:space="preserve"> </w:t>
      </w:r>
      <w:r>
        <w:t xml:space="preserve">er </w:t>
      </w:r>
      <w:r w:rsidRPr="00D70909">
        <w:t xml:space="preserve">innan </w:t>
      </w:r>
      <w:r>
        <w:t>land</w:t>
      </w:r>
      <w:r w:rsidRPr="00D70909">
        <w:t>svæð</w:t>
      </w:r>
      <w:r>
        <w:t>is</w:t>
      </w:r>
      <w:r w:rsidRPr="00D70909">
        <w:t xml:space="preserve"> sem </w:t>
      </w:r>
      <w:r>
        <w:t xml:space="preserve">almennt </w:t>
      </w:r>
      <w:r w:rsidRPr="00D70909">
        <w:t xml:space="preserve">telst </w:t>
      </w:r>
      <w:r>
        <w:t xml:space="preserve">vera </w:t>
      </w:r>
      <w:r w:rsidRPr="00D70909">
        <w:t xml:space="preserve">raskað </w:t>
      </w:r>
      <w:r>
        <w:t>af mannlegum athöfnum</w:t>
      </w:r>
      <w:r w:rsidRPr="00D70909">
        <w:t xml:space="preserve">. </w:t>
      </w:r>
    </w:p>
    <w:p w14:paraId="6260C4DE" w14:textId="30B80EB7" w:rsidR="00D70909" w:rsidRPr="00D70909" w:rsidRDefault="00D70909" w:rsidP="00D70909">
      <w:pPr>
        <w:pStyle w:val="Mlsgreinlista"/>
        <w:numPr>
          <w:ilvl w:val="0"/>
          <w:numId w:val="24"/>
        </w:numPr>
      </w:pPr>
      <w:r w:rsidRPr="00D70909">
        <w:t>Virkjunarkostur</w:t>
      </w:r>
      <w:r>
        <w:t>inn</w:t>
      </w:r>
      <w:r w:rsidRPr="00D70909">
        <w:t xml:space="preserve"> er </w:t>
      </w:r>
      <w:r>
        <w:t xml:space="preserve">ekki talinn </w:t>
      </w:r>
      <w:r w:rsidRPr="00D70909">
        <w:t xml:space="preserve">rýra um of mikilvæga verndarhagsmuni svæða </w:t>
      </w:r>
      <w:r w:rsidR="006417A2">
        <w:t>sem njóta verndar að lögum né</w:t>
      </w:r>
      <w:r w:rsidRPr="00D70909">
        <w:t xml:space="preserve"> annarra nærliggjandi svæða sem njóta sérstöðu á landsvísu vegna náttúru-</w:t>
      </w:r>
      <w:r w:rsidR="001750E2">
        <w:t xml:space="preserve">, </w:t>
      </w:r>
      <w:r w:rsidRPr="00D70909">
        <w:t xml:space="preserve">menningarminja eða </w:t>
      </w:r>
      <w:r w:rsidR="002369B5">
        <w:t>tengdr</w:t>
      </w:r>
      <w:r w:rsidR="009841CD">
        <w:t>ar</w:t>
      </w:r>
      <w:r w:rsidR="002369B5">
        <w:t xml:space="preserve"> </w:t>
      </w:r>
      <w:r w:rsidRPr="00D70909">
        <w:t xml:space="preserve">atvinnustarfsemi. </w:t>
      </w:r>
    </w:p>
    <w:p w14:paraId="157F832B" w14:textId="68A9E31D" w:rsidR="00D70909" w:rsidRDefault="00D70909" w:rsidP="00D70909">
      <w:pPr>
        <w:pStyle w:val="Mlsgreinlista"/>
        <w:numPr>
          <w:ilvl w:val="0"/>
          <w:numId w:val="24"/>
        </w:numPr>
      </w:pPr>
      <w:bookmarkStart w:id="31" w:name="_Hlk153781555"/>
      <w:r w:rsidRPr="00D70909">
        <w:t xml:space="preserve">Virkjunarkostur </w:t>
      </w:r>
      <w:r>
        <w:t>er</w:t>
      </w:r>
      <w:r w:rsidRPr="00D70909">
        <w:t xml:space="preserve"> ekki á svæði þar sem mikið er um villta fugla sem metnir eru í hættu eða verulegri hættu á válistum eða fuglategundir með hátt eða mjög hátt verndargildi</w:t>
      </w:r>
      <w:r>
        <w:t xml:space="preserve"> að mati Náttúrufræðistofnunar Íslands.</w:t>
      </w:r>
    </w:p>
    <w:p w14:paraId="74B1F9E8" w14:textId="703D2B2A" w:rsidR="0089239A" w:rsidRDefault="0089239A" w:rsidP="00AE7358">
      <w:bookmarkStart w:id="32" w:name="_Hlk151542876"/>
      <w:bookmarkStart w:id="33" w:name="_Hlk153792172"/>
      <w:bookmarkEnd w:id="29"/>
      <w:bookmarkEnd w:id="31"/>
      <w:r>
        <w:t xml:space="preserve">Uppfylli virkjunarkostur skilyrði </w:t>
      </w:r>
      <w:r w:rsidR="000C3252">
        <w:t xml:space="preserve">þessarar greinar </w:t>
      </w:r>
      <w:r>
        <w:t xml:space="preserve">að mati verkefnisstjórnar skal </w:t>
      </w:r>
      <w:r w:rsidR="007B60D1">
        <w:t>hún</w:t>
      </w:r>
      <w:r w:rsidRPr="0089239A">
        <w:t xml:space="preserve"> birta opinberlega drög að </w:t>
      </w:r>
      <w:r w:rsidR="001B04AA">
        <w:t xml:space="preserve">slíkri </w:t>
      </w:r>
      <w:r w:rsidRPr="0089239A">
        <w:t>niðurstöðu</w:t>
      </w:r>
      <w:r w:rsidR="001B04AA">
        <w:t xml:space="preserve"> </w:t>
      </w:r>
      <w:r w:rsidRPr="0089239A">
        <w:t>og veita almenningi, félagasamtökum</w:t>
      </w:r>
      <w:r>
        <w:t>, sveitarfélögum</w:t>
      </w:r>
      <w:r w:rsidRPr="0089239A">
        <w:t xml:space="preserve"> og öðrum hagaðilum </w:t>
      </w:r>
      <w:r w:rsidR="009841CD">
        <w:t>átta</w:t>
      </w:r>
      <w:r w:rsidRPr="0089239A">
        <w:t xml:space="preserve"> vikna frest til að koma að athugasemdum við </w:t>
      </w:r>
      <w:r w:rsidR="001B04AA">
        <w:t>hana</w:t>
      </w:r>
      <w:r w:rsidRPr="0089239A">
        <w:t xml:space="preserve">. </w:t>
      </w:r>
      <w:r>
        <w:t>Að loknum fresti skilar v</w:t>
      </w:r>
      <w:r w:rsidRPr="00A0329D">
        <w:t xml:space="preserve">erkefnisstjórn </w:t>
      </w:r>
      <w:r>
        <w:t>ráðherra</w:t>
      </w:r>
      <w:r w:rsidRPr="00A0329D">
        <w:t xml:space="preserve"> </w:t>
      </w:r>
      <w:r>
        <w:t>niðurstöðum sínum ásamt framkomnum athugasemdum.</w:t>
      </w:r>
    </w:p>
    <w:p w14:paraId="4C3A502A" w14:textId="30689FEE" w:rsidR="00D70909" w:rsidRPr="00D70909" w:rsidRDefault="00AE7358" w:rsidP="000C3252">
      <w:bookmarkStart w:id="34" w:name="_Hlk151542897"/>
      <w:bookmarkEnd w:id="32"/>
      <w:r>
        <w:t xml:space="preserve">Telji </w:t>
      </w:r>
      <w:bookmarkStart w:id="35" w:name="_Hlk151556660"/>
      <w:r w:rsidR="00D70909" w:rsidRPr="00D70909">
        <w:t xml:space="preserve">ráðherra </w:t>
      </w:r>
      <w:r w:rsidR="000C3252">
        <w:t xml:space="preserve">eftir skoðun á niðurstöðu verkefnisstjórnar og framkomnum athugasemdum </w:t>
      </w:r>
      <w:bookmarkEnd w:id="35"/>
      <w:r w:rsidR="00D70909" w:rsidRPr="00D70909">
        <w:t xml:space="preserve">að virkjunarkosturinn uppfylli skilyrði </w:t>
      </w:r>
      <w:r>
        <w:t xml:space="preserve">greinarinnar </w:t>
      </w:r>
      <w:r w:rsidR="00D70909" w:rsidRPr="00D70909">
        <w:t>getur hann tekið ákvörðun um að virkjunarkosturinn sæti ekki frekari meðferð innan verndar- og orkunýtingaráætlunar en sé vísað til ákvörðunar hjá hlutaðeigandi sveitarfélagi og öðrum stjórnvöldum</w:t>
      </w:r>
      <w:r>
        <w:t xml:space="preserve"> sem </w:t>
      </w:r>
      <w:r w:rsidR="000C3252">
        <w:t xml:space="preserve">þá </w:t>
      </w:r>
      <w:r w:rsidR="00D70909" w:rsidRPr="00D70909">
        <w:t>taka afstöðu til veiting</w:t>
      </w:r>
      <w:r w:rsidR="005F12C5">
        <w:t>ar</w:t>
      </w:r>
      <w:r w:rsidR="00D70909" w:rsidRPr="00D70909">
        <w:t xml:space="preserve"> leyfis </w:t>
      </w:r>
      <w:r w:rsidR="00F64167">
        <w:t>tengd</w:t>
      </w:r>
      <w:r w:rsidR="005F12C5">
        <w:t>u</w:t>
      </w:r>
      <w:r w:rsidR="00F64167">
        <w:t xml:space="preserve"> orkuvinnslu </w:t>
      </w:r>
      <w:r w:rsidR="00D70909" w:rsidRPr="00D70909">
        <w:t>að undangengnu mati á umhverfisáhrifum og að öðrum skilyrðum laga uppfylltum.</w:t>
      </w:r>
    </w:p>
    <w:p w14:paraId="297B6487" w14:textId="5C5670A4" w:rsidR="00AE7358" w:rsidRPr="009640FA" w:rsidRDefault="00AE7358" w:rsidP="00AE7358">
      <w:bookmarkStart w:id="36" w:name="_Hlk151542914"/>
      <w:bookmarkEnd w:id="34"/>
      <w:r>
        <w:t xml:space="preserve">Fallist </w:t>
      </w:r>
      <w:r w:rsidRPr="009640FA">
        <w:t xml:space="preserve">ráðherra </w:t>
      </w:r>
      <w:r>
        <w:t xml:space="preserve">hins vegar ekki á </w:t>
      </w:r>
      <w:r w:rsidRPr="009640FA">
        <w:t>að virkjunarkosturinn uppfylli framangreind skilyrði</w:t>
      </w:r>
      <w:r>
        <w:t xml:space="preserve"> fer um málsmeðferð hans </w:t>
      </w:r>
      <w:r w:rsidR="002015BE">
        <w:t>eins og um</w:t>
      </w:r>
      <w:r w:rsidRPr="009640FA">
        <w:t xml:space="preserve"> aðr</w:t>
      </w:r>
      <w:r w:rsidR="002015BE">
        <w:t>a</w:t>
      </w:r>
      <w:r w:rsidRPr="009640FA">
        <w:t xml:space="preserve"> virkjunarkosti í verndar- og orkunýtingaráætlun</w:t>
      </w:r>
      <w:r>
        <w:t xml:space="preserve"> samkvæmt lögum þessum.  </w:t>
      </w:r>
    </w:p>
    <w:p w14:paraId="243A5881" w14:textId="77777777" w:rsidR="00E8717C" w:rsidRDefault="00E8717C" w:rsidP="00EC64FB">
      <w:bookmarkStart w:id="37" w:name="_Hlk40357808"/>
      <w:bookmarkEnd w:id="23"/>
      <w:bookmarkEnd w:id="24"/>
      <w:bookmarkEnd w:id="33"/>
      <w:bookmarkEnd w:id="36"/>
    </w:p>
    <w:p w14:paraId="13E0DE39" w14:textId="0784F72B" w:rsidR="00A0329D" w:rsidRPr="00A0329D" w:rsidRDefault="000C3252" w:rsidP="00A0329D">
      <w:pPr>
        <w:jc w:val="center"/>
      </w:pPr>
      <w:bookmarkStart w:id="38" w:name="_Hlk153868483"/>
      <w:bookmarkEnd w:id="37"/>
      <w:r>
        <w:t>7</w:t>
      </w:r>
      <w:r w:rsidR="00A0329D" w:rsidRPr="00A0329D">
        <w:t>. gr.</w:t>
      </w:r>
    </w:p>
    <w:p w14:paraId="561A986E" w14:textId="24046E48" w:rsidR="0007411C" w:rsidRPr="00810984" w:rsidRDefault="00652AE2" w:rsidP="00A0329D">
      <w:bookmarkStart w:id="39" w:name="_Hlk151627712"/>
      <w:bookmarkStart w:id="40" w:name="_Hlk40359970"/>
      <w:r w:rsidRPr="00810984">
        <w:t>L</w:t>
      </w:r>
      <w:r w:rsidR="00C37AAC" w:rsidRPr="00810984">
        <w:t>ög þessi öðlast þegar gildi</w:t>
      </w:r>
      <w:r w:rsidR="003327CA" w:rsidRPr="00810984">
        <w:t>. Lögin</w:t>
      </w:r>
      <w:r w:rsidR="003277EC" w:rsidRPr="00810984">
        <w:t xml:space="preserve"> koma til framkvæmda þegar þingsályktun skv. 1. mgr. </w:t>
      </w:r>
      <w:r w:rsidR="00F31F8E">
        <w:t>10</w:t>
      </w:r>
      <w:r w:rsidR="003277EC" w:rsidRPr="00810984">
        <w:t xml:space="preserve">. gr. hefur verið samþykkt á Alþingi. </w:t>
      </w:r>
    </w:p>
    <w:p w14:paraId="29A01CEB" w14:textId="4C32FDD7" w:rsidR="00FA4C84" w:rsidRPr="009C1521" w:rsidRDefault="000C3252" w:rsidP="00FA4C84">
      <w:bookmarkStart w:id="41" w:name="_Hlk61941456"/>
      <w:bookmarkEnd w:id="38"/>
      <w:bookmarkEnd w:id="39"/>
      <w:r>
        <w:t xml:space="preserve"> </w:t>
      </w:r>
    </w:p>
    <w:p w14:paraId="55DC9C98" w14:textId="7E823A5C" w:rsidR="003B6094" w:rsidRPr="00A0329D" w:rsidRDefault="003B6094" w:rsidP="00A0329D"/>
    <w:p w14:paraId="70944AA8" w14:textId="473B2515" w:rsidR="00FA4C84" w:rsidRPr="00386814" w:rsidRDefault="006D234A" w:rsidP="00386814">
      <w:pPr>
        <w:pStyle w:val="Normalmija"/>
        <w:rPr>
          <w:rFonts w:ascii="Droid Serif" w:hAnsi="Droid Serif" w:cs="Droid Serif"/>
          <w:b/>
          <w:bCs/>
          <w:color w:val="242424"/>
          <w:shd w:val="clear" w:color="auto" w:fill="FFFFFF"/>
        </w:rPr>
      </w:pPr>
      <w:bookmarkStart w:id="42" w:name="_Hlk151627435"/>
      <w:bookmarkStart w:id="43" w:name="_Hlk40360334"/>
      <w:bookmarkEnd w:id="40"/>
      <w:bookmarkEnd w:id="41"/>
      <w:r w:rsidRPr="00386814">
        <w:rPr>
          <w:b/>
          <w:bCs/>
          <w:shd w:val="clear" w:color="auto" w:fill="FFFFFF"/>
        </w:rPr>
        <w:t xml:space="preserve"> </w:t>
      </w:r>
      <w:bookmarkStart w:id="44" w:name="_Hlk66350548"/>
      <w:r w:rsidR="00FA4C84" w:rsidRPr="00386814">
        <w:rPr>
          <w:b/>
          <w:bCs/>
        </w:rPr>
        <w:t>Ákvæði til bráðabirgða.</w:t>
      </w:r>
      <w:r w:rsidR="00FA4C84" w:rsidRPr="00386814">
        <w:rPr>
          <w:rFonts w:ascii="Droid Serif" w:hAnsi="Droid Serif" w:cs="Droid Serif"/>
          <w:b/>
          <w:bCs/>
          <w:color w:val="242424"/>
          <w:shd w:val="clear" w:color="auto" w:fill="FFFFFF"/>
        </w:rPr>
        <w:tab/>
      </w:r>
    </w:p>
    <w:p w14:paraId="3FEB30A7" w14:textId="3577A438" w:rsidR="00FA4C84" w:rsidRPr="00A0329D" w:rsidRDefault="00FA4C84" w:rsidP="00A0329D">
      <w:bookmarkStart w:id="45" w:name="_Hlk66109940"/>
      <w:r w:rsidRPr="009C1521">
        <w:t xml:space="preserve">Ákvæði laga </w:t>
      </w:r>
      <w:r w:rsidR="00D147AF">
        <w:t>þessara</w:t>
      </w:r>
      <w:r w:rsidRPr="009C1521">
        <w:t xml:space="preserve"> skulu endurskoðuð </w:t>
      </w:r>
      <w:r w:rsidR="00375A84">
        <w:t xml:space="preserve">með tilliti til reynslu af framkvæmd þeirra </w:t>
      </w:r>
      <w:r w:rsidRPr="009C1521">
        <w:t xml:space="preserve">eigi síðar en innan </w:t>
      </w:r>
      <w:r w:rsidR="00375A84">
        <w:t xml:space="preserve">fjögurra </w:t>
      </w:r>
      <w:r w:rsidRPr="009C1521">
        <w:t xml:space="preserve">ára frá </w:t>
      </w:r>
      <w:r w:rsidR="00D147AF">
        <w:t xml:space="preserve">því </w:t>
      </w:r>
      <w:r w:rsidR="002408FE">
        <w:t xml:space="preserve">að </w:t>
      </w:r>
      <w:r w:rsidR="00D147AF">
        <w:t>þau koma til framkvæmda</w:t>
      </w:r>
      <w:r w:rsidR="001410CE">
        <w:t>.</w:t>
      </w:r>
    </w:p>
    <w:bookmarkEnd w:id="42"/>
    <w:bookmarkEnd w:id="44"/>
    <w:bookmarkEnd w:id="45"/>
    <w:bookmarkEnd w:id="7"/>
    <w:p w14:paraId="462EB058" w14:textId="77777777" w:rsidR="003B6094" w:rsidRPr="00A0329D" w:rsidRDefault="003B6094" w:rsidP="00A0329D"/>
    <w:bookmarkEnd w:id="2"/>
    <w:bookmarkEnd w:id="43"/>
    <w:p w14:paraId="1D838B7D" w14:textId="77777777" w:rsidR="00A0329D" w:rsidRDefault="00A0329D" w:rsidP="00943B67"/>
    <w:bookmarkEnd w:id="6"/>
    <w:p w14:paraId="2C70D85C" w14:textId="77777777" w:rsidR="00E71F27" w:rsidRDefault="00E71F27" w:rsidP="00E71F27">
      <w:pPr>
        <w:pStyle w:val="Fyrirsgn-greinarger"/>
      </w:pPr>
      <w:r w:rsidRPr="001B6AC6">
        <w:t>Greinargerð</w:t>
      </w:r>
      <w:r>
        <w:t>.</w:t>
      </w:r>
    </w:p>
    <w:p w14:paraId="7508D08A" w14:textId="3FAD0C72" w:rsidR="00D0740D" w:rsidRDefault="00E71F27" w:rsidP="00D0740D">
      <w:pPr>
        <w:pStyle w:val="Millifyrirsgn1"/>
      </w:pPr>
      <w:r>
        <w:t>1</w:t>
      </w:r>
      <w:r w:rsidR="00D0740D">
        <w:t xml:space="preserve">. </w:t>
      </w:r>
      <w:r w:rsidR="00C01349">
        <w:tab/>
      </w:r>
      <w:r w:rsidR="00D0740D">
        <w:t xml:space="preserve">Inngangur. </w:t>
      </w:r>
    </w:p>
    <w:p w14:paraId="25BD1471" w14:textId="5F98245E" w:rsidR="00C51AD3" w:rsidRDefault="00A964E4" w:rsidP="00C51AD3">
      <w:pPr>
        <w:rPr>
          <w:bCs/>
        </w:rPr>
      </w:pPr>
      <w:r>
        <w:rPr>
          <w:bCs/>
        </w:rPr>
        <w:t xml:space="preserve">Talsverður aðdragandi er að máli þessu. </w:t>
      </w:r>
      <w:r w:rsidR="00C51AD3">
        <w:rPr>
          <w:bCs/>
        </w:rPr>
        <w:t xml:space="preserve">Í stjórnarsáttmála síðustu ríkisstjórnar var </w:t>
      </w:r>
      <w:r w:rsidR="00C51AD3" w:rsidRPr="00C64A9B">
        <w:t>kveðið á um að „setja þurfi lög um vindorkuver ásamt því að vinna með sveitarfélögum leiðbeiningar um skipulagsákvarðanir og leyfisveitingar“.</w:t>
      </w:r>
      <w:r w:rsidR="00C51AD3">
        <w:t xml:space="preserve"> Á grundvelli niðurstaðna </w:t>
      </w:r>
      <w:r w:rsidR="00C51AD3" w:rsidRPr="00AC4326">
        <w:rPr>
          <w:bCs/>
        </w:rPr>
        <w:t>starfshóp</w:t>
      </w:r>
      <w:r w:rsidR="000359F6">
        <w:rPr>
          <w:bCs/>
        </w:rPr>
        <w:t>s</w:t>
      </w:r>
      <w:r w:rsidR="00C51AD3" w:rsidRPr="00AC4326">
        <w:rPr>
          <w:bCs/>
        </w:rPr>
        <w:t xml:space="preserve"> var á 151. löggjafarþingi 2020–2021</w:t>
      </w:r>
      <w:r w:rsidR="00C51AD3">
        <w:rPr>
          <w:bCs/>
        </w:rPr>
        <w:t xml:space="preserve"> lagt fram frumvarp </w:t>
      </w:r>
      <w:r w:rsidR="00C51AD3" w:rsidRPr="00AC4326">
        <w:rPr>
          <w:bCs/>
        </w:rPr>
        <w:t xml:space="preserve">um breytingu á lögum um verndar- og </w:t>
      </w:r>
      <w:r w:rsidR="00C51AD3" w:rsidRPr="00AC4326">
        <w:rPr>
          <w:bCs/>
        </w:rPr>
        <w:lastRenderedPageBreak/>
        <w:t xml:space="preserve">orkunýtingaráætlun </w:t>
      </w:r>
      <w:r w:rsidR="00657AAA" w:rsidRPr="00AC4326">
        <w:rPr>
          <w:bCs/>
        </w:rPr>
        <w:t>(</w:t>
      </w:r>
      <w:r w:rsidR="00657AAA">
        <w:rPr>
          <w:bCs/>
        </w:rPr>
        <w:t>málsmeðferð virkjunarkosta í vindorku</w:t>
      </w:r>
      <w:r w:rsidR="00657AAA" w:rsidRPr="00AC4326">
        <w:rPr>
          <w:bCs/>
        </w:rPr>
        <w:t xml:space="preserve">) </w:t>
      </w:r>
      <w:r w:rsidR="00C51AD3" w:rsidRPr="00AC4326">
        <w:rPr>
          <w:bCs/>
        </w:rPr>
        <w:t xml:space="preserve">(709. mál) og </w:t>
      </w:r>
      <w:r w:rsidR="00C51AD3">
        <w:rPr>
          <w:bCs/>
        </w:rPr>
        <w:t xml:space="preserve">samhliða var lögð fram </w:t>
      </w:r>
      <w:r w:rsidR="00C51AD3" w:rsidRPr="00AC4326">
        <w:rPr>
          <w:bCs/>
        </w:rPr>
        <w:t>þingsályktunartil</w:t>
      </w:r>
      <w:r w:rsidR="00C51AD3">
        <w:rPr>
          <w:bCs/>
        </w:rPr>
        <w:t>laga</w:t>
      </w:r>
      <w:r w:rsidR="00C51AD3" w:rsidRPr="00AC4326">
        <w:rPr>
          <w:bCs/>
        </w:rPr>
        <w:t xml:space="preserve"> um staðsetning</w:t>
      </w:r>
      <w:r w:rsidR="00494E44">
        <w:rPr>
          <w:bCs/>
        </w:rPr>
        <w:t>u</w:t>
      </w:r>
      <w:r w:rsidR="00C51AD3" w:rsidRPr="00AC4326">
        <w:rPr>
          <w:bCs/>
        </w:rPr>
        <w:t xml:space="preserve"> vindorkuvera í landslagi og náttúru Íslands</w:t>
      </w:r>
      <w:r w:rsidR="00C51AD3">
        <w:rPr>
          <w:bCs/>
        </w:rPr>
        <w:t xml:space="preserve"> </w:t>
      </w:r>
      <w:r w:rsidR="00C51AD3" w:rsidRPr="00AC4326">
        <w:rPr>
          <w:bCs/>
        </w:rPr>
        <w:t xml:space="preserve">(707. mál). </w:t>
      </w:r>
      <w:r w:rsidR="0088004A">
        <w:rPr>
          <w:bCs/>
        </w:rPr>
        <w:t>Hvorki f</w:t>
      </w:r>
      <w:r w:rsidR="0048749C">
        <w:rPr>
          <w:bCs/>
        </w:rPr>
        <w:t xml:space="preserve">rumvarpið </w:t>
      </w:r>
      <w:r w:rsidR="0088004A">
        <w:rPr>
          <w:bCs/>
        </w:rPr>
        <w:t xml:space="preserve">né </w:t>
      </w:r>
      <w:r w:rsidR="0048749C">
        <w:rPr>
          <w:bCs/>
        </w:rPr>
        <w:t xml:space="preserve">þingsályktunartillagan náðu fram að ganga. </w:t>
      </w:r>
    </w:p>
    <w:p w14:paraId="61BB5A1A" w14:textId="4DB057A6" w:rsidR="00A964E4" w:rsidRPr="00AC4326" w:rsidRDefault="00C51AD3" w:rsidP="0048749C">
      <w:pPr>
        <w:rPr>
          <w:bCs/>
        </w:rPr>
      </w:pPr>
      <w:r>
        <w:rPr>
          <w:bCs/>
        </w:rPr>
        <w:t xml:space="preserve">Í stjórnarsáttmála núverandi ríkisstjórnar er </w:t>
      </w:r>
      <w:bookmarkStart w:id="46" w:name="_Hlk152235573"/>
      <w:r w:rsidRPr="002270B4">
        <w:rPr>
          <w:bCs/>
        </w:rPr>
        <w:t xml:space="preserve">kveðið á um </w:t>
      </w:r>
      <w:r w:rsidRPr="00AC4326">
        <w:rPr>
          <w:bCs/>
        </w:rPr>
        <w:t xml:space="preserve">að setja skuli sérstök lög um nýtingu vindorku með það að markmiði að einfalda uppbyggingu vindorkuvera til framleiðslu á grænni orku. </w:t>
      </w:r>
      <w:r w:rsidR="00A964E4" w:rsidRPr="00AC4326">
        <w:rPr>
          <w:bCs/>
        </w:rPr>
        <w:t xml:space="preserve">Jafnframt kemur fram að áhersla verði lögð á að vindorkuver byggist upp á afmörkuðum svæðum nærri tengivirkjum og flutningslínum þar sem unnt verði að tryggja afhendingaröryggi og lágmarka umhverfisáhrif. Tekið er fram að mikilvægt sé að breið sátt ríki um uppbyggingu slíkra vindorkuvera og </w:t>
      </w:r>
      <w:r w:rsidR="00417AFF">
        <w:rPr>
          <w:bCs/>
        </w:rPr>
        <w:t xml:space="preserve">að </w:t>
      </w:r>
      <w:r w:rsidR="00A964E4" w:rsidRPr="00AC4326">
        <w:rPr>
          <w:bCs/>
        </w:rPr>
        <w:t xml:space="preserve">tillit sé tekið til sjónrænna áhrifa, dýralífs og náttúru og taka verði afstöðu til gjaldtöku fyrir slíka nýtingu. </w:t>
      </w:r>
    </w:p>
    <w:bookmarkEnd w:id="46"/>
    <w:p w14:paraId="6B7C83F0" w14:textId="590B6E35" w:rsidR="00A964E4" w:rsidRPr="00AC4326" w:rsidRDefault="00A964E4" w:rsidP="00A964E4">
      <w:pPr>
        <w:rPr>
          <w:bCs/>
        </w:rPr>
      </w:pPr>
      <w:r w:rsidRPr="00AC4326">
        <w:rPr>
          <w:bCs/>
        </w:rPr>
        <w:t xml:space="preserve">Til að vinna að þessum markmiðum stjórnarsáttmála var hinn 11. júlí 2022 </w:t>
      </w:r>
      <w:r w:rsidRPr="002270B4">
        <w:rPr>
          <w:bCs/>
        </w:rPr>
        <w:t xml:space="preserve">skipaður </w:t>
      </w:r>
      <w:r w:rsidRPr="00AC4326">
        <w:rPr>
          <w:bCs/>
        </w:rPr>
        <w:t>sér</w:t>
      </w:r>
      <w:r w:rsidR="00417AFF">
        <w:rPr>
          <w:bCs/>
        </w:rPr>
        <w:softHyphen/>
      </w:r>
      <w:r w:rsidRPr="00AC4326">
        <w:rPr>
          <w:bCs/>
        </w:rPr>
        <w:t xml:space="preserve">stakur </w:t>
      </w:r>
      <w:r w:rsidRPr="002270B4">
        <w:rPr>
          <w:bCs/>
        </w:rPr>
        <w:t xml:space="preserve">starfshópur þriggja </w:t>
      </w:r>
      <w:r w:rsidRPr="00AC4326">
        <w:rPr>
          <w:bCs/>
        </w:rPr>
        <w:t>aðila til að skoða og gera tillög</w:t>
      </w:r>
      <w:r w:rsidR="00783005">
        <w:rPr>
          <w:bCs/>
        </w:rPr>
        <w:t>ur</w:t>
      </w:r>
      <w:r w:rsidRPr="00AC4326">
        <w:rPr>
          <w:bCs/>
        </w:rPr>
        <w:t xml:space="preserve"> til </w:t>
      </w:r>
      <w:r w:rsidRPr="002270B4">
        <w:rPr>
          <w:bCs/>
        </w:rPr>
        <w:t>ráðuneyt</w:t>
      </w:r>
      <w:r w:rsidRPr="00AC4326">
        <w:rPr>
          <w:bCs/>
        </w:rPr>
        <w:t>isins um hvernig framan</w:t>
      </w:r>
      <w:r w:rsidR="00417AFF">
        <w:rPr>
          <w:bCs/>
        </w:rPr>
        <w:softHyphen/>
      </w:r>
      <w:r w:rsidRPr="00AC4326">
        <w:rPr>
          <w:bCs/>
        </w:rPr>
        <w:t xml:space="preserve">greindum markmiðum stjórnarsáttmála yrði náð. Í starfshópnum sátu Hilmar Gunnlaugsson, </w:t>
      </w:r>
      <w:r w:rsidR="00783005">
        <w:rPr>
          <w:bCs/>
        </w:rPr>
        <w:t>h</w:t>
      </w:r>
      <w:r w:rsidRPr="00AC4326">
        <w:rPr>
          <w:bCs/>
        </w:rPr>
        <w:t>rl., formaður, Björt Ólafsdóttir</w:t>
      </w:r>
      <w:r w:rsidR="008F5E3F">
        <w:rPr>
          <w:bCs/>
        </w:rPr>
        <w:t>,</w:t>
      </w:r>
      <w:r w:rsidRPr="00AC4326">
        <w:rPr>
          <w:bCs/>
        </w:rPr>
        <w:t xml:space="preserve"> fyrrv. </w:t>
      </w:r>
      <w:r w:rsidR="00E01C8B">
        <w:rPr>
          <w:bCs/>
        </w:rPr>
        <w:t>umhverfis- og auðlindaráðherra</w:t>
      </w:r>
      <w:r w:rsidR="008F5E3F">
        <w:rPr>
          <w:bCs/>
        </w:rPr>
        <w:t>,</w:t>
      </w:r>
      <w:r w:rsidRPr="00AC4326">
        <w:rPr>
          <w:bCs/>
        </w:rPr>
        <w:t xml:space="preserve"> og Kolbeinn Óttarsson Proppé, fyrrv. alþingismaður. Með hópnum starfaði Hafsteinn S. Hafsteinsson, lögfræðingur í umhverfis-, orku</w:t>
      </w:r>
      <w:r w:rsidR="008F5E3F">
        <w:rPr>
          <w:bCs/>
        </w:rPr>
        <w:t>-</w:t>
      </w:r>
      <w:r w:rsidRPr="00AC4326">
        <w:rPr>
          <w:bCs/>
        </w:rPr>
        <w:t xml:space="preserve"> og loftslagsráðuneytinu. </w:t>
      </w:r>
    </w:p>
    <w:p w14:paraId="22DE8EFE" w14:textId="268FDDF1" w:rsidR="00A964E4" w:rsidRDefault="00A964E4" w:rsidP="00A964E4">
      <w:pPr>
        <w:rPr>
          <w:bCs/>
        </w:rPr>
      </w:pPr>
      <w:r w:rsidRPr="00AC4326">
        <w:rPr>
          <w:bCs/>
        </w:rPr>
        <w:t xml:space="preserve">Í skipunarbréfi starfshópsins var sérstaklega kveðið á um að </w:t>
      </w:r>
      <w:r>
        <w:rPr>
          <w:bCs/>
        </w:rPr>
        <w:t xml:space="preserve">hann myndi </w:t>
      </w:r>
      <w:r w:rsidRPr="00AC4326">
        <w:rPr>
          <w:bCs/>
        </w:rPr>
        <w:t>fara ítarlega yfir lög nr. 48/2011, um vernd</w:t>
      </w:r>
      <w:r w:rsidR="00CD0A2E">
        <w:rPr>
          <w:bCs/>
        </w:rPr>
        <w:t>ar</w:t>
      </w:r>
      <w:r w:rsidRPr="00AC4326">
        <w:rPr>
          <w:bCs/>
        </w:rPr>
        <w:t xml:space="preserve">- og orkunýtingaráætlun, að því er varðar meðhöndlun og málsmeðferð vindorku yfir 10 MW innan </w:t>
      </w:r>
      <w:r w:rsidR="00E01C8B">
        <w:rPr>
          <w:bCs/>
        </w:rPr>
        <w:t>verndar- og orkunýtingaráætlunar (rammaáætlunar)</w:t>
      </w:r>
      <w:r w:rsidRPr="00AC4326">
        <w:rPr>
          <w:bCs/>
        </w:rPr>
        <w:t xml:space="preserve">, auk þess sem </w:t>
      </w:r>
      <w:bookmarkStart w:id="47" w:name="_Hlk152228810"/>
      <w:r w:rsidRPr="00AC4326">
        <w:rPr>
          <w:bCs/>
        </w:rPr>
        <w:t>starfshópurinn kynn</w:t>
      </w:r>
      <w:r>
        <w:rPr>
          <w:bCs/>
        </w:rPr>
        <w:t>t</w:t>
      </w:r>
      <w:r w:rsidRPr="00AC4326">
        <w:rPr>
          <w:bCs/>
        </w:rPr>
        <w:t xml:space="preserve">i sér </w:t>
      </w:r>
      <w:r w:rsidR="003864F8">
        <w:rPr>
          <w:bCs/>
        </w:rPr>
        <w:t xml:space="preserve">fyrrnefnt </w:t>
      </w:r>
      <w:r w:rsidRPr="00AC4326">
        <w:rPr>
          <w:bCs/>
        </w:rPr>
        <w:t>lagafrumvarp sem lagt var fram á 151. löggjafarþingi 2020–2021 (709. mál)</w:t>
      </w:r>
      <w:r w:rsidR="00A80B0B">
        <w:rPr>
          <w:bCs/>
        </w:rPr>
        <w:t>,</w:t>
      </w:r>
      <w:r w:rsidRPr="00AC4326">
        <w:rPr>
          <w:bCs/>
        </w:rPr>
        <w:t xml:space="preserve"> um breytingu á lögum um verndar- og orkunýtingaráætlun (</w:t>
      </w:r>
      <w:r w:rsidR="007B60D1">
        <w:rPr>
          <w:bCs/>
        </w:rPr>
        <w:t>málsmeðferð virkjunarkosta í vindorku</w:t>
      </w:r>
      <w:r w:rsidRPr="00AC4326">
        <w:rPr>
          <w:bCs/>
        </w:rPr>
        <w:t>)</w:t>
      </w:r>
      <w:r w:rsidR="00A80B0B">
        <w:rPr>
          <w:bCs/>
        </w:rPr>
        <w:t>,</w:t>
      </w:r>
      <w:r w:rsidRPr="00AC4326">
        <w:rPr>
          <w:bCs/>
        </w:rPr>
        <w:t xml:space="preserve"> og </w:t>
      </w:r>
      <w:r w:rsidR="00CA4AA2">
        <w:rPr>
          <w:bCs/>
        </w:rPr>
        <w:t xml:space="preserve">einnig fyrrnefnda </w:t>
      </w:r>
      <w:r w:rsidRPr="00AC4326">
        <w:rPr>
          <w:bCs/>
        </w:rPr>
        <w:t>þingsályktunartillögu sem lögð var fram samhliða lagafrumvarpinu (707. mál)</w:t>
      </w:r>
      <w:r w:rsidR="00A80B0B">
        <w:rPr>
          <w:bCs/>
        </w:rPr>
        <w:t>,</w:t>
      </w:r>
      <w:r w:rsidRPr="00AC4326">
        <w:rPr>
          <w:bCs/>
        </w:rPr>
        <w:t xml:space="preserve"> um staðsetning</w:t>
      </w:r>
      <w:r w:rsidR="00CA4AA2">
        <w:rPr>
          <w:bCs/>
        </w:rPr>
        <w:t>u</w:t>
      </w:r>
      <w:r w:rsidRPr="00AC4326">
        <w:rPr>
          <w:bCs/>
        </w:rPr>
        <w:t xml:space="preserve"> vindorkuvera í landslagi og náttúru Íslands. </w:t>
      </w:r>
    </w:p>
    <w:bookmarkEnd w:id="47"/>
    <w:p w14:paraId="4F20630A" w14:textId="3925080D" w:rsidR="00A964E4" w:rsidRDefault="00A964E4" w:rsidP="00A964E4">
      <w:pPr>
        <w:rPr>
          <w:bCs/>
        </w:rPr>
      </w:pPr>
      <w:r w:rsidRPr="00AC4326">
        <w:rPr>
          <w:bCs/>
        </w:rPr>
        <w:t xml:space="preserve">Í </w:t>
      </w:r>
      <w:r>
        <w:rPr>
          <w:bCs/>
        </w:rPr>
        <w:t>skipunarbréfinu</w:t>
      </w:r>
      <w:r w:rsidRPr="00AC4326">
        <w:rPr>
          <w:bCs/>
        </w:rPr>
        <w:t xml:space="preserve"> </w:t>
      </w:r>
      <w:r>
        <w:rPr>
          <w:bCs/>
        </w:rPr>
        <w:t>var</w:t>
      </w:r>
      <w:r w:rsidRPr="00AC4326">
        <w:rPr>
          <w:bCs/>
        </w:rPr>
        <w:t xml:space="preserve"> óskað eftir að starfshópurinn hug</w:t>
      </w:r>
      <w:r>
        <w:rPr>
          <w:bCs/>
        </w:rPr>
        <w:t>að</w:t>
      </w:r>
      <w:r w:rsidRPr="00AC4326">
        <w:rPr>
          <w:bCs/>
        </w:rPr>
        <w:t>i sérstaklega að eftirfarandi grundvallarspurningum:</w:t>
      </w:r>
      <w:r>
        <w:rPr>
          <w:bCs/>
        </w:rPr>
        <w:t xml:space="preserve"> a. </w:t>
      </w:r>
      <w:r w:rsidRPr="00AC4326">
        <w:rPr>
          <w:bCs/>
        </w:rPr>
        <w:t xml:space="preserve">Hvort rétt </w:t>
      </w:r>
      <w:r>
        <w:rPr>
          <w:bCs/>
        </w:rPr>
        <w:t>væri</w:t>
      </w:r>
      <w:r w:rsidRPr="00AC4326">
        <w:rPr>
          <w:bCs/>
        </w:rPr>
        <w:t xml:space="preserve"> að virkjunarkostir heyri áfram undir lög nr. 48/2011, um </w:t>
      </w:r>
      <w:r w:rsidR="00B11704" w:rsidRPr="00AC4326">
        <w:rPr>
          <w:bCs/>
        </w:rPr>
        <w:t>vernd</w:t>
      </w:r>
      <w:r w:rsidR="00B11704">
        <w:rPr>
          <w:bCs/>
        </w:rPr>
        <w:t>ar</w:t>
      </w:r>
      <w:r w:rsidR="00B11704" w:rsidRPr="00AC4326">
        <w:rPr>
          <w:bCs/>
        </w:rPr>
        <w:t xml:space="preserve"> </w:t>
      </w:r>
      <w:r w:rsidR="006E5302" w:rsidRPr="00AC4326">
        <w:rPr>
          <w:bCs/>
        </w:rPr>
        <w:t>og orkunýting</w:t>
      </w:r>
      <w:r w:rsidR="006E5302">
        <w:rPr>
          <w:bCs/>
        </w:rPr>
        <w:t>ar</w:t>
      </w:r>
      <w:r w:rsidRPr="00AC4326">
        <w:rPr>
          <w:bCs/>
        </w:rPr>
        <w:t xml:space="preserve">áætlun, en gerðar </w:t>
      </w:r>
      <w:r>
        <w:rPr>
          <w:bCs/>
        </w:rPr>
        <w:t>yrðu</w:t>
      </w:r>
      <w:r w:rsidRPr="00AC4326">
        <w:rPr>
          <w:bCs/>
        </w:rPr>
        <w:t xml:space="preserve"> tilteknar breytingar á lögunum sem mið</w:t>
      </w:r>
      <w:r>
        <w:rPr>
          <w:bCs/>
        </w:rPr>
        <w:t>uðu</w:t>
      </w:r>
      <w:r w:rsidRPr="00AC4326">
        <w:rPr>
          <w:bCs/>
        </w:rPr>
        <w:t xml:space="preserve"> að því að aðlaga gildandi lagaramma betur að sérstöðu þessara virkjunarkosta þannig að unnt </w:t>
      </w:r>
      <w:r>
        <w:rPr>
          <w:bCs/>
        </w:rPr>
        <w:t>væri</w:t>
      </w:r>
      <w:r w:rsidRPr="00AC4326">
        <w:rPr>
          <w:bCs/>
        </w:rPr>
        <w:t xml:space="preserve"> að einfalda og flýta opinberri málsmeðferð með hliðsjón af séreðli </w:t>
      </w:r>
      <w:r>
        <w:rPr>
          <w:bCs/>
        </w:rPr>
        <w:t xml:space="preserve">þeirra, eða b. </w:t>
      </w:r>
      <w:r w:rsidRPr="00AC4326">
        <w:rPr>
          <w:bCs/>
        </w:rPr>
        <w:t xml:space="preserve">Hvort rétt </w:t>
      </w:r>
      <w:r>
        <w:rPr>
          <w:bCs/>
        </w:rPr>
        <w:t>væri</w:t>
      </w:r>
      <w:r w:rsidRPr="00AC4326">
        <w:rPr>
          <w:bCs/>
        </w:rPr>
        <w:t xml:space="preserve"> að virkjunarkostir í vindorku </w:t>
      </w:r>
      <w:r>
        <w:rPr>
          <w:bCs/>
        </w:rPr>
        <w:t>yrðu</w:t>
      </w:r>
      <w:r w:rsidRPr="00AC4326">
        <w:rPr>
          <w:bCs/>
        </w:rPr>
        <w:t xml:space="preserve"> alfarið undanskildir lögum nr. 48/2011 en að settar </w:t>
      </w:r>
      <w:r>
        <w:rPr>
          <w:bCs/>
        </w:rPr>
        <w:t>yrðu</w:t>
      </w:r>
      <w:r w:rsidRPr="00AC4326">
        <w:rPr>
          <w:bCs/>
        </w:rPr>
        <w:t xml:space="preserve"> sérreglur um meðferð slíkra virkjunarkosta með öðrum hætti en innan gildandi laga.  </w:t>
      </w:r>
    </w:p>
    <w:p w14:paraId="28845C63" w14:textId="182BB6D6" w:rsidR="00A964E4" w:rsidRDefault="00A964E4" w:rsidP="00A964E4">
      <w:pPr>
        <w:rPr>
          <w:bCs/>
        </w:rPr>
      </w:pPr>
      <w:r>
        <w:rPr>
          <w:bCs/>
        </w:rPr>
        <w:t>Í framhaldinu var s</w:t>
      </w:r>
      <w:r w:rsidRPr="00AC4326">
        <w:rPr>
          <w:bCs/>
        </w:rPr>
        <w:t>tarfshópn</w:t>
      </w:r>
      <w:r>
        <w:rPr>
          <w:bCs/>
        </w:rPr>
        <w:t>um ætlað</w:t>
      </w:r>
      <w:r w:rsidRPr="00AC4326">
        <w:rPr>
          <w:bCs/>
        </w:rPr>
        <w:t xml:space="preserve"> </w:t>
      </w:r>
      <w:r>
        <w:rPr>
          <w:bCs/>
        </w:rPr>
        <w:t xml:space="preserve">að </w:t>
      </w:r>
      <w:r w:rsidRPr="00AC4326">
        <w:rPr>
          <w:bCs/>
        </w:rPr>
        <w:t>taka til skoðunar og gera tillögur um hvernig ná m</w:t>
      </w:r>
      <w:r>
        <w:rPr>
          <w:bCs/>
        </w:rPr>
        <w:t>ætti</w:t>
      </w:r>
      <w:r w:rsidRPr="00AC4326">
        <w:rPr>
          <w:bCs/>
        </w:rPr>
        <w:t xml:space="preserve"> eftirfarandi markmiðum eða hvernig m</w:t>
      </w:r>
      <w:r>
        <w:rPr>
          <w:bCs/>
        </w:rPr>
        <w:t>ætti</w:t>
      </w:r>
      <w:r w:rsidRPr="00AC4326">
        <w:rPr>
          <w:bCs/>
        </w:rPr>
        <w:t xml:space="preserve"> leysa úr eftirfarandi álitaefnum í löggjöf um vindorku miðað við þá leið sem lögð er til:</w:t>
      </w:r>
      <w:r>
        <w:rPr>
          <w:bCs/>
        </w:rPr>
        <w:t xml:space="preserve"> 1. </w:t>
      </w:r>
      <w:r w:rsidRPr="00AC4326">
        <w:rPr>
          <w:bCs/>
        </w:rPr>
        <w:t xml:space="preserve">Hvernig haga </w:t>
      </w:r>
      <w:r>
        <w:rPr>
          <w:bCs/>
        </w:rPr>
        <w:t>ætti</w:t>
      </w:r>
      <w:r w:rsidRPr="00AC4326">
        <w:rPr>
          <w:bCs/>
        </w:rPr>
        <w:t xml:space="preserve"> samspili hagnýtingar vindorku </w:t>
      </w:r>
      <w:r w:rsidR="00B27EBE">
        <w:rPr>
          <w:bCs/>
        </w:rPr>
        <w:t xml:space="preserve">og </w:t>
      </w:r>
      <w:r w:rsidRPr="00AC4326">
        <w:rPr>
          <w:bCs/>
        </w:rPr>
        <w:t xml:space="preserve">skipulags- og leyfisveitingarferli þegar í hlut </w:t>
      </w:r>
      <w:r>
        <w:rPr>
          <w:bCs/>
        </w:rPr>
        <w:t>ættu</w:t>
      </w:r>
      <w:r w:rsidRPr="00AC4326">
        <w:rPr>
          <w:bCs/>
        </w:rPr>
        <w:t xml:space="preserve"> viðkvæm svæði eða viðkvæmir þættir, eins og áhrif á náttúrufar og friðlýst svæði, fuglalíf, ferðamennsku, grenndarrétt eða önnur sjónarmið sem starfshópurinn tel</w:t>
      </w:r>
      <w:r>
        <w:rPr>
          <w:bCs/>
        </w:rPr>
        <w:t>di</w:t>
      </w:r>
      <w:r w:rsidRPr="00AC4326">
        <w:rPr>
          <w:bCs/>
        </w:rPr>
        <w:t xml:space="preserve"> mikilvæg.</w:t>
      </w:r>
      <w:r>
        <w:rPr>
          <w:bCs/>
        </w:rPr>
        <w:t xml:space="preserve"> 2. </w:t>
      </w:r>
      <w:r w:rsidRPr="00AC4326">
        <w:rPr>
          <w:bCs/>
        </w:rPr>
        <w:t xml:space="preserve">Hvernig lagt </w:t>
      </w:r>
      <w:r>
        <w:rPr>
          <w:bCs/>
        </w:rPr>
        <w:t>væri</w:t>
      </w:r>
      <w:r w:rsidRPr="00AC4326">
        <w:rPr>
          <w:bCs/>
        </w:rPr>
        <w:t xml:space="preserve"> til að ná fram þeirri áherslu í stjórnarsáttmála að vindorkuver bygg</w:t>
      </w:r>
      <w:r>
        <w:rPr>
          <w:bCs/>
        </w:rPr>
        <w:t>ðust</w:t>
      </w:r>
      <w:r w:rsidRPr="00AC4326">
        <w:rPr>
          <w:bCs/>
        </w:rPr>
        <w:t xml:space="preserve"> helst upp á afmörkuðum svæðum nærri tengivirkjum og flutningslínum þar sem unnt v</w:t>
      </w:r>
      <w:r>
        <w:rPr>
          <w:bCs/>
        </w:rPr>
        <w:t>æri</w:t>
      </w:r>
      <w:r w:rsidRPr="00AC4326">
        <w:rPr>
          <w:bCs/>
        </w:rPr>
        <w:t xml:space="preserve"> að tryggja afhendingar</w:t>
      </w:r>
      <w:r w:rsidR="008E5660">
        <w:rPr>
          <w:bCs/>
        </w:rPr>
        <w:softHyphen/>
      </w:r>
      <w:r w:rsidRPr="00AC4326">
        <w:rPr>
          <w:bCs/>
        </w:rPr>
        <w:t>öryggi.</w:t>
      </w:r>
      <w:r>
        <w:rPr>
          <w:bCs/>
        </w:rPr>
        <w:t xml:space="preserve"> 3. </w:t>
      </w:r>
      <w:r w:rsidRPr="00AC4326">
        <w:rPr>
          <w:bCs/>
        </w:rPr>
        <w:t>Hvernig ná m</w:t>
      </w:r>
      <w:r>
        <w:rPr>
          <w:bCs/>
        </w:rPr>
        <w:t>ætti</w:t>
      </w:r>
      <w:r w:rsidRPr="00AC4326">
        <w:rPr>
          <w:bCs/>
        </w:rPr>
        <w:t xml:space="preserve"> fram sem breiðastri sátt um hagnýtingu vindorku meðal lands</w:t>
      </w:r>
      <w:r w:rsidR="00260D24">
        <w:rPr>
          <w:bCs/>
        </w:rPr>
        <w:softHyphen/>
      </w:r>
      <w:r w:rsidRPr="00AC4326">
        <w:rPr>
          <w:bCs/>
        </w:rPr>
        <w:t>manna eins og einnig er fjallað um í stjórnarsáttmála. </w:t>
      </w:r>
      <w:r>
        <w:rPr>
          <w:bCs/>
        </w:rPr>
        <w:t xml:space="preserve">4. </w:t>
      </w:r>
      <w:r w:rsidRPr="00AC4326">
        <w:rPr>
          <w:bCs/>
        </w:rPr>
        <w:t xml:space="preserve">Hvort horfa </w:t>
      </w:r>
      <w:r>
        <w:rPr>
          <w:bCs/>
        </w:rPr>
        <w:t>ætti</w:t>
      </w:r>
      <w:r w:rsidRPr="00AC4326">
        <w:rPr>
          <w:bCs/>
        </w:rPr>
        <w:t xml:space="preserve"> til þess að hið opin</w:t>
      </w:r>
      <w:r w:rsidR="00260D24">
        <w:rPr>
          <w:bCs/>
        </w:rPr>
        <w:softHyphen/>
      </w:r>
      <w:r w:rsidRPr="00AC4326">
        <w:rPr>
          <w:bCs/>
        </w:rPr>
        <w:t>bera h</w:t>
      </w:r>
      <w:r>
        <w:rPr>
          <w:bCs/>
        </w:rPr>
        <w:t>efði</w:t>
      </w:r>
      <w:r w:rsidRPr="00AC4326">
        <w:rPr>
          <w:bCs/>
        </w:rPr>
        <w:t xml:space="preserve"> með höndum einhvers konar forgangsröðun einstakra virkjunarkosta, heildarfjölda eða heildarstærð leyfðra vindorkuvera eða set</w:t>
      </w:r>
      <w:r>
        <w:rPr>
          <w:bCs/>
        </w:rPr>
        <w:t>ti</w:t>
      </w:r>
      <w:r w:rsidRPr="00AC4326">
        <w:rPr>
          <w:bCs/>
        </w:rPr>
        <w:t xml:space="preserve"> aðrar mögulegar skorður við vindorkunýtingu og fyrirkomulag vindorkuvera. Hér </w:t>
      </w:r>
      <w:r>
        <w:rPr>
          <w:bCs/>
        </w:rPr>
        <w:t xml:space="preserve">var í </w:t>
      </w:r>
      <w:r w:rsidRPr="00AC4326">
        <w:rPr>
          <w:bCs/>
        </w:rPr>
        <w:t>dæmaskyni nefn</w:t>
      </w:r>
      <w:r>
        <w:rPr>
          <w:bCs/>
        </w:rPr>
        <w:t>d</w:t>
      </w:r>
      <w:r w:rsidRPr="00AC4326">
        <w:rPr>
          <w:bCs/>
        </w:rPr>
        <w:t xml:space="preserve"> opinber stefnumörkun sem stuðla</w:t>
      </w:r>
      <w:r>
        <w:rPr>
          <w:bCs/>
        </w:rPr>
        <w:t>ði</w:t>
      </w:r>
      <w:r w:rsidRPr="00AC4326">
        <w:rPr>
          <w:bCs/>
        </w:rPr>
        <w:t xml:space="preserve"> að fáum en stórum vindorkuverum frekar en fjölda minni vindorkuvera, útilokun tiltekinna svæða landsins frá vindorkunýtingu eða með öðrum hætti að mati starfshópsins. </w:t>
      </w:r>
      <w:r>
        <w:rPr>
          <w:bCs/>
        </w:rPr>
        <w:t xml:space="preserve">5. </w:t>
      </w:r>
      <w:r w:rsidRPr="00AC4326">
        <w:rPr>
          <w:bCs/>
        </w:rPr>
        <w:t xml:space="preserve">Hvernig </w:t>
      </w:r>
      <w:r w:rsidRPr="00AC4326">
        <w:rPr>
          <w:bCs/>
        </w:rPr>
        <w:lastRenderedPageBreak/>
        <w:t>starfshópurinn tel</w:t>
      </w:r>
      <w:r>
        <w:rPr>
          <w:bCs/>
        </w:rPr>
        <w:t>di</w:t>
      </w:r>
      <w:r w:rsidRPr="00AC4326">
        <w:rPr>
          <w:bCs/>
        </w:rPr>
        <w:t xml:space="preserve"> rétt að haga ákvörðunar- og leyfisveitingarferli virkjunarkosta í vindorku, þ.m.t. hlutverk</w:t>
      </w:r>
      <w:r w:rsidR="006B213B">
        <w:rPr>
          <w:bCs/>
        </w:rPr>
        <w:t>i</w:t>
      </w:r>
      <w:r w:rsidRPr="00AC4326">
        <w:rPr>
          <w:bCs/>
        </w:rPr>
        <w:t xml:space="preserve"> ólíkra stjórnsýslustiga</w:t>
      </w:r>
      <w:r w:rsidR="006B213B">
        <w:rPr>
          <w:bCs/>
        </w:rPr>
        <w:t>,</w:t>
      </w:r>
      <w:r w:rsidRPr="00AC4326">
        <w:rPr>
          <w:bCs/>
        </w:rPr>
        <w:t xml:space="preserve"> hvort sem er ríki</w:t>
      </w:r>
      <w:r w:rsidR="00E01C8B">
        <w:rPr>
          <w:bCs/>
        </w:rPr>
        <w:t>s</w:t>
      </w:r>
      <w:r w:rsidRPr="00AC4326">
        <w:rPr>
          <w:bCs/>
        </w:rPr>
        <w:t xml:space="preserve">, sveitarfélaga eða hugsanlega annarra aðila að slíku ferli. </w:t>
      </w:r>
      <w:r>
        <w:rPr>
          <w:bCs/>
        </w:rPr>
        <w:t xml:space="preserve">6. </w:t>
      </w:r>
      <w:r w:rsidRPr="00AC4326">
        <w:rPr>
          <w:bCs/>
        </w:rPr>
        <w:t>Hvernig starfshópurinn</w:t>
      </w:r>
      <w:r>
        <w:rPr>
          <w:bCs/>
        </w:rPr>
        <w:t xml:space="preserve"> teldi</w:t>
      </w:r>
      <w:r w:rsidRPr="00AC4326">
        <w:rPr>
          <w:bCs/>
        </w:rPr>
        <w:t xml:space="preserve"> best að haga gjaldtöku vegna hagnýtingar vindorku. </w:t>
      </w:r>
    </w:p>
    <w:p w14:paraId="78D90F10" w14:textId="07B50643" w:rsidR="00A964E4" w:rsidRPr="00C02F25" w:rsidRDefault="00A964E4" w:rsidP="00A964E4">
      <w:pPr>
        <w:rPr>
          <w:bCs/>
        </w:rPr>
      </w:pPr>
      <w:r w:rsidRPr="00C02F25">
        <w:rPr>
          <w:bCs/>
        </w:rPr>
        <w:t xml:space="preserve">Að loknu mati og greiningu á viðfangsefninu </w:t>
      </w:r>
      <w:r>
        <w:rPr>
          <w:bCs/>
        </w:rPr>
        <w:t xml:space="preserve">var gert ráð fyrir að </w:t>
      </w:r>
      <w:r w:rsidRPr="00C02F25">
        <w:rPr>
          <w:bCs/>
        </w:rPr>
        <w:t>starfshóp</w:t>
      </w:r>
      <w:r>
        <w:rPr>
          <w:bCs/>
        </w:rPr>
        <w:t>urinn myndi</w:t>
      </w:r>
      <w:r w:rsidRPr="00C02F25">
        <w:rPr>
          <w:bCs/>
        </w:rPr>
        <w:t xml:space="preserve"> vinna drög að lagafrumvarpi á grundvelli niðurstað</w:t>
      </w:r>
      <w:r w:rsidR="00563F03">
        <w:rPr>
          <w:bCs/>
        </w:rPr>
        <w:t>n</w:t>
      </w:r>
      <w:r w:rsidRPr="00C02F25">
        <w:rPr>
          <w:bCs/>
        </w:rPr>
        <w:t>a sinna.</w:t>
      </w:r>
    </w:p>
    <w:p w14:paraId="0BC22635" w14:textId="5B8EE392" w:rsidR="00A964E4" w:rsidRDefault="00A964E4" w:rsidP="00A964E4">
      <w:r>
        <w:t>Starfshópurinn hélt yfir 90 fundi á starfstíma sínum</w:t>
      </w:r>
      <w:r w:rsidR="00E34086">
        <w:t>,</w:t>
      </w:r>
      <w:r>
        <w:t xml:space="preserve"> auk þess sem yfir 100 gestakomur voru á fund</w:t>
      </w:r>
      <w:r w:rsidR="00657AAA">
        <w:t>i</w:t>
      </w:r>
      <w:r>
        <w:t xml:space="preserve"> starfshópsins. </w:t>
      </w:r>
      <w:r w:rsidR="00D154A0">
        <w:t xml:space="preserve">Frumvarp þetta </w:t>
      </w:r>
      <w:r w:rsidR="00E34086">
        <w:t xml:space="preserve">er, </w:t>
      </w:r>
      <w:r w:rsidR="00D154A0">
        <w:t>ásamt stefnu um vindorku</w:t>
      </w:r>
      <w:r w:rsidR="00E34086">
        <w:t>,</w:t>
      </w:r>
      <w:r w:rsidR="00D154A0">
        <w:t xml:space="preserve"> niðurstaða vinnu starfshópsins. </w:t>
      </w:r>
    </w:p>
    <w:p w14:paraId="4FEB3260" w14:textId="77777777" w:rsidR="00A964E4" w:rsidRDefault="00A964E4" w:rsidP="00A964E4"/>
    <w:p w14:paraId="0CF8775A" w14:textId="33542F73" w:rsidR="00A964E4" w:rsidRDefault="00A964E4" w:rsidP="00A964E4">
      <w:pPr>
        <w:ind w:firstLine="0"/>
        <w:rPr>
          <w:b/>
          <w:bCs/>
        </w:rPr>
      </w:pPr>
      <w:bookmarkStart w:id="48" w:name="_Hlk150169572"/>
      <w:r w:rsidRPr="002270B4">
        <w:rPr>
          <w:b/>
          <w:bCs/>
        </w:rPr>
        <w:t xml:space="preserve">2. </w:t>
      </w:r>
      <w:r w:rsidR="00C01349">
        <w:rPr>
          <w:b/>
          <w:bCs/>
        </w:rPr>
        <w:tab/>
      </w:r>
      <w:r>
        <w:rPr>
          <w:b/>
          <w:bCs/>
        </w:rPr>
        <w:t>Tilefni og nauðsyn lagasetninga.</w:t>
      </w:r>
    </w:p>
    <w:p w14:paraId="3E2A22EF" w14:textId="13BD5206" w:rsidR="00042C01" w:rsidRPr="00042C01" w:rsidRDefault="00BC12BA" w:rsidP="00042C01">
      <w:pPr>
        <w:rPr>
          <w:bCs/>
        </w:rPr>
      </w:pPr>
      <w:r>
        <w:rPr>
          <w:bCs/>
        </w:rPr>
        <w:t xml:space="preserve">Tilefni lagasetningarinnar er að ná fram því markmiði </w:t>
      </w:r>
      <w:r w:rsidRPr="00AC4326">
        <w:rPr>
          <w:bCs/>
        </w:rPr>
        <w:t xml:space="preserve">að einfalda </w:t>
      </w:r>
      <w:r w:rsidR="00D154A0">
        <w:rPr>
          <w:bCs/>
        </w:rPr>
        <w:t xml:space="preserve">og flýta </w:t>
      </w:r>
      <w:r w:rsidRPr="00AC4326">
        <w:rPr>
          <w:bCs/>
        </w:rPr>
        <w:t>uppbyggingu vindorkuvera til framleiðslu á grænni orku</w:t>
      </w:r>
      <w:r>
        <w:rPr>
          <w:bCs/>
        </w:rPr>
        <w:t xml:space="preserve"> en um leið að reyna að lágmarka umhverfisáhrif vegna þeirra eins og kostur er. Lagasetningin </w:t>
      </w:r>
      <w:r w:rsidR="007B60D1">
        <w:rPr>
          <w:bCs/>
        </w:rPr>
        <w:t xml:space="preserve">byggist á tillögum starfshóps um vindorku og er </w:t>
      </w:r>
      <w:r>
        <w:rPr>
          <w:bCs/>
        </w:rPr>
        <w:t xml:space="preserve">liður í því að freista þess að ná tiltölulega </w:t>
      </w:r>
      <w:r w:rsidRPr="00AC4326">
        <w:rPr>
          <w:bCs/>
        </w:rPr>
        <w:t>breið</w:t>
      </w:r>
      <w:r>
        <w:rPr>
          <w:bCs/>
        </w:rPr>
        <w:t>ri</w:t>
      </w:r>
      <w:r w:rsidRPr="00AC4326">
        <w:rPr>
          <w:bCs/>
        </w:rPr>
        <w:t xml:space="preserve"> sátt </w:t>
      </w:r>
      <w:r w:rsidR="00BD193B">
        <w:rPr>
          <w:bCs/>
        </w:rPr>
        <w:t xml:space="preserve">meðal landsmanna </w:t>
      </w:r>
      <w:r w:rsidRPr="00AC4326">
        <w:rPr>
          <w:bCs/>
        </w:rPr>
        <w:t xml:space="preserve">um </w:t>
      </w:r>
      <w:r>
        <w:rPr>
          <w:bCs/>
        </w:rPr>
        <w:t xml:space="preserve">þær reglur sem </w:t>
      </w:r>
      <w:r w:rsidR="00BD193B">
        <w:rPr>
          <w:bCs/>
        </w:rPr>
        <w:t xml:space="preserve">gilda eiga um </w:t>
      </w:r>
      <w:r w:rsidRPr="00AC4326">
        <w:rPr>
          <w:bCs/>
        </w:rPr>
        <w:t>uppbyggingu slíkra</w:t>
      </w:r>
      <w:r w:rsidR="00BA7318">
        <w:rPr>
          <w:bCs/>
        </w:rPr>
        <w:t>r</w:t>
      </w:r>
      <w:r w:rsidRPr="00AC4326">
        <w:rPr>
          <w:bCs/>
        </w:rPr>
        <w:t xml:space="preserve"> </w:t>
      </w:r>
      <w:r w:rsidR="00BD193B">
        <w:rPr>
          <w:bCs/>
        </w:rPr>
        <w:t>starfsemi</w:t>
      </w:r>
      <w:r w:rsidRPr="00AC4326">
        <w:rPr>
          <w:bCs/>
        </w:rPr>
        <w:t xml:space="preserve"> </w:t>
      </w:r>
      <w:r w:rsidR="00BD193B">
        <w:rPr>
          <w:bCs/>
        </w:rPr>
        <w:t>þannig að</w:t>
      </w:r>
      <w:r w:rsidR="004E3EA9">
        <w:rPr>
          <w:bCs/>
        </w:rPr>
        <w:t xml:space="preserve"> við</w:t>
      </w:r>
      <w:r w:rsidR="00BD193B">
        <w:rPr>
          <w:bCs/>
        </w:rPr>
        <w:t xml:space="preserve"> staðarval virkjunarkosta sé tekið </w:t>
      </w:r>
      <w:r w:rsidRPr="00AC4326">
        <w:rPr>
          <w:bCs/>
        </w:rPr>
        <w:t xml:space="preserve">tillit til sjónrænna </w:t>
      </w:r>
      <w:r w:rsidR="00BD193B">
        <w:rPr>
          <w:bCs/>
        </w:rPr>
        <w:t xml:space="preserve">og hljóðrænna </w:t>
      </w:r>
      <w:r w:rsidRPr="00AC4326">
        <w:rPr>
          <w:bCs/>
        </w:rPr>
        <w:t>áhrifa</w:t>
      </w:r>
      <w:r w:rsidR="00BD193B">
        <w:rPr>
          <w:bCs/>
        </w:rPr>
        <w:t xml:space="preserve"> starfseminnar</w:t>
      </w:r>
      <w:r w:rsidR="00C110A2">
        <w:rPr>
          <w:bCs/>
        </w:rPr>
        <w:t>,</w:t>
      </w:r>
      <w:r w:rsidR="00BD193B">
        <w:rPr>
          <w:bCs/>
        </w:rPr>
        <w:t xml:space="preserve"> auk þess sem gætt sé að náttúru landsins, hálendinu, friðlýstum svæðum og fuglalífi. </w:t>
      </w:r>
      <w:r w:rsidR="00D154A0">
        <w:rPr>
          <w:bCs/>
        </w:rPr>
        <w:t xml:space="preserve">Í frumvarpinu eru lagðar til </w:t>
      </w:r>
      <w:r w:rsidR="00657AAA">
        <w:rPr>
          <w:bCs/>
        </w:rPr>
        <w:t>tilteknar</w:t>
      </w:r>
      <w:r w:rsidR="00D154A0">
        <w:rPr>
          <w:bCs/>
        </w:rPr>
        <w:t xml:space="preserve"> takmarkanir á hagnýtingu vindorku á </w:t>
      </w:r>
      <w:r w:rsidR="00657AAA">
        <w:rPr>
          <w:bCs/>
        </w:rPr>
        <w:t>ákveðnum</w:t>
      </w:r>
      <w:r w:rsidR="00D154A0">
        <w:rPr>
          <w:bCs/>
        </w:rPr>
        <w:t xml:space="preserve"> svæðum umfram aðra virkjunarkosti en á móti eru lagðar til breytingar </w:t>
      </w:r>
      <w:r w:rsidR="007B60D1">
        <w:rPr>
          <w:bCs/>
        </w:rPr>
        <w:t xml:space="preserve">til einföldunar </w:t>
      </w:r>
      <w:r w:rsidR="00D154A0">
        <w:rPr>
          <w:bCs/>
        </w:rPr>
        <w:t>á málsmeðferð virkjunarkost</w:t>
      </w:r>
      <w:r w:rsidR="00C110A2">
        <w:rPr>
          <w:bCs/>
        </w:rPr>
        <w:t>a</w:t>
      </w:r>
      <w:r w:rsidR="00D154A0">
        <w:rPr>
          <w:bCs/>
        </w:rPr>
        <w:t xml:space="preserve"> í vindorku sem uppfylla </w:t>
      </w:r>
      <w:r w:rsidR="00657AAA">
        <w:rPr>
          <w:bCs/>
        </w:rPr>
        <w:t>ákveðin</w:t>
      </w:r>
      <w:r w:rsidR="00D154A0">
        <w:rPr>
          <w:bCs/>
        </w:rPr>
        <w:t xml:space="preserve"> skilyrði. </w:t>
      </w:r>
      <w:r w:rsidR="00042C01" w:rsidRPr="00042C01">
        <w:rPr>
          <w:bCs/>
        </w:rPr>
        <w:t>Samhliða frumvarpi þessu er gert ráð fyrir að lögð verði fram þingsályktunartillaga um opinbera stefnu um vindorku</w:t>
      </w:r>
      <w:r w:rsidR="00D154A0">
        <w:rPr>
          <w:bCs/>
        </w:rPr>
        <w:t xml:space="preserve"> sem </w:t>
      </w:r>
      <w:r w:rsidR="00657AAA">
        <w:rPr>
          <w:bCs/>
        </w:rPr>
        <w:t xml:space="preserve">lögð </w:t>
      </w:r>
      <w:r w:rsidR="00D154A0">
        <w:rPr>
          <w:bCs/>
        </w:rPr>
        <w:t xml:space="preserve">verði </w:t>
      </w:r>
      <w:r w:rsidR="00657AAA">
        <w:rPr>
          <w:bCs/>
        </w:rPr>
        <w:t xml:space="preserve">til </w:t>
      </w:r>
      <w:r w:rsidR="00D154A0">
        <w:rPr>
          <w:bCs/>
        </w:rPr>
        <w:t xml:space="preserve">grundvallar við meðferð mála er snúa að þessum tiltölulega nýja orkukosti hér á landi. </w:t>
      </w:r>
      <w:r w:rsidR="00042C01" w:rsidRPr="00042C01">
        <w:rPr>
          <w:bCs/>
        </w:rPr>
        <w:t xml:space="preserve"> </w:t>
      </w:r>
    </w:p>
    <w:p w14:paraId="3B1F2826" w14:textId="3554167E" w:rsidR="00BC12BA" w:rsidRDefault="00BC12BA" w:rsidP="00A964E4">
      <w:pPr>
        <w:ind w:firstLine="0"/>
        <w:rPr>
          <w:b/>
          <w:bCs/>
        </w:rPr>
      </w:pPr>
    </w:p>
    <w:p w14:paraId="442E1001" w14:textId="768A510C" w:rsidR="00A964E4" w:rsidRDefault="00A964E4" w:rsidP="00A964E4">
      <w:pPr>
        <w:ind w:firstLine="0"/>
        <w:rPr>
          <w:b/>
          <w:bCs/>
        </w:rPr>
      </w:pPr>
      <w:r>
        <w:rPr>
          <w:b/>
          <w:bCs/>
        </w:rPr>
        <w:t xml:space="preserve">3. </w:t>
      </w:r>
      <w:r w:rsidR="00C01349">
        <w:rPr>
          <w:b/>
          <w:bCs/>
        </w:rPr>
        <w:tab/>
      </w:r>
      <w:r>
        <w:rPr>
          <w:b/>
          <w:bCs/>
        </w:rPr>
        <w:t>Meginefni frumvarpsins.</w:t>
      </w:r>
    </w:p>
    <w:p w14:paraId="02BCD845" w14:textId="506D2924" w:rsidR="00D154A0" w:rsidRDefault="00657AAA" w:rsidP="00D154A0">
      <w:r>
        <w:t>Á undanförnum árum hafa k</w:t>
      </w:r>
      <w:r w:rsidR="00D154A0">
        <w:t xml:space="preserve">omið fram sjónarmið um að lög </w:t>
      </w:r>
      <w:r w:rsidRPr="00BC12BA">
        <w:t xml:space="preserve">nr. </w:t>
      </w:r>
      <w:r w:rsidR="00EE4B60">
        <w:t>48</w:t>
      </w:r>
      <w:r w:rsidRPr="00BC12BA">
        <w:t>/201</w:t>
      </w:r>
      <w:r>
        <w:t xml:space="preserve">1, </w:t>
      </w:r>
      <w:r w:rsidR="007B60D1" w:rsidRPr="00BC12BA">
        <w:t>um vernd</w:t>
      </w:r>
      <w:r>
        <w:t>ar</w:t>
      </w:r>
      <w:r w:rsidR="007B60D1" w:rsidRPr="00BC12BA">
        <w:t>- og orku</w:t>
      </w:r>
      <w:r w:rsidR="007B60D1">
        <w:t>n</w:t>
      </w:r>
      <w:r w:rsidR="007B60D1" w:rsidRPr="00BC12BA">
        <w:t>ýting</w:t>
      </w:r>
      <w:r>
        <w:t>aráætlun</w:t>
      </w:r>
      <w:r w:rsidR="007B60D1" w:rsidRPr="00BC12BA">
        <w:t xml:space="preserve">, </w:t>
      </w:r>
      <w:r w:rsidR="00D154A0">
        <w:t xml:space="preserve">gildi ekki um vindorku á þeim grundvelli að </w:t>
      </w:r>
      <w:r w:rsidR="007B60D1">
        <w:t xml:space="preserve">í lögunum </w:t>
      </w:r>
      <w:r w:rsidR="00D154A0">
        <w:t>hefð</w:t>
      </w:r>
      <w:r w:rsidR="007B60D1">
        <w:t>i</w:t>
      </w:r>
      <w:r w:rsidR="00D154A0">
        <w:t xml:space="preserve"> þurft </w:t>
      </w:r>
      <w:r w:rsidR="007B60D1">
        <w:t xml:space="preserve">að fjalla </w:t>
      </w:r>
      <w:r w:rsidR="00D154A0">
        <w:t xml:space="preserve">með skýrari hætti um þennan virkjunarkost. Við meðferð Alþingis á frumvarpi til laga nr. 48/2011 </w:t>
      </w:r>
      <w:r w:rsidR="00D154A0" w:rsidRPr="00D54A74">
        <w:t>kom</w:t>
      </w:r>
      <w:r w:rsidR="00D154A0">
        <w:t>u</w:t>
      </w:r>
      <w:r w:rsidR="00D154A0" w:rsidRPr="00D54A74">
        <w:t xml:space="preserve"> fram breytingartill</w:t>
      </w:r>
      <w:r w:rsidR="00D154A0">
        <w:t>ögur</w:t>
      </w:r>
      <w:r w:rsidR="00D154A0" w:rsidRPr="00D54A74">
        <w:t xml:space="preserve"> frá </w:t>
      </w:r>
      <w:r w:rsidR="00D154A0">
        <w:t>meiri</w:t>
      </w:r>
      <w:r w:rsidR="002B581F">
        <w:t xml:space="preserve"> </w:t>
      </w:r>
      <w:r w:rsidR="00D154A0">
        <w:t xml:space="preserve">hluta </w:t>
      </w:r>
      <w:r w:rsidR="00D154A0" w:rsidRPr="00D54A74">
        <w:t>iðnaðarnefnd</w:t>
      </w:r>
      <w:r w:rsidR="00D154A0">
        <w:t>ar</w:t>
      </w:r>
      <w:r w:rsidR="00D154A0" w:rsidRPr="00D54A74">
        <w:t xml:space="preserve"> þar sem lagt </w:t>
      </w:r>
      <w:r w:rsidR="00D154A0">
        <w:t>var</w:t>
      </w:r>
      <w:r w:rsidR="00D154A0" w:rsidRPr="00D54A74">
        <w:t xml:space="preserve"> til að gildissvið </w:t>
      </w:r>
      <w:r>
        <w:t>frumvarpsins</w:t>
      </w:r>
      <w:r w:rsidR="00D154A0">
        <w:t xml:space="preserve"> yrði</w:t>
      </w:r>
      <w:r w:rsidR="00D154A0" w:rsidRPr="00D54A74">
        <w:t xml:space="preserve"> ekki afmarkað við vatnsafl og jarðhita, heldur </w:t>
      </w:r>
      <w:r>
        <w:t>skyldi</w:t>
      </w:r>
      <w:r w:rsidR="00D154A0">
        <w:t xml:space="preserve"> það gilda </w:t>
      </w:r>
      <w:r w:rsidR="00D154A0" w:rsidRPr="00D54A74">
        <w:t>um alla virkjunarkosti óháð þeirri tækni sem notuð væri við</w:t>
      </w:r>
      <w:r w:rsidR="00D154A0">
        <w:t xml:space="preserve"> orkuframleiðslun</w:t>
      </w:r>
      <w:r>
        <w:t>a</w:t>
      </w:r>
      <w:r w:rsidR="00D154A0">
        <w:t xml:space="preserve">. </w:t>
      </w:r>
      <w:r w:rsidR="00D154A0" w:rsidRPr="00B17E15">
        <w:t xml:space="preserve">Við </w:t>
      </w:r>
      <w:r w:rsidR="007B60D1">
        <w:t xml:space="preserve">meðferð frumvarpsins </w:t>
      </w:r>
      <w:r>
        <w:t xml:space="preserve">og samþykki þess á Alþingi </w:t>
      </w:r>
      <w:r w:rsidR="007B60D1">
        <w:t xml:space="preserve">voru því gerðar nokkrar </w:t>
      </w:r>
      <w:r w:rsidR="00D154A0">
        <w:t>breytingar</w:t>
      </w:r>
      <w:r>
        <w:t xml:space="preserve">. Ein af þeim var að lögin </w:t>
      </w:r>
      <w:r w:rsidR="00D154A0">
        <w:t>yrðu</w:t>
      </w:r>
      <w:r w:rsidR="00D154A0" w:rsidRPr="00B17E15">
        <w:t xml:space="preserve"> ekki einungis bundin við vatnsafl og jarðhita</w:t>
      </w:r>
      <w:r w:rsidR="007B60D1">
        <w:t xml:space="preserve"> </w:t>
      </w:r>
      <w:r>
        <w:t>heldur alla virkjunarkosti til raforkuframleiðslu</w:t>
      </w:r>
      <w:r w:rsidR="007B60D1">
        <w:t>.</w:t>
      </w:r>
      <w:r w:rsidR="00D154A0" w:rsidRPr="00B17E15">
        <w:t xml:space="preserve"> </w:t>
      </w:r>
      <w:r w:rsidR="00D154A0">
        <w:t>Að mati</w:t>
      </w:r>
      <w:r w:rsidR="00D154A0" w:rsidRPr="00B17E15">
        <w:t xml:space="preserve"> umhverfis-</w:t>
      </w:r>
      <w:r w:rsidR="00D154A0">
        <w:t>, orku- og loftslagsráðuneytisins</w:t>
      </w:r>
      <w:r w:rsidR="00D154A0" w:rsidRPr="00B17E15">
        <w:t xml:space="preserve"> sem fer með framkvæmd </w:t>
      </w:r>
      <w:r w:rsidR="00D154A0">
        <w:t xml:space="preserve">laga </w:t>
      </w:r>
      <w:r w:rsidR="00282543">
        <w:t xml:space="preserve">nr. </w:t>
      </w:r>
      <w:r w:rsidR="00D154A0">
        <w:t>48/2011, um verndar- og orkunýtingaráætlun</w:t>
      </w:r>
      <w:r w:rsidR="007B60D1">
        <w:t>,</w:t>
      </w:r>
      <w:r w:rsidR="00D154A0">
        <w:t xml:space="preserve"> er ljóst að vi</w:t>
      </w:r>
      <w:r w:rsidR="00D154A0" w:rsidRPr="00B17E15">
        <w:t xml:space="preserve">ndorkunýting </w:t>
      </w:r>
      <w:r w:rsidR="00D154A0">
        <w:t xml:space="preserve">fellur </w:t>
      </w:r>
      <w:r w:rsidR="00D154A0" w:rsidRPr="00B17E15">
        <w:t xml:space="preserve">undir </w:t>
      </w:r>
      <w:r w:rsidR="00D154A0">
        <w:t xml:space="preserve">lögin, ásamt vatnsafli og jarðhita. Þessi skilningur hefur verið staðfestur </w:t>
      </w:r>
      <w:r>
        <w:t xml:space="preserve">í raun </w:t>
      </w:r>
      <w:r w:rsidR="00D154A0">
        <w:t>með þeim hætti að verkefnisstjórn rammaáætlunar hefur á grundvelli laganna haft til meðferðar talsverðan fjölda virkjunarkosta í vindorku</w:t>
      </w:r>
      <w:r w:rsidR="00282543">
        <w:t>,</w:t>
      </w:r>
      <w:r w:rsidR="00D154A0">
        <w:t xml:space="preserve"> bæði í </w:t>
      </w:r>
      <w:r w:rsidR="00282543">
        <w:t xml:space="preserve">3. </w:t>
      </w:r>
      <w:r w:rsidR="00D154A0">
        <w:t xml:space="preserve">og </w:t>
      </w:r>
      <w:r w:rsidR="00282543">
        <w:t xml:space="preserve">4. </w:t>
      </w:r>
      <w:r w:rsidR="00D154A0">
        <w:t>áfanga áætlunarinnar</w:t>
      </w:r>
      <w:r w:rsidR="00282543">
        <w:t>,</w:t>
      </w:r>
      <w:r w:rsidR="00D154A0">
        <w:t xml:space="preserve"> auk þess sem Alþingi hefur jafnframt fengið til umfjöllunar tv</w:t>
      </w:r>
      <w:r w:rsidR="00282543">
        <w:t>o</w:t>
      </w:r>
      <w:r w:rsidR="00D154A0">
        <w:t xml:space="preserve"> virkjunarkosti í vindorku í </w:t>
      </w:r>
      <w:r w:rsidR="00282543">
        <w:t xml:space="preserve">3. </w:t>
      </w:r>
      <w:r w:rsidR="00D154A0">
        <w:t xml:space="preserve">áfanga rammaáætlunar, þ.e. Búrfellslund og Blöndulund. </w:t>
      </w:r>
      <w:r w:rsidR="00D154A0" w:rsidRPr="00B80880">
        <w:t xml:space="preserve">Niðurstaða </w:t>
      </w:r>
      <w:r w:rsidR="00D154A0">
        <w:t xml:space="preserve">Alþingis var á þá leið </w:t>
      </w:r>
      <w:r w:rsidR="00D154A0" w:rsidRPr="00B80880">
        <w:t xml:space="preserve">að </w:t>
      </w:r>
      <w:r w:rsidR="00D154A0">
        <w:t>þeir</w:t>
      </w:r>
      <w:r w:rsidR="00D154A0" w:rsidRPr="00B80880">
        <w:t xml:space="preserve"> </w:t>
      </w:r>
      <w:r w:rsidR="00D154A0">
        <w:t xml:space="preserve">færu </w:t>
      </w:r>
      <w:r w:rsidR="00D154A0" w:rsidRPr="00B80880">
        <w:t>í</w:t>
      </w:r>
      <w:r w:rsidR="00D154A0">
        <w:t xml:space="preserve"> orkunýtingarflokk. </w:t>
      </w:r>
      <w:r>
        <w:t>Ó</w:t>
      </w:r>
      <w:r w:rsidR="00D154A0">
        <w:t xml:space="preserve">heppilegt er </w:t>
      </w:r>
      <w:r>
        <w:t xml:space="preserve">hins vegar </w:t>
      </w:r>
      <w:r w:rsidR="00D154A0">
        <w:t xml:space="preserve">að vindorka </w:t>
      </w:r>
      <w:r w:rsidR="00FD2AEE">
        <w:t>sé</w:t>
      </w:r>
      <w:r w:rsidR="00D154A0">
        <w:t xml:space="preserve"> ekki skilgreind til jafns við vatnsafl og jarðhita í lögunum, sérstaklega í ljósi þess að þessum virkjunarkostum fer stöðugt fjölgandi í hlutfalli við </w:t>
      </w:r>
      <w:r w:rsidR="00FD2AEE">
        <w:t xml:space="preserve">aðra </w:t>
      </w:r>
      <w:r w:rsidR="00D154A0">
        <w:t>virkjunarkosti</w:t>
      </w:r>
      <w:r w:rsidR="00FD2AEE">
        <w:t xml:space="preserve"> í áætluninni</w:t>
      </w:r>
      <w:r w:rsidR="00D154A0">
        <w:t xml:space="preserve">. Í frumvarpinu er því lagt til að </w:t>
      </w:r>
      <w:r w:rsidR="004357ED">
        <w:t xml:space="preserve">bætt verði við skilgreiningu á hugtakinu </w:t>
      </w:r>
      <w:r w:rsidR="004357ED" w:rsidRPr="00386814">
        <w:rPr>
          <w:i/>
          <w:iCs/>
        </w:rPr>
        <w:t>vindorka</w:t>
      </w:r>
      <w:r w:rsidR="004357ED">
        <w:t xml:space="preserve"> auk þess sem gildissvið laganna verði skýrt til að taka af allan vafa um að áætlunin taki einnig til virkjunarkosta í vindafli </w:t>
      </w:r>
      <w:r w:rsidR="007654FC">
        <w:t>af ákveðinni stærðargráðu.</w:t>
      </w:r>
      <w:r w:rsidR="00D154A0">
        <w:t xml:space="preserve"> </w:t>
      </w:r>
    </w:p>
    <w:p w14:paraId="4A6C342E" w14:textId="106C8419" w:rsidR="00FD2AEE" w:rsidRDefault="00FD2AEE" w:rsidP="00FD2AEE">
      <w:pPr>
        <w:rPr>
          <w:bCs/>
        </w:rPr>
      </w:pPr>
      <w:r>
        <w:rPr>
          <w:bCs/>
        </w:rPr>
        <w:lastRenderedPageBreak/>
        <w:t>N</w:t>
      </w:r>
      <w:r w:rsidR="00D154A0">
        <w:rPr>
          <w:bCs/>
        </w:rPr>
        <w:t xml:space="preserve">iðurstaða starfshóps um vindorku </w:t>
      </w:r>
      <w:r>
        <w:rPr>
          <w:bCs/>
        </w:rPr>
        <w:t xml:space="preserve">var </w:t>
      </w:r>
      <w:r w:rsidR="00D154A0">
        <w:rPr>
          <w:bCs/>
        </w:rPr>
        <w:t>að vindorka ætti áfram að heyra undir verndar- og orkunýtingaráætlun</w:t>
      </w:r>
      <w:r>
        <w:rPr>
          <w:bCs/>
        </w:rPr>
        <w:t xml:space="preserve">. Það var hins vegar </w:t>
      </w:r>
      <w:r w:rsidR="00D154A0">
        <w:rPr>
          <w:bCs/>
        </w:rPr>
        <w:t xml:space="preserve">samstaða um </w:t>
      </w:r>
      <w:r w:rsidR="007B60D1">
        <w:rPr>
          <w:bCs/>
        </w:rPr>
        <w:t xml:space="preserve">það </w:t>
      </w:r>
      <w:r w:rsidR="007011AD">
        <w:rPr>
          <w:bCs/>
        </w:rPr>
        <w:t xml:space="preserve">innan </w:t>
      </w:r>
      <w:r w:rsidR="007B60D1">
        <w:rPr>
          <w:bCs/>
        </w:rPr>
        <w:t xml:space="preserve">hópsins </w:t>
      </w:r>
      <w:r w:rsidR="00D154A0">
        <w:rPr>
          <w:bCs/>
        </w:rPr>
        <w:t xml:space="preserve">að laga þyrfti gildandi lagaramma betur að </w:t>
      </w:r>
      <w:r w:rsidR="003442FF">
        <w:rPr>
          <w:bCs/>
        </w:rPr>
        <w:t xml:space="preserve">þessari </w:t>
      </w:r>
      <w:r w:rsidR="00D154A0">
        <w:rPr>
          <w:bCs/>
        </w:rPr>
        <w:t>tiltekn</w:t>
      </w:r>
      <w:r w:rsidR="003442FF">
        <w:rPr>
          <w:bCs/>
        </w:rPr>
        <w:t>u tegund</w:t>
      </w:r>
      <w:r w:rsidR="00D154A0">
        <w:rPr>
          <w:bCs/>
        </w:rPr>
        <w:t xml:space="preserve"> virkjunarkost</w:t>
      </w:r>
      <w:r w:rsidR="003442FF">
        <w:rPr>
          <w:bCs/>
        </w:rPr>
        <w:t>s</w:t>
      </w:r>
      <w:r w:rsidR="00D154A0">
        <w:rPr>
          <w:bCs/>
        </w:rPr>
        <w:t xml:space="preserve"> vegna sérstöðu hans. Sérstaðan felst fyrst og fremst í því að v</w:t>
      </w:r>
      <w:r w:rsidR="00D154A0" w:rsidRPr="00337790">
        <w:rPr>
          <w:bCs/>
        </w:rPr>
        <w:t xml:space="preserve">indorkan er ekki </w:t>
      </w:r>
      <w:r>
        <w:rPr>
          <w:bCs/>
        </w:rPr>
        <w:t>sérstaklega</w:t>
      </w:r>
      <w:r w:rsidR="00D154A0" w:rsidRPr="00337790">
        <w:rPr>
          <w:bCs/>
        </w:rPr>
        <w:t xml:space="preserve"> bundin staðsetningu eins og hinir hefðbundnu virkjunarkostir</w:t>
      </w:r>
      <w:r w:rsidR="00D154A0">
        <w:rPr>
          <w:bCs/>
        </w:rPr>
        <w:t xml:space="preserve"> og er því </w:t>
      </w:r>
      <w:r w:rsidR="00D8041F">
        <w:rPr>
          <w:bCs/>
        </w:rPr>
        <w:t xml:space="preserve">mun </w:t>
      </w:r>
      <w:r w:rsidR="00D154A0">
        <w:rPr>
          <w:bCs/>
        </w:rPr>
        <w:t xml:space="preserve">meira svigrúm til að velja henni staðsetningu þar sem röskun á umhverfi </w:t>
      </w:r>
      <w:r>
        <w:rPr>
          <w:bCs/>
        </w:rPr>
        <w:t>er</w:t>
      </w:r>
      <w:r w:rsidR="00D154A0">
        <w:rPr>
          <w:bCs/>
        </w:rPr>
        <w:t xml:space="preserve"> </w:t>
      </w:r>
      <w:r w:rsidR="00D8041F">
        <w:rPr>
          <w:bCs/>
        </w:rPr>
        <w:t>haldið í lágmarki</w:t>
      </w:r>
      <w:r w:rsidR="00D154A0">
        <w:rPr>
          <w:bCs/>
        </w:rPr>
        <w:t>. Í öðru lagi er vindorkan ekki jafn tak</w:t>
      </w:r>
      <w:r>
        <w:rPr>
          <w:bCs/>
        </w:rPr>
        <w:t>m</w:t>
      </w:r>
      <w:r w:rsidR="00D154A0">
        <w:rPr>
          <w:bCs/>
        </w:rPr>
        <w:t>arkaður orkukostur og vatnsaflið eða jarðvarminn sem einungis er hægt að nýta þar sem slíkar auðlindir eru staðsettar. Vindurinn er í raun óþrjótandi og takmarkast hagnýting hans</w:t>
      </w:r>
      <w:r>
        <w:rPr>
          <w:bCs/>
        </w:rPr>
        <w:t xml:space="preserve"> </w:t>
      </w:r>
      <w:r w:rsidR="00D154A0">
        <w:rPr>
          <w:bCs/>
        </w:rPr>
        <w:t xml:space="preserve">einungis af því landsvæði sem hægt er að leggja til nýtingarinnar. Í þriðja lagi má segja að umhverfisáhrif vindorkunnar kunni að vera að einhverju leyti </w:t>
      </w:r>
      <w:proofErr w:type="spellStart"/>
      <w:r w:rsidR="00D154A0">
        <w:rPr>
          <w:bCs/>
        </w:rPr>
        <w:t>afturkræfari</w:t>
      </w:r>
      <w:proofErr w:type="spellEnd"/>
      <w:r w:rsidR="00D154A0">
        <w:rPr>
          <w:bCs/>
        </w:rPr>
        <w:t xml:space="preserve"> en umhverfisáhrif annarra virkjunarkosta. Að notkun lokinni er hægt að taka mannvirkin niður og jafna að einhverju leyti rask sem framkvæmdirnar hafa haft í för með sér. Í fjórða lagi eru meginumhverfisáhrif vindorkunnar nokkuð frábrugðin hinum hefðbundnu virkjunarkostum. Þessi áhrif felast að verulegu leyti í sjónrænum og hljóðrænum áhrifum mannvirkjanna vegna mikillar hæð</w:t>
      </w:r>
      <w:r w:rsidR="00A33FBF">
        <w:rPr>
          <w:bCs/>
        </w:rPr>
        <w:t>ar</w:t>
      </w:r>
      <w:r w:rsidR="00D154A0">
        <w:rPr>
          <w:bCs/>
        </w:rPr>
        <w:t xml:space="preserve"> </w:t>
      </w:r>
      <w:r w:rsidR="00D8041F">
        <w:rPr>
          <w:bCs/>
        </w:rPr>
        <w:t xml:space="preserve">og </w:t>
      </w:r>
      <w:r w:rsidR="00D154A0">
        <w:rPr>
          <w:bCs/>
        </w:rPr>
        <w:t>tilheyrandi snúning</w:t>
      </w:r>
      <w:r w:rsidR="00A33FBF">
        <w:rPr>
          <w:bCs/>
        </w:rPr>
        <w:t>s</w:t>
      </w:r>
      <w:r w:rsidR="00D154A0">
        <w:rPr>
          <w:bCs/>
        </w:rPr>
        <w:t xml:space="preserve"> vindmyllublaða. Jafnframt fylgir þessu mannvirkjum ljósmengun vegna nauðsynlegra viðvörunarljósa vegna flugumferðar. Vindmyllumannvirki geta </w:t>
      </w:r>
      <w:r w:rsidR="00D8041F">
        <w:rPr>
          <w:bCs/>
        </w:rPr>
        <w:t xml:space="preserve">auk þess haft mjög </w:t>
      </w:r>
      <w:r w:rsidR="00D154A0">
        <w:rPr>
          <w:bCs/>
        </w:rPr>
        <w:t xml:space="preserve">skaðleg áhrif á fugla í grennd við mannvirkin. </w:t>
      </w:r>
      <w:r>
        <w:rPr>
          <w:bCs/>
        </w:rPr>
        <w:t>M</w:t>
      </w:r>
      <w:r w:rsidR="00D154A0">
        <w:rPr>
          <w:bCs/>
        </w:rPr>
        <w:t>annvirki</w:t>
      </w:r>
      <w:r>
        <w:rPr>
          <w:bCs/>
        </w:rPr>
        <w:t>n</w:t>
      </w:r>
      <w:r w:rsidR="00D154A0">
        <w:rPr>
          <w:bCs/>
        </w:rPr>
        <w:t xml:space="preserve"> geta skapað áflugshættu </w:t>
      </w:r>
      <w:r w:rsidR="0070678D">
        <w:rPr>
          <w:bCs/>
        </w:rPr>
        <w:t xml:space="preserve">og </w:t>
      </w:r>
      <w:r w:rsidR="00D154A0">
        <w:rPr>
          <w:bCs/>
        </w:rPr>
        <w:t xml:space="preserve">truflun á farleiðum fugla auk </w:t>
      </w:r>
      <w:proofErr w:type="spellStart"/>
      <w:r w:rsidR="00D154A0">
        <w:rPr>
          <w:bCs/>
        </w:rPr>
        <w:t>missi</w:t>
      </w:r>
      <w:r w:rsidR="0070678D">
        <w:rPr>
          <w:bCs/>
        </w:rPr>
        <w:t>s</w:t>
      </w:r>
      <w:proofErr w:type="spellEnd"/>
      <w:r w:rsidR="00D154A0">
        <w:rPr>
          <w:bCs/>
        </w:rPr>
        <w:t xml:space="preserve"> búsvæða. </w:t>
      </w:r>
      <w:r w:rsidR="00D154A0" w:rsidRPr="00042C01">
        <w:rPr>
          <w:bCs/>
        </w:rPr>
        <w:t xml:space="preserve">Til að bregðast við þessum nýju áskorunum </w:t>
      </w:r>
      <w:r w:rsidR="00D154A0">
        <w:rPr>
          <w:bCs/>
        </w:rPr>
        <w:t xml:space="preserve">og tækni </w:t>
      </w:r>
      <w:r w:rsidR="00D154A0" w:rsidRPr="00042C01">
        <w:rPr>
          <w:bCs/>
        </w:rPr>
        <w:t>í orkunýtingu eru því lagðar til ákveðnar</w:t>
      </w:r>
      <w:r w:rsidR="00D154A0">
        <w:rPr>
          <w:bCs/>
        </w:rPr>
        <w:t xml:space="preserve"> </w:t>
      </w:r>
      <w:r w:rsidR="00D154A0" w:rsidRPr="00042C01">
        <w:rPr>
          <w:bCs/>
        </w:rPr>
        <w:t>breytingar og aðlaganir á lögum um vernd</w:t>
      </w:r>
      <w:r w:rsidR="0070678D">
        <w:rPr>
          <w:bCs/>
        </w:rPr>
        <w:t>ar</w:t>
      </w:r>
      <w:r w:rsidR="00D154A0" w:rsidRPr="00042C01">
        <w:rPr>
          <w:bCs/>
        </w:rPr>
        <w:t xml:space="preserve">- og orkunýtingu til </w:t>
      </w:r>
      <w:r w:rsidR="0070678D">
        <w:rPr>
          <w:bCs/>
        </w:rPr>
        <w:t xml:space="preserve">að </w:t>
      </w:r>
      <w:r w:rsidR="00D154A0" w:rsidRPr="00042C01">
        <w:rPr>
          <w:bCs/>
        </w:rPr>
        <w:t xml:space="preserve">fella þessa tilteknu </w:t>
      </w:r>
      <w:r w:rsidR="00D154A0">
        <w:rPr>
          <w:bCs/>
        </w:rPr>
        <w:t xml:space="preserve">tegund </w:t>
      </w:r>
      <w:r w:rsidR="00D154A0" w:rsidRPr="00042C01">
        <w:rPr>
          <w:bCs/>
        </w:rPr>
        <w:t>orkunýting</w:t>
      </w:r>
      <w:r w:rsidR="00D154A0">
        <w:rPr>
          <w:bCs/>
        </w:rPr>
        <w:t>ar</w:t>
      </w:r>
      <w:r w:rsidR="00D154A0" w:rsidRPr="00042C01">
        <w:rPr>
          <w:bCs/>
        </w:rPr>
        <w:t xml:space="preserve"> betur undir lögin. </w:t>
      </w:r>
    </w:p>
    <w:p w14:paraId="1985CB7B" w14:textId="5949BC02" w:rsidR="00D154A0" w:rsidRDefault="00FD2AEE" w:rsidP="00FD2AEE">
      <w:pPr>
        <w:rPr>
          <w:bCs/>
        </w:rPr>
      </w:pPr>
      <w:r>
        <w:rPr>
          <w:bCs/>
        </w:rPr>
        <w:t>M</w:t>
      </w:r>
      <w:r w:rsidR="00D154A0" w:rsidRPr="00042C01">
        <w:rPr>
          <w:bCs/>
        </w:rPr>
        <w:t xml:space="preserve">eginbreytingin </w:t>
      </w:r>
      <w:r w:rsidR="00D154A0">
        <w:rPr>
          <w:bCs/>
        </w:rPr>
        <w:t xml:space="preserve">að þessu leyti </w:t>
      </w:r>
      <w:r w:rsidR="00D154A0" w:rsidRPr="00042C01">
        <w:rPr>
          <w:bCs/>
        </w:rPr>
        <w:t xml:space="preserve">felst </w:t>
      </w:r>
      <w:r w:rsidR="00D154A0">
        <w:rPr>
          <w:bCs/>
        </w:rPr>
        <w:t xml:space="preserve">í </w:t>
      </w:r>
      <w:r w:rsidR="00D154A0" w:rsidRPr="00042C01">
        <w:rPr>
          <w:bCs/>
        </w:rPr>
        <w:t xml:space="preserve">þeirri tillögu að </w:t>
      </w:r>
      <w:r w:rsidR="007375DF">
        <w:rPr>
          <w:bCs/>
        </w:rPr>
        <w:t xml:space="preserve">samþykkt </w:t>
      </w:r>
      <w:r w:rsidR="00D154A0" w:rsidRPr="00042C01">
        <w:rPr>
          <w:bCs/>
        </w:rPr>
        <w:t>verði sérstök opinber stefna um hagnýtingu vindorku</w:t>
      </w:r>
      <w:r w:rsidR="00D154A0">
        <w:rPr>
          <w:bCs/>
        </w:rPr>
        <w:t xml:space="preserve">. </w:t>
      </w:r>
      <w:r w:rsidR="007375DF">
        <w:rPr>
          <w:bCs/>
        </w:rPr>
        <w:t>S</w:t>
      </w:r>
      <w:r w:rsidR="00D154A0">
        <w:rPr>
          <w:bCs/>
        </w:rPr>
        <w:t>lík stefnumörkun mun verða ákveðið leiðarljós til þeirra sem koma að þessu málefni</w:t>
      </w:r>
      <w:r w:rsidR="00E84074">
        <w:rPr>
          <w:bCs/>
        </w:rPr>
        <w:t>,</w:t>
      </w:r>
      <w:r w:rsidR="00D154A0">
        <w:rPr>
          <w:bCs/>
        </w:rPr>
        <w:t xml:space="preserve"> hvort sem er á vegum opinberra aðila eins og ríkis,</w:t>
      </w:r>
      <w:r w:rsidR="003442FF">
        <w:rPr>
          <w:bCs/>
        </w:rPr>
        <w:t xml:space="preserve"> þ.m.t. verkefnisstjórnar rammaáætlunar,</w:t>
      </w:r>
      <w:r w:rsidR="00D154A0">
        <w:rPr>
          <w:bCs/>
        </w:rPr>
        <w:t xml:space="preserve"> sveitarfélaga</w:t>
      </w:r>
      <w:r w:rsidR="00D8041F">
        <w:rPr>
          <w:bCs/>
        </w:rPr>
        <w:t xml:space="preserve"> </w:t>
      </w:r>
      <w:r w:rsidR="00E84074">
        <w:rPr>
          <w:bCs/>
        </w:rPr>
        <w:t xml:space="preserve">eða </w:t>
      </w:r>
      <w:r w:rsidR="00D154A0">
        <w:rPr>
          <w:bCs/>
        </w:rPr>
        <w:t>þeirra sem koma að slíkum málum með öðrum hætti</w:t>
      </w:r>
      <w:r w:rsidR="007D6C8C">
        <w:rPr>
          <w:bCs/>
        </w:rPr>
        <w:t>,</w:t>
      </w:r>
      <w:r w:rsidR="00D154A0">
        <w:rPr>
          <w:bCs/>
        </w:rPr>
        <w:t xml:space="preserve"> s.s. á hönnunar</w:t>
      </w:r>
      <w:r w:rsidR="007D6C8C">
        <w:rPr>
          <w:bCs/>
        </w:rPr>
        <w:t>-</w:t>
      </w:r>
      <w:r w:rsidR="00D154A0">
        <w:rPr>
          <w:bCs/>
        </w:rPr>
        <w:t xml:space="preserve"> og framkvæmdastigi virkjunarkosta í vindorku. </w:t>
      </w:r>
      <w:r>
        <w:rPr>
          <w:bCs/>
        </w:rPr>
        <w:t>Gert er ráð fyrir því að samhliða þessu frumvarpi verði lögð fram á Alþingi sérstök þings</w:t>
      </w:r>
      <w:r w:rsidR="00E8611C">
        <w:rPr>
          <w:bCs/>
        </w:rPr>
        <w:softHyphen/>
      </w:r>
      <w:r>
        <w:rPr>
          <w:bCs/>
        </w:rPr>
        <w:t xml:space="preserve">ályktunartillaga um stefnu stjórnvalda um uppbyggingu vindorku á Íslandi. </w:t>
      </w:r>
    </w:p>
    <w:p w14:paraId="3CDBF085" w14:textId="4698FF49" w:rsidR="00D154A0" w:rsidRDefault="00D154A0" w:rsidP="00D154A0">
      <w:r>
        <w:rPr>
          <w:bCs/>
        </w:rPr>
        <w:t xml:space="preserve">Í lögum um verndar- og orkunýtingaráætlun er mælt fyrir um að áætlunin taki ekki til svæða sem eru á A-hluta náttúruminjaskrár (friðlýst svæði) nema </w:t>
      </w:r>
      <w:r w:rsidRPr="00900916">
        <w:rPr>
          <w:bCs/>
        </w:rPr>
        <w:t>tiltekið sé í friðlýsingar</w:t>
      </w:r>
      <w:r w:rsidR="007D6C8C">
        <w:rPr>
          <w:bCs/>
        </w:rPr>
        <w:softHyphen/>
      </w:r>
      <w:r w:rsidRPr="00900916">
        <w:rPr>
          <w:bCs/>
        </w:rPr>
        <w:t>skilmálum að virkjunarframkvæmdir séu heimilar á viðkomandi svæði.</w:t>
      </w:r>
      <w:r>
        <w:rPr>
          <w:bCs/>
        </w:rPr>
        <w:t xml:space="preserve"> Vegna tiltölulega ólíkra umhverfisáhrifa vindorkunnar í samanburði við aðra virkjunarkosti, auk þeirrar staðreyndar að vindorkuna er hægt að hagnýta á mun fleiri svæðum landsins en gildir um aðra virkjunarkosti, er lagt til að fleiri svæði landsins verði undanskilin slíkri hagnýtingu. </w:t>
      </w:r>
      <w:r w:rsidR="00FD2AEE">
        <w:rPr>
          <w:bCs/>
        </w:rPr>
        <w:t>A</w:t>
      </w:r>
      <w:r>
        <w:rPr>
          <w:bCs/>
        </w:rPr>
        <w:t xml:space="preserve">uk friðlýstra svæða verði hagnýting vindorku ekki heimil á </w:t>
      </w:r>
      <w:r>
        <w:t xml:space="preserve">svæðum á B-hluta náttúruminjaskrár, innan marka friðlýstra menningarminja, svæða á heimsminjaskrá UNESCO og svæða sem tilnefnd hafa verið á skrána. Einnig er lagt til að svonefnd </w:t>
      </w:r>
      <w:proofErr w:type="spellStart"/>
      <w:r>
        <w:t>Ramsar</w:t>
      </w:r>
      <w:proofErr w:type="spellEnd"/>
      <w:r w:rsidR="00D8041F">
        <w:t>-</w:t>
      </w:r>
      <w:r>
        <w:t>svæði, sem eru</w:t>
      </w:r>
      <w:r w:rsidRPr="00610266">
        <w:t xml:space="preserve"> að mestu óröskuð votlendissvæði </w:t>
      </w:r>
      <w:r>
        <w:t xml:space="preserve">og því </w:t>
      </w:r>
      <w:r w:rsidRPr="00610266">
        <w:t>mikilvæg búsvæði fuglastofna</w:t>
      </w:r>
      <w:r w:rsidR="00322531">
        <w:t>,</w:t>
      </w:r>
      <w:r w:rsidR="00D8041F">
        <w:t xml:space="preserve"> verði a</w:t>
      </w:r>
      <w:r w:rsidR="00BE2901">
        <w:t>l</w:t>
      </w:r>
      <w:r w:rsidR="00D8041F">
        <w:t>farið útilok</w:t>
      </w:r>
      <w:r w:rsidR="00BE2901">
        <w:t>u</w:t>
      </w:r>
      <w:r w:rsidR="00D8041F">
        <w:t>ð fyrir hagnýtingu vindorku.</w:t>
      </w:r>
      <w:r>
        <w:t xml:space="preserve"> </w:t>
      </w:r>
      <w:r w:rsidR="00D8041F">
        <w:t>L</w:t>
      </w:r>
      <w:r>
        <w:t xml:space="preserve">agt </w:t>
      </w:r>
      <w:r w:rsidR="00D8041F">
        <w:t xml:space="preserve">er </w:t>
      </w:r>
      <w:r>
        <w:t xml:space="preserve">til að sama regla gildi um öll svæði innan marka miðhálendislínu eins og hún er skilgreind í landsskipulagsstefnu. </w:t>
      </w:r>
      <w:r w:rsidR="00D8041F">
        <w:t xml:space="preserve">Í frumvarpinu er því </w:t>
      </w:r>
      <w:r w:rsidR="00BE2901">
        <w:t xml:space="preserve">stefnt að því að hlífa </w:t>
      </w:r>
      <w:r>
        <w:t>viðkvæmustu svæðum landsins við uppbyggingu af þessum toga enda ljóst að vindorkan er þess eðlis</w:t>
      </w:r>
      <w:r w:rsidR="007A6137">
        <w:t>,</w:t>
      </w:r>
      <w:r>
        <w:t xml:space="preserve"> eins og áður sagði</w:t>
      </w:r>
      <w:r w:rsidR="007A6137">
        <w:t>,</w:t>
      </w:r>
      <w:r>
        <w:t xml:space="preserve"> að mun fleiri möguleikar eru á uppbyggingu virkjunarkosta á öðrum og he</w:t>
      </w:r>
      <w:r w:rsidR="00BE2901">
        <w:t xml:space="preserve">ntugri </w:t>
      </w:r>
      <w:r>
        <w:t>svæðum en gildir um hina hefðbundnu virkjunarkosti.</w:t>
      </w:r>
    </w:p>
    <w:p w14:paraId="5CA6F90E" w14:textId="36DFB9F9" w:rsidR="00D154A0" w:rsidRDefault="00D154A0" w:rsidP="00D154A0">
      <w:r>
        <w:t>Íslensk lög byggja í meginstefnu á þeirri meginreglu að hvorki landeigandi né sveitarfélög get</w:t>
      </w:r>
      <w:r w:rsidR="00BE2901">
        <w:t>i</w:t>
      </w:r>
      <w:r>
        <w:t xml:space="preserve"> hindrað nýtingu staðbundinna og takmarkaðra auðlinda landsins eins og vatnsafl og jarðhita á grundvelli eignarréttar </w:t>
      </w:r>
      <w:r w:rsidR="001024BA">
        <w:t xml:space="preserve">eða </w:t>
      </w:r>
      <w:r>
        <w:t xml:space="preserve">skipulagsvalds. </w:t>
      </w:r>
      <w:r w:rsidR="003442FF">
        <w:t>S</w:t>
      </w:r>
      <w:r>
        <w:t xml:space="preserve">veitarfélög hafa </w:t>
      </w:r>
      <w:r w:rsidR="003442FF">
        <w:t xml:space="preserve">hins vegar </w:t>
      </w:r>
      <w:r>
        <w:t xml:space="preserve">heimild til að fresta því að </w:t>
      </w:r>
      <w:r w:rsidR="003442FF">
        <w:t xml:space="preserve">samræma skipulagsáætlanir sínar við verndar- og orkunýtingaráætlun </w:t>
      </w:r>
      <w:r>
        <w:t xml:space="preserve">um ákveðið árabil. Varðandi skipulagsvald sveitarfélags er í 7. gr. laga um verndar- og </w:t>
      </w:r>
      <w:r>
        <w:lastRenderedPageBreak/>
        <w:t xml:space="preserve">orkunýtingaráætlun kveðið á um það að áætlunin sé bindandi við gerð skipulagsáætlana. </w:t>
      </w:r>
      <w:r w:rsidR="00931F35">
        <w:t xml:space="preserve">Niðurstaða </w:t>
      </w:r>
      <w:r>
        <w:t xml:space="preserve">starfshópsins </w:t>
      </w:r>
      <w:r w:rsidR="00931F35">
        <w:t xml:space="preserve">að skoðun lokinni </w:t>
      </w:r>
      <w:r>
        <w:t>varð að v</w:t>
      </w:r>
      <w:r w:rsidRPr="001B2D36">
        <w:rPr>
          <w:bCs/>
        </w:rPr>
        <w:t xml:space="preserve">indorkan </w:t>
      </w:r>
      <w:r>
        <w:rPr>
          <w:bCs/>
        </w:rPr>
        <w:t>væri</w:t>
      </w:r>
      <w:r w:rsidRPr="001B2D36">
        <w:rPr>
          <w:bCs/>
        </w:rPr>
        <w:t xml:space="preserve"> einfaldlega þess eðlis, m.a. vegna þess hve ágeng hún getur verið í nærumhverfinu, að óhjákvæmilegt </w:t>
      </w:r>
      <w:r>
        <w:rPr>
          <w:bCs/>
        </w:rPr>
        <w:t xml:space="preserve">væri </w:t>
      </w:r>
      <w:r w:rsidRPr="001B2D36">
        <w:rPr>
          <w:bCs/>
        </w:rPr>
        <w:t xml:space="preserve">að </w:t>
      </w:r>
      <w:r>
        <w:rPr>
          <w:bCs/>
        </w:rPr>
        <w:t xml:space="preserve">endanleg ákvörðun um það </w:t>
      </w:r>
      <w:r w:rsidRPr="001B2D36">
        <w:rPr>
          <w:bCs/>
        </w:rPr>
        <w:t xml:space="preserve">hvort </w:t>
      </w:r>
      <w:r>
        <w:rPr>
          <w:bCs/>
        </w:rPr>
        <w:t>virkjunarkostur rísi á</w:t>
      </w:r>
      <w:r w:rsidRPr="001B2D36">
        <w:rPr>
          <w:bCs/>
        </w:rPr>
        <w:t xml:space="preserve"> tilteknum stað eða ekki </w:t>
      </w:r>
      <w:r>
        <w:rPr>
          <w:bCs/>
        </w:rPr>
        <w:t>væri á forræði sveitarfélags</w:t>
      </w:r>
      <w:r w:rsidR="00296FE6">
        <w:rPr>
          <w:bCs/>
        </w:rPr>
        <w:t>,</w:t>
      </w:r>
      <w:r>
        <w:rPr>
          <w:bCs/>
        </w:rPr>
        <w:t xml:space="preserve"> eins og gildir um aðra skipulags</w:t>
      </w:r>
      <w:r w:rsidR="00C20E12">
        <w:rPr>
          <w:bCs/>
        </w:rPr>
        <w:softHyphen/>
      </w:r>
      <w:r>
        <w:rPr>
          <w:bCs/>
        </w:rPr>
        <w:t xml:space="preserve">skylda starfsemi. Að þessu leyti yrði að horfa til þeirrar staðreyndar að auðlindin er hvorki staðbundin í þeim skilningi að hana þurfi að virkja á tilteknum stað né er hún takmörkuð að því leyti að einungis væri hægt að virkja hana á fáum stöðum landsins. Eðlilegt er því að sveitarfélag hafi víðtækari heimildir en gildir um aðra virkjunarkosti til að taka ákvarðanir um slíka landnotkun innan sveitarfélagsins í tengslum við gerð skipulagsáætlana sinna. </w:t>
      </w:r>
      <w:r>
        <w:t>Sú aðstaða getur auðveldleg</w:t>
      </w:r>
      <w:r w:rsidR="00C20E12">
        <w:t>a</w:t>
      </w:r>
      <w:r>
        <w:t xml:space="preserve"> komið upp að sveitarfélag hafni því að vindorka byggist upp á tilteknu svæði innan sveitarfélagsins vegna óheppilegra aðstæðna eða áhrifa eða sveitarfélag vilji skipuleggja svæðið undir önnur not, en sé hins vegar </w:t>
      </w:r>
      <w:r w:rsidR="00386814">
        <w:t xml:space="preserve">t.d. </w:t>
      </w:r>
      <w:r>
        <w:t>reiðubúið að samþykkja vindorku á öðru heppilegra svæði innan</w:t>
      </w:r>
      <w:r w:rsidR="00BE2901">
        <w:t xml:space="preserve"> marka</w:t>
      </w:r>
      <w:r>
        <w:t xml:space="preserve"> þess.</w:t>
      </w:r>
    </w:p>
    <w:p w14:paraId="0CAD66A8" w14:textId="16EF9B7A" w:rsidR="00D154A0" w:rsidRPr="008F61BF" w:rsidRDefault="00D154A0" w:rsidP="00D154A0">
      <w:pPr>
        <w:rPr>
          <w:bCs/>
        </w:rPr>
      </w:pPr>
      <w:r>
        <w:t xml:space="preserve"> </w:t>
      </w:r>
      <w:r w:rsidRPr="008F61BF">
        <w:rPr>
          <w:bCs/>
        </w:rPr>
        <w:t xml:space="preserve">Í frumvarpinu er </w:t>
      </w:r>
      <w:r>
        <w:rPr>
          <w:bCs/>
        </w:rPr>
        <w:t>lagt til að málsmeðferð virkjunarkosta í v</w:t>
      </w:r>
      <w:r w:rsidR="00D8041F">
        <w:rPr>
          <w:bCs/>
        </w:rPr>
        <w:t>i</w:t>
      </w:r>
      <w:r>
        <w:rPr>
          <w:bCs/>
        </w:rPr>
        <w:t xml:space="preserve">ndorku fylgi almennt sömu málsmeðferð og aðrir virkjunarkostir samkvæmt lögunum. Hins vegar er lögð til </w:t>
      </w:r>
      <w:r w:rsidRPr="008F61BF">
        <w:rPr>
          <w:bCs/>
        </w:rPr>
        <w:t>sú megin</w:t>
      </w:r>
      <w:r w:rsidR="00E40EDE">
        <w:rPr>
          <w:bCs/>
        </w:rPr>
        <w:softHyphen/>
      </w:r>
      <w:r w:rsidRPr="008F61BF">
        <w:rPr>
          <w:bCs/>
        </w:rPr>
        <w:t xml:space="preserve">breyting að </w:t>
      </w:r>
      <w:r>
        <w:rPr>
          <w:bCs/>
        </w:rPr>
        <w:t>ákveðnir</w:t>
      </w:r>
      <w:r w:rsidRPr="008F61BF">
        <w:rPr>
          <w:bCs/>
        </w:rPr>
        <w:t xml:space="preserve"> virkjunarkostir í vindorku geti að uppfylltum </w:t>
      </w:r>
      <w:r>
        <w:rPr>
          <w:bCs/>
        </w:rPr>
        <w:t xml:space="preserve">tilteknum </w:t>
      </w:r>
      <w:r w:rsidRPr="008F61BF">
        <w:rPr>
          <w:bCs/>
        </w:rPr>
        <w:t>skilyrðum sætt sérstakri málsmeðferð vegna markmiða um orkuskipti og kolefnishlutleysi. Í þessari leið felst að ráðherra get</w:t>
      </w:r>
      <w:r>
        <w:rPr>
          <w:bCs/>
        </w:rPr>
        <w:t>i</w:t>
      </w:r>
      <w:r w:rsidRPr="008F61BF">
        <w:rPr>
          <w:bCs/>
        </w:rPr>
        <w:t xml:space="preserve"> ákveðið að uppfylltum skilyrðum að tilteknir virkjunarkostir í vindorku ljúki formlegri meðferð innan verndar- og orkunýtingaráætlunar og sé vísað til sveitarfélags og annarra stjórnvalda varðandi frekari ákvörðun um leyfi til hagnýtingar þeirra. </w:t>
      </w:r>
      <w:r>
        <w:rPr>
          <w:bCs/>
        </w:rPr>
        <w:t xml:space="preserve">Hér er um að ræða þá virkjunarkosti sem að fenginni skoðun uppfylla skilyrði um að raska ekki um of tilteknum verndarhagsmunum sem gerð er nánari grein fyrir í frumvarpi þessu. </w:t>
      </w:r>
      <w:r w:rsidRPr="008F61BF">
        <w:rPr>
          <w:bCs/>
        </w:rPr>
        <w:t xml:space="preserve"> </w:t>
      </w:r>
    </w:p>
    <w:p w14:paraId="094DFBE4" w14:textId="54DFE834" w:rsidR="000F6537" w:rsidRDefault="00D154A0" w:rsidP="00A964E4">
      <w:pPr>
        <w:ind w:firstLine="0"/>
        <w:rPr>
          <w:b/>
          <w:bCs/>
        </w:rPr>
      </w:pPr>
      <w:r>
        <w:t xml:space="preserve"> </w:t>
      </w:r>
    </w:p>
    <w:p w14:paraId="3E7FD597" w14:textId="215CF9F7" w:rsidR="00BC12BA" w:rsidRDefault="00A964E4" w:rsidP="00A964E4">
      <w:pPr>
        <w:ind w:firstLine="0"/>
        <w:rPr>
          <w:b/>
          <w:bCs/>
        </w:rPr>
      </w:pPr>
      <w:r>
        <w:rPr>
          <w:b/>
          <w:bCs/>
        </w:rPr>
        <w:t>4. Samræmi við stjórnarskrá og alþjóðlegar skuldbindingar</w:t>
      </w:r>
      <w:r w:rsidR="00261105">
        <w:rPr>
          <w:b/>
          <w:bCs/>
        </w:rPr>
        <w:t>.</w:t>
      </w:r>
    </w:p>
    <w:p w14:paraId="19C8C1B3" w14:textId="064A7B75" w:rsidR="00BC12BA" w:rsidRDefault="00D154A0" w:rsidP="00BC12BA">
      <w:pPr>
        <w:rPr>
          <w:rFonts w:ascii="Droid Serif" w:hAnsi="Droid Serif" w:cs="Droid Serif"/>
          <w:color w:val="242424"/>
          <w:shd w:val="clear" w:color="auto" w:fill="FFFFFF"/>
        </w:rPr>
      </w:pPr>
      <w:r>
        <w:t xml:space="preserve">Efni frumvarpsins </w:t>
      </w:r>
      <w:r w:rsidR="00E858BC">
        <w:t xml:space="preserve">er hvorki </w:t>
      </w:r>
      <w:r w:rsidR="008074B4">
        <w:t>talið brjót</w:t>
      </w:r>
      <w:r>
        <w:t>a</w:t>
      </w:r>
      <w:r w:rsidR="008074B4">
        <w:t xml:space="preserve"> gegn stjórnarskrá </w:t>
      </w:r>
      <w:r w:rsidR="00E858BC">
        <w:t>né</w:t>
      </w:r>
      <w:r w:rsidR="008074B4">
        <w:t xml:space="preserve"> alþjóðlegum skuldbindingum sem Íslandi er skylt að virða. </w:t>
      </w:r>
      <w:r w:rsidR="00E858BC">
        <w:t>Gert er ráð fyrir á</w:t>
      </w:r>
      <w:r w:rsidR="008074B4">
        <w:t>kveðn</w:t>
      </w:r>
      <w:r w:rsidR="00E858BC">
        <w:t>um</w:t>
      </w:r>
      <w:r w:rsidR="008074B4">
        <w:t xml:space="preserve"> almenn</w:t>
      </w:r>
      <w:r w:rsidR="00E858BC">
        <w:t>um</w:t>
      </w:r>
      <w:r w:rsidR="008074B4">
        <w:t xml:space="preserve"> takm</w:t>
      </w:r>
      <w:r w:rsidR="000D74BE">
        <w:t>ö</w:t>
      </w:r>
      <w:r w:rsidR="008074B4">
        <w:t>rk</w:t>
      </w:r>
      <w:r w:rsidR="00E858BC">
        <w:t xml:space="preserve">unum </w:t>
      </w:r>
      <w:r w:rsidR="000D74BE">
        <w:t xml:space="preserve">á hagnýtingu vindorku </w:t>
      </w:r>
      <w:r w:rsidR="008074B4">
        <w:t xml:space="preserve">út frá </w:t>
      </w:r>
      <w:r w:rsidR="000D74BE">
        <w:t xml:space="preserve">lögmætum </w:t>
      </w:r>
      <w:r w:rsidR="008074B4">
        <w:t>sjónarmiðum</w:t>
      </w:r>
      <w:r w:rsidR="00E858BC">
        <w:t xml:space="preserve"> sem snúa að vernd hálendis landsins</w:t>
      </w:r>
      <w:r w:rsidR="008074B4">
        <w:t xml:space="preserve">, </w:t>
      </w:r>
      <w:r w:rsidR="000D74BE">
        <w:t xml:space="preserve">vernd </w:t>
      </w:r>
      <w:r w:rsidR="008074B4">
        <w:t xml:space="preserve">náttúru og </w:t>
      </w:r>
      <w:r w:rsidR="000D74BE">
        <w:t>vernd fuglalífs</w:t>
      </w:r>
      <w:r w:rsidR="00E858BC">
        <w:t xml:space="preserve">. Slíkar </w:t>
      </w:r>
      <w:r w:rsidR="000D74BE">
        <w:t xml:space="preserve">almennar </w:t>
      </w:r>
      <w:r w:rsidR="00E858BC">
        <w:t xml:space="preserve">takmarkanir </w:t>
      </w:r>
      <w:r w:rsidR="008074B4">
        <w:t>eru ekki taldar brjóta gegn ákvæðum stjórnarskrár</w:t>
      </w:r>
      <w:r w:rsidR="00E858BC">
        <w:t xml:space="preserve"> enda v</w:t>
      </w:r>
      <w:r w:rsidR="008074B4">
        <w:t xml:space="preserve">iðurkennt í íslenskum rétti að slíkar takmarkanir </w:t>
      </w:r>
      <w:r w:rsidR="00E858BC">
        <w:t xml:space="preserve">séu </w:t>
      </w:r>
      <w:r w:rsidR="008074B4">
        <w:t xml:space="preserve">heimilar gagnvart eignarréttar- og atvinnufrelsisákvæði stjórnarskrár enda séu þær almennar, hlutlægar og þjóni almannahagsmunum.  </w:t>
      </w:r>
      <w:r w:rsidR="008074B4">
        <w:rPr>
          <w:rFonts w:ascii="Droid Serif" w:hAnsi="Droid Serif" w:cs="Droid Serif"/>
          <w:color w:val="242424"/>
          <w:shd w:val="clear" w:color="auto" w:fill="FFFFFF"/>
        </w:rPr>
        <w:t xml:space="preserve"> </w:t>
      </w:r>
    </w:p>
    <w:p w14:paraId="7E03830D" w14:textId="77777777" w:rsidR="00BC12BA" w:rsidRDefault="00BC12BA" w:rsidP="00BC12BA">
      <w:pPr>
        <w:rPr>
          <w:b/>
          <w:bCs/>
        </w:rPr>
      </w:pPr>
    </w:p>
    <w:p w14:paraId="74A0E818" w14:textId="6184F5CF" w:rsidR="00A964E4" w:rsidRDefault="00A964E4" w:rsidP="00A964E4">
      <w:pPr>
        <w:ind w:firstLine="0"/>
        <w:rPr>
          <w:b/>
          <w:bCs/>
        </w:rPr>
      </w:pPr>
      <w:r>
        <w:rPr>
          <w:b/>
          <w:bCs/>
        </w:rPr>
        <w:t>5. Samráð</w:t>
      </w:r>
      <w:r w:rsidR="00261105">
        <w:rPr>
          <w:b/>
          <w:bCs/>
        </w:rPr>
        <w:t>.</w:t>
      </w:r>
    </w:p>
    <w:p w14:paraId="19C21BCF" w14:textId="5E2CB2D7" w:rsidR="000D74BE" w:rsidRPr="000D74BE" w:rsidRDefault="000D74BE" w:rsidP="00ED07D5">
      <w:pPr>
        <w:rPr>
          <w:bCs/>
          <w:i/>
          <w:iCs/>
        </w:rPr>
      </w:pPr>
      <w:r w:rsidRPr="000D74BE">
        <w:rPr>
          <w:bCs/>
          <w:i/>
          <w:iCs/>
        </w:rPr>
        <w:t xml:space="preserve">5.1. Samráð á skipunartíma starfshóps um vindorku. </w:t>
      </w:r>
    </w:p>
    <w:p w14:paraId="2FAF3CA1" w14:textId="4803A649" w:rsidR="000D74BE" w:rsidRDefault="00ED07D5" w:rsidP="000D74BE">
      <w:r>
        <w:rPr>
          <w:bCs/>
        </w:rPr>
        <w:t>Í skipunarbréfi starfshóps</w:t>
      </w:r>
      <w:r w:rsidR="000D74BE">
        <w:rPr>
          <w:bCs/>
        </w:rPr>
        <w:t xml:space="preserve"> um vindorku</w:t>
      </w:r>
      <w:r>
        <w:rPr>
          <w:bCs/>
        </w:rPr>
        <w:t xml:space="preserve"> kom fram að gert væri</w:t>
      </w:r>
      <w:r w:rsidRPr="00C02F25">
        <w:rPr>
          <w:bCs/>
        </w:rPr>
        <w:t xml:space="preserve"> ráð fyrir </w:t>
      </w:r>
      <w:r>
        <w:rPr>
          <w:bCs/>
        </w:rPr>
        <w:t xml:space="preserve">því </w:t>
      </w:r>
      <w:r w:rsidRPr="00C02F25">
        <w:rPr>
          <w:bCs/>
        </w:rPr>
        <w:t>að starfs</w:t>
      </w:r>
      <w:r w:rsidR="009C7467">
        <w:rPr>
          <w:bCs/>
        </w:rPr>
        <w:softHyphen/>
      </w:r>
      <w:r w:rsidRPr="00C02F25">
        <w:rPr>
          <w:bCs/>
        </w:rPr>
        <w:t xml:space="preserve">hópurinn </w:t>
      </w:r>
      <w:r w:rsidR="009C7467">
        <w:rPr>
          <w:bCs/>
        </w:rPr>
        <w:t>y</w:t>
      </w:r>
      <w:r w:rsidRPr="00C02F25">
        <w:rPr>
          <w:bCs/>
        </w:rPr>
        <w:t xml:space="preserve">nni náið með Sambandi íslenskra sveitarfélaga við undirbúning </w:t>
      </w:r>
      <w:r>
        <w:rPr>
          <w:bCs/>
        </w:rPr>
        <w:t>málsins</w:t>
      </w:r>
      <w:r w:rsidR="009C7467">
        <w:rPr>
          <w:bCs/>
        </w:rPr>
        <w:t>,</w:t>
      </w:r>
      <w:r>
        <w:rPr>
          <w:bCs/>
        </w:rPr>
        <w:t xml:space="preserve"> auk þess sem gert </w:t>
      </w:r>
      <w:r w:rsidRPr="00C02F25">
        <w:rPr>
          <w:bCs/>
        </w:rPr>
        <w:t>v</w:t>
      </w:r>
      <w:r>
        <w:rPr>
          <w:bCs/>
        </w:rPr>
        <w:t>ar</w:t>
      </w:r>
      <w:r w:rsidRPr="00C02F25">
        <w:rPr>
          <w:bCs/>
        </w:rPr>
        <w:t xml:space="preserve"> ráð fyrir samráði við hagaðila, hlutaðeigandi ráðuneyti </w:t>
      </w:r>
      <w:r w:rsidR="00BE2901">
        <w:rPr>
          <w:bCs/>
        </w:rPr>
        <w:t>og</w:t>
      </w:r>
      <w:r w:rsidRPr="00C02F25">
        <w:rPr>
          <w:bCs/>
        </w:rPr>
        <w:t xml:space="preserve"> stofnanir eftir því sem við </w:t>
      </w:r>
      <w:r>
        <w:rPr>
          <w:bCs/>
        </w:rPr>
        <w:t xml:space="preserve">gæti </w:t>
      </w:r>
      <w:r w:rsidRPr="00C02F25">
        <w:rPr>
          <w:bCs/>
        </w:rPr>
        <w:t>á</w:t>
      </w:r>
      <w:r>
        <w:rPr>
          <w:bCs/>
        </w:rPr>
        <w:t>tt</w:t>
      </w:r>
      <w:r w:rsidRPr="00C02F25">
        <w:rPr>
          <w:bCs/>
        </w:rPr>
        <w:t xml:space="preserve">. </w:t>
      </w:r>
      <w:r>
        <w:rPr>
          <w:bCs/>
        </w:rPr>
        <w:t xml:space="preserve">Starfshópurinn </w:t>
      </w:r>
      <w:r>
        <w:t xml:space="preserve">ákvað </w:t>
      </w:r>
      <w:r w:rsidRPr="00AC4326">
        <w:t>í upphafi að opna sem mest fyrir umsagnir</w:t>
      </w:r>
      <w:r>
        <w:t xml:space="preserve"> og fundi með hagaðilum, samtökum og stofnunum sem lagt gæt</w:t>
      </w:r>
      <w:r w:rsidR="009C7467">
        <w:t>u</w:t>
      </w:r>
      <w:r>
        <w:t xml:space="preserve"> verkefninu lið</w:t>
      </w:r>
      <w:r w:rsidRPr="00AC4326">
        <w:t xml:space="preserve"> enda ljóst að viðfangsefnið væri umdeilt</w:t>
      </w:r>
      <w:r>
        <w:t>, viðamikið og flókið</w:t>
      </w:r>
      <w:r w:rsidRPr="00AC4326">
        <w:t>. Í þ</w:t>
      </w:r>
      <w:r>
        <w:t>essu</w:t>
      </w:r>
      <w:r w:rsidRPr="00AC4326">
        <w:t xml:space="preserve"> skyni voru sendar út fjölmargar umsagnarbeiðnir</w:t>
      </w:r>
      <w:r w:rsidR="00201D2D">
        <w:t>,</w:t>
      </w:r>
      <w:r w:rsidR="00BE2901">
        <w:t xml:space="preserve"> auk þess sem </w:t>
      </w:r>
      <w:r w:rsidRPr="00AC4326">
        <w:t>opnað</w:t>
      </w:r>
      <w:r>
        <w:t xml:space="preserve"> var</w:t>
      </w:r>
      <w:r w:rsidRPr="00AC4326">
        <w:t xml:space="preserve"> </w:t>
      </w:r>
      <w:r>
        <w:t xml:space="preserve">sérstakt </w:t>
      </w:r>
      <w:r w:rsidRPr="00AC4326">
        <w:t xml:space="preserve">netfang þar sem </w:t>
      </w:r>
      <w:r>
        <w:t>almenningur</w:t>
      </w:r>
      <w:r w:rsidRPr="00AC4326">
        <w:t xml:space="preserve"> gat sent inn athugasemdir</w:t>
      </w:r>
      <w:r>
        <w:t xml:space="preserve"> eða </w:t>
      </w:r>
      <w:r w:rsidRPr="00AC4326">
        <w:t>hugleiðingar um virkjun vindorku</w:t>
      </w:r>
      <w:r w:rsidR="000D74BE">
        <w:t xml:space="preserve">. </w:t>
      </w:r>
    </w:p>
    <w:p w14:paraId="624C1666" w14:textId="4F0F20C0" w:rsidR="00ED07D5" w:rsidRDefault="000D74BE" w:rsidP="000D74BE">
      <w:r>
        <w:t xml:space="preserve">Yfir 70 umsagnir bárust starfshópnum strax í upphafi vinnunnar frá einstaklingum, samtökum og öðrum lögaðilum. Yfir </w:t>
      </w:r>
      <w:r w:rsidR="00ED07D5">
        <w:t>100 ge</w:t>
      </w:r>
      <w:r w:rsidR="00ED07D5" w:rsidRPr="00AC4326">
        <w:t>sta</w:t>
      </w:r>
      <w:r w:rsidR="00ED07D5">
        <w:t>komu</w:t>
      </w:r>
      <w:r>
        <w:t>r</w:t>
      </w:r>
      <w:r w:rsidR="00ED07D5">
        <w:t xml:space="preserve"> voru </w:t>
      </w:r>
      <w:r w:rsidR="00ED07D5" w:rsidRPr="00AC4326">
        <w:t>á fund</w:t>
      </w:r>
      <w:r>
        <w:t>i</w:t>
      </w:r>
      <w:r w:rsidR="00ED07D5" w:rsidRPr="00AC4326">
        <w:t xml:space="preserve"> </w:t>
      </w:r>
      <w:r w:rsidR="00ED07D5">
        <w:t>hópsins</w:t>
      </w:r>
      <w:r>
        <w:t>, þar sem óskað var eftir að innsendum umsögnum yrði fylgt eftir eða þar sem starfshópurinn óskaði eftir upplýs</w:t>
      </w:r>
      <w:r w:rsidR="009D652C">
        <w:softHyphen/>
      </w:r>
      <w:r>
        <w:t>ingum og samræðum við ýmis hagsmunasamtök, sveitarfélög, stofnanir og fyrirtæki á þessu sviði.</w:t>
      </w:r>
    </w:p>
    <w:p w14:paraId="5DD59970" w14:textId="666C38B9" w:rsidR="000D74BE" w:rsidRDefault="000D74BE" w:rsidP="00ED07D5"/>
    <w:p w14:paraId="730A58DF" w14:textId="6EE6B740" w:rsidR="000D74BE" w:rsidRPr="000D74BE" w:rsidRDefault="000D74BE" w:rsidP="000D74BE">
      <w:pPr>
        <w:rPr>
          <w:bCs/>
          <w:i/>
          <w:iCs/>
        </w:rPr>
      </w:pPr>
      <w:r w:rsidRPr="000D74BE">
        <w:rPr>
          <w:bCs/>
          <w:i/>
          <w:iCs/>
        </w:rPr>
        <w:t>5.</w:t>
      </w:r>
      <w:r>
        <w:rPr>
          <w:bCs/>
          <w:i/>
          <w:iCs/>
        </w:rPr>
        <w:t>2</w:t>
      </w:r>
      <w:r w:rsidRPr="000D74BE">
        <w:rPr>
          <w:bCs/>
          <w:i/>
          <w:iCs/>
        </w:rPr>
        <w:t>. S</w:t>
      </w:r>
      <w:r>
        <w:rPr>
          <w:bCs/>
          <w:i/>
          <w:iCs/>
        </w:rPr>
        <w:t xml:space="preserve">töðuskýrslu starfshóps </w:t>
      </w:r>
      <w:r w:rsidRPr="000D74BE">
        <w:rPr>
          <w:bCs/>
          <w:i/>
          <w:iCs/>
        </w:rPr>
        <w:t xml:space="preserve">um vindorku. </w:t>
      </w:r>
    </w:p>
    <w:p w14:paraId="071D7535" w14:textId="3626DFA7" w:rsidR="00B940C5" w:rsidRDefault="00B940C5" w:rsidP="00B940C5">
      <w:r>
        <w:t xml:space="preserve">Farin var sú leið </w:t>
      </w:r>
      <w:r w:rsidR="004D6FD8">
        <w:t xml:space="preserve">að </w:t>
      </w:r>
      <w:r>
        <w:t>starfshópurinn skilaði af sér sérstakri stöðuskýrslu</w:t>
      </w:r>
      <w:r w:rsidR="00C224D9">
        <w:t xml:space="preserve"> í apríl 2023</w:t>
      </w:r>
      <w:r w:rsidR="00C46263">
        <w:t>,</w:t>
      </w:r>
      <w:r>
        <w:t xml:space="preserve"> </w:t>
      </w:r>
      <w:bookmarkStart w:id="49" w:name="_Hlk152233067"/>
      <w:r w:rsidRPr="003F6B97">
        <w:rPr>
          <w:i/>
          <w:iCs/>
        </w:rPr>
        <w:t>„Vindorka – valkostir og greining“</w:t>
      </w:r>
      <w:bookmarkEnd w:id="49"/>
      <w:r>
        <w:t>. Í skýrslunni var ekki um eiginlegar tillögur að ræða, heldur var ákveðið að draga saman helstu álitaefni sem komið höfðu upp við vinnu starfs</w:t>
      </w:r>
      <w:r w:rsidR="004D6FD8">
        <w:softHyphen/>
      </w:r>
      <w:r>
        <w:t>hópsins</w:t>
      </w:r>
      <w:r w:rsidR="004D6FD8">
        <w:t>,</w:t>
      </w:r>
      <w:r>
        <w:t xml:space="preserve"> auk þess sem settir voru fram ýmsir valkostir um hvaða leiðir væru færar til að leysa úr þeim. Starfshópurinn taldi að slík stöðuskýrsla</w:t>
      </w:r>
      <w:r w:rsidR="004D6FD8">
        <w:t>,</w:t>
      </w:r>
      <w:r>
        <w:t xml:space="preserve"> þar sem fram kæmi almenn greining á málinu</w:t>
      </w:r>
      <w:r w:rsidR="004D6FD8">
        <w:t>,</w:t>
      </w:r>
      <w:r>
        <w:t xml:space="preserve"> </w:t>
      </w:r>
      <w:r w:rsidR="004D6FD8">
        <w:t>gæti</w:t>
      </w:r>
      <w:r>
        <w:t xml:space="preserve"> verið góður </w:t>
      </w:r>
      <w:r w:rsidRPr="00436B56">
        <w:t>grundvöllur opinnar umræðu um málefnið</w:t>
      </w:r>
      <w:r>
        <w:t xml:space="preserve"> í ljósi þess </w:t>
      </w:r>
      <w:r w:rsidRPr="00436B56">
        <w:t>hve skammt á veg við</w:t>
      </w:r>
      <w:r>
        <w:t xml:space="preserve"> værum </w:t>
      </w:r>
      <w:r w:rsidRPr="00436B56">
        <w:t>komin í málefnum vindorku</w:t>
      </w:r>
      <w:r>
        <w:t xml:space="preserve"> í samanburði</w:t>
      </w:r>
      <w:r w:rsidRPr="00436B56">
        <w:t xml:space="preserve"> við margar aðrar þjóðir</w:t>
      </w:r>
      <w:r>
        <w:t xml:space="preserve">. Slíkt </w:t>
      </w:r>
      <w:r w:rsidRPr="00436B56">
        <w:t>g</w:t>
      </w:r>
      <w:r>
        <w:t>æ</w:t>
      </w:r>
      <w:r w:rsidRPr="00436B56">
        <w:t>f</w:t>
      </w:r>
      <w:r>
        <w:t>i</w:t>
      </w:r>
      <w:r w:rsidRPr="00436B56">
        <w:t xml:space="preserve"> </w:t>
      </w:r>
      <w:r>
        <w:t>jafnframt tæki</w:t>
      </w:r>
      <w:r w:rsidRPr="00436B56">
        <w:t xml:space="preserve">færi </w:t>
      </w:r>
      <w:r>
        <w:t xml:space="preserve">til </w:t>
      </w:r>
      <w:r w:rsidRPr="00436B56">
        <w:t>að horfa heildstætt á málefnið og setja skýran ramma til framtíðar.</w:t>
      </w:r>
    </w:p>
    <w:p w14:paraId="15D2FA14" w14:textId="592624D4" w:rsidR="000D74BE" w:rsidRDefault="00ED07D5" w:rsidP="00B940C5">
      <w:r>
        <w:t>S</w:t>
      </w:r>
      <w:r w:rsidR="00BE2901">
        <w:t>töðus</w:t>
      </w:r>
      <w:r>
        <w:t xml:space="preserve">kýrslan var </w:t>
      </w:r>
      <w:r w:rsidR="00B940C5">
        <w:t xml:space="preserve">einnig </w:t>
      </w:r>
      <w:r>
        <w:t>birt opinberlega á samráðsgátt stjórnvalda og þar var jafnframt óskað eftir umsögnum um efni hennar. Um 30 umsagnir bárust um efni skýrslunnar í samráðs</w:t>
      </w:r>
      <w:r w:rsidR="00502533">
        <w:softHyphen/>
      </w:r>
      <w:r>
        <w:t xml:space="preserve">gáttinni. </w:t>
      </w:r>
    </w:p>
    <w:p w14:paraId="7E44FF84" w14:textId="3B7E57B3" w:rsidR="00B940C5" w:rsidRDefault="00ED07D5" w:rsidP="00B940C5">
      <w:r>
        <w:t>Við útgáfu</w:t>
      </w:r>
      <w:r w:rsidR="00BE2901">
        <w:t xml:space="preserve"> hennar</w:t>
      </w:r>
      <w:r>
        <w:t xml:space="preserve"> voru jafnframt haldnir opnir kynningarfundir um allt land um vindorku og starfshópurinn </w:t>
      </w:r>
      <w:r w:rsidR="009C6B7C">
        <w:t xml:space="preserve">sat, </w:t>
      </w:r>
      <w:r>
        <w:t>ásamt umhverfis, orku- og loftslagsráðherra</w:t>
      </w:r>
      <w:r w:rsidR="009C6B7C">
        <w:t>,</w:t>
      </w:r>
      <w:r>
        <w:t xml:space="preserve"> fyrir svörum um málefnið. Haldnir voru fjölmennir fundir í Reykjavík, á Hvolsvelli, á Egilsstöðum, í Búðardal og á Akureyri. Á umræddum fundum fóru fram líflegar og uppbyggilegar umræður um þau viðfangsefni sem skýrslan fjallar um, m.a. þau áhrif sem slík starfsemi gæti haft á daglegt líf þeirra sem b</w:t>
      </w:r>
      <w:r w:rsidR="00BE2901">
        <w:t>úa</w:t>
      </w:r>
      <w:r>
        <w:t xml:space="preserve"> í grennd við hugsanlega virkjunarstaði. </w:t>
      </w:r>
    </w:p>
    <w:p w14:paraId="0F67B133" w14:textId="77777777" w:rsidR="002C5756" w:rsidRDefault="002C5756" w:rsidP="00B940C5"/>
    <w:p w14:paraId="7DF863E1" w14:textId="1E8E1492" w:rsidR="002C5756" w:rsidRPr="000D74BE" w:rsidRDefault="002C5756" w:rsidP="002C5756">
      <w:pPr>
        <w:rPr>
          <w:bCs/>
          <w:i/>
          <w:iCs/>
        </w:rPr>
      </w:pPr>
      <w:r w:rsidRPr="000D74BE">
        <w:rPr>
          <w:bCs/>
          <w:i/>
          <w:iCs/>
        </w:rPr>
        <w:t>5.</w:t>
      </w:r>
      <w:r>
        <w:rPr>
          <w:bCs/>
          <w:i/>
          <w:iCs/>
        </w:rPr>
        <w:t>2</w:t>
      </w:r>
      <w:r w:rsidRPr="000D74BE">
        <w:rPr>
          <w:bCs/>
          <w:i/>
          <w:iCs/>
        </w:rPr>
        <w:t xml:space="preserve">. </w:t>
      </w:r>
      <w:r w:rsidR="00EB229D">
        <w:rPr>
          <w:bCs/>
          <w:i/>
          <w:iCs/>
        </w:rPr>
        <w:t>Á</w:t>
      </w:r>
      <w:r>
        <w:rPr>
          <w:bCs/>
          <w:i/>
          <w:iCs/>
        </w:rPr>
        <w:t xml:space="preserve">form um lagasetningu. </w:t>
      </w:r>
      <w:r w:rsidRPr="000D74BE">
        <w:rPr>
          <w:bCs/>
          <w:i/>
          <w:iCs/>
        </w:rPr>
        <w:t xml:space="preserve"> </w:t>
      </w:r>
    </w:p>
    <w:p w14:paraId="2B9CE838" w14:textId="77777777" w:rsidR="00C224D9" w:rsidRDefault="00C224D9" w:rsidP="00C224D9">
      <w:pPr>
        <w:rPr>
          <w:szCs w:val="21"/>
        </w:rPr>
      </w:pPr>
      <w:r>
        <w:rPr>
          <w:szCs w:val="21"/>
        </w:rPr>
        <w:t>Áform um lagasetninguna voru kynnt í samráðsgátt stjórnvalda hinn 7. desember 2023 með fresti til að veita umsagnir til 22. desember 2023. Umsagnir bárust frá 33 aðilum og af þeim voru 10 umsagnir frá stofnunum, samtökum og lögaðilum en 13 frá einstaklingum</w:t>
      </w:r>
      <w:r w:rsidRPr="00C224D9">
        <w:rPr>
          <w:szCs w:val="21"/>
        </w:rPr>
        <w:t>.</w:t>
      </w:r>
      <w:r w:rsidRPr="00386814">
        <w:rPr>
          <w:szCs w:val="21"/>
        </w:rPr>
        <w:t xml:space="preserve"> </w:t>
      </w:r>
      <w:r>
        <w:rPr>
          <w:szCs w:val="21"/>
        </w:rPr>
        <w:t> </w:t>
      </w:r>
    </w:p>
    <w:p w14:paraId="3D8572C7" w14:textId="77777777" w:rsidR="00C224D9" w:rsidRDefault="00C224D9" w:rsidP="00C224D9">
      <w:pPr>
        <w:rPr>
          <w:szCs w:val="21"/>
        </w:rPr>
      </w:pPr>
      <w:r>
        <w:rPr>
          <w:szCs w:val="21"/>
        </w:rPr>
        <w:t xml:space="preserve">Í umsögn Minjastofnunar var áhersla lögð á samráð vegna minjamála. </w:t>
      </w:r>
    </w:p>
    <w:p w14:paraId="43910C3E" w14:textId="0C5EE7C8" w:rsidR="00C224D9" w:rsidRDefault="00C224D9" w:rsidP="00C224D9">
      <w:pPr>
        <w:rPr>
          <w:szCs w:val="21"/>
        </w:rPr>
      </w:pPr>
      <w:r>
        <w:rPr>
          <w:szCs w:val="21"/>
        </w:rPr>
        <w:t xml:space="preserve">Í umsögn Umhverfisstofnunar var áhersla lögð á að taka þurfi tillit til friðlýstra svæða, svæða sem falli undir 61. gr. náttúruverndarlaga og svæða á náttúruminjaskrá. Stofnunin bendir auk þess á að rétt sé að horfa til verndunar allra hálendissvæða landsins sem hafa verndargildi auk óbyggðra víðerna. Bent er á að umhverfisáhrif vindorkumannvirkja séu ekki endilega í beinu samhengi við uppsett afl mannvirkjanna. Mikilvægt sé að mati stofnunarinnar að fyrir liggi skýr stefna um samráð við hagaðila og almenning við ákvörðunar og leyfisveitingaferli. </w:t>
      </w:r>
    </w:p>
    <w:p w14:paraId="2E8F7919" w14:textId="77777777" w:rsidR="00C224D9" w:rsidRDefault="00C224D9" w:rsidP="00C224D9">
      <w:pPr>
        <w:rPr>
          <w:szCs w:val="21"/>
        </w:rPr>
      </w:pPr>
      <w:r>
        <w:rPr>
          <w:szCs w:val="21"/>
        </w:rPr>
        <w:t xml:space="preserve">Storm orka ehf. hvetur stjórnvöld til þess að verndar- og orkunýtingaráætlun verði alfarið lögð af. Einnig kemur fram sú afstaða félagsins að vindorka falli nú þegar ekki undir gildandi lög og ekki sé rétt að breyta því. </w:t>
      </w:r>
    </w:p>
    <w:p w14:paraId="51256E00" w14:textId="77777777" w:rsidR="00C224D9" w:rsidRDefault="00C224D9" w:rsidP="00C224D9">
      <w:pPr>
        <w:rPr>
          <w:szCs w:val="21"/>
        </w:rPr>
      </w:pPr>
      <w:r>
        <w:rPr>
          <w:szCs w:val="21"/>
        </w:rPr>
        <w:t xml:space="preserve">Fuglavernd telur að setja verði hagnýtingu vindorku skorður til að koma í veg fyrir stórfellt tjón á fuglum. Jafnframt er bent á að stórauka þurfi fuglarannsóknir til að kortleggja fuglasvæði landsins. </w:t>
      </w:r>
    </w:p>
    <w:p w14:paraId="23F9DF80" w14:textId="77777777" w:rsidR="00C224D9" w:rsidRDefault="00C224D9" w:rsidP="00C224D9">
      <w:pPr>
        <w:rPr>
          <w:szCs w:val="21"/>
        </w:rPr>
      </w:pPr>
      <w:r>
        <w:rPr>
          <w:szCs w:val="21"/>
        </w:rPr>
        <w:t xml:space="preserve">Í umsögn Orkustofnunar kemur fram að stofnunin telji nauðsynlegt að horfa til mismunandi virkjunarkosta heildstætt út frá samspili þeirra hver við annan.  Ef farin verði önnur leið varðandi vindorku en aðra kosti til raforkuframleiðslu í ferli rammaáætlunar er nauðsynlegt að fyrir liggi með hvaða hætti náð verði fram stöðugt framboði raforku ef nýting hennar krefst stöðugs framboðs. Stofnunin leggur einnig áherslu á að tryggja verði að slík orka fari til orkuskipta í samræmi við orkustefnu. </w:t>
      </w:r>
    </w:p>
    <w:p w14:paraId="440001C0" w14:textId="77777777" w:rsidR="00C224D9" w:rsidRDefault="00C224D9" w:rsidP="00C224D9">
      <w:pPr>
        <w:rPr>
          <w:szCs w:val="21"/>
        </w:rPr>
      </w:pPr>
      <w:r>
        <w:rPr>
          <w:szCs w:val="21"/>
        </w:rPr>
        <w:t xml:space="preserve">Landsvirkjun bendir á að á sama tíma og verið sé að vinna að loftslagsvænni framtíð sé raforkukerfið fullselt og raforkuöryggi ógnað. Fyrirtækið telur að auka verði skilvirkni og </w:t>
      </w:r>
      <w:r>
        <w:rPr>
          <w:szCs w:val="21"/>
        </w:rPr>
        <w:lastRenderedPageBreak/>
        <w:t xml:space="preserve">einföldun málsmeðferðar til að tryggja orkuöryggi, orkusjálfstæði og árangur í loftslagsmálum. </w:t>
      </w:r>
    </w:p>
    <w:p w14:paraId="4F4FEAD5" w14:textId="77777777" w:rsidR="00C224D9" w:rsidRDefault="00C224D9" w:rsidP="00C224D9">
      <w:pPr>
        <w:rPr>
          <w:szCs w:val="21"/>
        </w:rPr>
      </w:pPr>
      <w:r>
        <w:rPr>
          <w:szCs w:val="21"/>
        </w:rPr>
        <w:t xml:space="preserve">Í umsögn Fagfélaganna kemur fram að stjórnvöld og þá helst Alþingi verði að setja skýra og greinargóða heildarstefnumörkun um virkjun vindorku. Reglur að þessu leyti þurfi jafnframt að vera skýrar. Mikilvægt sé einnig að skatt- og gjaldheimta af slíkum rekstri renni til samfélagsins og að sveitarfélög fái hlutdeild í henni. </w:t>
      </w:r>
    </w:p>
    <w:p w14:paraId="47F0BD2D" w14:textId="726EE07D" w:rsidR="00C224D9" w:rsidRDefault="00C224D9" w:rsidP="00C224D9">
      <w:pPr>
        <w:rPr>
          <w:szCs w:val="21"/>
        </w:rPr>
      </w:pPr>
      <w:r>
        <w:rPr>
          <w:szCs w:val="21"/>
        </w:rPr>
        <w:t xml:space="preserve">Summa rekstrarfélag hf. bendir á að í sumum tilvikum geti það beinlínis verið jákvætt og í þágu raforkuöryggis að byggja upp vindorkuver á stöðum og svæðum þar sem tengingar eru veikar eða ekki til staðar í dag. </w:t>
      </w:r>
    </w:p>
    <w:p w14:paraId="79965258" w14:textId="77777777" w:rsidR="00C224D9" w:rsidRDefault="00C224D9" w:rsidP="00C224D9">
      <w:pPr>
        <w:rPr>
          <w:szCs w:val="21"/>
        </w:rPr>
      </w:pPr>
      <w:r>
        <w:rPr>
          <w:szCs w:val="21"/>
        </w:rPr>
        <w:t xml:space="preserve">Mótvindur – Ísland leggur áherslu á að félagið vilji koma í veg fyrir áformaða uppbyggingu risavaxinna vindorkuvera af erlendum og innlendum einkafyrirtækjum og leyfisveitingar vegna slíkra áforma. Skorað er á stjórnvöld að standa vörð um sveitir lands, heiðar og víðerni og tefla ekki náttúruauðæfum landsins í tvísýnu vegna fjárhagslegra hagsmuna virkjunaraðila. </w:t>
      </w:r>
    </w:p>
    <w:p w14:paraId="16E1E27F" w14:textId="2410E330" w:rsidR="00C224D9" w:rsidRDefault="00C224D9" w:rsidP="00C224D9">
      <w:pPr>
        <w:rPr>
          <w:szCs w:val="21"/>
        </w:rPr>
      </w:pPr>
      <w:r>
        <w:rPr>
          <w:szCs w:val="21"/>
        </w:rPr>
        <w:t xml:space="preserve">Landvernd varar við að veikja þann grunn sem lög um verndar- og orkunýtingaráætlun byggja á með því að einfalda málsmeðferð þessara mála. Bent er á að engar heildstæðar rannsóknir hafi verið gerðar á nýtingu vindorku á Íslandi með tilliti til loftslagsmála. Aðgerðir eigi að snúast um að draga úr losun en ekki auka orkuframleiðslu. Bent er á þörfina á því að fyrir liggi hvert sé kolefnisspor allrar framleiðslukeðjunnar frá slíkum verkefnum en þær upplýsingar liggi ekki fyrir. Orkumarkaðir erlendis hafi gjörbreyst eftir innkomu vindorkunnar og gríðarlegar verðhækkanir á raforku fylgt í kjölfarið vegna óstöðugleika framleiðslunnar og ógegnsæs eignarhalds virkjana. Landvernd leggur áherslu á að vandað verði til verka við setningu nýrra laga og hvetur til þess að veikja ekki stoðir náttúru- og umhverfisréttar auk stöðu almennings og annarra hagsmunaaðila til þátttöku í ákvörðunum.  </w:t>
      </w:r>
    </w:p>
    <w:p w14:paraId="72BAE498" w14:textId="2FEE9C87" w:rsidR="00C224D9" w:rsidRDefault="00C224D9" w:rsidP="00C224D9">
      <w:pPr>
        <w:rPr>
          <w:szCs w:val="21"/>
        </w:rPr>
      </w:pPr>
      <w:r>
        <w:rPr>
          <w:szCs w:val="21"/>
        </w:rPr>
        <w:t xml:space="preserve">Almennt má segja að þær 13 umsagnir sem skilað var inn af hálfu einstaklinga eiga það sammerkt að vera mjög neikvæðar gagnvart uppbyggingu vindorkuvera hér á landi. Í umsögnunum koma fram ýmsar ástæður fyrir því að varað er við slíkri uppbyggingu.  Bent er m.a. á að almennt hafi slík uppbygging í för með sér mikil og óafturkræf náttúruspjöll. Mannvirkin séu gríðarlega stór og hafi því mjög neikvæð áhrif á ásýnd. Blikkandi ljós og snúningur spaða skapi mikla truflun á </w:t>
      </w:r>
      <w:proofErr w:type="spellStart"/>
      <w:r>
        <w:rPr>
          <w:szCs w:val="21"/>
        </w:rPr>
        <w:t>sjónrænni</w:t>
      </w:r>
      <w:proofErr w:type="spellEnd"/>
      <w:r>
        <w:rPr>
          <w:szCs w:val="21"/>
        </w:rPr>
        <w:t xml:space="preserve"> upplifun landsins auk þess sem hljóðræn áhrif séu veruleg. Mannvirkin hafi neikvæð áhrif á ferðamennsku og útivist. Mikil hætta sé til staðar fyrir fuglalíf landsins. Framkvæmdir hafi í för með sér umfangsmiklar línulagnir, vegalagnir og jarðvegsrask. Bent er á að mannvirkin sjálf gefi frá sér örplast sem valdi skaða og mengun auk þess sem þau innihaldi bæði olíu og önnur spilliefni. Vindorkan hafi valdið ágreiningi meðal íbúa og sveitarfélaga á ýmsum stöðum landsins þar sem slík áform hafi komið til álita. Framleiðsla raforku með vindorku sé ekki sjálfbær því hún þarfnist jöfnunarorku sem leiði til krafna um fleiri vatnsaflsvirkjanir til að bregðast við skorti á henni. Framleiðsla rafmagns hafi ekki verið nýtt til orkuskipta hjá nágrannaþjóðum heldur farið til þeirra sem borga mest og getur því talist svokallaður grænþvottur. Fyrirtækin sem eiga mannvirkin í nágrannalöndum okkar hafi orðið uppvís að óskýru eignarhaldi og skattaundanskotum. Auk framangreinds er bent á að arðurinn af þessum verkefnum hafi ekki orðið eftir í samfélögum á þessum stöðum heldur verið fluttur úr landi. </w:t>
      </w:r>
    </w:p>
    <w:p w14:paraId="06E09FD8" w14:textId="77777777" w:rsidR="00C224D9" w:rsidRDefault="00C224D9" w:rsidP="00C224D9">
      <w:pPr>
        <w:rPr>
          <w:i/>
          <w:iCs/>
          <w:szCs w:val="21"/>
        </w:rPr>
      </w:pPr>
      <w:r>
        <w:rPr>
          <w:i/>
          <w:iCs/>
          <w:szCs w:val="21"/>
        </w:rPr>
        <w:t> </w:t>
      </w:r>
    </w:p>
    <w:p w14:paraId="621FC51E" w14:textId="6FF7BBB6" w:rsidR="00EB229D" w:rsidRPr="00EB229D" w:rsidRDefault="00B007B3" w:rsidP="00B940C5">
      <w:pPr>
        <w:rPr>
          <w:bCs/>
          <w:i/>
          <w:iCs/>
        </w:rPr>
      </w:pPr>
      <w:r>
        <w:rPr>
          <w:bCs/>
          <w:i/>
          <w:iCs/>
        </w:rPr>
        <w:t xml:space="preserve"> </w:t>
      </w:r>
    </w:p>
    <w:p w14:paraId="499A9E9E" w14:textId="7CDA65ED" w:rsidR="00A964E4" w:rsidRDefault="00EB229D" w:rsidP="00A964E4">
      <w:pPr>
        <w:ind w:firstLine="0"/>
        <w:rPr>
          <w:b/>
          <w:bCs/>
        </w:rPr>
      </w:pPr>
      <w:r>
        <w:rPr>
          <w:b/>
          <w:bCs/>
        </w:rPr>
        <w:t xml:space="preserve"> </w:t>
      </w:r>
    </w:p>
    <w:p w14:paraId="0B9400CF" w14:textId="77777777" w:rsidR="00A964E4" w:rsidRDefault="00A964E4" w:rsidP="00A964E4">
      <w:pPr>
        <w:ind w:firstLine="0"/>
        <w:rPr>
          <w:b/>
          <w:bCs/>
        </w:rPr>
      </w:pPr>
      <w:r>
        <w:rPr>
          <w:b/>
          <w:bCs/>
        </w:rPr>
        <w:t>6. Mat á áhrifum</w:t>
      </w:r>
    </w:p>
    <w:p w14:paraId="54B47DB0" w14:textId="37FE2ED7" w:rsidR="00A964E4" w:rsidRDefault="00353D67" w:rsidP="00B04BA7">
      <w:r>
        <w:t>(</w:t>
      </w:r>
      <w:r w:rsidR="00386814">
        <w:t>…..</w:t>
      </w:r>
      <w:r>
        <w:t>)</w:t>
      </w:r>
    </w:p>
    <w:p w14:paraId="6BD15BF5" w14:textId="59C1B0C7" w:rsidR="00EB229D" w:rsidRDefault="00EB229D" w:rsidP="00EB229D"/>
    <w:p w14:paraId="1801DD54" w14:textId="77777777" w:rsidR="00A964E4" w:rsidRPr="00A964E4" w:rsidRDefault="00A964E4" w:rsidP="00A964E4">
      <w:pPr>
        <w:pStyle w:val="Venjulegtvefur"/>
        <w:shd w:val="clear" w:color="auto" w:fill="FFFFFF"/>
        <w:spacing w:before="0" w:beforeAutospacing="0" w:after="0" w:afterAutospacing="0"/>
        <w:jc w:val="center"/>
        <w:rPr>
          <w:rFonts w:eastAsia="Calibri"/>
          <w:i/>
          <w:iCs/>
          <w:sz w:val="21"/>
          <w:szCs w:val="22"/>
          <w:lang w:eastAsia="en-US"/>
        </w:rPr>
      </w:pPr>
      <w:r w:rsidRPr="00A964E4">
        <w:rPr>
          <w:rFonts w:eastAsia="Calibri"/>
          <w:i/>
          <w:iCs/>
          <w:sz w:val="21"/>
          <w:szCs w:val="22"/>
          <w:lang w:eastAsia="en-US"/>
        </w:rPr>
        <w:lastRenderedPageBreak/>
        <w:t xml:space="preserve"> Um einstakar greinar frumvarpsins.</w:t>
      </w:r>
    </w:p>
    <w:p w14:paraId="1A94AECB" w14:textId="030F3DAA" w:rsidR="00A964E4" w:rsidRDefault="00A964E4" w:rsidP="00A964E4">
      <w:pPr>
        <w:pStyle w:val="Venjulegtvefur"/>
        <w:shd w:val="clear" w:color="auto" w:fill="FFFFFF"/>
        <w:spacing w:before="0" w:beforeAutospacing="0" w:after="0" w:afterAutospacing="0"/>
        <w:jc w:val="center"/>
        <w:rPr>
          <w:rFonts w:eastAsia="Calibri"/>
          <w:sz w:val="21"/>
          <w:szCs w:val="22"/>
          <w:lang w:eastAsia="en-US"/>
        </w:rPr>
      </w:pPr>
      <w:bookmarkStart w:id="50" w:name="_Hlk152744442"/>
      <w:r w:rsidRPr="00A964E4">
        <w:rPr>
          <w:rFonts w:eastAsia="Calibri"/>
          <w:sz w:val="21"/>
          <w:szCs w:val="22"/>
          <w:lang w:eastAsia="en-US"/>
        </w:rPr>
        <w:t>Um 1. gr.</w:t>
      </w:r>
    </w:p>
    <w:bookmarkEnd w:id="50"/>
    <w:p w14:paraId="52C09599" w14:textId="43029082" w:rsidR="009030BE" w:rsidRDefault="00BE2901" w:rsidP="009030BE">
      <w:r>
        <w:t>Í</w:t>
      </w:r>
      <w:r w:rsidR="009030BE">
        <w:t xml:space="preserve"> greininni er hugtakinu vindork</w:t>
      </w:r>
      <w:r w:rsidR="00584BAD">
        <w:t>a</w:t>
      </w:r>
      <w:r w:rsidR="009030BE">
        <w:t xml:space="preserve"> bætt við 2. gr. laganna sem kveður á um gildissvið og skilgreiningar laga </w:t>
      </w:r>
      <w:r w:rsidR="00584BAD">
        <w:t xml:space="preserve">nr. </w:t>
      </w:r>
      <w:r w:rsidR="009030BE">
        <w:t xml:space="preserve">48/2011. Í greininni er kveðið á um að vindorka </w:t>
      </w:r>
      <w:r w:rsidR="00935644">
        <w:t>samkvæmt</w:t>
      </w:r>
      <w:r w:rsidR="009030BE">
        <w:t xml:space="preserve"> lögunum felist í nýtingu vinds til framleiðslu á orku. Í 2. gr. laganna er að finna bæði skilgreiningu á fallvatni og háhitasvæðum en ekki er að finna skilgreiningu á vindorku. </w:t>
      </w:r>
    </w:p>
    <w:p w14:paraId="1230547C" w14:textId="77777777" w:rsidR="00E957BE" w:rsidRDefault="00E957BE" w:rsidP="00E957BE">
      <w:pPr>
        <w:pStyle w:val="Venjulegtvefur"/>
        <w:shd w:val="clear" w:color="auto" w:fill="FFFFFF"/>
        <w:spacing w:before="0" w:beforeAutospacing="0" w:after="0" w:afterAutospacing="0"/>
        <w:jc w:val="center"/>
      </w:pPr>
    </w:p>
    <w:p w14:paraId="07BCAAF2" w14:textId="5AF8B478" w:rsidR="00E957BE" w:rsidRDefault="00E957BE" w:rsidP="00E957BE">
      <w:pPr>
        <w:pStyle w:val="Venjulegtvefur"/>
        <w:shd w:val="clear" w:color="auto" w:fill="FFFFFF"/>
        <w:spacing w:before="0" w:beforeAutospacing="0" w:after="0" w:afterAutospacing="0"/>
        <w:jc w:val="center"/>
        <w:rPr>
          <w:rFonts w:eastAsia="Calibri"/>
          <w:sz w:val="21"/>
          <w:szCs w:val="22"/>
          <w:lang w:eastAsia="en-US"/>
        </w:rPr>
      </w:pPr>
      <w:r w:rsidRPr="00A964E4">
        <w:rPr>
          <w:rFonts w:eastAsia="Calibri"/>
          <w:sz w:val="21"/>
          <w:szCs w:val="22"/>
          <w:lang w:eastAsia="en-US"/>
        </w:rPr>
        <w:t xml:space="preserve">Um </w:t>
      </w:r>
      <w:r>
        <w:rPr>
          <w:rFonts w:eastAsia="Calibri"/>
          <w:sz w:val="21"/>
          <w:szCs w:val="22"/>
          <w:lang w:eastAsia="en-US"/>
        </w:rPr>
        <w:t>2</w:t>
      </w:r>
      <w:r w:rsidRPr="00A964E4">
        <w:rPr>
          <w:rFonts w:eastAsia="Calibri"/>
          <w:sz w:val="21"/>
          <w:szCs w:val="22"/>
          <w:lang w:eastAsia="en-US"/>
        </w:rPr>
        <w:t>. gr.</w:t>
      </w:r>
    </w:p>
    <w:p w14:paraId="3F00BEFE" w14:textId="546EA5F7" w:rsidR="009030BE" w:rsidRDefault="00E957BE" w:rsidP="009030BE">
      <w:r w:rsidRPr="00BF035F">
        <w:t xml:space="preserve">Í greininni er </w:t>
      </w:r>
      <w:r>
        <w:t xml:space="preserve">því slegið föstu að </w:t>
      </w:r>
      <w:r w:rsidRPr="00BF035F">
        <w:t>verndar- og orkunýtingaráætlun</w:t>
      </w:r>
      <w:r>
        <w:t xml:space="preserve"> taki til </w:t>
      </w:r>
      <w:r w:rsidRPr="00BF035F">
        <w:t>virkjunarkost</w:t>
      </w:r>
      <w:r>
        <w:t>a</w:t>
      </w:r>
      <w:r w:rsidRPr="00BF035F">
        <w:t xml:space="preserve"> í vindork</w:t>
      </w:r>
      <w:r w:rsidR="00584BAD">
        <w:t>u</w:t>
      </w:r>
      <w:r w:rsidRPr="00BF035F">
        <w:t xml:space="preserve"> sem haf</w:t>
      </w:r>
      <w:r>
        <w:t>i</w:t>
      </w:r>
      <w:r w:rsidRPr="00BF035F">
        <w:t xml:space="preserve"> 10</w:t>
      </w:r>
      <w:r>
        <w:t xml:space="preserve"> </w:t>
      </w:r>
      <w:r w:rsidRPr="00BF035F">
        <w:t>MW eða meira uppsett rafafl</w:t>
      </w:r>
      <w:r>
        <w:t xml:space="preserve">. </w:t>
      </w:r>
      <w:r w:rsidR="00BE2901">
        <w:t xml:space="preserve">Nokkur umræða varð um það meðal starfshóps um vindorku hvort breyta ætti þessu viðmiði laganna um 10 MW uppsett afl varðandi vindorku. Niðurstaða hópsins var hins vegar að leggja til að það sama ætti að gilda um vindorku og aðra virkjunarkosti en leggja hins vegar til að öll vindorkumannvirki sem væru yfir tiltekinni hæð myndu </w:t>
      </w:r>
      <w:r w:rsidR="002E06BF">
        <w:t>heyra undir lögin</w:t>
      </w:r>
      <w:r w:rsidR="007953A5">
        <w:t>,</w:t>
      </w:r>
      <w:r w:rsidR="002E06BF">
        <w:t xml:space="preserve"> jafnvel þó</w:t>
      </w:r>
      <w:r w:rsidR="007953A5">
        <w:t>tt</w:t>
      </w:r>
      <w:r w:rsidR="002E06BF">
        <w:t xml:space="preserve"> uppsett afl þeirra væri undir 10 MW lágmarkinu. Í þessari grein er því einnig </w:t>
      </w:r>
      <w:r>
        <w:t>kveðið á um að verndar- og orkunýtingaráætlun taki til vindorkumannvirkja sem eru hærri en 100 metra í hæstu stöðu</w:t>
      </w:r>
      <w:r w:rsidR="008C26FA">
        <w:t>,</w:t>
      </w:r>
      <w:r>
        <w:t xml:space="preserve"> jafnvel þó</w:t>
      </w:r>
      <w:r w:rsidR="008C26FA">
        <w:t>tt</w:t>
      </w:r>
      <w:r>
        <w:t xml:space="preserve"> uppsett rafafl þeirra nái ekki 10 MW lágmarkinu. Þessi hæðarregla er lögð til af þeirri ástæðu að jafnvel þó</w:t>
      </w:r>
      <w:r w:rsidR="00BC22D8">
        <w:t>tt</w:t>
      </w:r>
      <w:r>
        <w:t xml:space="preserve"> vindmyllur séu undir 10 MW lágmarkinu geta umhverfisáhrif þessara mannvirkja verið að mörgu leyti sambærileg umhverfisáhrifum mannvirkja sem eru yfir </w:t>
      </w:r>
      <w:r w:rsidR="00614448">
        <w:t xml:space="preserve">lögbundnu uppsettu afli </w:t>
      </w:r>
      <w:r>
        <w:t>verndar- og orkunýtingaráætlunar</w:t>
      </w:r>
      <w:r w:rsidR="00614448">
        <w:t xml:space="preserve"> og því eðlilegt að þau sæti sambærilegu mati innan áætlunarinnar</w:t>
      </w:r>
      <w:r>
        <w:t xml:space="preserve">. </w:t>
      </w:r>
      <w:r w:rsidR="00614448">
        <w:t xml:space="preserve"> </w:t>
      </w:r>
    </w:p>
    <w:p w14:paraId="42A99A86" w14:textId="77777777" w:rsidR="00614448" w:rsidRDefault="00614448" w:rsidP="009030BE"/>
    <w:p w14:paraId="5E8808EC" w14:textId="4B8C73E7" w:rsidR="00614448" w:rsidRDefault="00614448" w:rsidP="00614448">
      <w:pPr>
        <w:pStyle w:val="Venjulegtvefur"/>
        <w:shd w:val="clear" w:color="auto" w:fill="FFFFFF"/>
        <w:spacing w:before="0" w:beforeAutospacing="0" w:after="0" w:afterAutospacing="0"/>
        <w:jc w:val="center"/>
        <w:rPr>
          <w:rFonts w:eastAsia="Calibri"/>
          <w:sz w:val="21"/>
          <w:szCs w:val="22"/>
          <w:lang w:eastAsia="en-US"/>
        </w:rPr>
      </w:pPr>
      <w:r w:rsidRPr="00A964E4">
        <w:rPr>
          <w:rFonts w:eastAsia="Calibri"/>
          <w:sz w:val="21"/>
          <w:szCs w:val="22"/>
          <w:lang w:eastAsia="en-US"/>
        </w:rPr>
        <w:t xml:space="preserve">Um </w:t>
      </w:r>
      <w:r>
        <w:rPr>
          <w:rFonts w:eastAsia="Calibri"/>
          <w:sz w:val="21"/>
          <w:szCs w:val="22"/>
          <w:lang w:eastAsia="en-US"/>
        </w:rPr>
        <w:t>3</w:t>
      </w:r>
      <w:r w:rsidRPr="00A964E4">
        <w:rPr>
          <w:rFonts w:eastAsia="Calibri"/>
          <w:sz w:val="21"/>
          <w:szCs w:val="22"/>
          <w:lang w:eastAsia="en-US"/>
        </w:rPr>
        <w:t>. gr.</w:t>
      </w:r>
    </w:p>
    <w:p w14:paraId="7233DCD7" w14:textId="6DE27F5D" w:rsidR="00C064DA" w:rsidRDefault="00944370" w:rsidP="00944370">
      <w:r>
        <w:t xml:space="preserve">Í 3. mgr. 3. gr. gildandi laga er kveðið á um að verndar- og orkunýtingaráætlun taki ekki til landsvæða í A-hluta náttúruminjaskrár nema </w:t>
      </w:r>
      <w:r w:rsidRPr="000C3252">
        <w:t>tiltekið sé í friðlýsingarskilmálum að virkjunarframkvæmdir séu heimilar á viðkomandi svæði</w:t>
      </w:r>
      <w:r>
        <w:t>. Í 33. gr. l</w:t>
      </w:r>
      <w:r w:rsidR="00E12240">
        <w:t>aga</w:t>
      </w:r>
      <w:r>
        <w:t xml:space="preserve"> nr. 60/2013, um náttúruvernd, kemur fram að A-hluti skrárinnar sé friðlýst svæði flokkuð eftir friðlýsingarflokkum, sbr. VIII. kafla sömu laga, auk friðaðra vistgerða, vistkerfa og tegunda, sbr. IX. kafla laganna, </w:t>
      </w:r>
      <w:r w:rsidR="00C064DA">
        <w:t>auk annarra svæða sem eru</w:t>
      </w:r>
      <w:r>
        <w:t xml:space="preserve"> vernduð samkvæmt sérlögum. Þegar svo háttar til að virkjunarsvæði </w:t>
      </w:r>
      <w:r w:rsidR="002E06BF">
        <w:t>er</w:t>
      </w:r>
      <w:r>
        <w:t xml:space="preserve"> á svæði í A-hluta náttúruminjaskrár og ekki </w:t>
      </w:r>
      <w:r w:rsidR="00C064DA">
        <w:t>er</w:t>
      </w:r>
      <w:r>
        <w:t xml:space="preserve"> tiltekið í friðlýsingarskilmálum að virkjanir séu heimilar er ekki heimilt að taka virkjunarkostinn til meðferðar samkvæmt lögum um verndar- og orkunýtingaráætlun. </w:t>
      </w:r>
    </w:p>
    <w:p w14:paraId="5A041F36" w14:textId="638FD8A1" w:rsidR="002E06BF" w:rsidRDefault="00C064DA" w:rsidP="002E06BF">
      <w:r>
        <w:t>Í 3. gr. frumvarps þessa er lagt til að sama regla gildi um vindorkuna að því er varðar svæði á A-hluta náttúruminjaskrár</w:t>
      </w:r>
      <w:r w:rsidR="00761D4E">
        <w:t>,</w:t>
      </w:r>
      <w:r>
        <w:t xml:space="preserve"> en að auk svæða </w:t>
      </w:r>
      <w:r w:rsidR="00761D4E">
        <w:t xml:space="preserve">í </w:t>
      </w:r>
      <w:r>
        <w:t>A-hluta falli einnig svæði á B-hluta náttúru</w:t>
      </w:r>
      <w:r w:rsidR="00D26A49">
        <w:softHyphen/>
      </w:r>
      <w:r>
        <w:t>minjaskrár</w:t>
      </w:r>
      <w:r w:rsidR="00761D4E">
        <w:t xml:space="preserve"> þegar um er að ræða virkjunarkosti í vindorku</w:t>
      </w:r>
      <w:r>
        <w:t>, en skv. 33. gr. l</w:t>
      </w:r>
      <w:r w:rsidR="00D26A49">
        <w:t>aga</w:t>
      </w:r>
      <w:r>
        <w:t xml:space="preserve"> nr. 60/2013 er B-hlut</w:t>
      </w:r>
      <w:r w:rsidR="00761D4E">
        <w:t>i</w:t>
      </w:r>
      <w:r>
        <w:t xml:space="preserve"> skrá</w:t>
      </w:r>
      <w:r w:rsidR="00761D4E">
        <w:t>rinnar framkvæmdaáætlun um friðlýsingu og friðun</w:t>
      </w:r>
      <w:r>
        <w:t xml:space="preserve"> sem Alþingi hefur</w:t>
      </w:r>
      <w:r w:rsidR="00761D4E">
        <w:t xml:space="preserve"> ákveðið að setja í forgang á næstu fimm árum. </w:t>
      </w:r>
      <w:r w:rsidR="002E06BF">
        <w:t>Tillaga til þin</w:t>
      </w:r>
      <w:r w:rsidR="00D26A49">
        <w:t>g</w:t>
      </w:r>
      <w:r w:rsidR="002E06BF">
        <w:t>sályktunar um B</w:t>
      </w:r>
      <w:r w:rsidR="00D26A49">
        <w:t>-</w:t>
      </w:r>
      <w:r w:rsidR="002E06BF">
        <w:t xml:space="preserve">hluta náttúruminjaskrár liggur ekki fyrir enn sem komið er. </w:t>
      </w:r>
    </w:p>
    <w:p w14:paraId="6B3D09E9" w14:textId="3380E232" w:rsidR="00C064DA" w:rsidRDefault="007A24A4" w:rsidP="00C064DA">
      <w:r>
        <w:t>Í frumvarpinu er lagt til að verndar- og orkunýtingaráætlun taki heldur ekki til</w:t>
      </w:r>
      <w:r w:rsidR="00E4211D">
        <w:t xml:space="preserve"> </w:t>
      </w:r>
      <w:r>
        <w:t xml:space="preserve">þeirra </w:t>
      </w:r>
      <w:r w:rsidR="00E4211D">
        <w:t>svæð</w:t>
      </w:r>
      <w:r>
        <w:t>a</w:t>
      </w:r>
      <w:r w:rsidR="00E4211D">
        <w:t xml:space="preserve"> landsins sem eru</w:t>
      </w:r>
      <w:r w:rsidR="00C064DA">
        <w:t xml:space="preserve"> </w:t>
      </w:r>
      <w:r w:rsidR="00E4211D">
        <w:t xml:space="preserve">á heimsminjaskrá UNESCO </w:t>
      </w:r>
      <w:r>
        <w:t xml:space="preserve">eða </w:t>
      </w:r>
      <w:r w:rsidR="00E4211D">
        <w:t xml:space="preserve">hafa verið </w:t>
      </w:r>
      <w:r>
        <w:t xml:space="preserve">tilnefnd </w:t>
      </w:r>
      <w:r w:rsidR="00E4211D">
        <w:t>á skrána</w:t>
      </w:r>
      <w:r>
        <w:t xml:space="preserve">. </w:t>
      </w:r>
      <w:r w:rsidR="00E4211D" w:rsidRPr="00E4211D">
        <w:t>Til að komast á heimsminjaskrá UNESCO þarf staður eða fyrirbæri að hafa það sem kallað er einstakt gildi á heimsvísu</w:t>
      </w:r>
      <w:r w:rsidR="00E4211D">
        <w:t xml:space="preserve">. Fjórir staðir á Íslandi eru á skránni, þ.e. þjóðgarðurinn á Þingvöllum, Vatnajökulsþjóðgarður, Katla jarðvangur og Surtsey.  </w:t>
      </w:r>
    </w:p>
    <w:p w14:paraId="04D570BE" w14:textId="14599B07" w:rsidR="001C5876" w:rsidRDefault="001C5876" w:rsidP="00C064DA">
      <w:r>
        <w:t>L</w:t>
      </w:r>
      <w:r w:rsidR="00E4211D">
        <w:t>ög</w:t>
      </w:r>
      <w:r w:rsidR="005C5F1B">
        <w:t>um</w:t>
      </w:r>
      <w:r>
        <w:t xml:space="preserve"> </w:t>
      </w:r>
      <w:r w:rsidR="00E4211D">
        <w:t xml:space="preserve">um </w:t>
      </w:r>
      <w:r>
        <w:t>menningarminjar, nr. 80/2012</w:t>
      </w:r>
      <w:r w:rsidR="005C5F1B">
        <w:t>,</w:t>
      </w:r>
      <w:r>
        <w:t xml:space="preserve"> er ætlað að stuðla að verndun menningarminja og tryggja að íslenskum menningararfi verði skilað óspilltum til komandi kynslóða.</w:t>
      </w:r>
      <w:r w:rsidR="007C790E">
        <w:t xml:space="preserve"> Í 3. gr. frumvarpsins er lagt til að kveðið verði á um það að svæði innan marka friðlýstra menningar</w:t>
      </w:r>
      <w:r w:rsidR="00C9487D">
        <w:softHyphen/>
      </w:r>
      <w:r w:rsidR="007C790E">
        <w:t xml:space="preserve">minja verði eitt af þeim svæðum sem undanskilin verða verndar- og orkunýtingaráætlun að </w:t>
      </w:r>
      <w:r w:rsidR="007C790E">
        <w:lastRenderedPageBreak/>
        <w:t>því er varðar virkjunarkosti í vindorku. Í V. og VI. kafla laga nr. 80/2012 er kveðið nánar á um friðlýsingu menningar</w:t>
      </w:r>
      <w:r w:rsidR="003226D2">
        <w:t>minja og helgunarsvæði friðlýstra fo</w:t>
      </w:r>
      <w:r w:rsidR="005C5F1B">
        <w:t>r</w:t>
      </w:r>
      <w:r w:rsidR="003226D2">
        <w:t xml:space="preserve">nminja. </w:t>
      </w:r>
      <w:r>
        <w:t xml:space="preserve"> </w:t>
      </w:r>
    </w:p>
    <w:p w14:paraId="2E126E80" w14:textId="58EA0E81" w:rsidR="007A24A4" w:rsidRDefault="003226D2" w:rsidP="00636B3E">
      <w:r>
        <w:t xml:space="preserve">Ísland er aðili að hinum svonefnda </w:t>
      </w:r>
      <w:proofErr w:type="spellStart"/>
      <w:r>
        <w:t>Ramsar</w:t>
      </w:r>
      <w:proofErr w:type="spellEnd"/>
      <w:r w:rsidR="00E2113F">
        <w:t>-</w:t>
      </w:r>
      <w:r>
        <w:t>samningi</w:t>
      </w:r>
      <w:r w:rsidR="00D57EAE">
        <w:t xml:space="preserve"> um votlendi sem hafa alþjóðlegt gildi, einkum fyrir fuglalíf</w:t>
      </w:r>
      <w:r>
        <w:t xml:space="preserve"> (</w:t>
      </w:r>
      <w:proofErr w:type="spellStart"/>
      <w:r w:rsidRPr="003226D2">
        <w:rPr>
          <w:i/>
          <w:iCs/>
        </w:rPr>
        <w:t>Ramsar</w:t>
      </w:r>
      <w:proofErr w:type="spellEnd"/>
      <w:r w:rsidR="00636B3E">
        <w:rPr>
          <w:i/>
          <w:iCs/>
        </w:rPr>
        <w:t xml:space="preserve"> </w:t>
      </w:r>
      <w:proofErr w:type="spellStart"/>
      <w:r w:rsidRPr="003226D2">
        <w:rPr>
          <w:i/>
          <w:iCs/>
        </w:rPr>
        <w:t>Convention</w:t>
      </w:r>
      <w:proofErr w:type="spellEnd"/>
      <w:r>
        <w:t xml:space="preserve">). </w:t>
      </w:r>
      <w:proofErr w:type="spellStart"/>
      <w:r>
        <w:t>Ramsar</w:t>
      </w:r>
      <w:proofErr w:type="spellEnd"/>
      <w:r w:rsidR="00E2113F">
        <w:t>-</w:t>
      </w:r>
      <w:r>
        <w:t xml:space="preserve">samningurinn er alþjóðlegur samningur </w:t>
      </w:r>
      <w:r w:rsidR="00636B3E">
        <w:t>sem</w:t>
      </w:r>
      <w:r>
        <w:t xml:space="preserve"> öðlaðist gildi hérlendis 2. apríl 1978.</w:t>
      </w:r>
      <w:r w:rsidRPr="003226D2">
        <w:t xml:space="preserve"> </w:t>
      </w:r>
      <w:r>
        <w:t xml:space="preserve">Markmið samningsins er að stuðla að verndun og skynsamlegri nýtingu votlendissvæða í heiminum, sérstaklega sem </w:t>
      </w:r>
      <w:r w:rsidR="00D57EAE">
        <w:t xml:space="preserve">búsvæði </w:t>
      </w:r>
      <w:r>
        <w:t xml:space="preserve">fyrir votlendisfugla. </w:t>
      </w:r>
      <w:r w:rsidRPr="003226D2">
        <w:t xml:space="preserve">Á Íslandi eru sex svæði skráð sem </w:t>
      </w:r>
      <w:proofErr w:type="spellStart"/>
      <w:r w:rsidRPr="003226D2">
        <w:t>Ramsar</w:t>
      </w:r>
      <w:proofErr w:type="spellEnd"/>
      <w:r w:rsidR="00E2113F">
        <w:t>-</w:t>
      </w:r>
      <w:r w:rsidRPr="003226D2">
        <w:t xml:space="preserve">svæði: </w:t>
      </w:r>
      <w:proofErr w:type="spellStart"/>
      <w:r w:rsidRPr="003226D2">
        <w:t>Andakíll</w:t>
      </w:r>
      <w:proofErr w:type="spellEnd"/>
      <w:r w:rsidRPr="003226D2">
        <w:t>, Grunnafjörður, Guðlaugstungur, Mývatn og Laxá, Snæfells- og Eyja</w:t>
      </w:r>
      <w:r w:rsidR="00B17C91">
        <w:softHyphen/>
      </w:r>
      <w:r w:rsidRPr="003226D2">
        <w:t>bakka</w:t>
      </w:r>
      <w:r w:rsidR="00B17C91">
        <w:softHyphen/>
      </w:r>
      <w:r w:rsidRPr="003226D2">
        <w:t>svæðið og Þjórsárver. Öll þessi svæði eiga það sameiginlegt að vera að mestu óröskuð votlendissvæði ásamt því að vera mikilvæg búsvæði fuglastofna (yfir 1% ákveðinna stofna).</w:t>
      </w:r>
      <w:r>
        <w:t xml:space="preserve"> </w:t>
      </w:r>
      <w:r w:rsidR="00636B3E">
        <w:t>Svæðin hafa þegar öll verið friðlýst nema hluti slíks svæðis innan Skútustaðahrepps.</w:t>
      </w:r>
      <w:r w:rsidR="00636B3E" w:rsidRPr="00636B3E">
        <w:t xml:space="preserve"> </w:t>
      </w:r>
      <w:r w:rsidR="00636B3E">
        <w:t xml:space="preserve">Í 3. gr. frumvarpsins er lagt til að kveðið verði á um það að </w:t>
      </w:r>
      <w:proofErr w:type="spellStart"/>
      <w:r w:rsidR="00636B3E">
        <w:t>Ramsar</w:t>
      </w:r>
      <w:proofErr w:type="spellEnd"/>
      <w:r w:rsidR="00E2113F">
        <w:t>-</w:t>
      </w:r>
      <w:r w:rsidR="00636B3E">
        <w:t>svæði verði undanskilin verndar- og orkunýtingaráætlun að því er varðar virkjunarkosti í vindorku.</w:t>
      </w:r>
    </w:p>
    <w:p w14:paraId="3DD1D4D9" w14:textId="00AFB4BF" w:rsidR="00636B3E" w:rsidRDefault="007A24A4" w:rsidP="00636B3E">
      <w:r>
        <w:t xml:space="preserve">Að lokum er lagt til að öll svæði innan marka miðhálendislínu landsins eins og hún er skilgreind í </w:t>
      </w:r>
      <w:r w:rsidR="00E8611C">
        <w:t>l</w:t>
      </w:r>
      <w:r>
        <w:t>andsskipulagsstefnu</w:t>
      </w:r>
      <w:r w:rsidR="00252773">
        <w:t xml:space="preserve"> verði undanskilin verndar- og orkunýtingaráætlun</w:t>
      </w:r>
      <w:r>
        <w:t xml:space="preserve">. Hér er um meginbreytingu að ræða enda markar miðhálendislínan </w:t>
      </w:r>
      <w:r w:rsidR="00252773">
        <w:t xml:space="preserve">stærsta hlutann af hálendi Íslands. Telja verður að með því að undanskilja miðhálendi landsins slíkri hagnýtingu sé jafnframt stigið stórt skref í að vernda óbyggð víðerni </w:t>
      </w:r>
      <w:r w:rsidR="00E2113F">
        <w:t>hálendisins</w:t>
      </w:r>
      <w:r w:rsidR="00252773">
        <w:t xml:space="preserve"> og </w:t>
      </w:r>
      <w:r w:rsidR="00331A11">
        <w:t xml:space="preserve">þær </w:t>
      </w:r>
      <w:r w:rsidR="00252773">
        <w:t xml:space="preserve">einstöku náttúru </w:t>
      </w:r>
      <w:r w:rsidR="00FB4BC5">
        <w:t>og lands</w:t>
      </w:r>
      <w:r w:rsidR="00595813">
        <w:softHyphen/>
      </w:r>
      <w:r w:rsidR="00FB4BC5">
        <w:t>lags</w:t>
      </w:r>
      <w:r w:rsidR="00595813">
        <w:softHyphen/>
      </w:r>
      <w:r w:rsidR="00FB4BC5">
        <w:t xml:space="preserve">heildir </w:t>
      </w:r>
      <w:r w:rsidR="00252773">
        <w:t>sem þar er að finna</w:t>
      </w:r>
      <w:r w:rsidR="00FB4BC5">
        <w:t>.</w:t>
      </w:r>
      <w:r w:rsidR="00FB4BC5" w:rsidRPr="00FB4BC5">
        <w:t xml:space="preserve"> </w:t>
      </w:r>
      <w:r w:rsidR="00FB4BC5" w:rsidRPr="001257C2">
        <w:t>Miðhálendið þekur um 40% af flatarmáli Íslands</w:t>
      </w:r>
      <w:r w:rsidR="00FB4BC5">
        <w:t xml:space="preserve"> og </w:t>
      </w:r>
      <w:r w:rsidR="00FB4BC5" w:rsidRPr="001257C2">
        <w:t>hefur að mestu verið óbyggt allt frá landnámi</w:t>
      </w:r>
      <w:r w:rsidR="00FB4BC5">
        <w:t xml:space="preserve">. Því hefur verið haldið fram að á Íslandi séu um </w:t>
      </w:r>
      <w:r w:rsidR="00FB4BC5" w:rsidRPr="002534A6">
        <w:t>43</w:t>
      </w:r>
      <w:r w:rsidR="00FB4BC5">
        <w:t>%</w:t>
      </w:r>
      <w:r w:rsidR="00FB4BC5" w:rsidRPr="002534A6">
        <w:t xml:space="preserve"> af </w:t>
      </w:r>
      <w:r w:rsidR="00FB4BC5">
        <w:t xml:space="preserve">síðustu </w:t>
      </w:r>
      <w:r w:rsidR="00FB4BC5" w:rsidRPr="002534A6">
        <w:t>ósnertu víðernum Evrópu</w:t>
      </w:r>
      <w:r w:rsidR="00FB4BC5">
        <w:t>.</w:t>
      </w:r>
      <w:r w:rsidR="00252773">
        <w:t xml:space="preserve"> </w:t>
      </w:r>
      <w:r w:rsidR="00FB4BC5">
        <w:t>Í þessu ljósi er lagt til að hagnýting</w:t>
      </w:r>
      <w:r w:rsidR="000D3AB9">
        <w:t>u</w:t>
      </w:r>
      <w:r w:rsidR="00FB4BC5">
        <w:t xml:space="preserve"> vindorku </w:t>
      </w:r>
      <w:r w:rsidR="00FB4BC5" w:rsidRPr="00D82F77">
        <w:t xml:space="preserve">verði </w:t>
      </w:r>
      <w:r w:rsidR="00FB4BC5">
        <w:t xml:space="preserve">frekar </w:t>
      </w:r>
      <w:r w:rsidR="00FB4BC5" w:rsidRPr="00D82F77">
        <w:t xml:space="preserve">beint að </w:t>
      </w:r>
      <w:r w:rsidR="00FB4BC5">
        <w:t xml:space="preserve">svæðum og </w:t>
      </w:r>
      <w:r w:rsidR="00FB4BC5" w:rsidRPr="00D82F77">
        <w:t xml:space="preserve">stöðum </w:t>
      </w:r>
      <w:r w:rsidR="002E06BF">
        <w:t xml:space="preserve">landsins </w:t>
      </w:r>
      <w:r w:rsidR="00FB4BC5" w:rsidRPr="00D82F77">
        <w:t>sem rýra</w:t>
      </w:r>
      <w:r w:rsidR="00FB4BC5">
        <w:t xml:space="preserve"> ekki slíka mikilvæga verndarhagsmuni með sama hætti. </w:t>
      </w:r>
    </w:p>
    <w:p w14:paraId="329E301F" w14:textId="1BFF62C0" w:rsidR="009A44BE" w:rsidRDefault="007375DF" w:rsidP="00636B3E">
      <w:r>
        <w:t xml:space="preserve">Af þeim tveimur virkjunarkostum sem samþykktir hafa verið í nýtingarflokk verndar- og orkunýtingaráætlunar er Búrfellslundur innan marka miðhálendislínu.  </w:t>
      </w:r>
      <w:r w:rsidR="009A44BE">
        <w:t>Ekki er gert ráð fyrir að þessi takmörkun</w:t>
      </w:r>
      <w:r>
        <w:t xml:space="preserve"> sem hér er lögð til</w:t>
      </w:r>
      <w:r w:rsidR="009A44BE">
        <w:t>, verði hún að lögum, hafi afturvirk áhrif á þá virkjunarkosti í vindorku sem þegar eru komnir í nýtingarflokk verndar- og orkunýtingar</w:t>
      </w:r>
      <w:r w:rsidR="000D3AB9">
        <w:softHyphen/>
      </w:r>
      <w:r w:rsidR="009A44BE">
        <w:t xml:space="preserve">áætlunar. </w:t>
      </w:r>
    </w:p>
    <w:bookmarkEnd w:id="48"/>
    <w:p w14:paraId="32380AE1" w14:textId="33919962" w:rsidR="00682424" w:rsidRDefault="007A24A4" w:rsidP="00943B67">
      <w:r>
        <w:t xml:space="preserve">  </w:t>
      </w:r>
    </w:p>
    <w:p w14:paraId="415EF63E" w14:textId="4AF676F9" w:rsidR="00D30792" w:rsidRPr="00A0329D" w:rsidRDefault="00D30792" w:rsidP="00D30792">
      <w:pPr>
        <w:jc w:val="center"/>
      </w:pPr>
      <w:r>
        <w:t>Um 4</w:t>
      </w:r>
      <w:r w:rsidRPr="00A0329D">
        <w:t>. gr.</w:t>
      </w:r>
    </w:p>
    <w:p w14:paraId="15074A45" w14:textId="46BB7449" w:rsidR="00681AED" w:rsidRPr="00681AED" w:rsidRDefault="00D30792" w:rsidP="009A44BE">
      <w:r>
        <w:t>Í greininni er lagt til að v</w:t>
      </w:r>
      <w:r w:rsidRPr="00A0329D">
        <w:t xml:space="preserve">erndar- og orkunýtingaráætlun </w:t>
      </w:r>
      <w:r>
        <w:t xml:space="preserve">verði ekki </w:t>
      </w:r>
      <w:r w:rsidRPr="00A0329D">
        <w:t>bindandi við gerð skipu</w:t>
      </w:r>
      <w:r w:rsidR="000D3AB9">
        <w:softHyphen/>
      </w:r>
      <w:r w:rsidRPr="00A0329D">
        <w:t xml:space="preserve">lagsáætlana </w:t>
      </w:r>
      <w:r>
        <w:t>sveitarfélag</w:t>
      </w:r>
      <w:r w:rsidR="00A0433D">
        <w:t>a</w:t>
      </w:r>
      <w:r>
        <w:t xml:space="preserve"> þegar um er að ræða virkjunarkosti til nýtingar </w:t>
      </w:r>
      <w:r w:rsidRPr="00A0329D">
        <w:t>vindorku.</w:t>
      </w:r>
      <w:r w:rsidRPr="00D30792">
        <w:t xml:space="preserve"> </w:t>
      </w:r>
      <w:r>
        <w:t>Meginregla gildandi laga er að hvorki sveitarfélög né eigandi þess lands þar sem er að finna auðlindir til raforkuframleiðslu geti hindrað nýtingu staðbundinna og takmarkaðra auðlinda landsins. Þannig getur eigandi lands t.d. ekki komið í veg fyrir nýtingu vatnsafls og jarðhita á eignar</w:t>
      </w:r>
      <w:r w:rsidR="000D3AB9">
        <w:softHyphen/>
      </w:r>
      <w:r>
        <w:t>landi sínu, nema að því er varðar rétt hans til að semja um greiðslu fyrir réttindin eða rétt til bóta á grundvelli eignarnáms ef ekki nást samningar um greiðslur. Þessi meginregla endur</w:t>
      </w:r>
      <w:r w:rsidR="000D3AB9">
        <w:softHyphen/>
      </w:r>
      <w:r>
        <w:t xml:space="preserve">speglast í </w:t>
      </w:r>
      <w:r w:rsidRPr="00A0329D">
        <w:t xml:space="preserve">1. málslið 1. mgr. 7. gr. </w:t>
      </w:r>
      <w:r>
        <w:t>l</w:t>
      </w:r>
      <w:r w:rsidR="00F850FA">
        <w:t>aga</w:t>
      </w:r>
      <w:r>
        <w:t xml:space="preserve"> nr. 48/2011 þar sem mælt er fyrir um að sveitar</w:t>
      </w:r>
      <w:r w:rsidR="00E8611C">
        <w:softHyphen/>
      </w:r>
      <w:r>
        <w:t xml:space="preserve">félögum sé skylt að </w:t>
      </w:r>
      <w:r w:rsidRPr="0040241F">
        <w:t xml:space="preserve">gera ráð fyrir virkjunarkostum </w:t>
      </w:r>
      <w:r>
        <w:t xml:space="preserve">í nýtingarflokki í </w:t>
      </w:r>
      <w:r w:rsidRPr="0040241F">
        <w:t>skipulagsáætlunum</w:t>
      </w:r>
      <w:r>
        <w:t xml:space="preserve"> sínum. </w:t>
      </w:r>
      <w:r w:rsidR="00681AED">
        <w:t xml:space="preserve">Þessi regla víkur í raun skipulagsvaldi sveitarfélaga til hliðar vegna þeirra sjónarmiða sem rakin eru hér að framan og byggjast á hagnýtingu staðbundinna og takmarkaðra auðlinda. </w:t>
      </w:r>
      <w:r>
        <w:t>Með hliðsjón af hinu sérstaka eðli vindorkunnar að hana þurfi ekki að nýta á tilteknum stað eins og gildir um vatnsafl og jarðhita</w:t>
      </w:r>
      <w:r w:rsidR="002E06BF">
        <w:t>,</w:t>
      </w:r>
      <w:r>
        <w:t xml:space="preserve"> auk þess sem hún er ekki jafn takmarkaður orkukostur og vatnsafl og jarðhiti</w:t>
      </w:r>
      <w:r w:rsidR="0088508D">
        <w:t>,</w:t>
      </w:r>
      <w:r>
        <w:t xml:space="preserve"> er </w:t>
      </w:r>
      <w:r w:rsidR="00681AED">
        <w:t xml:space="preserve">lagt til að þessi </w:t>
      </w:r>
      <w:r>
        <w:t xml:space="preserve">regla gildi </w:t>
      </w:r>
      <w:r w:rsidR="00681AED">
        <w:t xml:space="preserve">ekki virkjunarkosti í </w:t>
      </w:r>
      <w:r>
        <w:t>vindorku.</w:t>
      </w:r>
      <w:r w:rsidR="00681AED">
        <w:t xml:space="preserve"> Sú niðurstaða byggist bæði á sjónarmiði um eðli vindorkunnar</w:t>
      </w:r>
      <w:r w:rsidR="0088508D">
        <w:t>,</w:t>
      </w:r>
      <w:r w:rsidR="00681AED">
        <w:t xml:space="preserve"> auk þess að virkjunarkostir í vindi geta verið mun sýnilegri og ágengari í </w:t>
      </w:r>
      <w:proofErr w:type="spellStart"/>
      <w:r w:rsidR="00681AED">
        <w:t>nærsamfélaginu</w:t>
      </w:r>
      <w:proofErr w:type="spellEnd"/>
      <w:r w:rsidR="00681AED">
        <w:t xml:space="preserve"> en gildir almennt um aðra virkjunarkosti. Lagt er til að þessi regla gildi óháð því hvort virkjunarkosturinn fari hina hefðbundnu leið virkjunarkosta </w:t>
      </w:r>
      <w:r w:rsidR="00681AED" w:rsidRPr="00681AED">
        <w:lastRenderedPageBreak/>
        <w:t xml:space="preserve">innan verndar- og orkunýtingaráætlunar eða uppfylli skilyrði </w:t>
      </w:r>
      <w:r w:rsidR="00BA1EC9">
        <w:t xml:space="preserve">6. gr. frumvarpsins </w:t>
      </w:r>
      <w:r w:rsidR="002E06BF">
        <w:t>um</w:t>
      </w:r>
      <w:r w:rsidR="00681AED" w:rsidRPr="00681AED">
        <w:t xml:space="preserve"> </w:t>
      </w:r>
      <w:r w:rsidR="00BA1EC9">
        <w:t>sérstak</w:t>
      </w:r>
      <w:r w:rsidR="002E06BF">
        <w:t>a</w:t>
      </w:r>
      <w:r w:rsidR="00BA1EC9">
        <w:t xml:space="preserve"> </w:t>
      </w:r>
      <w:r w:rsidR="00681AED" w:rsidRPr="00681AED">
        <w:t>málsmeðferð í þágu orkuskipta og kolefnishlutleysis</w:t>
      </w:r>
      <w:r w:rsidR="000D3AB9">
        <w:t>.</w:t>
      </w:r>
    </w:p>
    <w:p w14:paraId="2F543B56" w14:textId="2CDD46A2" w:rsidR="00D30792" w:rsidRPr="00681AED" w:rsidRDefault="00681AED" w:rsidP="00D30792">
      <w:pPr>
        <w:ind w:firstLine="0"/>
      </w:pPr>
      <w:r w:rsidRPr="00681AED">
        <w:t xml:space="preserve"> </w:t>
      </w:r>
    </w:p>
    <w:p w14:paraId="0842C2CC" w14:textId="667DB850" w:rsidR="00BA1EC9" w:rsidRPr="00A0329D" w:rsidRDefault="00BA1EC9" w:rsidP="00BA1EC9">
      <w:pPr>
        <w:jc w:val="center"/>
      </w:pPr>
      <w:bookmarkStart w:id="51" w:name="_Hlk153436432"/>
      <w:r>
        <w:t xml:space="preserve"> Um 5</w:t>
      </w:r>
      <w:r w:rsidRPr="00A0329D">
        <w:t>. gr.</w:t>
      </w:r>
    </w:p>
    <w:bookmarkEnd w:id="51"/>
    <w:p w14:paraId="5461CC22" w14:textId="73200184" w:rsidR="00A207D8" w:rsidRDefault="009A44BE" w:rsidP="00A207D8">
      <w:r>
        <w:t xml:space="preserve">Í </w:t>
      </w:r>
      <w:r w:rsidR="00C51A2E">
        <w:t xml:space="preserve">1. mgr. 10. gr. gildandi laga </w:t>
      </w:r>
      <w:r>
        <w:t xml:space="preserve">er kveðið á um að verkefnisstjórn byggi faglegt mat sitt á upplýsingum sem fyrir liggja um þætti sem taka skal tillit til í verndar- og orkunýtingaráætlun og beiti við það samræmdum viðmiðum og almennt viðurkenndum aðferðum </w:t>
      </w:r>
      <w:r w:rsidR="00C3734E">
        <w:t xml:space="preserve">sem </w:t>
      </w:r>
      <w:r>
        <w:t xml:space="preserve">og að vinna faghópa skuli lögð til grundvallar. </w:t>
      </w:r>
      <w:r w:rsidR="00C51A2E">
        <w:t>Í 5. gr. frumvarps</w:t>
      </w:r>
      <w:r w:rsidR="00E2113F">
        <w:t>ins</w:t>
      </w:r>
      <w:r w:rsidR="00C51A2E">
        <w:t xml:space="preserve"> er lagt til að </w:t>
      </w:r>
      <w:bookmarkStart w:id="52" w:name="_Hlk153286131"/>
      <w:r w:rsidR="00A207D8">
        <w:t>v</w:t>
      </w:r>
      <w:r w:rsidR="00BA1EC9">
        <w:t xml:space="preserve">ið mat og tillögur </w:t>
      </w:r>
      <w:r w:rsidR="00C51A2E">
        <w:t xml:space="preserve">um flokkun </w:t>
      </w:r>
      <w:r w:rsidR="00BA1EC9">
        <w:t>virkjunarkost</w:t>
      </w:r>
      <w:r w:rsidR="00C51A2E">
        <w:t>a</w:t>
      </w:r>
      <w:r w:rsidR="00BA1EC9">
        <w:t xml:space="preserve"> í vindorku sk</w:t>
      </w:r>
      <w:r w:rsidR="00A207D8">
        <w:t>u</w:t>
      </w:r>
      <w:r w:rsidR="00BA1EC9">
        <w:t>l</w:t>
      </w:r>
      <w:r w:rsidR="00A207D8">
        <w:t>i</w:t>
      </w:r>
      <w:r w:rsidR="00BA1EC9">
        <w:t xml:space="preserve"> verkefnisstjórn jafnframt horfa til þingsályktunar um stefnu stjórnvalda </w:t>
      </w:r>
      <w:bookmarkEnd w:id="52"/>
      <w:r w:rsidR="00BA1EC9">
        <w:t xml:space="preserve">um vindorku þar sem gerð er grein fyrir helstu forsendum fyrir nýtingu vindorku til orkuframleiðslu. </w:t>
      </w:r>
      <w:r w:rsidR="00C51A2E">
        <w:t xml:space="preserve">Frumvarp þetta byggir á að </w:t>
      </w:r>
      <w:r w:rsidR="00A207D8">
        <w:t xml:space="preserve">samhliða </w:t>
      </w:r>
      <w:r w:rsidR="00C51A2E">
        <w:t xml:space="preserve">framlagningu þess </w:t>
      </w:r>
      <w:r w:rsidR="00A207D8">
        <w:t xml:space="preserve">verði lögð fram sérstök tillaga til þingsályktunar með slíkri stefnu stjórnvalda. Eins og fram kemur í skýrslu starfshóps um vindorku frá því í apríl 2023 </w:t>
      </w:r>
      <w:r w:rsidR="002E06BF">
        <w:t>er</w:t>
      </w:r>
      <w:r w:rsidR="00A207D8">
        <w:t xml:space="preserve"> ljóst að starfshópurinn var einhuga um að </w:t>
      </w:r>
      <w:r w:rsidR="00C51A2E">
        <w:t>brýnt væri að setja</w:t>
      </w:r>
      <w:r w:rsidR="00A207D8">
        <w:t xml:space="preserve"> almenna stefnu </w:t>
      </w:r>
      <w:r w:rsidR="00C51A2E">
        <w:t xml:space="preserve">stjórnvalda </w:t>
      </w:r>
      <w:r w:rsidR="00A207D8">
        <w:t xml:space="preserve">um hagnýtingu vindorku, óháð því hvernig leyst yrði úr meginálitamálum við leyfisveitingar og hagnýtingu vindorku í lögum og reglum. </w:t>
      </w:r>
      <w:r w:rsidR="00C51A2E">
        <w:t>S</w:t>
      </w:r>
      <w:r w:rsidR="00A207D8">
        <w:t>kýr opinber stefn</w:t>
      </w:r>
      <w:r w:rsidR="00C51A2E">
        <w:t>a</w:t>
      </w:r>
      <w:r w:rsidR="00A207D8">
        <w:t xml:space="preserve"> um málefni</w:t>
      </w:r>
      <w:r w:rsidR="00C51A2E">
        <w:t xml:space="preserve"> vindorkunnar</w:t>
      </w:r>
      <w:r w:rsidR="00A207D8">
        <w:t xml:space="preserve"> </w:t>
      </w:r>
      <w:r w:rsidR="00C51A2E">
        <w:t>getur orðið ákveðið leiðarljós fyr</w:t>
      </w:r>
      <w:r w:rsidR="0046141E">
        <w:t>ir</w:t>
      </w:r>
      <w:r w:rsidR="00C51A2E">
        <w:t xml:space="preserve"> alla </w:t>
      </w:r>
      <w:r w:rsidR="00A207D8">
        <w:t>sem vinna að verkefnum á þessu sviði</w:t>
      </w:r>
      <w:r w:rsidR="009E5669">
        <w:t xml:space="preserve">, hvort sem er opinbera eða einkaaðila, og á </w:t>
      </w:r>
      <w:r w:rsidR="00C51A2E">
        <w:t xml:space="preserve">að geta </w:t>
      </w:r>
      <w:r w:rsidR="009E5669">
        <w:t xml:space="preserve">orðið liður í því </w:t>
      </w:r>
      <w:r w:rsidR="00C51A2E">
        <w:t>að hægt sé að vinna skip</w:t>
      </w:r>
      <w:r w:rsidR="009E5669">
        <w:t xml:space="preserve">ulega og </w:t>
      </w:r>
      <w:r w:rsidR="00A207D8">
        <w:t xml:space="preserve">markvissar að undirbúningi verkefna á þessu sviði. </w:t>
      </w:r>
      <w:r w:rsidR="00C51A2E">
        <w:t xml:space="preserve"> </w:t>
      </w:r>
    </w:p>
    <w:p w14:paraId="73B61765" w14:textId="135C7245" w:rsidR="00FB4BC5" w:rsidRDefault="00A207D8" w:rsidP="00943B67">
      <w:r>
        <w:t xml:space="preserve"> </w:t>
      </w:r>
    </w:p>
    <w:p w14:paraId="783A43F6" w14:textId="4899FE57" w:rsidR="009E5669" w:rsidRPr="00A0329D" w:rsidRDefault="009E5669" w:rsidP="009E5669">
      <w:pPr>
        <w:jc w:val="center"/>
      </w:pPr>
      <w:r>
        <w:t>Um 6</w:t>
      </w:r>
      <w:r w:rsidRPr="00A0329D">
        <w:t>. gr.</w:t>
      </w:r>
    </w:p>
    <w:p w14:paraId="043CDBA0" w14:textId="1569F9CC" w:rsidR="009E5669" w:rsidRDefault="009E5669" w:rsidP="00834932">
      <w:r>
        <w:t>Í þessari grein frumvarpsins er kveðið á um nýja grein sem bætist við 10. gr. laganna og verð</w:t>
      </w:r>
      <w:r w:rsidR="00E2113F">
        <w:t>ur</w:t>
      </w:r>
      <w:r>
        <w:t xml:space="preserve"> 10. gr. a og mælir fyrir um sérstaka málsmeðferð tiltekinna virkjunarkosta í vindorku í þágu orkuskipta og kolefnishlutleysis. </w:t>
      </w:r>
      <w:r w:rsidR="001E5D86">
        <w:t>Sú sérstaka málsmeðferð sem greinin kveður á um er í raun undantekning frá hinni almennu málsmeðferð samkvæmt lögunum</w:t>
      </w:r>
      <w:r w:rsidR="007645ED">
        <w:t xml:space="preserve"> og byggir á að virkjunarkosturinn uppfylli tiltekin skilyrði laganna</w:t>
      </w:r>
      <w:r w:rsidR="001E5D86">
        <w:t>.</w:t>
      </w:r>
      <w:r w:rsidR="007645ED">
        <w:t xml:space="preserve"> </w:t>
      </w:r>
      <w:r w:rsidR="004C16FE">
        <w:t xml:space="preserve">Ekki er </w:t>
      </w:r>
      <w:r w:rsidR="00E5608E">
        <w:t xml:space="preserve">hins vegar </w:t>
      </w:r>
      <w:r w:rsidR="004C16FE">
        <w:t xml:space="preserve">verið að skerða </w:t>
      </w:r>
      <w:r w:rsidR="002E06BF">
        <w:t>möguleika</w:t>
      </w:r>
      <w:r w:rsidR="004C16FE">
        <w:t xml:space="preserve"> </w:t>
      </w:r>
      <w:r w:rsidR="002E06BF">
        <w:t xml:space="preserve">þeirra </w:t>
      </w:r>
      <w:r w:rsidR="004C16FE">
        <w:t xml:space="preserve">virkjunarkosta sem annað hvort eru þegar til meðferðar hjá verkefnisstjórn rammaáætlunar eða eiga eftir að koma til meðferðar á þeim vettvangi enda eiga allir virkjunarkostir </w:t>
      </w:r>
      <w:r w:rsidR="00E5608E">
        <w:t xml:space="preserve">í vindorku </w:t>
      </w:r>
      <w:r w:rsidR="004C16FE">
        <w:t xml:space="preserve">rétt á þeirri málsmeðferð sem </w:t>
      </w:r>
      <w:r w:rsidR="002E06BF">
        <w:t xml:space="preserve">gildandi </w:t>
      </w:r>
      <w:r w:rsidR="00CE2BCC">
        <w:t>lög gera ráð fyrir.</w:t>
      </w:r>
      <w:r w:rsidR="00F3375A">
        <w:t xml:space="preserve"> Þó</w:t>
      </w:r>
      <w:r w:rsidR="00C114A8">
        <w:t>tt</w:t>
      </w:r>
      <w:r w:rsidR="00F3375A">
        <w:t xml:space="preserve"> virkjunarkostur uppfylli ekki skilyrði</w:t>
      </w:r>
      <w:r w:rsidR="002E06BF">
        <w:t xml:space="preserve"> fyrir sérstakri málsmeðferð</w:t>
      </w:r>
      <w:r w:rsidR="00F3375A">
        <w:t xml:space="preserve"> hefur </w:t>
      </w:r>
      <w:r w:rsidR="002E06BF">
        <w:t xml:space="preserve">það ekki áhrif </w:t>
      </w:r>
      <w:r w:rsidR="00F3375A">
        <w:t xml:space="preserve">á það hvort virkjunarkostur </w:t>
      </w:r>
      <w:r w:rsidR="00F232B4">
        <w:t xml:space="preserve">kunni að </w:t>
      </w:r>
      <w:r w:rsidR="00F3375A">
        <w:t xml:space="preserve">fá framgang að lokinni </w:t>
      </w:r>
      <w:r w:rsidR="00F232B4">
        <w:t xml:space="preserve">hinni </w:t>
      </w:r>
      <w:r w:rsidR="00F3375A">
        <w:t>hefðbund</w:t>
      </w:r>
      <w:r w:rsidR="00F232B4">
        <w:t>nu</w:t>
      </w:r>
      <w:r w:rsidR="00F3375A">
        <w:t xml:space="preserve"> málsmeðferð</w:t>
      </w:r>
      <w:r w:rsidR="00F232B4">
        <w:t xml:space="preserve"> verndar- og orkunýtingaráætlunar</w:t>
      </w:r>
      <w:r w:rsidR="002E06BF">
        <w:t xml:space="preserve">. </w:t>
      </w:r>
    </w:p>
    <w:p w14:paraId="650588EB" w14:textId="263B629A" w:rsidR="002B12C0" w:rsidRDefault="009E5669" w:rsidP="009E5669">
      <w:r>
        <w:t xml:space="preserve">Í </w:t>
      </w:r>
      <w:r w:rsidR="002B12C0">
        <w:t xml:space="preserve">1. </w:t>
      </w:r>
      <w:r w:rsidR="007375DF">
        <w:t>m</w:t>
      </w:r>
      <w:r w:rsidR="002B12C0">
        <w:t>gr. er mælt fyrir um</w:t>
      </w:r>
      <w:r w:rsidR="00210896">
        <w:t xml:space="preserve"> að</w:t>
      </w:r>
      <w:r w:rsidR="002B12C0">
        <w:t xml:space="preserve"> verkefnisstjórn fái það hlutverk að kanna hvort einstakir virkjunar</w:t>
      </w:r>
      <w:r w:rsidR="00252DCC">
        <w:softHyphen/>
      </w:r>
      <w:r w:rsidR="002B12C0">
        <w:t>kosti</w:t>
      </w:r>
      <w:r w:rsidR="00252DCC">
        <w:t>r</w:t>
      </w:r>
      <w:r w:rsidR="002B12C0">
        <w:t xml:space="preserve"> uppfylli þau skilyrði sem mælt er fyrir um í greininni</w:t>
      </w:r>
      <w:r w:rsidR="00CA573D">
        <w:t>. Ljóst er að verkefnis</w:t>
      </w:r>
      <w:r w:rsidR="00210896">
        <w:softHyphen/>
      </w:r>
      <w:r w:rsidR="00CA573D">
        <w:t>stjórn ramma</w:t>
      </w:r>
      <w:r w:rsidR="00252DCC">
        <w:softHyphen/>
      </w:r>
      <w:r w:rsidR="00CA573D">
        <w:t>áætlunar er ekki stjórnvald í þei</w:t>
      </w:r>
      <w:r w:rsidR="00224127">
        <w:t xml:space="preserve">m skilningi </w:t>
      </w:r>
      <w:r w:rsidR="00CA573D">
        <w:t>að henni sé ætlað að taka stjórn</w:t>
      </w:r>
      <w:r w:rsidR="00210896">
        <w:softHyphen/>
      </w:r>
      <w:r w:rsidR="00CA573D">
        <w:t xml:space="preserve">sýsluákvarðanir samkvæmt lögum </w:t>
      </w:r>
      <w:r w:rsidR="00210896">
        <w:t xml:space="preserve">nr. </w:t>
      </w:r>
      <w:r w:rsidR="00CA573D">
        <w:t xml:space="preserve">48/2011. </w:t>
      </w:r>
      <w:r w:rsidR="00E5608E">
        <w:t xml:space="preserve">Skýrt er kveðið á um það í </w:t>
      </w:r>
      <w:r w:rsidR="00CA573D">
        <w:t xml:space="preserve">1. mgr. 8. gr. </w:t>
      </w:r>
      <w:r w:rsidR="001E5D86">
        <w:t>laganna</w:t>
      </w:r>
      <w:r w:rsidR="00CA573D">
        <w:t xml:space="preserve"> </w:t>
      </w:r>
      <w:r w:rsidR="00E5608E">
        <w:t xml:space="preserve">að </w:t>
      </w:r>
      <w:r w:rsidR="00CA573D">
        <w:t xml:space="preserve">verkefnisstjórn </w:t>
      </w:r>
      <w:r w:rsidR="00E5608E">
        <w:t xml:space="preserve">skuli </w:t>
      </w:r>
      <w:r w:rsidR="001E5D86">
        <w:t xml:space="preserve">vera </w:t>
      </w:r>
      <w:r w:rsidR="00CA573D">
        <w:t xml:space="preserve">ráðherra til ráðgjafar við gerð tillagna fyrir verndar- og orkunýtingaráætlun. Það er því ávallt ráðherra sem ber endanlega ábyrgð á </w:t>
      </w:r>
      <w:r w:rsidR="00E5608E">
        <w:t xml:space="preserve">öllum </w:t>
      </w:r>
      <w:r w:rsidR="00CA573D">
        <w:t>tillögum verkefnisstjórnar s</w:t>
      </w:r>
      <w:r w:rsidR="001E5D86">
        <w:t xml:space="preserve">amkvæmt lögunum og það gildir einnig um </w:t>
      </w:r>
      <w:r w:rsidR="00F232B4">
        <w:t>ákvörðun þess hvort</w:t>
      </w:r>
      <w:r w:rsidR="001E5D86">
        <w:t xml:space="preserve"> framan</w:t>
      </w:r>
      <w:r w:rsidR="00E8611C">
        <w:softHyphen/>
      </w:r>
      <w:r w:rsidR="001E5D86">
        <w:t>greind skilyrð</w:t>
      </w:r>
      <w:r w:rsidR="00F232B4">
        <w:t>i eru uppfyllt eða ekki</w:t>
      </w:r>
      <w:r w:rsidR="001E5D86">
        <w:t>.</w:t>
      </w:r>
      <w:r w:rsidR="00F232B4">
        <w:t xml:space="preserve"> Fo</w:t>
      </w:r>
      <w:r w:rsidR="00E5608E">
        <w:t xml:space="preserve">rsendur fyrir þessari sérstöku málsmeðferð munu </w:t>
      </w:r>
      <w:r w:rsidR="00F232B4">
        <w:t xml:space="preserve">hins vegar </w:t>
      </w:r>
      <w:r w:rsidR="00E5608E">
        <w:t xml:space="preserve">byggja á </w:t>
      </w:r>
      <w:r w:rsidR="00F232B4">
        <w:t xml:space="preserve">faglegu </w:t>
      </w:r>
      <w:r w:rsidR="00E5608E">
        <w:t xml:space="preserve">mati verkefnisstjórnar á efnislegum skilyrðum greinarinnar. Í þessu sambandi verður að hafa í huga að í lögum um verndar- og orkunýtingaráætlun eru fáar eða engar leiðbeiningar </w:t>
      </w:r>
      <w:r w:rsidR="00B975F7">
        <w:t xml:space="preserve">eða fyrirmæli </w:t>
      </w:r>
      <w:r w:rsidR="00E5608E">
        <w:t>til verkefnisstjórnar um almennt mat á virkjunarkostum</w:t>
      </w:r>
      <w:r w:rsidR="00B975F7">
        <w:t>,</w:t>
      </w:r>
      <w:r w:rsidR="00E5608E">
        <w:t xml:space="preserve"> önnur en þau að verkefnisstjórn </w:t>
      </w:r>
      <w:r w:rsidR="00E5608E" w:rsidRPr="00C94288">
        <w:t xml:space="preserve">byggi faglegt mat sitt á upplýsingum sem fyrir liggja um þætti sem taka </w:t>
      </w:r>
      <w:r w:rsidR="00D57EAE">
        <w:t>skuli</w:t>
      </w:r>
      <w:r w:rsidR="00D57EAE" w:rsidRPr="00C94288">
        <w:t xml:space="preserve"> </w:t>
      </w:r>
      <w:r w:rsidR="00E5608E" w:rsidRPr="00C94288">
        <w:t>tillit til og beiti við það samræmdum viðmiðum og almennt viðurkenndum aðferðum</w:t>
      </w:r>
      <w:r w:rsidR="00E5608E">
        <w:t xml:space="preserve">. Telja verður </w:t>
      </w:r>
      <w:r w:rsidR="00B975F7">
        <w:t xml:space="preserve">því </w:t>
      </w:r>
      <w:r w:rsidR="00E5608E">
        <w:t>að mat verkefnisstjórnar á þessum tilteknu skilyrðum eigi að geta verið einfaldara og afmarkaðr</w:t>
      </w:r>
      <w:r w:rsidR="00F232B4">
        <w:t>a</w:t>
      </w:r>
      <w:r w:rsidR="00E5608E">
        <w:t xml:space="preserve"> enda </w:t>
      </w:r>
      <w:r w:rsidR="005A5DEA">
        <w:t>skilyrðin tiltölulega fá og lögbundin</w:t>
      </w:r>
      <w:r w:rsidR="00EA583A">
        <w:t>,</w:t>
      </w:r>
      <w:r w:rsidR="005A5DEA">
        <w:t xml:space="preserve"> auk þess sem þessi atriði eru </w:t>
      </w:r>
      <w:r w:rsidR="00E5608E">
        <w:t>talsvert ítarlega útfærð</w:t>
      </w:r>
      <w:r w:rsidR="00B975F7">
        <w:t xml:space="preserve"> og reif</w:t>
      </w:r>
      <w:r w:rsidR="005A5DEA">
        <w:t>uð</w:t>
      </w:r>
      <w:r w:rsidR="00E5608E">
        <w:t xml:space="preserve"> í opinberri stefnu um vindorku verði hún </w:t>
      </w:r>
      <w:r w:rsidR="00F232B4">
        <w:t>samþykkt</w:t>
      </w:r>
      <w:r w:rsidR="00E5608E">
        <w:t xml:space="preserve">. </w:t>
      </w:r>
      <w:r w:rsidR="00E5608E">
        <w:lastRenderedPageBreak/>
        <w:t xml:space="preserve">Gera verður ráð fyrir að verkefnisstjórn hafi </w:t>
      </w:r>
      <w:r w:rsidR="00224127">
        <w:t xml:space="preserve">talsvert </w:t>
      </w:r>
      <w:r w:rsidR="00E5608E">
        <w:t xml:space="preserve">frjálsar hendur </w:t>
      </w:r>
      <w:r w:rsidR="00F232B4">
        <w:t>um</w:t>
      </w:r>
      <w:r w:rsidR="00E5608E">
        <w:t xml:space="preserve"> það hvernig þetta mat fer fram, en telja verður eðlilegt að hún móti sér ákveðið vinnulag eða verklagsreglur um hvenær skilyrði teljast uppfyllt þannig að samræmi</w:t>
      </w:r>
      <w:r w:rsidR="00EA583A">
        <w:t>s</w:t>
      </w:r>
      <w:r w:rsidR="00E5608E">
        <w:t xml:space="preserve"> og hlutlægni </w:t>
      </w:r>
      <w:r w:rsidR="00B975F7">
        <w:t>verði ávallt</w:t>
      </w:r>
      <w:r w:rsidR="00E5608E">
        <w:t xml:space="preserve"> gætt.</w:t>
      </w:r>
      <w:r w:rsidR="005A5DEA">
        <w:t xml:space="preserve"> </w:t>
      </w:r>
    </w:p>
    <w:p w14:paraId="00FE2E2F" w14:textId="55D8D1C5" w:rsidR="002B12C0" w:rsidRDefault="001E5D86" w:rsidP="009E5669">
      <w:r>
        <w:t>Í a</w:t>
      </w:r>
      <w:r w:rsidR="00EA583A">
        <w:t>-</w:t>
      </w:r>
      <w:r>
        <w:t xml:space="preserve">lið </w:t>
      </w:r>
      <w:r w:rsidR="00B975F7">
        <w:t xml:space="preserve">1. mgr. </w:t>
      </w:r>
      <w:r>
        <w:t xml:space="preserve">1. gr. er kveðið á um að eitt af skilyrðum þess að virkjunarkostur eigi þess kost að fara hina sérstöku málsmeðferð sé að virkjunarkosturinn komi til með að vera liður í því að ná markmiðum Íslands </w:t>
      </w:r>
      <w:r w:rsidR="00AB0F96">
        <w:t xml:space="preserve">um </w:t>
      </w:r>
      <w:r>
        <w:t xml:space="preserve">orkuskipti og kolefnishlutleysi. </w:t>
      </w:r>
      <w:r w:rsidR="00E2113F">
        <w:t>Þ</w:t>
      </w:r>
      <w:r w:rsidR="00B975F7">
        <w:t xml:space="preserve">etta </w:t>
      </w:r>
      <w:r w:rsidR="00E2113F">
        <w:t>er</w:t>
      </w:r>
      <w:r w:rsidR="00B975F7">
        <w:t xml:space="preserve"> í raun grunn</w:t>
      </w:r>
      <w:r w:rsidR="00AB0F96">
        <w:softHyphen/>
      </w:r>
      <w:r w:rsidR="00B975F7">
        <w:t>skilyrði fyrir þessari leið</w:t>
      </w:r>
      <w:r w:rsidR="005A5DEA">
        <w:t xml:space="preserve"> enda meginmarkmiðið með því að leggja til þessa leið að einfalda uppbyggingu vindorkuvera til framleiðslu á grænni orku í þágu </w:t>
      </w:r>
      <w:r w:rsidR="005A5DEA" w:rsidRPr="00266525">
        <w:t>orkuskipt</w:t>
      </w:r>
      <w:r w:rsidR="005A5DEA">
        <w:t>a</w:t>
      </w:r>
      <w:r w:rsidR="005A5DEA" w:rsidRPr="00266525">
        <w:t xml:space="preserve"> og kolefnis</w:t>
      </w:r>
      <w:r w:rsidR="00B2569B">
        <w:softHyphen/>
      </w:r>
      <w:r w:rsidR="005A5DEA" w:rsidRPr="00266525">
        <w:t>hlutleysi</w:t>
      </w:r>
      <w:r w:rsidR="00AB0F96">
        <w:t>s</w:t>
      </w:r>
      <w:r w:rsidR="005A5DEA" w:rsidRPr="00266525">
        <w:t xml:space="preserve"> </w:t>
      </w:r>
      <w:r w:rsidR="005A5DEA">
        <w:t xml:space="preserve">landsins.  </w:t>
      </w:r>
    </w:p>
    <w:p w14:paraId="1628F3EC" w14:textId="4F426B76" w:rsidR="004855CD" w:rsidRDefault="005A5DEA" w:rsidP="004855CD">
      <w:bookmarkStart w:id="53" w:name="_Hlk153526572"/>
      <w:r>
        <w:t xml:space="preserve">Í </w:t>
      </w:r>
      <w:proofErr w:type="spellStart"/>
      <w:r>
        <w:t>b</w:t>
      </w:r>
      <w:r w:rsidR="00B2569B">
        <w:t>-</w:t>
      </w:r>
      <w:r>
        <w:t>lið</w:t>
      </w:r>
      <w:proofErr w:type="spellEnd"/>
      <w:r>
        <w:t xml:space="preserve"> 1. mgr.</w:t>
      </w:r>
      <w:r w:rsidR="00224127">
        <w:t xml:space="preserve"> </w:t>
      </w:r>
      <w:bookmarkEnd w:id="53"/>
      <w:r w:rsidR="004855CD">
        <w:t xml:space="preserve">1. gr. </w:t>
      </w:r>
      <w:r w:rsidR="00224127">
        <w:t>er kveðið á um að v</w:t>
      </w:r>
      <w:r w:rsidR="00224127" w:rsidRPr="00224127">
        <w:t xml:space="preserve">irkjunarkosturinn </w:t>
      </w:r>
      <w:r w:rsidR="00224127">
        <w:t>sé</w:t>
      </w:r>
      <w:r w:rsidR="00224127" w:rsidRPr="00224127">
        <w:t xml:space="preserve"> innan landsvæðis sem almennt </w:t>
      </w:r>
      <w:r w:rsidR="00D57EAE">
        <w:t>teljist</w:t>
      </w:r>
      <w:r w:rsidR="00D57EAE" w:rsidRPr="00224127">
        <w:t xml:space="preserve"> </w:t>
      </w:r>
      <w:r w:rsidR="00224127" w:rsidRPr="00224127">
        <w:t>vera raskað af mannlegum athöfnum.</w:t>
      </w:r>
      <w:r w:rsidR="00224127">
        <w:t xml:space="preserve"> Eins og</w:t>
      </w:r>
      <w:r w:rsidR="00F232B4">
        <w:t xml:space="preserve"> </w:t>
      </w:r>
      <w:r w:rsidR="00224127">
        <w:t xml:space="preserve">rakið </w:t>
      </w:r>
      <w:r w:rsidR="00F232B4">
        <w:t xml:space="preserve">er </w:t>
      </w:r>
      <w:r w:rsidR="00224127">
        <w:t>í tillög</w:t>
      </w:r>
      <w:r w:rsidR="00E2113F">
        <w:t>u</w:t>
      </w:r>
      <w:r w:rsidR="00224127">
        <w:t xml:space="preserve"> til þingsályktunar um vindorku taldi starfshópur um vindorku mikilvægt að reynt yrði að hlífa óröskuðum svæðum og hálendi landsins fyrir uppbyggingu</w:t>
      </w:r>
      <w:r w:rsidR="00F232B4">
        <w:t xml:space="preserve"> vindorkumannvirkja</w:t>
      </w:r>
      <w:r w:rsidR="00224127">
        <w:t xml:space="preserve">. </w:t>
      </w:r>
      <w:r w:rsidR="00180585">
        <w:t>Fram kom að við sem samfélag yrðum</w:t>
      </w:r>
      <w:r w:rsidR="00180585" w:rsidRPr="006F4F58">
        <w:t xml:space="preserve"> að forgangsraða þeim gæðum sem tengjast óspilltri náttúru </w:t>
      </w:r>
      <w:r w:rsidR="00180585">
        <w:t xml:space="preserve">landsins </w:t>
      </w:r>
      <w:r w:rsidR="00180585" w:rsidRPr="006F4F58">
        <w:t xml:space="preserve">umfram þau gæði að hafa slík mannvirki ekki í sjónmáli </w:t>
      </w:r>
      <w:r w:rsidR="00180585">
        <w:t xml:space="preserve">að einhverju leyti </w:t>
      </w:r>
      <w:r w:rsidR="00180585" w:rsidRPr="006F4F58">
        <w:t>í daglegu lífi</w:t>
      </w:r>
      <w:r w:rsidR="00180585">
        <w:t xml:space="preserve"> okkar. </w:t>
      </w:r>
      <w:r w:rsidR="00180585" w:rsidRPr="00995849">
        <w:t xml:space="preserve">Hlýnun </w:t>
      </w:r>
      <w:r w:rsidR="00180585">
        <w:t>j</w:t>
      </w:r>
      <w:r w:rsidR="00180585" w:rsidRPr="00995849">
        <w:t xml:space="preserve">arðar og aðgerðir til að sporna við </w:t>
      </w:r>
      <w:proofErr w:type="spellStart"/>
      <w:r w:rsidR="00180585" w:rsidRPr="00995849">
        <w:t>loftslagsvá</w:t>
      </w:r>
      <w:proofErr w:type="spellEnd"/>
      <w:r w:rsidR="00180585" w:rsidRPr="00995849">
        <w:t xml:space="preserve"> </w:t>
      </w:r>
      <w:r w:rsidR="00180585">
        <w:t>komi til með að</w:t>
      </w:r>
      <w:r w:rsidR="00180585" w:rsidRPr="00995849">
        <w:t xml:space="preserve"> hafa áhrif á daglegt líf okkar og þegar að því kemur að virkja vindorku í því skyni að ná markmiðum í loftslagsmálum sé betra að hún fari fram á röskuðum svæðum nærri byggð en í óspilltri náttúru þó</w:t>
      </w:r>
      <w:r w:rsidR="00180585">
        <w:t>tt</w:t>
      </w:r>
      <w:r w:rsidR="00180585" w:rsidRPr="00995849">
        <w:t xml:space="preserve"> það þýði </w:t>
      </w:r>
      <w:r w:rsidR="00180585">
        <w:t>meiri sýnileika mannvirkjanna.</w:t>
      </w:r>
      <w:r w:rsidR="004855CD">
        <w:t xml:space="preserve"> </w:t>
      </w:r>
      <w:r w:rsidR="00224127">
        <w:t>Á grundvelli varfærnissjónarmiða ætti</w:t>
      </w:r>
      <w:r w:rsidR="004855CD">
        <w:t xml:space="preserve"> því</w:t>
      </w:r>
      <w:r w:rsidR="00224127">
        <w:t>, a.m.k. fyrst í stað</w:t>
      </w:r>
      <w:r w:rsidR="004855CD">
        <w:t>,</w:t>
      </w:r>
      <w:r w:rsidR="00224127">
        <w:t xml:space="preserve"> að reyna eins og kostur er að forgangsraða þeim svæðum landsins þar sem náttúru hefur þegar verið raskað til slíkrar nýtingar frekar en óröskuðum svæðum ef þess er kostur. </w:t>
      </w:r>
      <w:r w:rsidR="00613A51">
        <w:t>Í tillögu til þingsályktunar um stefnu í vindorku er reynt að ná utan um hugtak</w:t>
      </w:r>
      <w:r w:rsidR="00F232B4">
        <w:t>ið raskað svæði</w:t>
      </w:r>
      <w:r w:rsidR="00613A51">
        <w:t xml:space="preserve"> með þeim hætti að átt sé við </w:t>
      </w:r>
      <w:r w:rsidR="00613A51" w:rsidRPr="00363069">
        <w:t xml:space="preserve">land sem nýtt </w:t>
      </w:r>
      <w:r w:rsidR="00613A51">
        <w:t xml:space="preserve">er </w:t>
      </w:r>
      <w:r w:rsidR="00613A51" w:rsidRPr="00363069">
        <w:t>undir hina ýmsu mannleg</w:t>
      </w:r>
      <w:r w:rsidR="00613A51">
        <w:t>u</w:t>
      </w:r>
      <w:r w:rsidR="00613A51" w:rsidRPr="00363069">
        <w:t xml:space="preserve"> starfsemi</w:t>
      </w:r>
      <w:r w:rsidR="00613A51">
        <w:t>,</w:t>
      </w:r>
      <w:r w:rsidR="00613A51" w:rsidRPr="00363069">
        <w:t xml:space="preserve"> eins og t.d. iðnað, hafnir, virkjanir, línulagnir, tengivirki, þjóðvegi, landbúnað eða </w:t>
      </w:r>
      <w:r w:rsidR="00613A51">
        <w:t>svæð</w:t>
      </w:r>
      <w:r w:rsidR="00F232B4">
        <w:t>i</w:t>
      </w:r>
      <w:r w:rsidR="00613A51">
        <w:t xml:space="preserve"> </w:t>
      </w:r>
      <w:r w:rsidR="00613A51" w:rsidRPr="00363069">
        <w:t>þar sem sömu sjónar</w:t>
      </w:r>
      <w:r w:rsidR="003972FC">
        <w:softHyphen/>
      </w:r>
      <w:r w:rsidR="00613A51" w:rsidRPr="00363069">
        <w:t xml:space="preserve">mið geta átt við. </w:t>
      </w:r>
      <w:r w:rsidR="00613A51">
        <w:t>Til frekari skýringar kemur fram að m</w:t>
      </w:r>
      <w:r w:rsidR="00613A51" w:rsidRPr="00363069">
        <w:t xml:space="preserve">eð röskuðu svæði </w:t>
      </w:r>
      <w:r w:rsidR="00613A51">
        <w:t>sé</w:t>
      </w:r>
      <w:r w:rsidR="00613A51" w:rsidRPr="00363069">
        <w:t xml:space="preserve"> ekki sérstaklega átt við að </w:t>
      </w:r>
      <w:proofErr w:type="spellStart"/>
      <w:r w:rsidR="00613A51" w:rsidRPr="00363069">
        <w:t>virkjunarstæðið</w:t>
      </w:r>
      <w:proofErr w:type="spellEnd"/>
      <w:r w:rsidR="00613A51" w:rsidRPr="00363069">
        <w:t xml:space="preserve"> sjálft</w:t>
      </w:r>
      <w:r w:rsidR="00613A51">
        <w:t xml:space="preserve">, þ.e. svæðið sem fer undir einstök vindorkumannvirki, </w:t>
      </w:r>
      <w:r w:rsidR="00613A51" w:rsidRPr="00363069">
        <w:t>þurfi að vera raskað, heldur að umhverfi þess</w:t>
      </w:r>
      <w:r w:rsidR="00613A51">
        <w:t xml:space="preserve">, </w:t>
      </w:r>
      <w:r w:rsidR="00613A51" w:rsidRPr="00363069">
        <w:t>nágrenni</w:t>
      </w:r>
      <w:r w:rsidR="00613A51">
        <w:t xml:space="preserve"> og yfirbragð</w:t>
      </w:r>
      <w:r w:rsidR="00613A51" w:rsidRPr="00363069">
        <w:t xml:space="preserve"> beri greinileg merki um </w:t>
      </w:r>
      <w:r w:rsidR="00613A51">
        <w:t>röskun vegna</w:t>
      </w:r>
      <w:r w:rsidR="00613A51" w:rsidRPr="00363069">
        <w:t xml:space="preserve"> mannlegr</w:t>
      </w:r>
      <w:r w:rsidR="00613A51">
        <w:t>a</w:t>
      </w:r>
      <w:r w:rsidR="00613A51" w:rsidRPr="00363069">
        <w:t xml:space="preserve"> athafn</w:t>
      </w:r>
      <w:r w:rsidR="00613A51">
        <w:t>a</w:t>
      </w:r>
      <w:r w:rsidR="00613A51" w:rsidRPr="00363069">
        <w:t xml:space="preserve"> og mannleg</w:t>
      </w:r>
      <w:r w:rsidR="00613A51">
        <w:t>rar</w:t>
      </w:r>
      <w:r w:rsidR="00613A51" w:rsidRPr="00363069">
        <w:t xml:space="preserve"> starfsemi. </w:t>
      </w:r>
      <w:r w:rsidR="00B52BDC">
        <w:t xml:space="preserve">Í meginatriðum má telja að </w:t>
      </w:r>
      <w:r w:rsidR="00137CEC">
        <w:t xml:space="preserve">í hugum flestra sé nokkuð ljóst hvað sé raskað svæði og hvað sé algerlega óraskað svæði en </w:t>
      </w:r>
      <w:r w:rsidR="001874B1">
        <w:t xml:space="preserve">þar á milli eru </w:t>
      </w:r>
      <w:r w:rsidR="004855CD">
        <w:t xml:space="preserve">ýmis </w:t>
      </w:r>
      <w:r w:rsidR="001874B1">
        <w:t xml:space="preserve">markatilvik þar sem óvissa getur verið </w:t>
      </w:r>
      <w:r w:rsidR="00180585">
        <w:t>talsverð</w:t>
      </w:r>
      <w:r w:rsidR="001874B1" w:rsidRPr="001874B1">
        <w:t xml:space="preserve"> </w:t>
      </w:r>
      <w:r w:rsidR="00180585">
        <w:t>og</w:t>
      </w:r>
      <w:r w:rsidR="001874B1">
        <w:t xml:space="preserve"> meta þarf þetta í hverju tilviki fyrir sig. </w:t>
      </w:r>
      <w:r w:rsidR="00180585">
        <w:t>O</w:t>
      </w:r>
      <w:r w:rsidR="00B52BDC">
        <w:t>ft ligg</w:t>
      </w:r>
      <w:r w:rsidR="00180585">
        <w:t>ur</w:t>
      </w:r>
      <w:r w:rsidR="00B52BDC">
        <w:t xml:space="preserve"> þetta </w:t>
      </w:r>
      <w:r w:rsidR="001874B1">
        <w:t xml:space="preserve">nokkuð </w:t>
      </w:r>
      <w:r w:rsidR="00B52BDC">
        <w:t xml:space="preserve">skýrt fyrir, eins og t.d. þegar virkjunarsvæðið er </w:t>
      </w:r>
      <w:r w:rsidR="00180585">
        <w:t xml:space="preserve">staðsett </w:t>
      </w:r>
      <w:r w:rsidR="00B52BDC">
        <w:t>á iðnaðar</w:t>
      </w:r>
      <w:r w:rsidR="001874B1">
        <w:t>-</w:t>
      </w:r>
      <w:r w:rsidR="00B52BDC">
        <w:t xml:space="preserve"> eða hafnarsvæði. </w:t>
      </w:r>
      <w:r w:rsidR="001874B1">
        <w:t xml:space="preserve">Við skýringu á þessu ákvæði má </w:t>
      </w:r>
      <w:r w:rsidR="003E2779">
        <w:t xml:space="preserve">gera ráð fyrir </w:t>
      </w:r>
      <w:r w:rsidR="001874B1">
        <w:t xml:space="preserve">að röskuð svæði séu almennt í meiri grennd við búsetu manna eða atvinnurekstur </w:t>
      </w:r>
      <w:r w:rsidR="00E2113F">
        <w:t xml:space="preserve">frekar </w:t>
      </w:r>
      <w:r w:rsidR="001874B1">
        <w:t>en í óbyggðum.</w:t>
      </w:r>
      <w:r w:rsidR="004855CD">
        <w:t xml:space="preserve"> Gera verður ráð fyrir að verkefn</w:t>
      </w:r>
      <w:r w:rsidR="009841CD">
        <w:t>is</w:t>
      </w:r>
      <w:r w:rsidR="004855CD">
        <w:t xml:space="preserve">stjórn þurfi sem fyrst að setja sér tiltekin viðmið og meginreglur </w:t>
      </w:r>
      <w:r w:rsidR="00C8286A">
        <w:t xml:space="preserve">um </w:t>
      </w:r>
      <w:r w:rsidR="004855CD">
        <w:t xml:space="preserve">hvernig ná eigi utan um skýringu hugtaksins með hliðsjón af framangreindu. </w:t>
      </w:r>
      <w:r w:rsidR="00D57EAE">
        <w:t>Þá getur verkefnisstjórnin við mat sitt leitað umsagnar viðeigandi stofnana um hvort tiltekið landsvæði teljist vera raskað eða ekki.</w:t>
      </w:r>
    </w:p>
    <w:p w14:paraId="7A167DC0" w14:textId="2AE437C5" w:rsidR="004855CD" w:rsidRPr="00D70909" w:rsidRDefault="004855CD" w:rsidP="00556EB1">
      <w:bookmarkStart w:id="54" w:name="_Hlk153781517"/>
      <w:r>
        <w:t xml:space="preserve">Í </w:t>
      </w:r>
      <w:proofErr w:type="spellStart"/>
      <w:r>
        <w:t>c</w:t>
      </w:r>
      <w:r w:rsidR="00C8286A">
        <w:t>-</w:t>
      </w:r>
      <w:r>
        <w:t>lið</w:t>
      </w:r>
      <w:proofErr w:type="spellEnd"/>
      <w:r>
        <w:t xml:space="preserve"> 1. mgr. 1. gr. </w:t>
      </w:r>
      <w:bookmarkEnd w:id="54"/>
      <w:r>
        <w:t xml:space="preserve">er </w:t>
      </w:r>
      <w:r w:rsidR="00E2113F">
        <w:t xml:space="preserve">eitt af skilyrðunum </w:t>
      </w:r>
      <w:r>
        <w:t>að v</w:t>
      </w:r>
      <w:r w:rsidRPr="00D70909">
        <w:t>irkjunarkostur</w:t>
      </w:r>
      <w:r>
        <w:t>inn</w:t>
      </w:r>
      <w:r w:rsidRPr="00D70909">
        <w:t xml:space="preserve"> </w:t>
      </w:r>
      <w:r w:rsidR="000314F8">
        <w:t>sé</w:t>
      </w:r>
      <w:r w:rsidRPr="00D70909">
        <w:t xml:space="preserve"> </w:t>
      </w:r>
      <w:r>
        <w:t xml:space="preserve">ekki talinn </w:t>
      </w:r>
      <w:r w:rsidRPr="00D70909">
        <w:t xml:space="preserve">rýra um of mikilvæga verndarhagsmuni svæða </w:t>
      </w:r>
      <w:r>
        <w:t>sem njóta verndar að lögum né</w:t>
      </w:r>
      <w:r w:rsidRPr="00D70909">
        <w:t xml:space="preserve"> annarra nærliggjandi svæða sem njóta sérstöðu á landsvísu vegna náttúru-</w:t>
      </w:r>
      <w:r>
        <w:t xml:space="preserve"> </w:t>
      </w:r>
      <w:r w:rsidR="00650012">
        <w:t xml:space="preserve">og </w:t>
      </w:r>
      <w:r w:rsidRPr="00D70909">
        <w:t xml:space="preserve">menningarminja eða </w:t>
      </w:r>
      <w:r>
        <w:t>tengdr</w:t>
      </w:r>
      <w:r w:rsidR="00C8286A">
        <w:t>ar</w:t>
      </w:r>
      <w:r>
        <w:t xml:space="preserve"> </w:t>
      </w:r>
      <w:r w:rsidRPr="00D70909">
        <w:t xml:space="preserve">atvinnustarfsemi. </w:t>
      </w:r>
      <w:r w:rsidR="00E2113F">
        <w:t xml:space="preserve">Þótt lagt sé til að fleiri svæði landsins séu undanskilin hagnýtingu vindorku en gildir um aðra virkjunarkosti </w:t>
      </w:r>
      <w:r w:rsidR="00EE3418">
        <w:t xml:space="preserve">er </w:t>
      </w:r>
      <w:r w:rsidR="00E2113F">
        <w:t xml:space="preserve">hins vegar </w:t>
      </w:r>
      <w:r w:rsidR="00EE3418">
        <w:t xml:space="preserve">ljóst að </w:t>
      </w:r>
      <w:r w:rsidR="00556EB1">
        <w:t xml:space="preserve">einnig þarf að </w:t>
      </w:r>
      <w:r w:rsidR="00EE3418">
        <w:t>gæta varúðar í næsta nágrenni eða í grennd við slík svæði</w:t>
      </w:r>
      <w:r w:rsidR="00556EB1">
        <w:t xml:space="preserve"> eða </w:t>
      </w:r>
      <w:r w:rsidR="0087242C">
        <w:t xml:space="preserve">önnur </w:t>
      </w:r>
      <w:r w:rsidR="00556EB1">
        <w:t>svæð</w:t>
      </w:r>
      <w:r w:rsidR="0087242C">
        <w:t>i</w:t>
      </w:r>
      <w:r w:rsidR="00556EB1">
        <w:t xml:space="preserve"> </w:t>
      </w:r>
      <w:r w:rsidR="00556EB1" w:rsidRPr="00BC421A">
        <w:t xml:space="preserve">þar sem náttúra er einstök eða óviðjafnanleg, </w:t>
      </w:r>
      <w:r w:rsidR="00556EB1">
        <w:t xml:space="preserve">eða þegar um sé að ræða </w:t>
      </w:r>
      <w:r w:rsidR="00556EB1" w:rsidRPr="00BC421A">
        <w:t>ferðamannastaði sem eru einstakir á landsvísu vegna náttúrufars eða útivistar</w:t>
      </w:r>
      <w:r w:rsidR="00556EB1">
        <w:t xml:space="preserve">. </w:t>
      </w:r>
      <w:r w:rsidR="00A02D98">
        <w:t>V</w:t>
      </w:r>
      <w:r w:rsidR="00EE3418">
        <w:t xml:space="preserve">irkjunarkostur </w:t>
      </w:r>
      <w:r w:rsidR="00A02D98">
        <w:t xml:space="preserve">getur </w:t>
      </w:r>
      <w:r w:rsidR="00EE3418">
        <w:t xml:space="preserve">t.d. verið staðsettur alveg á mörkum </w:t>
      </w:r>
      <w:r w:rsidR="00556EB1">
        <w:t xml:space="preserve">slíkra viðkvæmra svæða </w:t>
      </w:r>
      <w:r w:rsidR="00EE3418">
        <w:t>þó</w:t>
      </w:r>
      <w:r w:rsidR="0087242C">
        <w:t>tt</w:t>
      </w:r>
      <w:r w:rsidR="00EE3418">
        <w:t xml:space="preserve"> virkjunarsvæðið sjálft njóti ekki sérstakrar verndar á grundvelli laga. </w:t>
      </w:r>
      <w:r w:rsidR="00E2113F">
        <w:t xml:space="preserve">Gera verður ráð fyrir að </w:t>
      </w:r>
      <w:r w:rsidR="00A02D98">
        <w:t xml:space="preserve">ákveðið hagsmunamat </w:t>
      </w:r>
      <w:r w:rsidR="00E2113F">
        <w:t xml:space="preserve">þurfi að fara </w:t>
      </w:r>
      <w:r w:rsidR="00A02D98">
        <w:t>fram jafnvel þó</w:t>
      </w:r>
      <w:r w:rsidR="00CB7E67">
        <w:t xml:space="preserve"> að</w:t>
      </w:r>
      <w:r w:rsidR="00A02D98">
        <w:t xml:space="preserve"> virkjunarkostur </w:t>
      </w:r>
      <w:r w:rsidR="00A02D98">
        <w:lastRenderedPageBreak/>
        <w:t>sé staðsettur á þegar röskuðu svæði ef ljóst þykir að hann geti haft mjög neikvæð áhrif á land</w:t>
      </w:r>
      <w:r w:rsidR="00CB7E67">
        <w:softHyphen/>
      </w:r>
      <w:r w:rsidR="00A02D98">
        <w:t>svæði í grennd við virkjunarstaðinn sem talið er mjög brýnt að vernda fyrir slíkum áhrifum. V</w:t>
      </w:r>
      <w:r w:rsidR="00EE3418">
        <w:t xml:space="preserve">irkjunarkostur </w:t>
      </w:r>
      <w:r w:rsidR="00A02D98">
        <w:t>g</w:t>
      </w:r>
      <w:r w:rsidR="00E2113F">
        <w:t>etur</w:t>
      </w:r>
      <w:r w:rsidR="00A02D98">
        <w:t xml:space="preserve"> </w:t>
      </w:r>
      <w:r w:rsidR="00EE3418">
        <w:t>rýrt verulega verndarhagsmuni</w:t>
      </w:r>
      <w:r w:rsidR="00A02D98">
        <w:t xml:space="preserve"> og verndargildi </w:t>
      </w:r>
      <w:r w:rsidR="00E2113F">
        <w:t>verndaðs svæðis</w:t>
      </w:r>
      <w:r w:rsidR="00B20F6B">
        <w:t>,</w:t>
      </w:r>
      <w:r w:rsidR="00E2113F">
        <w:t xml:space="preserve"> eins og t.d. þjóðgarðs</w:t>
      </w:r>
      <w:r w:rsidR="00B20F6B">
        <w:t>,</w:t>
      </w:r>
      <w:r w:rsidR="00556EB1">
        <w:t xml:space="preserve"> </w:t>
      </w:r>
      <w:r w:rsidR="003E2779">
        <w:t xml:space="preserve">vegna sjónrænna og hljóðrænna áhrifa </w:t>
      </w:r>
      <w:r w:rsidR="00E2113F">
        <w:t>ef hann</w:t>
      </w:r>
      <w:r w:rsidR="00556EB1">
        <w:t xml:space="preserve"> liggur </w:t>
      </w:r>
      <w:r w:rsidR="00A02D98">
        <w:t xml:space="preserve">alveg </w:t>
      </w:r>
      <w:r w:rsidR="00556EB1">
        <w:t xml:space="preserve">að </w:t>
      </w:r>
      <w:r w:rsidR="00E2113F">
        <w:t xml:space="preserve">slíkum </w:t>
      </w:r>
      <w:r w:rsidR="00556EB1">
        <w:t>mörkum</w:t>
      </w:r>
      <w:r w:rsidR="00EE3418">
        <w:t>.</w:t>
      </w:r>
      <w:r w:rsidR="00556EB1">
        <w:t xml:space="preserve"> </w:t>
      </w:r>
      <w:r w:rsidR="00F3375A">
        <w:t xml:space="preserve">Í greininni er reynt að gera greinarmun á hagsmunum sem eru einstakir á landsvísu og </w:t>
      </w:r>
      <w:r w:rsidR="00A02D98">
        <w:t xml:space="preserve">heimsvísu og </w:t>
      </w:r>
      <w:r w:rsidR="00F35E96">
        <w:t xml:space="preserve">öðrum </w:t>
      </w:r>
      <w:r w:rsidR="00F3375A">
        <w:t>hagsmun</w:t>
      </w:r>
      <w:r w:rsidR="00F35E96">
        <w:t>um</w:t>
      </w:r>
      <w:r w:rsidR="00F3375A">
        <w:t xml:space="preserve">. Sé um að ræða hagsmuni sem eru afmarkaðri eða snúa meira að </w:t>
      </w:r>
      <w:r w:rsidR="002C174C">
        <w:t xml:space="preserve">staðbundnum </w:t>
      </w:r>
      <w:r w:rsidR="00F3375A">
        <w:t xml:space="preserve">hagsmunum einstakra svæða er eðlilegt að um þá sé frekar fjallað í </w:t>
      </w:r>
      <w:proofErr w:type="spellStart"/>
      <w:r w:rsidR="00F3375A">
        <w:t>nærsamfélagi</w:t>
      </w:r>
      <w:proofErr w:type="spellEnd"/>
      <w:r w:rsidR="00F3375A">
        <w:t xml:space="preserve"> af hálfu sveitarfélaga </w:t>
      </w:r>
      <w:r w:rsidR="003E2779">
        <w:t xml:space="preserve">í tengslum við skipulagsgerð og </w:t>
      </w:r>
      <w:r w:rsidR="00F3375A">
        <w:t>leyfisveitingarferli</w:t>
      </w:r>
      <w:r w:rsidR="002C174C">
        <w:t xml:space="preserve"> </w:t>
      </w:r>
      <w:r w:rsidR="003E2779">
        <w:t>að undangengnu</w:t>
      </w:r>
      <w:r w:rsidR="002C174C">
        <w:t xml:space="preserve"> lögbund</w:t>
      </w:r>
      <w:r w:rsidR="003E2779">
        <w:t>nu</w:t>
      </w:r>
      <w:r w:rsidR="002C174C">
        <w:t xml:space="preserve"> umhverfismat</w:t>
      </w:r>
      <w:r w:rsidR="003E2779">
        <w:t>i</w:t>
      </w:r>
      <w:r w:rsidR="00506AD8">
        <w:t>,</w:t>
      </w:r>
      <w:r w:rsidR="002C174C">
        <w:t xml:space="preserve"> </w:t>
      </w:r>
      <w:r w:rsidR="003E2779">
        <w:t xml:space="preserve">en </w:t>
      </w:r>
      <w:r w:rsidR="00F35E96">
        <w:t xml:space="preserve">af </w:t>
      </w:r>
      <w:r w:rsidR="003E2779">
        <w:t xml:space="preserve">hálfu Alþingis. </w:t>
      </w:r>
      <w:r w:rsidR="00F3375A">
        <w:t xml:space="preserve"> </w:t>
      </w:r>
    </w:p>
    <w:p w14:paraId="75B0D099" w14:textId="356FA353" w:rsidR="000A3999" w:rsidRDefault="002C174C" w:rsidP="000A3999">
      <w:r>
        <w:t xml:space="preserve">Í </w:t>
      </w:r>
      <w:proofErr w:type="spellStart"/>
      <w:r>
        <w:t>d</w:t>
      </w:r>
      <w:r w:rsidR="002A439D">
        <w:t>-</w:t>
      </w:r>
      <w:r>
        <w:t>lið</w:t>
      </w:r>
      <w:proofErr w:type="spellEnd"/>
      <w:r>
        <w:t xml:space="preserve"> 1. mgr. 1. gr.</w:t>
      </w:r>
      <w:r w:rsidR="00CD6014" w:rsidRPr="00CD6014">
        <w:t xml:space="preserve"> </w:t>
      </w:r>
      <w:r w:rsidR="00CD6014">
        <w:t>er kveðið á um að v</w:t>
      </w:r>
      <w:r w:rsidR="00CD6014" w:rsidRPr="00CD6014">
        <w:t xml:space="preserve">irkjunarkostur </w:t>
      </w:r>
      <w:r w:rsidR="00CD6014">
        <w:t>sé</w:t>
      </w:r>
      <w:r w:rsidR="00CD6014" w:rsidRPr="00CD6014">
        <w:t xml:space="preserve"> ekki á svæði þar sem mikið er um villta fugla sem metnir eru í hættu eða verulegri hættu á válistum eða </w:t>
      </w:r>
      <w:bookmarkStart w:id="55" w:name="_Hlk153782208"/>
      <w:r w:rsidR="00CD6014" w:rsidRPr="00CD6014">
        <w:t>fuglategundir með hátt eða mjög hátt verndargildi</w:t>
      </w:r>
      <w:bookmarkEnd w:id="55"/>
      <w:r w:rsidR="00CD6014" w:rsidRPr="00CD6014">
        <w:t xml:space="preserve"> að mati Náttúrufræðistofnunar Íslands.</w:t>
      </w:r>
      <w:r w:rsidR="00CD6014">
        <w:t xml:space="preserve"> </w:t>
      </w:r>
      <w:r w:rsidR="00CD6014" w:rsidRPr="00CD6014">
        <w:t>Alls eru um 120 svæði á Íslandi sem teljast vera alþjóðlega mikilvæg fuglasvæði</w:t>
      </w:r>
      <w:r w:rsidR="00CD6014">
        <w:t xml:space="preserve"> og er haldið utan um skráningu þeirra hjá Náttúrufræðistofnun Íslands. </w:t>
      </w:r>
      <w:r w:rsidR="00CD6014" w:rsidRPr="00CD6014">
        <w:t xml:space="preserve">Vegna varfærnissjónarmiða hafa slík svæði oft verið skilgreind frekar rúmt við kortlagningu </w:t>
      </w:r>
      <w:r w:rsidR="000A3999">
        <w:t>svæðanna</w:t>
      </w:r>
      <w:r w:rsidR="00CD6014" w:rsidRPr="00CD6014">
        <w:t xml:space="preserve"> af hálfu stofnunar</w:t>
      </w:r>
      <w:r w:rsidR="003E2779">
        <w:t>innar</w:t>
      </w:r>
      <w:r w:rsidR="00CD6014" w:rsidRPr="00CD6014">
        <w:t xml:space="preserve">. Mikilvægt er </w:t>
      </w:r>
      <w:r w:rsidR="00134F15">
        <w:t xml:space="preserve">að </w:t>
      </w:r>
      <w:r w:rsidR="00CD6014" w:rsidRPr="00CD6014">
        <w:t xml:space="preserve">við mat á þessu skilyrði </w:t>
      </w:r>
      <w:r w:rsidR="008D4642">
        <w:t>sé</w:t>
      </w:r>
      <w:r w:rsidR="00CD6014" w:rsidRPr="00CD6014">
        <w:t xml:space="preserve"> </w:t>
      </w:r>
      <w:r w:rsidR="008D4642">
        <w:t xml:space="preserve">byggt á </w:t>
      </w:r>
      <w:r w:rsidR="00CD6014" w:rsidRPr="00CD6014">
        <w:t>nýjustu upplýsing</w:t>
      </w:r>
      <w:r w:rsidR="00134F15">
        <w:t>um</w:t>
      </w:r>
      <w:r w:rsidR="00CD6014" w:rsidRPr="00CD6014">
        <w:t xml:space="preserve"> eða rannsókn</w:t>
      </w:r>
      <w:r w:rsidR="008D4642">
        <w:t>um</w:t>
      </w:r>
      <w:r w:rsidR="00CD6014" w:rsidRPr="00CD6014">
        <w:t xml:space="preserve"> um svæðið sem um ræðir.</w:t>
      </w:r>
      <w:r w:rsidR="008D4642">
        <w:t xml:space="preserve"> Hér getur skipt máli að svæðið hafi verið rannsakað með tilliti til þessara þátta</w:t>
      </w:r>
      <w:r w:rsidR="00134F15">
        <w:t>,</w:t>
      </w:r>
      <w:r w:rsidR="008D4642">
        <w:t xml:space="preserve"> t.d. að tilstuðlan þeirra aðila sem hyggjast reisa umrædda virkjun</w:t>
      </w:r>
      <w:r w:rsidR="00134F15">
        <w:t>,</w:t>
      </w:r>
      <w:r w:rsidR="008D4642">
        <w:t xml:space="preserve"> og hægt sé að leggja mat á þessa þætti út frá slíkum rannsóknum. </w:t>
      </w:r>
      <w:r w:rsidR="003E2779">
        <w:t>S</w:t>
      </w:r>
      <w:r w:rsidR="000A3999">
        <w:t xml:space="preserve">kilyrði </w:t>
      </w:r>
      <w:r w:rsidR="003E2779">
        <w:t xml:space="preserve">greinarinnar kunna að </w:t>
      </w:r>
      <w:r w:rsidR="000A3999">
        <w:t>vera uppfyllt</w:t>
      </w:r>
      <w:r w:rsidR="00134F15">
        <w:t>,</w:t>
      </w:r>
      <w:r w:rsidR="000A3999">
        <w:t xml:space="preserve"> jafnvel þ</w:t>
      </w:r>
      <w:r w:rsidR="00CD6014" w:rsidRPr="00CD6014">
        <w:t xml:space="preserve">ó </w:t>
      </w:r>
      <w:r w:rsidR="00134F15">
        <w:t xml:space="preserve">að </w:t>
      </w:r>
      <w:r w:rsidR="00CD6014" w:rsidRPr="00CD6014">
        <w:t xml:space="preserve">virkjunarstaðurinn sé innan svæðis sem </w:t>
      </w:r>
      <w:r w:rsidR="00F0199A">
        <w:t xml:space="preserve">formlega er </w:t>
      </w:r>
      <w:r w:rsidR="00CD6014" w:rsidRPr="00CD6014">
        <w:t xml:space="preserve">skilgreint sem mikilvægt fuglasvæði </w:t>
      </w:r>
      <w:r w:rsidR="000A3999">
        <w:t xml:space="preserve">ef nýjustu upplýsingar og rannsóknir benda til þess að </w:t>
      </w:r>
      <w:r w:rsidR="000A3999" w:rsidRPr="00CD6014">
        <w:t xml:space="preserve">staðsetning virkjunarkostsins </w:t>
      </w:r>
      <w:r w:rsidR="00760E51">
        <w:t xml:space="preserve">sé </w:t>
      </w:r>
      <w:r w:rsidR="000A3999">
        <w:t xml:space="preserve">ekki </w:t>
      </w:r>
      <w:r w:rsidR="000A3999" w:rsidRPr="00CD6014">
        <w:t>líkleg</w:t>
      </w:r>
      <w:r w:rsidR="000A3999">
        <w:t xml:space="preserve"> </w:t>
      </w:r>
      <w:r w:rsidR="000A3999" w:rsidRPr="00CD6014">
        <w:t xml:space="preserve">til að valda óásættanlegum skaða á </w:t>
      </w:r>
      <w:r w:rsidR="000A3999">
        <w:t>slíkum fuglategundum</w:t>
      </w:r>
      <w:r w:rsidR="000A3999" w:rsidRPr="00CD6014">
        <w:t>.</w:t>
      </w:r>
      <w:r w:rsidR="000A3999">
        <w:t xml:space="preserve"> Gera má ráð fyrir að hér þurfi verkefnisstjórn að leita til Náttúrufræðistofnunar Íslands þegar þessi skilyrði eru metin. </w:t>
      </w:r>
    </w:p>
    <w:p w14:paraId="1B3F79AA" w14:textId="16D97DFF" w:rsidR="000A3999" w:rsidRDefault="000A3999" w:rsidP="000A3999">
      <w:r>
        <w:t xml:space="preserve">Í 2. mgr. greinarinnar er mælt fyrir um málsmeðferð virkjunarkosts sem verkefnisstjórn telur uppfylla skilyrði 1. mgr. </w:t>
      </w:r>
      <w:r w:rsidR="003E2779">
        <w:t>6</w:t>
      </w:r>
      <w:r>
        <w:t>. gr.</w:t>
      </w:r>
      <w:r w:rsidR="003E2779">
        <w:t xml:space="preserve"> frumvarpsins.</w:t>
      </w:r>
      <w:r>
        <w:t xml:space="preserve"> Kveðið er á um að ef verkefnisstjórn telur virkjunarkost geta fallið undir </w:t>
      </w:r>
      <w:r w:rsidR="00DF4EDC">
        <w:t>hina s</w:t>
      </w:r>
      <w:r w:rsidR="00DF4EDC" w:rsidRPr="00DF4EDC">
        <w:t>érstök</w:t>
      </w:r>
      <w:r w:rsidR="00DF4EDC">
        <w:t>u</w:t>
      </w:r>
      <w:r w:rsidR="00DF4EDC" w:rsidRPr="00DF4EDC">
        <w:t xml:space="preserve"> málsmeðferð í vindorku í þágu orkuskipta og kolefnishlutleysis</w:t>
      </w:r>
      <w:r w:rsidR="00DF4EDC">
        <w:t xml:space="preserve"> skuli hún birta opinberlega drög að slíkri niðurstöðu sinni og veita almenningi, </w:t>
      </w:r>
      <w:r w:rsidR="00DF4EDC" w:rsidRPr="0089239A">
        <w:t>félagasamtökum</w:t>
      </w:r>
      <w:r w:rsidR="00DF4EDC">
        <w:t>, sveitarfélögum</w:t>
      </w:r>
      <w:r w:rsidR="00DF4EDC" w:rsidRPr="0089239A">
        <w:t xml:space="preserve"> og öðrum hagaðilum </w:t>
      </w:r>
      <w:r w:rsidR="00760E51">
        <w:t>átta</w:t>
      </w:r>
      <w:r w:rsidR="00DF4EDC" w:rsidRPr="0089239A">
        <w:t xml:space="preserve"> vikna frest til að koma að athugasemdum við </w:t>
      </w:r>
      <w:r w:rsidR="00DF4EDC">
        <w:t>hana</w:t>
      </w:r>
      <w:r w:rsidR="00DF4EDC" w:rsidRPr="0089239A">
        <w:t>.</w:t>
      </w:r>
      <w:r w:rsidR="00DF4EDC">
        <w:t xml:space="preserve"> Ger</w:t>
      </w:r>
      <w:r w:rsidR="00165EC5">
        <w:t xml:space="preserve">a verður </w:t>
      </w:r>
      <w:r w:rsidR="00DF4EDC">
        <w:t xml:space="preserve">ráð </w:t>
      </w:r>
      <w:r w:rsidR="00165EC5">
        <w:t xml:space="preserve">fyrir </w:t>
      </w:r>
      <w:r w:rsidR="00DF4EDC">
        <w:t xml:space="preserve">því að í </w:t>
      </w:r>
      <w:r w:rsidR="003E2779">
        <w:t xml:space="preserve">drögum að </w:t>
      </w:r>
      <w:r w:rsidR="00DF4EDC">
        <w:t xml:space="preserve">slíkri greinargerð dragi verkefnisstjórn saman röksemdir sínar um virkjunarkostinn og helstu ástæður þess að hún telji að virkjunarkosturinn geti fallið undir skilyrði greinarinnar. </w:t>
      </w:r>
      <w:r w:rsidR="00165EC5">
        <w:t xml:space="preserve">Horft var til þess að </w:t>
      </w:r>
      <w:r w:rsidR="00DF4EDC">
        <w:t>fyrirkomulag slíkrar birtingar geti verið nokku</w:t>
      </w:r>
      <w:r w:rsidR="00165EC5">
        <w:t>ð</w:t>
      </w:r>
      <w:r w:rsidR="00DF4EDC">
        <w:t xml:space="preserve"> sambærilegt </w:t>
      </w:r>
      <w:r w:rsidR="00165EC5">
        <w:t xml:space="preserve">og </w:t>
      </w:r>
      <w:r w:rsidR="00DF4EDC">
        <w:t xml:space="preserve">mælt er fyrir um </w:t>
      </w:r>
      <w:r w:rsidR="00E7463E">
        <w:t xml:space="preserve">í </w:t>
      </w:r>
      <w:r w:rsidR="00DF4EDC">
        <w:t xml:space="preserve">síðari hluta 3. mgr. 10. gr. laganna þannig að verkefnisstjórn auglýsi umrædd drög </w:t>
      </w:r>
      <w:r w:rsidR="00DF4EDC" w:rsidRPr="00DF4EDC">
        <w:t xml:space="preserve">með opinberum hætti í dagblaði sem gefið er út á landsvísu, </w:t>
      </w:r>
      <w:proofErr w:type="spellStart"/>
      <w:r w:rsidR="00DF4EDC" w:rsidRPr="00DF4EDC">
        <w:t>Lögbirtingablaðinu</w:t>
      </w:r>
      <w:proofErr w:type="spellEnd"/>
      <w:r w:rsidR="00DF4EDC" w:rsidRPr="00DF4EDC">
        <w:t xml:space="preserve"> og á vefsíðu sinni</w:t>
      </w:r>
      <w:r w:rsidR="00DF4EDC">
        <w:t xml:space="preserve"> og öllum </w:t>
      </w:r>
      <w:r w:rsidR="00DF4EDC" w:rsidRPr="00DF4EDC">
        <w:t>gefinn kostur á að koma á framfæri athugasemdum með tilgreindum hætti</w:t>
      </w:r>
      <w:r w:rsidR="00DF4EDC">
        <w:t xml:space="preserve">. Þegar niðurstöður slíks </w:t>
      </w:r>
      <w:r w:rsidR="00030091">
        <w:t xml:space="preserve">samráðs liggja fyrir er gert ráð fyrir að verkefnisstjórn </w:t>
      </w:r>
      <w:r w:rsidR="00165EC5">
        <w:t xml:space="preserve">taki saman helstu </w:t>
      </w:r>
      <w:bookmarkStart w:id="56" w:name="_Hlk153798993"/>
      <w:r w:rsidR="00165EC5">
        <w:t xml:space="preserve">niðurstöður og athugasemdir </w:t>
      </w:r>
      <w:bookmarkEnd w:id="56"/>
      <w:r w:rsidR="00165EC5">
        <w:t>og skili til ráðherra að því búnu</w:t>
      </w:r>
      <w:r w:rsidR="003E2779">
        <w:t xml:space="preserve"> til ákvarðanatöku af hans hálfu. </w:t>
      </w:r>
    </w:p>
    <w:p w14:paraId="6D4B19D0" w14:textId="5096FADF" w:rsidR="005A5DEA" w:rsidRDefault="00492430" w:rsidP="00E873EA">
      <w:pPr>
        <w:ind w:firstLine="0"/>
      </w:pPr>
      <w:r>
        <w:tab/>
        <w:t xml:space="preserve">Í 3. mgr. greinarinnar er fjallað um feril málsins eftir að verkefnisstjórn hefur sent það til meðferðar hjá ráðherra. </w:t>
      </w:r>
      <w:r w:rsidR="003E2779">
        <w:t xml:space="preserve">Hér </w:t>
      </w:r>
      <w:r>
        <w:t>er kveðið á um feril málsins</w:t>
      </w:r>
      <w:r w:rsidR="004A6EB2">
        <w:t>, að</w:t>
      </w:r>
      <w:r>
        <w:t xml:space="preserve"> ef ráðherra metur það svo á grundvelli niðurstaðna verkefnisstjórnar og að fengnum athugasemdum almennings að virkjunarkosturinn uppfylli skilyrði greinarinnar get</w:t>
      </w:r>
      <w:r w:rsidR="003E2779">
        <w:t>i</w:t>
      </w:r>
      <w:r>
        <w:t xml:space="preserve"> hann tekið formlega ákvörðun um að virkjunarkosturinn </w:t>
      </w:r>
      <w:r w:rsidRPr="00D70909">
        <w:t>sæti ekki frekari meðferð innan verndar- og orkunýtingaráætlunar</w:t>
      </w:r>
      <w:r>
        <w:t>.</w:t>
      </w:r>
      <w:r w:rsidR="003B4ACE">
        <w:t xml:space="preserve"> Eins og rakið er að framan tekur verkefnisstjórn rammaáætlunar ekki stjórnsýsluákvörðun að þessu leyti heldur er einungis ráðherra til ráðgjafar. Það er </w:t>
      </w:r>
      <w:r w:rsidR="003E2779">
        <w:t xml:space="preserve">því </w:t>
      </w:r>
      <w:r w:rsidR="003B4ACE">
        <w:t>ávallt ráðherra sem þarf að taka hina eiginlegu ákvörðun um mál sem undir greinina heyra. Gera verður ráð fyrir að sl</w:t>
      </w:r>
      <w:r>
        <w:t xml:space="preserve">ík ákvörðun sé </w:t>
      </w:r>
      <w:r w:rsidR="003E2779">
        <w:t xml:space="preserve">formbundin og </w:t>
      </w:r>
      <w:r w:rsidR="00D86BBC">
        <w:t xml:space="preserve">skrifleg </w:t>
      </w:r>
      <w:r>
        <w:t>og send bæði verkefnisstjórn rammaáætlunar</w:t>
      </w:r>
      <w:r w:rsidR="00D86BBC">
        <w:t xml:space="preserve"> og</w:t>
      </w:r>
      <w:r>
        <w:t xml:space="preserve"> Orkustofnun</w:t>
      </w:r>
      <w:r w:rsidR="003B4ACE">
        <w:t xml:space="preserve">, </w:t>
      </w:r>
      <w:r>
        <w:t xml:space="preserve">ásamt hlutaðeigandi umsækjanda. </w:t>
      </w:r>
      <w:r w:rsidR="003B4ACE">
        <w:t xml:space="preserve">Eðlilegt má teljast að umrædd ákvörðun sé jafnframt birt á </w:t>
      </w:r>
      <w:r w:rsidR="003B4ACE">
        <w:lastRenderedPageBreak/>
        <w:t>heimasíðu ráðuneytisins til upplýsingar.</w:t>
      </w:r>
      <w:r w:rsidR="00D86BBC">
        <w:t xml:space="preserve"> Eftir að ráðherra hefur tekið slíka ákvörðun lýkur í raun meðferð virkjunarkostsins innan verndar- og orkunýtingaráætlunar. Það hefur því í för með sér að frekari ákvarðanir um virkjunarkostinn liggja hjá </w:t>
      </w:r>
      <w:r w:rsidR="00D86BBC" w:rsidRPr="00D70909">
        <w:t>hlutaðeigandi sveitarfélagi og öðrum stjórnvöldum</w:t>
      </w:r>
      <w:r w:rsidR="00D86BBC">
        <w:t xml:space="preserve">. </w:t>
      </w:r>
      <w:r w:rsidR="00E873EA">
        <w:t xml:space="preserve">Í framhaldi af slíkri ákvörðun má jafnframt gera ráð fyrir að </w:t>
      </w:r>
      <w:r w:rsidR="003E2779">
        <w:t xml:space="preserve">framkvæmdaraðili </w:t>
      </w:r>
      <w:r w:rsidR="00D3787B">
        <w:t>ljúk</w:t>
      </w:r>
      <w:r w:rsidR="00CF4925">
        <w:t>i</w:t>
      </w:r>
      <w:r w:rsidR="00D3787B">
        <w:t xml:space="preserve"> </w:t>
      </w:r>
      <w:r w:rsidR="00E873EA">
        <w:t xml:space="preserve">lögbundnu umhverfismati </w:t>
      </w:r>
      <w:r w:rsidR="00CF4925">
        <w:t xml:space="preserve">vegna </w:t>
      </w:r>
      <w:r w:rsidR="00E873EA">
        <w:t>framkvæmdarinnar</w:t>
      </w:r>
      <w:r w:rsidR="00D3787B">
        <w:t xml:space="preserve"> ef henni er ekki þegar lokið</w:t>
      </w:r>
      <w:r w:rsidR="00E873EA">
        <w:t xml:space="preserve">. Í umhverfismatinu eru áhrif framkvæmdarinnar greind, vægi þeirra metið og lagt til hvernig bregðast skuli við </w:t>
      </w:r>
      <w:r w:rsidR="00CF4925">
        <w:t>slíkum áhrifum</w:t>
      </w:r>
      <w:r w:rsidR="00E873EA">
        <w:t xml:space="preserve">. </w:t>
      </w:r>
      <w:r w:rsidR="00D86BBC">
        <w:t>Eftir að virkjunarkosturinn hefur lokið meðferð</w:t>
      </w:r>
      <w:r w:rsidR="00E873EA">
        <w:t xml:space="preserve"> í verndar- og orkunýtingaráætlun</w:t>
      </w:r>
      <w:r w:rsidR="00D86BBC">
        <w:t xml:space="preserve"> </w:t>
      </w:r>
      <w:r w:rsidR="00D3787B">
        <w:t xml:space="preserve">þarf </w:t>
      </w:r>
      <w:r w:rsidR="00D86BBC">
        <w:t xml:space="preserve">hlutaðeigandi sveitarfélag að taka til skoðunar hvort það </w:t>
      </w:r>
      <w:r w:rsidR="00CF4925">
        <w:t>ætli sér að laga</w:t>
      </w:r>
      <w:r w:rsidR="00D86BBC">
        <w:t xml:space="preserve"> skipulagsgerð sína að virkjunarkostinum</w:t>
      </w:r>
      <w:r w:rsidR="00090F72">
        <w:t>,</w:t>
      </w:r>
      <w:r w:rsidR="00D86BBC">
        <w:t xml:space="preserve"> ef það hefur ekki þegar gert það</w:t>
      </w:r>
      <w:r w:rsidR="00090F72">
        <w:t>,</w:t>
      </w:r>
      <w:r w:rsidR="00D86BBC">
        <w:t xml:space="preserve"> auk þess sem þá kemur einnig til kasta annarra stjórnvalda sem hafa </w:t>
      </w:r>
      <w:r w:rsidR="00803860">
        <w:t xml:space="preserve">lögbundnu </w:t>
      </w:r>
      <w:r w:rsidR="00D86BBC">
        <w:t xml:space="preserve">hlutverki að gegna við </w:t>
      </w:r>
      <w:r w:rsidR="00D86BBC" w:rsidRPr="00D70909">
        <w:t>veiting</w:t>
      </w:r>
      <w:r w:rsidR="00D86BBC">
        <w:t>u</w:t>
      </w:r>
      <w:r w:rsidR="00D86BBC" w:rsidRPr="00D70909">
        <w:t xml:space="preserve"> leyf</w:t>
      </w:r>
      <w:r w:rsidR="00803860">
        <w:t>a</w:t>
      </w:r>
      <w:r w:rsidR="00D86BBC" w:rsidRPr="00D70909">
        <w:t xml:space="preserve"> </w:t>
      </w:r>
      <w:r w:rsidR="00803860">
        <w:t xml:space="preserve">fyrir starfsemi </w:t>
      </w:r>
      <w:r w:rsidR="00CF4925">
        <w:t>af þessu tagi</w:t>
      </w:r>
      <w:r w:rsidR="00803860">
        <w:t xml:space="preserve">. Þar er m.a. um að ræða virkjunarleyfi, </w:t>
      </w:r>
      <w:r w:rsidR="008905BF">
        <w:t xml:space="preserve">samninga um tengingar við raforkukerfi, </w:t>
      </w:r>
      <w:r w:rsidR="00803860">
        <w:t xml:space="preserve">starfsleyfi </w:t>
      </w:r>
      <w:r w:rsidR="00090F72">
        <w:t xml:space="preserve">og </w:t>
      </w:r>
      <w:r w:rsidR="00803860">
        <w:t>framkvæmdaleyfi ásamt</w:t>
      </w:r>
      <w:r w:rsidR="00CF4925">
        <w:t xml:space="preserve"> </w:t>
      </w:r>
      <w:r w:rsidR="00803860">
        <w:t xml:space="preserve">öðrum leyfum og skilyrðum sem starfsemi </w:t>
      </w:r>
      <w:r w:rsidR="00090F72">
        <w:t xml:space="preserve">af </w:t>
      </w:r>
      <w:r w:rsidR="00803860">
        <w:t xml:space="preserve">þessu tagi þarf að uppfylla. </w:t>
      </w:r>
      <w:r w:rsidR="00D3787B">
        <w:t xml:space="preserve">Verði </w:t>
      </w:r>
      <w:r w:rsidR="00D3787B" w:rsidRPr="00D3787B">
        <w:t>niðurstaða</w:t>
      </w:r>
      <w:r w:rsidR="00D3787B">
        <w:t xml:space="preserve"> þessara aðila</w:t>
      </w:r>
      <w:r w:rsidR="00D3787B" w:rsidRPr="00D3787B">
        <w:t xml:space="preserve"> </w:t>
      </w:r>
      <w:r w:rsidR="00090F72">
        <w:t xml:space="preserve">sú </w:t>
      </w:r>
      <w:r w:rsidR="00D3787B" w:rsidRPr="00D3787B">
        <w:t xml:space="preserve">að veita leyfi til framkvæmdarinnar </w:t>
      </w:r>
      <w:r w:rsidR="00D3787B">
        <w:t xml:space="preserve">er mælt fyrir um í lögum að </w:t>
      </w:r>
      <w:r w:rsidR="00D3787B" w:rsidRPr="00D3787B">
        <w:t xml:space="preserve">nýta </w:t>
      </w:r>
      <w:r w:rsidR="00D3787B">
        <w:t xml:space="preserve">skuli </w:t>
      </w:r>
      <w:r w:rsidR="00D3787B" w:rsidRPr="00D3787B">
        <w:t>niðurstöður umhverfismatsins við endanlega útfærslu framkvæmdarinnar, þannig að dregið verði eins og kostur er úr neikvæðum áhrifum hennar á umhverfið.</w:t>
      </w:r>
    </w:p>
    <w:p w14:paraId="05F1F0DE" w14:textId="4B231F51" w:rsidR="008905BF" w:rsidRPr="009640FA" w:rsidRDefault="00D86BBC" w:rsidP="008905BF">
      <w:r>
        <w:t xml:space="preserve">Í 4. mgr. </w:t>
      </w:r>
      <w:r w:rsidR="008905BF">
        <w:t xml:space="preserve">greinarinnar </w:t>
      </w:r>
      <w:r>
        <w:t xml:space="preserve">er kveðið á um </w:t>
      </w:r>
      <w:r w:rsidR="008905BF">
        <w:t>feril málsins ef ráðherra</w:t>
      </w:r>
      <w:r>
        <w:t xml:space="preserve"> </w:t>
      </w:r>
      <w:r w:rsidR="008905BF">
        <w:t xml:space="preserve">fellst ekki á </w:t>
      </w:r>
      <w:r w:rsidR="008905BF" w:rsidRPr="009640FA">
        <w:t>að virkjunar</w:t>
      </w:r>
      <w:r w:rsidR="00F75C59">
        <w:softHyphen/>
      </w:r>
      <w:r w:rsidR="008905BF" w:rsidRPr="009640FA">
        <w:t>kosturinn uppfylli skilyrði</w:t>
      </w:r>
      <w:r w:rsidR="008905BF">
        <w:t xml:space="preserve"> </w:t>
      </w:r>
      <w:r w:rsidR="00CF4925">
        <w:t>fyrir sérstakri málsmeðferð hans</w:t>
      </w:r>
      <w:r w:rsidR="008905BF">
        <w:t xml:space="preserve">. Hér </w:t>
      </w:r>
      <w:r w:rsidR="00CF4925">
        <w:t xml:space="preserve">eru aðstæður þannig að </w:t>
      </w:r>
      <w:r w:rsidR="008905BF">
        <w:t>verkefnisstjórn tel</w:t>
      </w:r>
      <w:r w:rsidR="00CF4925">
        <w:t>ur</w:t>
      </w:r>
      <w:r w:rsidR="008905BF">
        <w:t xml:space="preserve"> að virkjunarkosturinn sé á svæði sem </w:t>
      </w:r>
      <w:r w:rsidR="00CF4925">
        <w:t xml:space="preserve">kunni að </w:t>
      </w:r>
      <w:r w:rsidR="008905BF">
        <w:t>uppfyll</w:t>
      </w:r>
      <w:r w:rsidR="00CF4925">
        <w:t>a</w:t>
      </w:r>
      <w:r w:rsidR="008905BF">
        <w:t xml:space="preserve"> umrædd skilyrði </w:t>
      </w:r>
      <w:r w:rsidR="00CF4925">
        <w:t xml:space="preserve">en það sé hins vegar </w:t>
      </w:r>
      <w:r w:rsidR="008905BF">
        <w:t xml:space="preserve">mat ráðherra að svo sé ekki. Slík afstaða gæti t.d. byggst á </w:t>
      </w:r>
      <w:r w:rsidR="00CF4925">
        <w:t xml:space="preserve">því sem fram kemur í </w:t>
      </w:r>
      <w:r w:rsidR="008905BF">
        <w:t xml:space="preserve">þeim umsögnum sem borist hafa um fyrirhugaðan virkjunarkost. </w:t>
      </w:r>
      <w:r w:rsidR="00CF4925">
        <w:t xml:space="preserve">Það er alltaf ráðherra sem tekur endanlega ákvörðun í málinu en ekki verkefnisstjórn. </w:t>
      </w:r>
      <w:r w:rsidR="008905BF">
        <w:t>Hafni ráðherra að virkjunar</w:t>
      </w:r>
      <w:r w:rsidR="00F75C59">
        <w:softHyphen/>
      </w:r>
      <w:r w:rsidR="008905BF">
        <w:t xml:space="preserve">kosturinn uppfylli skilyrðin fer um </w:t>
      </w:r>
      <w:r w:rsidR="001410CE">
        <w:t xml:space="preserve">eftirfarandi </w:t>
      </w:r>
      <w:r w:rsidR="008905BF">
        <w:t xml:space="preserve">málsmeðferð </w:t>
      </w:r>
      <w:r w:rsidR="001410CE">
        <w:t>hans</w:t>
      </w:r>
      <w:r w:rsidR="008905BF">
        <w:t xml:space="preserve"> </w:t>
      </w:r>
      <w:r w:rsidR="001410CE">
        <w:t>með sama hætti o</w:t>
      </w:r>
      <w:r w:rsidR="008905BF">
        <w:t>g um</w:t>
      </w:r>
      <w:r w:rsidR="008905BF" w:rsidRPr="009640FA">
        <w:t xml:space="preserve"> aðr</w:t>
      </w:r>
      <w:r w:rsidR="008905BF">
        <w:t>a</w:t>
      </w:r>
      <w:r w:rsidR="008905BF" w:rsidRPr="009640FA">
        <w:t xml:space="preserve"> virkjunarkosti í verndar- og orkunýtingaráætlun</w:t>
      </w:r>
      <w:r w:rsidR="008905BF">
        <w:t xml:space="preserve">. </w:t>
      </w:r>
      <w:r w:rsidR="001410CE">
        <w:t xml:space="preserve">Meðferð hans heldur þá áfram innan </w:t>
      </w:r>
      <w:r w:rsidR="00CF4925">
        <w:t xml:space="preserve">verndar- og orkunýtingaráætlunar </w:t>
      </w:r>
      <w:r w:rsidR="001410CE">
        <w:t xml:space="preserve">með hefðbundnum hætti og er </w:t>
      </w:r>
      <w:r w:rsidR="00CB6B39">
        <w:t xml:space="preserve">hann </w:t>
      </w:r>
      <w:r w:rsidR="001410CE">
        <w:t>tekinn til meðferðar á Alþingi með sama hætti og aðrir virkjunarkostir</w:t>
      </w:r>
      <w:r w:rsidR="00CF4925">
        <w:t xml:space="preserve"> á grundvelli tillögu ráðherra, sbr. 5. gr. 10. gr. l</w:t>
      </w:r>
      <w:r w:rsidR="003B2383">
        <w:t>aga</w:t>
      </w:r>
      <w:r w:rsidR="00CF4925">
        <w:t xml:space="preserve"> </w:t>
      </w:r>
      <w:r w:rsidR="003B2383">
        <w:t xml:space="preserve">nr. </w:t>
      </w:r>
      <w:r w:rsidR="00CF4925">
        <w:t xml:space="preserve">48/2011. </w:t>
      </w:r>
    </w:p>
    <w:p w14:paraId="1F660269" w14:textId="2DB21DA3" w:rsidR="000A3999" w:rsidRDefault="000A3999" w:rsidP="000A3999"/>
    <w:p w14:paraId="202D1E2E" w14:textId="0E2E619F" w:rsidR="001410CE" w:rsidRPr="00A0329D" w:rsidRDefault="001410CE" w:rsidP="001410CE">
      <w:pPr>
        <w:jc w:val="center"/>
      </w:pPr>
      <w:r>
        <w:t>Um 7</w:t>
      </w:r>
      <w:r w:rsidRPr="00A0329D">
        <w:t>. gr.</w:t>
      </w:r>
    </w:p>
    <w:p w14:paraId="7DEB9B68" w14:textId="2FD05C6D" w:rsidR="001410CE" w:rsidRDefault="001410CE" w:rsidP="001410CE">
      <w:r>
        <w:t>Í greininni er kveðið á um að l</w:t>
      </w:r>
      <w:r w:rsidRPr="00810984">
        <w:t>ög</w:t>
      </w:r>
      <w:r>
        <w:t>in</w:t>
      </w:r>
      <w:r w:rsidRPr="00810984">
        <w:t xml:space="preserve"> öðl</w:t>
      </w:r>
      <w:r>
        <w:t>i</w:t>
      </w:r>
      <w:r w:rsidRPr="00810984">
        <w:t>st þegar gildi</w:t>
      </w:r>
      <w:r>
        <w:t xml:space="preserve"> en</w:t>
      </w:r>
      <w:r w:rsidRPr="00810984">
        <w:t xml:space="preserve"> kom</w:t>
      </w:r>
      <w:r>
        <w:t>i</w:t>
      </w:r>
      <w:r w:rsidRPr="00810984">
        <w:t xml:space="preserve"> </w:t>
      </w:r>
      <w:r>
        <w:t xml:space="preserve">ekki </w:t>
      </w:r>
      <w:r w:rsidRPr="00810984">
        <w:t xml:space="preserve">til framkvæmda </w:t>
      </w:r>
      <w:r>
        <w:t>fyrr en</w:t>
      </w:r>
      <w:r w:rsidRPr="00810984">
        <w:t xml:space="preserve"> þingsályktun skv. 1. mgr. </w:t>
      </w:r>
      <w:r>
        <w:t>10</w:t>
      </w:r>
      <w:r w:rsidRPr="00810984">
        <w:t xml:space="preserve">. gr. hefur verið samþykkt á Alþingi. </w:t>
      </w:r>
    </w:p>
    <w:p w14:paraId="399C9FB5" w14:textId="48A7BED7" w:rsidR="001410CE" w:rsidRDefault="001410CE" w:rsidP="001410CE"/>
    <w:p w14:paraId="127104EB" w14:textId="2CA9955D" w:rsidR="001410CE" w:rsidRPr="00443FC5" w:rsidRDefault="001410CE" w:rsidP="001410CE">
      <w:pPr>
        <w:jc w:val="center"/>
      </w:pPr>
      <w:r w:rsidRPr="00443FC5">
        <w:t>Um ákvæði til bráðabirgða.</w:t>
      </w:r>
    </w:p>
    <w:p w14:paraId="14D677BA" w14:textId="76DE1B59" w:rsidR="001410CE" w:rsidRPr="00A0329D" w:rsidRDefault="001410CE" w:rsidP="001410CE">
      <w:r>
        <w:t xml:space="preserve">Starfshópur um vindorku taldi rétt út frá varfærnissjónarmiðum að yrði frumvarp þetta að lögum yrði farið í skoðun og mat á framkvæmd laganna innan tiltölulega skamms tíma. Í ákvæði þessu til bráðabirgða er lagt til að slík endurskoðun fari fram </w:t>
      </w:r>
      <w:r w:rsidRPr="009C1521">
        <w:t xml:space="preserve">eigi síðar en innan </w:t>
      </w:r>
      <w:r>
        <w:t xml:space="preserve">fjögurra </w:t>
      </w:r>
      <w:r w:rsidRPr="009C1521">
        <w:t xml:space="preserve">ára frá </w:t>
      </w:r>
      <w:r>
        <w:t xml:space="preserve">því </w:t>
      </w:r>
      <w:r w:rsidR="00667AEF">
        <w:t xml:space="preserve">að </w:t>
      </w:r>
      <w:r>
        <w:t xml:space="preserve">þau koma til framkvæmda. </w:t>
      </w:r>
    </w:p>
    <w:p w14:paraId="66512102" w14:textId="77777777" w:rsidR="001410CE" w:rsidRPr="00810984" w:rsidRDefault="001410CE" w:rsidP="001410CE"/>
    <w:p w14:paraId="7C00E82B" w14:textId="49D7ACDC" w:rsidR="000A3999" w:rsidRDefault="000A3999" w:rsidP="000A3999">
      <w:pPr>
        <w:ind w:firstLine="0"/>
      </w:pPr>
    </w:p>
    <w:p w14:paraId="720F5BD8" w14:textId="52436B33" w:rsidR="000A3999" w:rsidRDefault="000A3999" w:rsidP="000A3999">
      <w:pPr>
        <w:ind w:firstLine="0"/>
      </w:pPr>
    </w:p>
    <w:p w14:paraId="6F3D4D8C" w14:textId="003622B6" w:rsidR="003F0299" w:rsidRPr="00012035" w:rsidRDefault="003F0299" w:rsidP="00943B67"/>
    <w:sectPr w:rsidR="003F0299" w:rsidRPr="00012035" w:rsidSect="00947F0E">
      <w:headerReference w:type="default" r:id="rId7"/>
      <w:headerReference w:type="first" r:id="rId8"/>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CE3F6" w14:textId="77777777" w:rsidR="001548DF" w:rsidRDefault="001548DF" w:rsidP="006258D7">
      <w:r>
        <w:separator/>
      </w:r>
    </w:p>
    <w:p w14:paraId="0B9254B9" w14:textId="77777777" w:rsidR="001548DF" w:rsidRDefault="001548DF"/>
  </w:endnote>
  <w:endnote w:type="continuationSeparator" w:id="0">
    <w:p w14:paraId="43A3914A" w14:textId="77777777" w:rsidR="001548DF" w:rsidRDefault="001548DF" w:rsidP="006258D7">
      <w:r>
        <w:continuationSeparator/>
      </w:r>
    </w:p>
    <w:p w14:paraId="750992DB" w14:textId="77777777" w:rsidR="001548DF" w:rsidRDefault="00154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Droid Serif">
    <w:altName w:val="Cambria"/>
    <w:charset w:val="00"/>
    <w:family w:val="roman"/>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6A673" w14:textId="77777777" w:rsidR="001548DF" w:rsidRDefault="001548DF" w:rsidP="005B4CD6">
      <w:pPr>
        <w:ind w:firstLine="0"/>
      </w:pPr>
      <w:r>
        <w:separator/>
      </w:r>
    </w:p>
    <w:p w14:paraId="184C7BE5" w14:textId="77777777" w:rsidR="001548DF" w:rsidRDefault="001548DF"/>
  </w:footnote>
  <w:footnote w:type="continuationSeparator" w:id="0">
    <w:p w14:paraId="495A6E81" w14:textId="77777777" w:rsidR="001548DF" w:rsidRDefault="001548DF" w:rsidP="006258D7">
      <w:r>
        <w:continuationSeparator/>
      </w:r>
    </w:p>
    <w:p w14:paraId="2D4E1F62" w14:textId="77777777" w:rsidR="001548DF" w:rsidRDefault="00154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4EE42EE3" w:rsidR="00BE2901" w:rsidRDefault="00BE2901" w:rsidP="006258D7">
    <w:pPr>
      <w:pStyle w:val="Suhaus"/>
      <w:tabs>
        <w:tab w:val="clear" w:pos="4536"/>
        <w:tab w:val="clear" w:pos="9072"/>
        <w:tab w:val="center" w:pos="3969"/>
        <w:tab w:val="right" w:pos="7797"/>
      </w:tabs>
    </w:pPr>
    <w:r>
      <w:tab/>
    </w:r>
    <w:r>
      <w:fldChar w:fldCharType="begin"/>
    </w:r>
    <w:r>
      <w:instrText>PAGE   \* MERGEFORMAT</w:instrText>
    </w:r>
    <w:r>
      <w:fldChar w:fldCharType="separate"/>
    </w:r>
    <w:r>
      <w:rPr>
        <w:noProof/>
      </w:rPr>
      <w:t>2</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386814">
      <w:rPr>
        <w:b/>
        <w:i/>
        <w:noProof/>
        <w:color w:val="7F7F7F"/>
        <w:sz w:val="24"/>
        <w:szCs w:val="24"/>
      </w:rPr>
      <w:t xml:space="preserve">5. </w:t>
    </w:r>
    <w:r w:rsidR="00386814">
      <w:rPr>
        <w:b/>
        <w:i/>
        <w:noProof/>
        <w:color w:val="7F7F7F"/>
        <w:sz w:val="24"/>
        <w:szCs w:val="24"/>
      </w:rPr>
      <w:t>janúar 2024</w:t>
    </w:r>
    <w:r>
      <w:rPr>
        <w:b/>
        <w:i/>
        <w:color w:val="7F7F7F"/>
        <w:sz w:val="24"/>
        <w:szCs w:val="24"/>
      </w:rPr>
      <w:fldChar w:fldCharType="end"/>
    </w:r>
  </w:p>
  <w:p w14:paraId="0641AD86" w14:textId="77777777" w:rsidR="00BE2901" w:rsidRDefault="00BE29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2A7057A7" w:rsidR="00BE2901" w:rsidRDefault="00BE2901" w:rsidP="00655EE3">
    <w:pPr>
      <w:pStyle w:val="Suhaus"/>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386814">
      <w:rPr>
        <w:b/>
        <w:i/>
        <w:noProof/>
        <w:color w:val="7F7F7F"/>
        <w:sz w:val="24"/>
        <w:szCs w:val="24"/>
      </w:rPr>
      <w:t xml:space="preserve">5. </w:t>
    </w:r>
    <w:r w:rsidR="00386814">
      <w:rPr>
        <w:b/>
        <w:i/>
        <w:noProof/>
        <w:color w:val="7F7F7F"/>
        <w:sz w:val="24"/>
        <w:szCs w:val="24"/>
      </w:rPr>
      <w:t>janúar 2024</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21973"/>
    <w:multiLevelType w:val="hybridMultilevel"/>
    <w:tmpl w:val="83DE8482"/>
    <w:lvl w:ilvl="0" w:tplc="C36CAA86">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2" w15:restartNumberingAfterBreak="0">
    <w:nsid w:val="12E46258"/>
    <w:multiLevelType w:val="hybridMultilevel"/>
    <w:tmpl w:val="2BACD602"/>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3" w15:restartNumberingAfterBreak="0">
    <w:nsid w:val="16E32E30"/>
    <w:multiLevelType w:val="hybridMultilevel"/>
    <w:tmpl w:val="1D3C00B8"/>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5"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6"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7"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8" w15:restartNumberingAfterBreak="0">
    <w:nsid w:val="35826884"/>
    <w:multiLevelType w:val="hybridMultilevel"/>
    <w:tmpl w:val="EEF485AA"/>
    <w:lvl w:ilvl="0" w:tplc="FCF86518">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9" w15:restartNumberingAfterBreak="0">
    <w:nsid w:val="3B480B4E"/>
    <w:multiLevelType w:val="multilevel"/>
    <w:tmpl w:val="6DEC8882"/>
    <w:numStyleLink w:val="Althingi---"/>
  </w:abstractNum>
  <w:abstractNum w:abstractNumId="10"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1" w15:restartNumberingAfterBreak="0">
    <w:nsid w:val="4C18731F"/>
    <w:multiLevelType w:val="hybridMultilevel"/>
    <w:tmpl w:val="576AEAAA"/>
    <w:lvl w:ilvl="0" w:tplc="DCBE11D0">
      <w:start w:val="1"/>
      <w:numFmt w:val="decimal"/>
      <w:lvlText w:val="%1."/>
      <w:lvlJc w:val="left"/>
      <w:pPr>
        <w:ind w:left="360" w:hanging="360"/>
      </w:pPr>
      <w:rPr>
        <w:rFonts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2"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3" w15:restartNumberingAfterBreak="0">
    <w:nsid w:val="4FF35071"/>
    <w:multiLevelType w:val="multilevel"/>
    <w:tmpl w:val="83C6DAE2"/>
    <w:numStyleLink w:val="Althingi"/>
  </w:abstractNum>
  <w:abstractNum w:abstractNumId="14" w15:restartNumberingAfterBreak="0">
    <w:nsid w:val="55E86712"/>
    <w:multiLevelType w:val="hybridMultilevel"/>
    <w:tmpl w:val="E0B65B6E"/>
    <w:lvl w:ilvl="0" w:tplc="DCBE11D0">
      <w:start w:val="1"/>
      <w:numFmt w:val="decimal"/>
      <w:lvlText w:val="%1."/>
      <w:lvlJc w:val="left"/>
      <w:pPr>
        <w:ind w:left="360" w:hanging="360"/>
      </w:pPr>
      <w:rPr>
        <w:rFonts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5" w15:restartNumberingAfterBreak="0">
    <w:nsid w:val="59670F95"/>
    <w:multiLevelType w:val="hybridMultilevel"/>
    <w:tmpl w:val="C1148E78"/>
    <w:lvl w:ilvl="0" w:tplc="DCBE11D0">
      <w:start w:val="1"/>
      <w:numFmt w:val="decimal"/>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16" w15:restartNumberingAfterBreak="0">
    <w:nsid w:val="5E651A0C"/>
    <w:multiLevelType w:val="hybridMultilevel"/>
    <w:tmpl w:val="850C846A"/>
    <w:lvl w:ilvl="0" w:tplc="040F000F">
      <w:start w:val="1"/>
      <w:numFmt w:val="decimal"/>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17" w15:restartNumberingAfterBreak="0">
    <w:nsid w:val="60282BBB"/>
    <w:multiLevelType w:val="hybridMultilevel"/>
    <w:tmpl w:val="43F0B2E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8" w15:restartNumberingAfterBreak="0">
    <w:nsid w:val="665E6862"/>
    <w:multiLevelType w:val="hybridMultilevel"/>
    <w:tmpl w:val="A8E02E2E"/>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9"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20"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21" w15:restartNumberingAfterBreak="0">
    <w:nsid w:val="71035AA1"/>
    <w:multiLevelType w:val="hybridMultilevel"/>
    <w:tmpl w:val="374E33FC"/>
    <w:lvl w:ilvl="0" w:tplc="25BC1D52">
      <w:start w:val="1"/>
      <w:numFmt w:val="decimal"/>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22" w15:restartNumberingAfterBreak="0">
    <w:nsid w:val="710E7D31"/>
    <w:multiLevelType w:val="hybridMultilevel"/>
    <w:tmpl w:val="251CF238"/>
    <w:lvl w:ilvl="0" w:tplc="040F0001">
      <w:start w:val="1"/>
      <w:numFmt w:val="bullet"/>
      <w:lvlText w:val=""/>
      <w:lvlJc w:val="left"/>
      <w:pPr>
        <w:ind w:left="360" w:hanging="360"/>
      </w:pPr>
      <w:rPr>
        <w:rFonts w:ascii="Symbol" w:hAnsi="Symbol" w:hint="default"/>
      </w:rPr>
    </w:lvl>
    <w:lvl w:ilvl="1" w:tplc="040F0003">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3"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24"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24"/>
  </w:num>
  <w:num w:numId="2">
    <w:abstractNumId w:val="19"/>
  </w:num>
  <w:num w:numId="3">
    <w:abstractNumId w:val="23"/>
  </w:num>
  <w:num w:numId="4">
    <w:abstractNumId w:val="5"/>
  </w:num>
  <w:num w:numId="5">
    <w:abstractNumId w:val="12"/>
  </w:num>
  <w:num w:numId="6">
    <w:abstractNumId w:val="20"/>
  </w:num>
  <w:num w:numId="7">
    <w:abstractNumId w:val="6"/>
  </w:num>
  <w:num w:numId="8">
    <w:abstractNumId w:val="4"/>
  </w:num>
  <w:num w:numId="9">
    <w:abstractNumId w:val="10"/>
  </w:num>
  <w:num w:numId="10">
    <w:abstractNumId w:val="7"/>
  </w:num>
  <w:num w:numId="11">
    <w:abstractNumId w:val="9"/>
  </w:num>
  <w:num w:numId="12">
    <w:abstractNumId w:val="13"/>
  </w:num>
  <w:num w:numId="13">
    <w:abstractNumId w:val="1"/>
  </w:num>
  <w:num w:numId="14">
    <w:abstractNumId w:val="18"/>
  </w:num>
  <w:num w:numId="15">
    <w:abstractNumId w:val="17"/>
  </w:num>
  <w:num w:numId="16">
    <w:abstractNumId w:val="15"/>
  </w:num>
  <w:num w:numId="17">
    <w:abstractNumId w:val="2"/>
  </w:num>
  <w:num w:numId="18">
    <w:abstractNumId w:val="14"/>
  </w:num>
  <w:num w:numId="19">
    <w:abstractNumId w:val="11"/>
  </w:num>
  <w:num w:numId="20">
    <w:abstractNumId w:val="22"/>
  </w:num>
  <w:num w:numId="21">
    <w:abstractNumId w:val="21"/>
  </w:num>
  <w:num w:numId="22">
    <w:abstractNumId w:val="0"/>
  </w:num>
  <w:num w:numId="23">
    <w:abstractNumId w:val="3"/>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removeDateAndTime/>
  <w:proofState w:spelling="clean" w:grammar="clean"/>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271B"/>
    <w:rsid w:val="000145B6"/>
    <w:rsid w:val="00022829"/>
    <w:rsid w:val="0002791A"/>
    <w:rsid w:val="00030091"/>
    <w:rsid w:val="000300CD"/>
    <w:rsid w:val="00030C42"/>
    <w:rsid w:val="000310F4"/>
    <w:rsid w:val="000314F8"/>
    <w:rsid w:val="000359F6"/>
    <w:rsid w:val="00042C01"/>
    <w:rsid w:val="00052EDC"/>
    <w:rsid w:val="00053750"/>
    <w:rsid w:val="00053F9D"/>
    <w:rsid w:val="00055B22"/>
    <w:rsid w:val="00056390"/>
    <w:rsid w:val="00057B1A"/>
    <w:rsid w:val="00062B58"/>
    <w:rsid w:val="00066CA1"/>
    <w:rsid w:val="00070F04"/>
    <w:rsid w:val="000716CB"/>
    <w:rsid w:val="00072370"/>
    <w:rsid w:val="0007411C"/>
    <w:rsid w:val="00090F72"/>
    <w:rsid w:val="00091A8F"/>
    <w:rsid w:val="000A3999"/>
    <w:rsid w:val="000A7848"/>
    <w:rsid w:val="000B3413"/>
    <w:rsid w:val="000B4BD4"/>
    <w:rsid w:val="000C0973"/>
    <w:rsid w:val="000C3252"/>
    <w:rsid w:val="000D0F4A"/>
    <w:rsid w:val="000D382B"/>
    <w:rsid w:val="000D3AB9"/>
    <w:rsid w:val="000D40D8"/>
    <w:rsid w:val="000D74BE"/>
    <w:rsid w:val="000E00C5"/>
    <w:rsid w:val="000E05B0"/>
    <w:rsid w:val="000E16E7"/>
    <w:rsid w:val="000E2C2F"/>
    <w:rsid w:val="000F46B1"/>
    <w:rsid w:val="000F6537"/>
    <w:rsid w:val="000F65B7"/>
    <w:rsid w:val="001024BA"/>
    <w:rsid w:val="00117680"/>
    <w:rsid w:val="001222CE"/>
    <w:rsid w:val="00122EE4"/>
    <w:rsid w:val="00132E7E"/>
    <w:rsid w:val="0013365B"/>
    <w:rsid w:val="00133AC3"/>
    <w:rsid w:val="00134A40"/>
    <w:rsid w:val="00134F15"/>
    <w:rsid w:val="001358C7"/>
    <w:rsid w:val="001371CD"/>
    <w:rsid w:val="00137CEC"/>
    <w:rsid w:val="001410CE"/>
    <w:rsid w:val="00147611"/>
    <w:rsid w:val="001548DF"/>
    <w:rsid w:val="00155255"/>
    <w:rsid w:val="0015772E"/>
    <w:rsid w:val="00165EC5"/>
    <w:rsid w:val="00170E8E"/>
    <w:rsid w:val="00173ED1"/>
    <w:rsid w:val="0017401C"/>
    <w:rsid w:val="001750E2"/>
    <w:rsid w:val="00180585"/>
    <w:rsid w:val="00181038"/>
    <w:rsid w:val="00183099"/>
    <w:rsid w:val="001874B1"/>
    <w:rsid w:val="00197E22"/>
    <w:rsid w:val="001A5A3F"/>
    <w:rsid w:val="001B04AA"/>
    <w:rsid w:val="001B2D36"/>
    <w:rsid w:val="001B421D"/>
    <w:rsid w:val="001C2CE4"/>
    <w:rsid w:val="001C5698"/>
    <w:rsid w:val="001C5876"/>
    <w:rsid w:val="001D47D2"/>
    <w:rsid w:val="001E584B"/>
    <w:rsid w:val="001E5D86"/>
    <w:rsid w:val="001E753F"/>
    <w:rsid w:val="001F79A0"/>
    <w:rsid w:val="002015BE"/>
    <w:rsid w:val="00201D2D"/>
    <w:rsid w:val="00202CD8"/>
    <w:rsid w:val="00210896"/>
    <w:rsid w:val="0022006D"/>
    <w:rsid w:val="002224E3"/>
    <w:rsid w:val="00224127"/>
    <w:rsid w:val="0023052A"/>
    <w:rsid w:val="00231294"/>
    <w:rsid w:val="002369B5"/>
    <w:rsid w:val="002408FE"/>
    <w:rsid w:val="00246170"/>
    <w:rsid w:val="00251874"/>
    <w:rsid w:val="00252773"/>
    <w:rsid w:val="00252DCC"/>
    <w:rsid w:val="00260D24"/>
    <w:rsid w:val="00260FE0"/>
    <w:rsid w:val="00261105"/>
    <w:rsid w:val="00261B67"/>
    <w:rsid w:val="002675EE"/>
    <w:rsid w:val="00270A34"/>
    <w:rsid w:val="002741DF"/>
    <w:rsid w:val="002768EF"/>
    <w:rsid w:val="002822B6"/>
    <w:rsid w:val="00282543"/>
    <w:rsid w:val="00291768"/>
    <w:rsid w:val="00293FEE"/>
    <w:rsid w:val="00296FE6"/>
    <w:rsid w:val="002A439D"/>
    <w:rsid w:val="002A4C49"/>
    <w:rsid w:val="002A5406"/>
    <w:rsid w:val="002B12C0"/>
    <w:rsid w:val="002B3385"/>
    <w:rsid w:val="002B3AE4"/>
    <w:rsid w:val="002B581F"/>
    <w:rsid w:val="002C174C"/>
    <w:rsid w:val="002C5756"/>
    <w:rsid w:val="002D034E"/>
    <w:rsid w:val="002D340A"/>
    <w:rsid w:val="002D3A2E"/>
    <w:rsid w:val="002D5847"/>
    <w:rsid w:val="002D6A2D"/>
    <w:rsid w:val="002E06BF"/>
    <w:rsid w:val="002E7193"/>
    <w:rsid w:val="002F0197"/>
    <w:rsid w:val="002F3AFA"/>
    <w:rsid w:val="00301215"/>
    <w:rsid w:val="003157C6"/>
    <w:rsid w:val="00316944"/>
    <w:rsid w:val="00322531"/>
    <w:rsid w:val="003226D2"/>
    <w:rsid w:val="00322F35"/>
    <w:rsid w:val="00323C5F"/>
    <w:rsid w:val="00323DD0"/>
    <w:rsid w:val="0032704C"/>
    <w:rsid w:val="003277EC"/>
    <w:rsid w:val="00331A11"/>
    <w:rsid w:val="003327CA"/>
    <w:rsid w:val="00335852"/>
    <w:rsid w:val="00337790"/>
    <w:rsid w:val="003442FF"/>
    <w:rsid w:val="003460CB"/>
    <w:rsid w:val="00346E4A"/>
    <w:rsid w:val="00347C7D"/>
    <w:rsid w:val="00353ABC"/>
    <w:rsid w:val="00353D67"/>
    <w:rsid w:val="00361346"/>
    <w:rsid w:val="00375A84"/>
    <w:rsid w:val="00381135"/>
    <w:rsid w:val="00381ECF"/>
    <w:rsid w:val="003864F8"/>
    <w:rsid w:val="00386814"/>
    <w:rsid w:val="003917F4"/>
    <w:rsid w:val="00391D9C"/>
    <w:rsid w:val="00394034"/>
    <w:rsid w:val="003959EC"/>
    <w:rsid w:val="00395D85"/>
    <w:rsid w:val="00396430"/>
    <w:rsid w:val="003972E0"/>
    <w:rsid w:val="003972FC"/>
    <w:rsid w:val="003A0A09"/>
    <w:rsid w:val="003A0CE3"/>
    <w:rsid w:val="003A4968"/>
    <w:rsid w:val="003B2383"/>
    <w:rsid w:val="003B4ACE"/>
    <w:rsid w:val="003B6094"/>
    <w:rsid w:val="003B68AB"/>
    <w:rsid w:val="003B7AF5"/>
    <w:rsid w:val="003C34F3"/>
    <w:rsid w:val="003C6DD9"/>
    <w:rsid w:val="003D641C"/>
    <w:rsid w:val="003E2779"/>
    <w:rsid w:val="003E680E"/>
    <w:rsid w:val="003F0299"/>
    <w:rsid w:val="003F4980"/>
    <w:rsid w:val="003F5B37"/>
    <w:rsid w:val="00401A25"/>
    <w:rsid w:val="00402D49"/>
    <w:rsid w:val="00410EB0"/>
    <w:rsid w:val="00412EDA"/>
    <w:rsid w:val="0041777F"/>
    <w:rsid w:val="00417AFF"/>
    <w:rsid w:val="0042096A"/>
    <w:rsid w:val="00433FDA"/>
    <w:rsid w:val="004357ED"/>
    <w:rsid w:val="00436458"/>
    <w:rsid w:val="00437640"/>
    <w:rsid w:val="00437CAC"/>
    <w:rsid w:val="00443FC5"/>
    <w:rsid w:val="0046141E"/>
    <w:rsid w:val="00471477"/>
    <w:rsid w:val="00473316"/>
    <w:rsid w:val="004855CD"/>
    <w:rsid w:val="0048749C"/>
    <w:rsid w:val="00492430"/>
    <w:rsid w:val="00494E44"/>
    <w:rsid w:val="0049606B"/>
    <w:rsid w:val="004A0DCE"/>
    <w:rsid w:val="004A1C93"/>
    <w:rsid w:val="004A6EB2"/>
    <w:rsid w:val="004B3D9B"/>
    <w:rsid w:val="004C16FE"/>
    <w:rsid w:val="004C4D11"/>
    <w:rsid w:val="004C568E"/>
    <w:rsid w:val="004D350D"/>
    <w:rsid w:val="004D4803"/>
    <w:rsid w:val="004D6FD8"/>
    <w:rsid w:val="004D76B5"/>
    <w:rsid w:val="004E0A37"/>
    <w:rsid w:val="004E3EA9"/>
    <w:rsid w:val="004F37F2"/>
    <w:rsid w:val="004F471F"/>
    <w:rsid w:val="004F59B6"/>
    <w:rsid w:val="0050105C"/>
    <w:rsid w:val="00501DD0"/>
    <w:rsid w:val="00502483"/>
    <w:rsid w:val="00502533"/>
    <w:rsid w:val="0050458D"/>
    <w:rsid w:val="00506AD8"/>
    <w:rsid w:val="00506F3F"/>
    <w:rsid w:val="00507601"/>
    <w:rsid w:val="00511355"/>
    <w:rsid w:val="0052465F"/>
    <w:rsid w:val="005303CF"/>
    <w:rsid w:val="005375B7"/>
    <w:rsid w:val="005378AC"/>
    <w:rsid w:val="00537933"/>
    <w:rsid w:val="005466B8"/>
    <w:rsid w:val="005517CC"/>
    <w:rsid w:val="005543EA"/>
    <w:rsid w:val="00556EB1"/>
    <w:rsid w:val="00562174"/>
    <w:rsid w:val="00563F03"/>
    <w:rsid w:val="00564348"/>
    <w:rsid w:val="00565082"/>
    <w:rsid w:val="0057228A"/>
    <w:rsid w:val="005743CE"/>
    <w:rsid w:val="00576548"/>
    <w:rsid w:val="00584BAD"/>
    <w:rsid w:val="005853EE"/>
    <w:rsid w:val="005879BB"/>
    <w:rsid w:val="00595813"/>
    <w:rsid w:val="00596B2E"/>
    <w:rsid w:val="005A5C29"/>
    <w:rsid w:val="005A5DEA"/>
    <w:rsid w:val="005A6D7C"/>
    <w:rsid w:val="005B0DB8"/>
    <w:rsid w:val="005B1C05"/>
    <w:rsid w:val="005B2DF7"/>
    <w:rsid w:val="005B4CD6"/>
    <w:rsid w:val="005C074C"/>
    <w:rsid w:val="005C1AFC"/>
    <w:rsid w:val="005C5F1B"/>
    <w:rsid w:val="005D5AEE"/>
    <w:rsid w:val="005D7863"/>
    <w:rsid w:val="005E312C"/>
    <w:rsid w:val="005E7B7C"/>
    <w:rsid w:val="005F037E"/>
    <w:rsid w:val="005F12C5"/>
    <w:rsid w:val="005F16AD"/>
    <w:rsid w:val="005F5079"/>
    <w:rsid w:val="00600821"/>
    <w:rsid w:val="00602432"/>
    <w:rsid w:val="00607DD3"/>
    <w:rsid w:val="00610266"/>
    <w:rsid w:val="00611BA9"/>
    <w:rsid w:val="00613A51"/>
    <w:rsid w:val="00614448"/>
    <w:rsid w:val="006229E2"/>
    <w:rsid w:val="00624AD1"/>
    <w:rsid w:val="006258D7"/>
    <w:rsid w:val="00627934"/>
    <w:rsid w:val="00636B3E"/>
    <w:rsid w:val="0064025D"/>
    <w:rsid w:val="006417A2"/>
    <w:rsid w:val="00645D08"/>
    <w:rsid w:val="0064615B"/>
    <w:rsid w:val="00650012"/>
    <w:rsid w:val="006514F9"/>
    <w:rsid w:val="00652AE2"/>
    <w:rsid w:val="00652C9A"/>
    <w:rsid w:val="00655AEA"/>
    <w:rsid w:val="00655EE3"/>
    <w:rsid w:val="00657AAA"/>
    <w:rsid w:val="0066420A"/>
    <w:rsid w:val="006644C8"/>
    <w:rsid w:val="00664BE7"/>
    <w:rsid w:val="00667AEF"/>
    <w:rsid w:val="00677003"/>
    <w:rsid w:val="00681AED"/>
    <w:rsid w:val="00682424"/>
    <w:rsid w:val="00687F8B"/>
    <w:rsid w:val="00692B62"/>
    <w:rsid w:val="0069394F"/>
    <w:rsid w:val="006A7184"/>
    <w:rsid w:val="006B213B"/>
    <w:rsid w:val="006B2E2C"/>
    <w:rsid w:val="006B5245"/>
    <w:rsid w:val="006B6B37"/>
    <w:rsid w:val="006C467F"/>
    <w:rsid w:val="006C5568"/>
    <w:rsid w:val="006C586C"/>
    <w:rsid w:val="006C764F"/>
    <w:rsid w:val="006D0A87"/>
    <w:rsid w:val="006D234A"/>
    <w:rsid w:val="006E2C23"/>
    <w:rsid w:val="006E38A6"/>
    <w:rsid w:val="006E48F7"/>
    <w:rsid w:val="006E5302"/>
    <w:rsid w:val="006E558A"/>
    <w:rsid w:val="006F069F"/>
    <w:rsid w:val="006F4043"/>
    <w:rsid w:val="006F4D1E"/>
    <w:rsid w:val="006F74FF"/>
    <w:rsid w:val="007011AD"/>
    <w:rsid w:val="00702233"/>
    <w:rsid w:val="00706572"/>
    <w:rsid w:val="0070678D"/>
    <w:rsid w:val="00707825"/>
    <w:rsid w:val="00707D37"/>
    <w:rsid w:val="007104C2"/>
    <w:rsid w:val="007176DC"/>
    <w:rsid w:val="007204FA"/>
    <w:rsid w:val="0072509D"/>
    <w:rsid w:val="00733D49"/>
    <w:rsid w:val="0073401C"/>
    <w:rsid w:val="007375DF"/>
    <w:rsid w:val="0074152D"/>
    <w:rsid w:val="007435B1"/>
    <w:rsid w:val="00746B89"/>
    <w:rsid w:val="00750505"/>
    <w:rsid w:val="007555E3"/>
    <w:rsid w:val="00760E51"/>
    <w:rsid w:val="00761D4E"/>
    <w:rsid w:val="007645ED"/>
    <w:rsid w:val="00764A29"/>
    <w:rsid w:val="007654FC"/>
    <w:rsid w:val="0077448E"/>
    <w:rsid w:val="00783005"/>
    <w:rsid w:val="007905ED"/>
    <w:rsid w:val="00793FF9"/>
    <w:rsid w:val="007953A5"/>
    <w:rsid w:val="007A08F8"/>
    <w:rsid w:val="007A24A4"/>
    <w:rsid w:val="007A499E"/>
    <w:rsid w:val="007A6137"/>
    <w:rsid w:val="007B60D1"/>
    <w:rsid w:val="007B6B57"/>
    <w:rsid w:val="007C790E"/>
    <w:rsid w:val="007D21F2"/>
    <w:rsid w:val="007D2DAC"/>
    <w:rsid w:val="007D4338"/>
    <w:rsid w:val="007D6C8C"/>
    <w:rsid w:val="007E11FF"/>
    <w:rsid w:val="007F3AC3"/>
    <w:rsid w:val="007F3B99"/>
    <w:rsid w:val="00803860"/>
    <w:rsid w:val="00803FAF"/>
    <w:rsid w:val="008074B4"/>
    <w:rsid w:val="00810984"/>
    <w:rsid w:val="00815A17"/>
    <w:rsid w:val="00826670"/>
    <w:rsid w:val="008308FD"/>
    <w:rsid w:val="00831E8A"/>
    <w:rsid w:val="00833D3B"/>
    <w:rsid w:val="00834932"/>
    <w:rsid w:val="00834F50"/>
    <w:rsid w:val="00852033"/>
    <w:rsid w:val="00852FF3"/>
    <w:rsid w:val="0085674C"/>
    <w:rsid w:val="008577B7"/>
    <w:rsid w:val="00861B9A"/>
    <w:rsid w:val="008639C7"/>
    <w:rsid w:val="0087242C"/>
    <w:rsid w:val="0088004A"/>
    <w:rsid w:val="00882D45"/>
    <w:rsid w:val="00883F14"/>
    <w:rsid w:val="0088508D"/>
    <w:rsid w:val="00887F9F"/>
    <w:rsid w:val="008905BF"/>
    <w:rsid w:val="0089239A"/>
    <w:rsid w:val="00895423"/>
    <w:rsid w:val="008A5C17"/>
    <w:rsid w:val="008A604D"/>
    <w:rsid w:val="008A76CD"/>
    <w:rsid w:val="008B50A0"/>
    <w:rsid w:val="008C1452"/>
    <w:rsid w:val="008C26FA"/>
    <w:rsid w:val="008C617F"/>
    <w:rsid w:val="008D0068"/>
    <w:rsid w:val="008D106B"/>
    <w:rsid w:val="008D4642"/>
    <w:rsid w:val="008D7231"/>
    <w:rsid w:val="008E5660"/>
    <w:rsid w:val="008F4950"/>
    <w:rsid w:val="008F5E3F"/>
    <w:rsid w:val="008F61BF"/>
    <w:rsid w:val="008F65BB"/>
    <w:rsid w:val="00900916"/>
    <w:rsid w:val="009030BE"/>
    <w:rsid w:val="009057B1"/>
    <w:rsid w:val="00912400"/>
    <w:rsid w:val="0091585C"/>
    <w:rsid w:val="00921352"/>
    <w:rsid w:val="00927165"/>
    <w:rsid w:val="00931F35"/>
    <w:rsid w:val="00935644"/>
    <w:rsid w:val="00936575"/>
    <w:rsid w:val="00937B90"/>
    <w:rsid w:val="00940014"/>
    <w:rsid w:val="00943B67"/>
    <w:rsid w:val="00944370"/>
    <w:rsid w:val="0094716D"/>
    <w:rsid w:val="00947F0E"/>
    <w:rsid w:val="00951D5A"/>
    <w:rsid w:val="00954297"/>
    <w:rsid w:val="00970DE8"/>
    <w:rsid w:val="009841CD"/>
    <w:rsid w:val="0098561D"/>
    <w:rsid w:val="00990651"/>
    <w:rsid w:val="00995085"/>
    <w:rsid w:val="009A0E6D"/>
    <w:rsid w:val="009A3A3B"/>
    <w:rsid w:val="009A44BE"/>
    <w:rsid w:val="009C6B7C"/>
    <w:rsid w:val="009C7467"/>
    <w:rsid w:val="009D17D4"/>
    <w:rsid w:val="009D3337"/>
    <w:rsid w:val="009D652C"/>
    <w:rsid w:val="009E5669"/>
    <w:rsid w:val="009F398E"/>
    <w:rsid w:val="00A02D98"/>
    <w:rsid w:val="00A0329D"/>
    <w:rsid w:val="00A0433D"/>
    <w:rsid w:val="00A07BDD"/>
    <w:rsid w:val="00A10AE9"/>
    <w:rsid w:val="00A141B9"/>
    <w:rsid w:val="00A16E11"/>
    <w:rsid w:val="00A207D8"/>
    <w:rsid w:val="00A22558"/>
    <w:rsid w:val="00A2280D"/>
    <w:rsid w:val="00A24367"/>
    <w:rsid w:val="00A33FBF"/>
    <w:rsid w:val="00A366EA"/>
    <w:rsid w:val="00A37E2A"/>
    <w:rsid w:val="00A425DE"/>
    <w:rsid w:val="00A42CE8"/>
    <w:rsid w:val="00A460EA"/>
    <w:rsid w:val="00A63148"/>
    <w:rsid w:val="00A67936"/>
    <w:rsid w:val="00A71FFC"/>
    <w:rsid w:val="00A72FFD"/>
    <w:rsid w:val="00A74357"/>
    <w:rsid w:val="00A76A64"/>
    <w:rsid w:val="00A7700A"/>
    <w:rsid w:val="00A80B0B"/>
    <w:rsid w:val="00A84C9D"/>
    <w:rsid w:val="00A8506F"/>
    <w:rsid w:val="00A90212"/>
    <w:rsid w:val="00A904DE"/>
    <w:rsid w:val="00A964E4"/>
    <w:rsid w:val="00A979AA"/>
    <w:rsid w:val="00AB0F96"/>
    <w:rsid w:val="00AB4DB6"/>
    <w:rsid w:val="00AB64C7"/>
    <w:rsid w:val="00AB77E5"/>
    <w:rsid w:val="00AC5983"/>
    <w:rsid w:val="00AC7468"/>
    <w:rsid w:val="00AC7C2A"/>
    <w:rsid w:val="00AD0879"/>
    <w:rsid w:val="00AE0727"/>
    <w:rsid w:val="00AE2526"/>
    <w:rsid w:val="00AE7358"/>
    <w:rsid w:val="00AE7E51"/>
    <w:rsid w:val="00AF397A"/>
    <w:rsid w:val="00AF4B44"/>
    <w:rsid w:val="00AF51C2"/>
    <w:rsid w:val="00AF581E"/>
    <w:rsid w:val="00AF75DE"/>
    <w:rsid w:val="00B007B3"/>
    <w:rsid w:val="00B012EF"/>
    <w:rsid w:val="00B04BA7"/>
    <w:rsid w:val="00B11704"/>
    <w:rsid w:val="00B159C6"/>
    <w:rsid w:val="00B17C91"/>
    <w:rsid w:val="00B17E15"/>
    <w:rsid w:val="00B203DC"/>
    <w:rsid w:val="00B20E81"/>
    <w:rsid w:val="00B20F6B"/>
    <w:rsid w:val="00B2569B"/>
    <w:rsid w:val="00B2741B"/>
    <w:rsid w:val="00B27EBE"/>
    <w:rsid w:val="00B35D4C"/>
    <w:rsid w:val="00B40A9B"/>
    <w:rsid w:val="00B52BDC"/>
    <w:rsid w:val="00B5661B"/>
    <w:rsid w:val="00B56947"/>
    <w:rsid w:val="00B65777"/>
    <w:rsid w:val="00B67734"/>
    <w:rsid w:val="00B77303"/>
    <w:rsid w:val="00B80880"/>
    <w:rsid w:val="00B852D4"/>
    <w:rsid w:val="00B8611E"/>
    <w:rsid w:val="00B92049"/>
    <w:rsid w:val="00B940C5"/>
    <w:rsid w:val="00B975F7"/>
    <w:rsid w:val="00BA1EC9"/>
    <w:rsid w:val="00BA7318"/>
    <w:rsid w:val="00BA7A77"/>
    <w:rsid w:val="00BB0480"/>
    <w:rsid w:val="00BC12BA"/>
    <w:rsid w:val="00BC22D8"/>
    <w:rsid w:val="00BC31E7"/>
    <w:rsid w:val="00BC3809"/>
    <w:rsid w:val="00BC4006"/>
    <w:rsid w:val="00BD193B"/>
    <w:rsid w:val="00BE2901"/>
    <w:rsid w:val="00BE459A"/>
    <w:rsid w:val="00BE618D"/>
    <w:rsid w:val="00BE6CA8"/>
    <w:rsid w:val="00BF035F"/>
    <w:rsid w:val="00BF2C1E"/>
    <w:rsid w:val="00BF3D23"/>
    <w:rsid w:val="00C01237"/>
    <w:rsid w:val="00C01349"/>
    <w:rsid w:val="00C064DA"/>
    <w:rsid w:val="00C110A2"/>
    <w:rsid w:val="00C114A8"/>
    <w:rsid w:val="00C12056"/>
    <w:rsid w:val="00C20E12"/>
    <w:rsid w:val="00C21272"/>
    <w:rsid w:val="00C21EAF"/>
    <w:rsid w:val="00C224D9"/>
    <w:rsid w:val="00C267AC"/>
    <w:rsid w:val="00C27845"/>
    <w:rsid w:val="00C34A72"/>
    <w:rsid w:val="00C350BA"/>
    <w:rsid w:val="00C35574"/>
    <w:rsid w:val="00C36086"/>
    <w:rsid w:val="00C37050"/>
    <w:rsid w:val="00C3734E"/>
    <w:rsid w:val="00C37576"/>
    <w:rsid w:val="00C37AAC"/>
    <w:rsid w:val="00C40205"/>
    <w:rsid w:val="00C421E9"/>
    <w:rsid w:val="00C46263"/>
    <w:rsid w:val="00C47F08"/>
    <w:rsid w:val="00C51A2E"/>
    <w:rsid w:val="00C51AD3"/>
    <w:rsid w:val="00C523D0"/>
    <w:rsid w:val="00C64A9B"/>
    <w:rsid w:val="00C710B1"/>
    <w:rsid w:val="00C711F7"/>
    <w:rsid w:val="00C8286A"/>
    <w:rsid w:val="00C85E9B"/>
    <w:rsid w:val="00C94288"/>
    <w:rsid w:val="00C9487D"/>
    <w:rsid w:val="00CA31D0"/>
    <w:rsid w:val="00CA4AA2"/>
    <w:rsid w:val="00CA504A"/>
    <w:rsid w:val="00CA573D"/>
    <w:rsid w:val="00CB40C2"/>
    <w:rsid w:val="00CB5365"/>
    <w:rsid w:val="00CB6B39"/>
    <w:rsid w:val="00CB7E67"/>
    <w:rsid w:val="00CC7ED2"/>
    <w:rsid w:val="00CD0A2E"/>
    <w:rsid w:val="00CD319F"/>
    <w:rsid w:val="00CD3829"/>
    <w:rsid w:val="00CD54BE"/>
    <w:rsid w:val="00CD6014"/>
    <w:rsid w:val="00CE2BCC"/>
    <w:rsid w:val="00CF2EA8"/>
    <w:rsid w:val="00CF4925"/>
    <w:rsid w:val="00CF5476"/>
    <w:rsid w:val="00D0740D"/>
    <w:rsid w:val="00D1030E"/>
    <w:rsid w:val="00D147AF"/>
    <w:rsid w:val="00D1530E"/>
    <w:rsid w:val="00D154A0"/>
    <w:rsid w:val="00D205B5"/>
    <w:rsid w:val="00D25E73"/>
    <w:rsid w:val="00D25F0F"/>
    <w:rsid w:val="00D26A49"/>
    <w:rsid w:val="00D300A6"/>
    <w:rsid w:val="00D30792"/>
    <w:rsid w:val="00D32F11"/>
    <w:rsid w:val="00D337AE"/>
    <w:rsid w:val="00D36C07"/>
    <w:rsid w:val="00D3787B"/>
    <w:rsid w:val="00D44D22"/>
    <w:rsid w:val="00D45F78"/>
    <w:rsid w:val="00D512A4"/>
    <w:rsid w:val="00D5236C"/>
    <w:rsid w:val="00D53A23"/>
    <w:rsid w:val="00D54A74"/>
    <w:rsid w:val="00D561EF"/>
    <w:rsid w:val="00D5679C"/>
    <w:rsid w:val="00D57EAE"/>
    <w:rsid w:val="00D70909"/>
    <w:rsid w:val="00D8041F"/>
    <w:rsid w:val="00D853BC"/>
    <w:rsid w:val="00D85692"/>
    <w:rsid w:val="00D86BBC"/>
    <w:rsid w:val="00D8766E"/>
    <w:rsid w:val="00D924E0"/>
    <w:rsid w:val="00D9597C"/>
    <w:rsid w:val="00DA0E37"/>
    <w:rsid w:val="00DB6FF5"/>
    <w:rsid w:val="00DC0B83"/>
    <w:rsid w:val="00DC2536"/>
    <w:rsid w:val="00DC4540"/>
    <w:rsid w:val="00DC5931"/>
    <w:rsid w:val="00DD0F7D"/>
    <w:rsid w:val="00DD303D"/>
    <w:rsid w:val="00DD30DC"/>
    <w:rsid w:val="00DD3426"/>
    <w:rsid w:val="00DD3F4D"/>
    <w:rsid w:val="00DE4387"/>
    <w:rsid w:val="00DE6A96"/>
    <w:rsid w:val="00DF4849"/>
    <w:rsid w:val="00DF4DFC"/>
    <w:rsid w:val="00DF4EDC"/>
    <w:rsid w:val="00E01C8B"/>
    <w:rsid w:val="00E053EB"/>
    <w:rsid w:val="00E11B67"/>
    <w:rsid w:val="00E12240"/>
    <w:rsid w:val="00E14B81"/>
    <w:rsid w:val="00E2113F"/>
    <w:rsid w:val="00E255CC"/>
    <w:rsid w:val="00E34086"/>
    <w:rsid w:val="00E40EDE"/>
    <w:rsid w:val="00E41779"/>
    <w:rsid w:val="00E4211D"/>
    <w:rsid w:val="00E44FF3"/>
    <w:rsid w:val="00E45945"/>
    <w:rsid w:val="00E45CB1"/>
    <w:rsid w:val="00E5462E"/>
    <w:rsid w:val="00E5608E"/>
    <w:rsid w:val="00E61D77"/>
    <w:rsid w:val="00E66721"/>
    <w:rsid w:val="00E66A54"/>
    <w:rsid w:val="00E7088C"/>
    <w:rsid w:val="00E71F27"/>
    <w:rsid w:val="00E72B3F"/>
    <w:rsid w:val="00E7368A"/>
    <w:rsid w:val="00E7395A"/>
    <w:rsid w:val="00E7463E"/>
    <w:rsid w:val="00E84074"/>
    <w:rsid w:val="00E844CC"/>
    <w:rsid w:val="00E853B5"/>
    <w:rsid w:val="00E858BC"/>
    <w:rsid w:val="00E8611C"/>
    <w:rsid w:val="00E8717C"/>
    <w:rsid w:val="00E871E2"/>
    <w:rsid w:val="00E873EA"/>
    <w:rsid w:val="00E90E35"/>
    <w:rsid w:val="00E90E63"/>
    <w:rsid w:val="00E957BE"/>
    <w:rsid w:val="00EA4BBC"/>
    <w:rsid w:val="00EA583A"/>
    <w:rsid w:val="00EB0FF0"/>
    <w:rsid w:val="00EB12F6"/>
    <w:rsid w:val="00EB229D"/>
    <w:rsid w:val="00EB3C39"/>
    <w:rsid w:val="00EC57F7"/>
    <w:rsid w:val="00EC64FB"/>
    <w:rsid w:val="00ED013A"/>
    <w:rsid w:val="00ED07D5"/>
    <w:rsid w:val="00ED1890"/>
    <w:rsid w:val="00ED1C67"/>
    <w:rsid w:val="00ED68CC"/>
    <w:rsid w:val="00ED73BB"/>
    <w:rsid w:val="00EE3418"/>
    <w:rsid w:val="00EE4B60"/>
    <w:rsid w:val="00EF76C4"/>
    <w:rsid w:val="00EF776B"/>
    <w:rsid w:val="00F01747"/>
    <w:rsid w:val="00F0199A"/>
    <w:rsid w:val="00F041EE"/>
    <w:rsid w:val="00F07F0A"/>
    <w:rsid w:val="00F1603D"/>
    <w:rsid w:val="00F2221F"/>
    <w:rsid w:val="00F232B4"/>
    <w:rsid w:val="00F23F2E"/>
    <w:rsid w:val="00F27DF8"/>
    <w:rsid w:val="00F31F8E"/>
    <w:rsid w:val="00F3375A"/>
    <w:rsid w:val="00F35E96"/>
    <w:rsid w:val="00F360E2"/>
    <w:rsid w:val="00F47128"/>
    <w:rsid w:val="00F54190"/>
    <w:rsid w:val="00F54AD2"/>
    <w:rsid w:val="00F54C9A"/>
    <w:rsid w:val="00F5669A"/>
    <w:rsid w:val="00F64167"/>
    <w:rsid w:val="00F64E3B"/>
    <w:rsid w:val="00F70809"/>
    <w:rsid w:val="00F70861"/>
    <w:rsid w:val="00F71311"/>
    <w:rsid w:val="00F75C59"/>
    <w:rsid w:val="00F850FA"/>
    <w:rsid w:val="00F854D0"/>
    <w:rsid w:val="00F90D71"/>
    <w:rsid w:val="00F933A5"/>
    <w:rsid w:val="00F94A47"/>
    <w:rsid w:val="00F97B3D"/>
    <w:rsid w:val="00FA3930"/>
    <w:rsid w:val="00FA4C84"/>
    <w:rsid w:val="00FB4BC5"/>
    <w:rsid w:val="00FC66A5"/>
    <w:rsid w:val="00FD2AEE"/>
    <w:rsid w:val="00FE1369"/>
    <w:rsid w:val="00FE661C"/>
    <w:rsid w:val="00FF7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DACC"/>
  <w15:docId w15:val="{051BE859-BC46-4165-A525-10F1CB7D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0A3999"/>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lrutexti">
    <w:name w:val="Balloon Text"/>
    <w:basedOn w:val="Venjulegur"/>
    <w:link w:val="BlrutextiStaf"/>
    <w:uiPriority w:val="99"/>
    <w:semiHidden/>
    <w:unhideWhenUsed/>
    <w:rsid w:val="006B5245"/>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6B5245"/>
    <w:rPr>
      <w:rFonts w:ascii="Segoe UI" w:hAnsi="Segoe UI" w:cs="Segoe UI"/>
      <w:sz w:val="18"/>
      <w:szCs w:val="18"/>
      <w:lang w:val="is-IS"/>
    </w:rPr>
  </w:style>
  <w:style w:type="character" w:styleId="Tilvsunathugasemd">
    <w:name w:val="annotation reference"/>
    <w:basedOn w:val="Sjlfgefinleturgermlsgreinar"/>
    <w:uiPriority w:val="99"/>
    <w:semiHidden/>
    <w:unhideWhenUsed/>
    <w:rsid w:val="0007411C"/>
    <w:rPr>
      <w:sz w:val="16"/>
      <w:szCs w:val="16"/>
    </w:rPr>
  </w:style>
  <w:style w:type="paragraph" w:styleId="Textiathugasemdar">
    <w:name w:val="annotation text"/>
    <w:basedOn w:val="Venjulegur"/>
    <w:link w:val="TextiathugasemdarStaf"/>
    <w:uiPriority w:val="99"/>
    <w:semiHidden/>
    <w:unhideWhenUsed/>
    <w:rsid w:val="0007411C"/>
    <w:rPr>
      <w:sz w:val="20"/>
      <w:szCs w:val="20"/>
    </w:rPr>
  </w:style>
  <w:style w:type="character" w:customStyle="1" w:styleId="TextiathugasemdarStaf">
    <w:name w:val="Texti athugasemdar Staf"/>
    <w:basedOn w:val="Sjlfgefinleturgermlsgreinar"/>
    <w:link w:val="Textiathugasemdar"/>
    <w:uiPriority w:val="99"/>
    <w:semiHidden/>
    <w:rsid w:val="0007411C"/>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AB64C7"/>
    <w:rPr>
      <w:b/>
      <w:bCs/>
    </w:rPr>
  </w:style>
  <w:style w:type="character" w:customStyle="1" w:styleId="EfniathugasemdarStaf">
    <w:name w:val="Efni athugasemdar Staf"/>
    <w:basedOn w:val="TextiathugasemdarStaf"/>
    <w:link w:val="Efniathugasemdar"/>
    <w:uiPriority w:val="99"/>
    <w:semiHidden/>
    <w:rsid w:val="00AB64C7"/>
    <w:rPr>
      <w:rFonts w:ascii="Times New Roman" w:hAnsi="Times New Roman"/>
      <w:b/>
      <w:bCs/>
      <w:lang w:val="is-IS"/>
    </w:rPr>
  </w:style>
  <w:style w:type="paragraph" w:styleId="Venjulegtvefur">
    <w:name w:val="Normal (Web)"/>
    <w:basedOn w:val="Venjulegur"/>
    <w:uiPriority w:val="99"/>
    <w:semiHidden/>
    <w:unhideWhenUsed/>
    <w:rsid w:val="00A964E4"/>
    <w:pPr>
      <w:spacing w:before="100" w:beforeAutospacing="1" w:after="100" w:afterAutospacing="1"/>
      <w:ind w:firstLine="0"/>
      <w:jc w:val="left"/>
    </w:pPr>
    <w:rPr>
      <w:rFonts w:eastAsia="Times New Roman"/>
      <w:sz w:val="24"/>
      <w:szCs w:val="24"/>
      <w:lang w:eastAsia="is-IS"/>
    </w:rPr>
  </w:style>
  <w:style w:type="paragraph" w:styleId="Endurskoun">
    <w:name w:val="Revision"/>
    <w:hidden/>
    <w:uiPriority w:val="99"/>
    <w:semiHidden/>
    <w:rsid w:val="009841CD"/>
    <w:rPr>
      <w:rFonts w:ascii="Times New Roman" w:hAnsi="Times New Roman"/>
      <w:sz w:val="21"/>
      <w:szCs w:val="22"/>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39940831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1162938890">
      <w:bodyDiv w:val="1"/>
      <w:marLeft w:val="0"/>
      <w:marRight w:val="0"/>
      <w:marTop w:val="0"/>
      <w:marBottom w:val="0"/>
      <w:divBdr>
        <w:top w:val="none" w:sz="0" w:space="0" w:color="auto"/>
        <w:left w:val="none" w:sz="0" w:space="0" w:color="auto"/>
        <w:bottom w:val="none" w:sz="0" w:space="0" w:color="auto"/>
        <w:right w:val="none" w:sz="0" w:space="0" w:color="auto"/>
      </w:divBdr>
    </w:div>
    <w:div w:id="138891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7388</Words>
  <Characters>42114</Characters>
  <Application>Microsoft Office Word</Application>
  <DocSecurity>0</DocSecurity>
  <Lines>350</Lines>
  <Paragraphs>98</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Hafsteinn S. Hafsteinsson</cp:lastModifiedBy>
  <cp:revision>3</cp:revision>
  <cp:lastPrinted>2023-12-21T09:05:00Z</cp:lastPrinted>
  <dcterms:created xsi:type="dcterms:W3CDTF">2024-01-05T11:35:00Z</dcterms:created>
  <dcterms:modified xsi:type="dcterms:W3CDTF">2024-01-05T11:36:00Z</dcterms:modified>
</cp:coreProperties>
</file>