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195D8" w14:textId="77777777" w:rsidR="002F5113" w:rsidRDefault="00322F12">
      <w:pPr>
        <w:pStyle w:val="MainTitle"/>
        <w:rPr>
          <w:caps/>
        </w:rPr>
      </w:pPr>
      <w:r>
        <w:t>Reglugerð Evrópuþingsins og ráðsins (ESB) 2023/606</w:t>
      </w:r>
    </w:p>
    <w:p w14:paraId="79CE59E7" w14:textId="77777777" w:rsidR="002F5113" w:rsidRDefault="00322F12">
      <w:pPr>
        <w:pStyle w:val="MainTitle"/>
      </w:pPr>
      <w:r>
        <w:t>frá 15. mars 2023</w:t>
      </w:r>
    </w:p>
    <w:p w14:paraId="7C5BFC55" w14:textId="77777777" w:rsidR="002F5113" w:rsidRDefault="00322F12">
      <w:pPr>
        <w:pStyle w:val="MainTitle"/>
        <w:spacing w:after="360"/>
      </w:pPr>
      <w:r>
        <w:t>um breytingu á reglugerð (ESB) 2015/760 að því er varðar kröfur um fjárfestingarstefnu og rekstrarskilyrði evrópskra langtímafjárfestingarsjóða og gildissvið hæfra fjárfestingareigna, kröfur um samsetningu og fjölbreytileika eignasafna og lántöku í reiðufé og aðrar sjóðsreglur</w:t>
      </w:r>
    </w:p>
    <w:p w14:paraId="6FEC4E2C" w14:textId="77777777" w:rsidR="002F5113" w:rsidRDefault="00322F12">
      <w:pPr>
        <w:pStyle w:val="PreambleInit"/>
      </w:pPr>
      <w:r>
        <w:t>EVRÓPUÞINGIÐ OG RÁÐ EVRÓPUSAMBANDSINS HAFA,</w:t>
      </w:r>
    </w:p>
    <w:p w14:paraId="577FF395" w14:textId="77777777" w:rsidR="002F5113" w:rsidRDefault="00322F12">
      <w:pPr>
        <w:pStyle w:val="Para"/>
      </w:pPr>
      <w:r>
        <w:t>með hliðsjón af sáttmálanum um starfshætti Evrópusambandsins, einkum 114. gr.,</w:t>
      </w:r>
    </w:p>
    <w:p w14:paraId="62B06FDF" w14:textId="77777777" w:rsidR="002F5113" w:rsidRDefault="00322F12">
      <w:pPr>
        <w:pStyle w:val="Para"/>
      </w:pPr>
      <w:r>
        <w:t>með hliðsjón af tillögu framkvæmdastjórnar Evrópusambandsins,</w:t>
      </w:r>
    </w:p>
    <w:p w14:paraId="25C0A890" w14:textId="77777777" w:rsidR="002F5113" w:rsidRDefault="00322F12">
      <w:pPr>
        <w:pStyle w:val="Para"/>
        <w:rPr>
          <w:szCs w:val="18"/>
        </w:rPr>
      </w:pPr>
      <w:r>
        <w:t>eftir að hafa lagt drög að lagagerð fyrir þjóðþingin,</w:t>
      </w:r>
    </w:p>
    <w:p w14:paraId="6B0F5B06" w14:textId="77777777" w:rsidR="002F5113" w:rsidRDefault="00322F12">
      <w:pPr>
        <w:pStyle w:val="Para"/>
        <w:rPr>
          <w:szCs w:val="18"/>
        </w:rPr>
      </w:pPr>
      <w:r>
        <w:t>með hliðsjón af áliti efnahags- og félagsmálanefndar Evrópusambandsins (</w:t>
      </w:r>
      <w:bookmarkStart w:id="0" w:name="NOTE_1"/>
      <w:r>
        <w:rPr>
          <w:rStyle w:val="FootnoteReference"/>
          <w:sz w:val="18"/>
          <w:szCs w:val="18"/>
        </w:rPr>
        <w:footnoteReference w:id="2"/>
      </w:r>
      <w:bookmarkEnd w:id="0"/>
      <w:r>
        <w:t>),</w:t>
      </w:r>
    </w:p>
    <w:p w14:paraId="4723F6A8" w14:textId="77777777" w:rsidR="002F5113" w:rsidRDefault="00322F12">
      <w:pPr>
        <w:pStyle w:val="Para"/>
        <w:rPr>
          <w:szCs w:val="18"/>
        </w:rPr>
      </w:pPr>
      <w:r>
        <w:t>í samræmi við almenna lagasetningarmeðferð (</w:t>
      </w:r>
      <w:bookmarkStart w:id="1" w:name="NOTE_2"/>
      <w:r>
        <w:rPr>
          <w:rStyle w:val="FootnoteReference"/>
          <w:sz w:val="18"/>
          <w:szCs w:val="18"/>
        </w:rPr>
        <w:footnoteReference w:id="3"/>
      </w:r>
      <w:bookmarkEnd w:id="1"/>
      <w:r>
        <w:t>),</w:t>
      </w:r>
    </w:p>
    <w:p w14:paraId="49BA6013" w14:textId="77777777" w:rsidR="002F5113" w:rsidRDefault="00322F12">
      <w:pPr>
        <w:pStyle w:val="Para"/>
        <w:rPr>
          <w:szCs w:val="18"/>
        </w:rPr>
      </w:pPr>
      <w:r>
        <w:t>og að teknu tilliti til eftirfarandi:</w:t>
      </w:r>
    </w:p>
    <w:p w14:paraId="0E0498F7" w14:textId="77777777" w:rsidR="002F5113" w:rsidRDefault="00322F12">
      <w:pPr>
        <w:pStyle w:val="Consid"/>
        <w:rPr>
          <w:szCs w:val="18"/>
        </w:rPr>
      </w:pPr>
      <w:r>
        <w:t>1)</w:t>
      </w:r>
      <w:r>
        <w:tab/>
        <w:t>Frá því að reglugerð Evrópuþingsins og ráðsins (ESB) 2015/760 (</w:t>
      </w:r>
      <w:bookmarkStart w:id="2" w:name="NOTE_3"/>
      <w:r>
        <w:rPr>
          <w:rStyle w:val="FootnoteReference"/>
          <w:sz w:val="18"/>
          <w:szCs w:val="18"/>
        </w:rPr>
        <w:footnoteReference w:id="4"/>
      </w:r>
      <w:bookmarkEnd w:id="2"/>
      <w:r>
        <w:t>) var samþykkt hafa einungis fáir evrópskir langtímafjárfestingarsjóðir fengið starfsleyfi. Samanlögð hrein eign þessara sjóða var metin u.þ.b. 2 400 000 000 evrur árið 2021.</w:t>
      </w:r>
    </w:p>
    <w:p w14:paraId="616CE9F6" w14:textId="77777777" w:rsidR="002F5113" w:rsidRDefault="00322F12">
      <w:pPr>
        <w:pStyle w:val="Consid"/>
        <w:rPr>
          <w:szCs w:val="18"/>
        </w:rPr>
      </w:pPr>
      <w:r>
        <w:t>2)</w:t>
      </w:r>
      <w:r>
        <w:tab/>
        <w:t>Fyrirliggjandi markaðsgögn gefa til kynna að hlutur evrópskra langtímafjárfestingarsjóða hafi ekki aukist eins og búist var við þrátt fyrir áherslu Sambandsins á að efla langtímafjármögnun í Sambandinu.</w:t>
      </w:r>
    </w:p>
    <w:p w14:paraId="2A585EFB" w14:textId="77777777" w:rsidR="002F5113" w:rsidRDefault="00322F12">
      <w:pPr>
        <w:pStyle w:val="Consid"/>
        <w:spacing w:after="0"/>
      </w:pPr>
      <w:r>
        <w:t>3)</w:t>
      </w:r>
      <w:r>
        <w:tab/>
        <w:t xml:space="preserve">Tiltekin einkenni markaðar evrópskra langtímafjárfestingarsjóða, þ.m.t. fáir sjóðir, lítil hrein eign, fá </w:t>
      </w:r>
      <w:proofErr w:type="spellStart"/>
      <w:r>
        <w:t>lögsagnarumdæmi</w:t>
      </w:r>
      <w:proofErr w:type="spellEnd"/>
      <w:r>
        <w:t xml:space="preserve"> þar sem evrópskir langtímafjárfestingarsjóðir hafa staðfestu og samsetning eignasafns sem hallast í átt að tilteknum flokkum hæfra fjárfestinga sýna fram á </w:t>
      </w:r>
      <w:proofErr w:type="spellStart"/>
      <w:r>
        <w:t>samþjappað</w:t>
      </w:r>
      <w:proofErr w:type="spellEnd"/>
      <w:r>
        <w:t xml:space="preserve"> eðli þess markaðar, bæði landfræðilega og með tilliti til fjárfestingartegundar. Enn fremur virðist vera skortur á vitund og fjármálalæsi og umfram allt lítið traust og áreiðanleiki að því er varðar fjármálageirann, sem þarf að yfirstíga til að gera evrópska langtímafjárfestingarsjóði aðgengilegri og vinsælli meðal almennra fjárfesta. Því er nauðsynlegt að endurskoða framkvæmd lagaramma um starfsemi evrópskra langtímafjárfestingarsjóða til að tryggja að fleiri fjárfestingum sé beint til fyrirtækja sem þarfnast fjármagns og til langtímafjárfestingarverkefna.</w:t>
      </w:r>
      <w:r>
        <w:br w:type="page"/>
      </w:r>
    </w:p>
    <w:p w14:paraId="1B408A25" w14:textId="77777777" w:rsidR="002F5113" w:rsidRDefault="00322F12">
      <w:pPr>
        <w:pStyle w:val="Consid"/>
      </w:pPr>
      <w:r>
        <w:lastRenderedPageBreak/>
        <w:t>4)</w:t>
      </w:r>
      <w:r>
        <w:tab/>
        <w:t xml:space="preserve">Sem stendur er markmið reglugerðar (ESB) 2015/760 að beina fjármagni til evrópskra langtímafjárfestinga í raunhagkerfi Sambandsins. Þar af leiðandi getur komið fyrir að meirihluti eigna og fjárfestinga evrópsks langtímafjárfestingarsjóðs, eða helsta tekju- eða hagnaðarmyndun slíkra eigna og fjárfestinga, sé staðsettur innan Sambandsins. Hins vegar geta langtímafjárfestingar í verkefnum, fyrirtækjum og innviðaverkefnum í þriðju löndum einnig veitt fjármagni til evrópskra langtímafjárfestingarsjóða og verið til hagsbóta fyrir hagkerfi Sambandsins. Slíkur ávinningur getur skapast á marga vegu, þ.m.t. með fjárfestingum sem stuðla að þróun landamærasvæða, efla samvinnu á sviði viðskipta, fjármála og tækni og greiða fyrir fjárfestingum í verkefnum á sviði umhverfismála og sjálfbærrar orku. Í raun verða tilteknar langtímaeignir og fjárfestingar, sem koma raunhagkerfi Sambandsins til góða, óhjákvæmilega staðsettar í þriðju löndum, t.d. </w:t>
      </w:r>
      <w:proofErr w:type="spellStart"/>
      <w:r>
        <w:t>neðansjávarljósleiðarar</w:t>
      </w:r>
      <w:proofErr w:type="spellEnd"/>
      <w:r>
        <w:t xml:space="preserve"> sem tengja Evrópu við aðrar heimsálfur, bygging miðstöðva fyrir fljótandi jarðgas og tengdra innviða eða fjárfestingar yfir landamæri í orkuverum og starfsstöðvum sem nýta endurnýjanlega orku sem stuðla að viðnámi raforkudreifikerfis og orkuöryggi Sambandsins. Þar eð fjárfestingar í fjárfestingarhæfum fyrirtækjum og hæfum eignum í þriðja landi geta haft ávinning í för með sér fyrir fjárfesta og rekstraraðila evrópskra langtímafjárfestingarsjóða, sem og fyrir hagkerfi, innviði, loftslags- og umhverfislega sjálfbærni og borgara slíkra þriðju landa, ætti reglugerð (ESB) 2015/760 ekki að koma í veg fyrir að meirihluti eigna og fjárfestinga evrópskra langtímafjárfestingarsjóða, eða helstu tekjur eða hagnaður af slíkum eignum og fjárfestingum, sé staðsettur í þriðja landi.</w:t>
      </w:r>
    </w:p>
    <w:p w14:paraId="16006172" w14:textId="77777777" w:rsidR="002F5113" w:rsidRDefault="00322F12">
      <w:pPr>
        <w:pStyle w:val="Consid"/>
      </w:pPr>
      <w:r>
        <w:t>5)</w:t>
      </w:r>
      <w:r>
        <w:tab/>
        <w:t xml:space="preserve">Til samræmis við það og einnig með hliðsjón af möguleikum evrópskra langtímafjárfestingarsjóða til að greiða fyrir langtímafjárfestingum í m.a. orku-, samgöngu- og félagslegum innviðum og atvinnusköpun og til að stuðla að því að Grænt samkomulag í Evrópu náist ætti að breyta reglugerð (ESB) 2015/760 þannig að markmið hennar sé að greiða fyrir öflun og dreifingu fjármagns til langtímafjárfestinga í raunhagkerfinu, þ.m.t. til fjárfestinga sem stuðla að Grænu samkomulagi í Evrópu og öðrum forgangssviðum, og tryggja að fjármagnsstreymi sé beint í verkefni sem leiða hagkerfi Sambandsins í átt að </w:t>
      </w:r>
      <w:proofErr w:type="spellStart"/>
      <w:r>
        <w:t>snjallhagvexti</w:t>
      </w:r>
      <w:proofErr w:type="spellEnd"/>
      <w:r>
        <w:t>, sjálfbærum hagvexti og hagvexti fyrir alla.</w:t>
      </w:r>
    </w:p>
    <w:p w14:paraId="27A70824" w14:textId="77777777" w:rsidR="002F5113" w:rsidRDefault="00322F12">
      <w:pPr>
        <w:pStyle w:val="Consid"/>
      </w:pPr>
      <w:r>
        <w:t>6)</w:t>
      </w:r>
      <w:r>
        <w:tab/>
        <w:t>Nauðsynlegt er að auka sveigjanleika eignastýringaraðila til að fjárfesta í fjölbreyttum flokkum eigna. Eignir ættu því að teljast mynda flokk hæfra eigna að því tilskildu að þessar eignir hafi verðgildi vegna eðlis síns eða gerðar sinnar. Til slíkra eigna teljast fasteignir, s.s. fjarskipta-, umhverfis-, orku- eða samgönguinnviðir, félagslegir innviðir, þ.m.t. dvalarheimili eða sjúkrahús, auk innviða fyrir menntun, heilbrigðis- og velferðarþjónustu eða iðnaðaraðstöðu, mannvirki og aðrar eignir, þ.m.t. hugverkaréttindi, skip, tæki, vélar, loftför eða járnbrautarvagnar.</w:t>
      </w:r>
    </w:p>
    <w:p w14:paraId="4DF0099F" w14:textId="77777777" w:rsidR="002F5113" w:rsidRDefault="00322F12">
      <w:pPr>
        <w:pStyle w:val="Consid"/>
      </w:pPr>
      <w:r>
        <w:t>7)</w:t>
      </w:r>
      <w:r>
        <w:tab/>
        <w:t xml:space="preserve">Fjárfestingar í atvinnuhúsnæði, aðstöðu eða mannvirkjum fyrir menntun, ráðgjöf, rannsóknir, þróun, þ.m.t. innviðum og öðrum eignum sem leiða til efnahagslegs eða félagslegs ávinnings, íþróttamannvirkjum eða íbúðarhúsnæði, þ.m.t. </w:t>
      </w:r>
      <w:proofErr w:type="spellStart"/>
      <w:r>
        <w:t>hjúkrunar</w:t>
      </w:r>
      <w:proofErr w:type="spellEnd"/>
      <w:r>
        <w:t xml:space="preserve">- og dvalarheimilum eða félagslegu húsnæði, ættu einnig að teljast vera hæfar fjárfestingar í eignum vegna getu slíkra eigna til að stuðla að markmiðinu um </w:t>
      </w:r>
      <w:proofErr w:type="spellStart"/>
      <w:r>
        <w:t>snjallhagvöxt</w:t>
      </w:r>
      <w:proofErr w:type="spellEnd"/>
      <w:r>
        <w:t>, sjálfbæran hagvöxt og hagvöxt fyrir alla. Til að hægt sé að koma fjárfestingaráætlunum í framkvæmd á svæðum þar sem beinar fjárfestingar í eignum eru ekki mögulegar eða óhagkvæmar ættu hæfar fjárfestingar í eignum einnig að ná yfir fjárfestingar í vatns-, skógar-, byggingar- og jarðefnaréttindum.</w:t>
      </w:r>
    </w:p>
    <w:p w14:paraId="0CADE99D" w14:textId="77777777" w:rsidR="002F5113" w:rsidRDefault="00322F12">
      <w:pPr>
        <w:pStyle w:val="Consid"/>
      </w:pPr>
      <w:r>
        <w:t>8)</w:t>
      </w:r>
      <w:r>
        <w:tab/>
        <w:t>Líta ber svo á að listaverk, handrit, vínbirgðir, skartgripir eða aðrar eignir sem eru í sjálfu sér ekki langtímafjárfestingar í raunhagkerfinu teljist ekki vera hæfar fjárfestingareignir.</w:t>
      </w:r>
    </w:p>
    <w:p w14:paraId="06E7DF24" w14:textId="77777777" w:rsidR="002F5113" w:rsidRDefault="00322F12">
      <w:pPr>
        <w:pStyle w:val="Consid"/>
        <w:spacing w:after="0"/>
        <w:rPr>
          <w:szCs w:val="18"/>
        </w:rPr>
      </w:pPr>
      <w:r>
        <w:t>9)</w:t>
      </w:r>
      <w:r>
        <w:tab/>
        <w:t>Nauðsynlegt er að gera evrópska langtímafjárfestingarsjóði eftirsóknarverðari fyrir eignastýringaraðila og auka úrval fjárfestingaráætlana sem rekstraraðilum evrópskra langtímafjárfestingarsjóða stendur til boða til að forðast óþarfa takmörkun á hvað teljast hæfar eignir og fjárfestingarstarfsemi evrópskra langtímafjárfestingarsjóða. Hæfi eigna ætti ekki að ráðast af eðli þeirra og markmiðum eða af umhverfislegum, félagslegum eða stjórnunarlegum þáttum og tengdri upplýsingagjöf um sjálfbærni og sambærilegum skilyrðum sem falla nú þegar undir reglugerðir Evrópuþingsins og ráðsins (ESB) 2019/2088 (</w:t>
      </w:r>
      <w:bookmarkStart w:id="3" w:name="NOTE_4"/>
      <w:r>
        <w:rPr>
          <w:rStyle w:val="FootnoteReference"/>
          <w:sz w:val="18"/>
          <w:szCs w:val="18"/>
        </w:rPr>
        <w:footnoteReference w:id="5"/>
      </w:r>
      <w:bookmarkEnd w:id="3"/>
      <w:r>
        <w:t>) og (ESB) 2020/852 (</w:t>
      </w:r>
      <w:bookmarkStart w:id="4" w:name="NOTE_5"/>
      <w:r>
        <w:rPr>
          <w:rStyle w:val="FootnoteReference"/>
          <w:sz w:val="18"/>
          <w:szCs w:val="18"/>
        </w:rPr>
        <w:footnoteReference w:id="6"/>
      </w:r>
      <w:bookmarkEnd w:id="4"/>
      <w:r>
        <w:t>). Engu að síður falla evrópskir langtímafjárfestingarsjóðir áfram undir skuldbindingar sem leiða af reglugerð (ESB) 2019/2088 um upplýsingagjöf sem tengist sjálfbærni. Einkum, ef evrópskir langtímafjárfestingarsjóðir annaðhvort stuðla að umhverfislegum eða félagslegum einkennum eða hafa sjálfbæra fjárfestingu að markmiði, verða þeir að uppfylla kröfurnar um upplýsingagjöf sem eru settar fram í 8. og 9. gr. reglugerðar (ESB) 2019/2088, eftir því sem við á, sem fela í sér ítarlegar kröfur um gagnsæi í upplýsingagjöf áður en samningur er gerður.</w:t>
      </w:r>
      <w:r>
        <w:br w:type="page"/>
      </w:r>
    </w:p>
    <w:p w14:paraId="086816E9" w14:textId="77777777" w:rsidR="002F5113" w:rsidRDefault="00322F12">
      <w:pPr>
        <w:pStyle w:val="Consid"/>
      </w:pPr>
      <w:r>
        <w:lastRenderedPageBreak/>
        <w:t>10)</w:t>
      </w:r>
      <w:r>
        <w:tab/>
        <w:t>Til að ýta undir flæði einkafjármagns til umhverfissjálfbærari fjárfestinga ætti að taka skýrt fram að evrópskir langtímafjárfestingarsjóðir geta einnig fjárfest í grænum skuldabréfum. Um leið ætti einnig að tryggja að evrópskir langtímafjárfestingarsjóðir miði að langtímafjárfestingum og að farið sé að kröfum reglugerðar (ESB) 2015/760 varðandi hæfar fjárfestingareignir. Græn skuldabréf sem uppfylla þessar hæfiskröfur og eru gefin út samkvæmt reglugerð Evrópuþingsins og ráðsins um evrópsk græn skuldabréf ættu því ótvírætt að vera á listanum yfir hæfar fjárfestingareignir.</w:t>
      </w:r>
    </w:p>
    <w:p w14:paraId="1C43B047" w14:textId="77777777" w:rsidR="002F5113" w:rsidRDefault="00322F12">
      <w:pPr>
        <w:pStyle w:val="Consid"/>
      </w:pPr>
      <w:r>
        <w:t>11)</w:t>
      </w:r>
      <w:r>
        <w:tab/>
        <w:t xml:space="preserve">Til að bæta aðgengi fjárfesta að nýrri og fullkomnari upplýsingum um markaði evrópskra langtímafjárfestingarsjóða er nauðsynlegt að auka </w:t>
      </w:r>
      <w:proofErr w:type="spellStart"/>
      <w:r>
        <w:t>sundurgreinanleika</w:t>
      </w:r>
      <w:proofErr w:type="spellEnd"/>
      <w:r>
        <w:t xml:space="preserve"> og tímanleika miðlægu opinberu skrárinnar sem kveðið er á um í reglugerð (ESB) 2015/760. Þessi skrá ætti því að innihalda viðbótarupplýsingar við þær upplýsingar sem hún hefur þegar að geyma og, ef þau eru tiltæk, auðkenni lögaðila (LEI-auðkenni) og </w:t>
      </w:r>
      <w:proofErr w:type="spellStart"/>
      <w:r>
        <w:t>landsauðkenniskóða</w:t>
      </w:r>
      <w:proofErr w:type="spellEnd"/>
      <w:r>
        <w:t xml:space="preserve"> evrópsks langtímafjárfestingarsjóðs, heiti, heimilisfang og LEI-auðkenni rekstraraðila evrópska langtímafjárfestingarsjóðsins, ISIN-númer evrópska langtímafjárfestingarsjóðsins og sérhverrar sjálfstæðrar einingar eða hlutabréfaflokks hans, </w:t>
      </w:r>
      <w:proofErr w:type="spellStart"/>
      <w:r>
        <w:t>lögbærs</w:t>
      </w:r>
      <w:proofErr w:type="spellEnd"/>
      <w:r>
        <w:t xml:space="preserve"> yfirvalds evrópska langtímafjárfestingarsjóðsins og heimaaðildarríkis hans, aðildarríki þar sem evrópskur langtímafjárfestingarsjóður er markaðssettur, hvort hægt sé að markaðssetja evrópska langtímafjárfestingarsjóðinn til almennra fjárfesta eða aðeins til fagfjárfesta, dagsetningu starfsleyfis evrópska langtímafjárfestingarsjóðsins og dagsetninguna þegar markaðssetning evrópska langtímafjárfestingarsjóðsins hófst.</w:t>
      </w:r>
    </w:p>
    <w:p w14:paraId="6BCE6024" w14:textId="77777777" w:rsidR="002F5113" w:rsidRDefault="00322F12">
      <w:pPr>
        <w:pStyle w:val="Consid"/>
      </w:pPr>
      <w:r>
        <w:t>12)</w:t>
      </w:r>
      <w:r>
        <w:tab/>
        <w:t xml:space="preserve">Hægt er að gera fjárfestingar evrópskra langtímafjárfestingarsjóða í gegnum milliliði, þ.m.t. félög með sérstakan tilgang og verðbréfun eða safnskráningarfélög eða eignarhaldsfélög. Eins og stendur kveða ákvæði reglugerðar (ESB) 2015/760 á um að fjárfestingar í </w:t>
      </w:r>
      <w:proofErr w:type="spellStart"/>
      <w:r>
        <w:t>eiginfjárgerningum</w:t>
      </w:r>
      <w:proofErr w:type="spellEnd"/>
      <w:r>
        <w:t xml:space="preserve"> eða ígildi </w:t>
      </w:r>
      <w:proofErr w:type="spellStart"/>
      <w:r>
        <w:t>eiginfjárgerninga</w:t>
      </w:r>
      <w:proofErr w:type="spellEnd"/>
      <w:r>
        <w:t xml:space="preserve"> í fjárfestingarhæfum fyrirtækjum eigi sér aðeins stað þar sem þessi fyrirtæki eru dótturfélög í meirihlutaeigu, sem takmarkar grundvallargildissvið hæfra eigna umtalsvert. Evrópskir langtímafjárfestingarsjóðir ættu því almennt að geta lagt í sameiginlegar minnihlutafjárfestingar í fjárfestingartækifærum. Þessi valkostur ætti að veita evrópskum langtímafjárfestingarsjóði aukinn sveigjanleika við framkvæmd fjárfestingaráætlana, laða fleiri fjárfesta að fjárfestingarverkefnum og auka úrval hugsanlegra hæfra markeigna, sem er allt nauðsynlegt fyrir framkvæmd áætlana um óbeinar fjárfestingar.</w:t>
      </w:r>
    </w:p>
    <w:p w14:paraId="674B48CD" w14:textId="77777777" w:rsidR="002F5113" w:rsidRDefault="00322F12">
      <w:pPr>
        <w:pStyle w:val="Consid"/>
      </w:pPr>
      <w:r>
        <w:t>13)</w:t>
      </w:r>
      <w:r>
        <w:tab/>
        <w:t xml:space="preserve">Vegna áhyggna af því að sjóðasjóðaáætlanir geti leitt til fjárfestinga sem falla ekki undir gildissvið hæfra fjárfestingareigna inniheldur reglugerð (ESB) 2015/760 eins og stendur takmarkanir á fjárfestingum í öðrum sjóðum á öllum líftíma evrópsks langtímafjárfestingarsjóðs. Hins vegar eru áætlanir um sjóðasjóði algeng og afar skilvirk leið til að ná skjótri áhættuskuldbindingu gagnvart illseljanlegum eignum, einkum í tengslum við fasteignir og með tilliti til fullgreiddra samsetninga á höfuðstól. Því er nauðsynlegt að gefa evrópskum langtímafjárfestingarsjóðum tækifæri til að fjárfesta í öðrum sjóðum til að gera þeim kleift að tryggja að fjármagn komist hraðar í notkun. Ef fjárfestingar evrópskra langtímafjárfestingarsjóða í sjóðasjóðum eru auðveldaðar myndi það einnig gera kleift að endurfjárfesta umframreiðufé í sjóðum, þar sem mismunandi fjárfestingar með ólíka gjalddaga gætu lækkað hlutfall eignasafns evrópsks langtímafjárfestingarsjóðs sem er fjárfest í lausafé (e. </w:t>
      </w:r>
      <w:proofErr w:type="spellStart"/>
      <w:r>
        <w:rPr>
          <w:i/>
          <w:iCs/>
        </w:rPr>
        <w:t>cash</w:t>
      </w:r>
      <w:proofErr w:type="spellEnd"/>
      <w:r>
        <w:rPr>
          <w:i/>
          <w:iCs/>
        </w:rPr>
        <w:t xml:space="preserve"> drag</w:t>
      </w:r>
      <w:r>
        <w:t xml:space="preserve">). Því er nauðsynlegt að útvíkka hæfi áætlana um sjóðasjóði fyrir rekstraraðila evrópskra langtímafjárfestingarsjóða til að ná yfir fleira en fjárfestingar í evrópskum áhættufjármagnssjóðum eða evrópskum félagslegum framtakssjóðum. Því ætti að víkka út þá flokka sjóða um sameiginlegar fjárfestingar sem evrópskir langtímafjárfestingarsjóðir geta fjárfest í, þannig að þeir nái yfir verðbréfasjóði og einnig sérhæfða sjóði innan ESB, sem rekstraraðilar sérhæfðra sjóða innan ESB stýra. Til að tryggja skilvirka fjárfestavernd er þó einnig nauðsynlegt að kveða á um að þegar evrópskur langtímafjárfestingarsjóður fjárfestir í öðrum evrópskum langtímafjárfestingarsjóði, evrópskum áhættufjármagnssjóði, evrópskum félagslegum framtakssjóði, verðbréfasjóði eða sérhæfðum sjóði innan ESB, sem rekstraraðili sérhæfðs sjóðs innan ESB stýrir, ættu þessir sjóðir um sameiginlega fjárfestingu einnig að fjárfesta í hæfum fjárfestingum og að hafa ekki sjálfir fjárfest meira en 10% hlutafjár síns í neinum öðrum sjóði um sameiginlega fjárfestingu. Til að koma í veg fyrir að farið sé </w:t>
      </w:r>
      <w:proofErr w:type="spellStart"/>
      <w:r>
        <w:t>framhjá</w:t>
      </w:r>
      <w:proofErr w:type="spellEnd"/>
      <w:r>
        <w:t xml:space="preserve"> þessum reglum og tryggja að evrópskir langtímafjárfestingarsjóðir hlíti, á grundvelli samanlagðs eignasafns, reglugerð (ESB) 2015/760, ætti að leggja eigna- og reiðufjárlántökustöðu evrópskra langtímafjárfestingarsjóða saman við stöðu sjóða um sameiginlegar fjárfestingar sem evrópskir langtímafjárfestingarsjóðir hafa fjárfest í, til að leggja mat á </w:t>
      </w:r>
      <w:proofErr w:type="spellStart"/>
      <w:r>
        <w:t>hlítni</w:t>
      </w:r>
      <w:proofErr w:type="spellEnd"/>
      <w:r>
        <w:t xml:space="preserve"> evrópskra langtímafjárfestingarsjóða við kröfur um samsetningu og fjölbreytileika eignasafns, sem og við lántökutakmarkanir.</w:t>
      </w:r>
    </w:p>
    <w:p w14:paraId="4E34C6E6" w14:textId="77777777" w:rsidR="002F5113" w:rsidRDefault="00322F12">
      <w:pPr>
        <w:pStyle w:val="Consid"/>
        <w:spacing w:after="0"/>
      </w:pPr>
      <w:r>
        <w:t>14)</w:t>
      </w:r>
      <w:r>
        <w:tab/>
        <w:t xml:space="preserve">Eins og er gera ákvæði reglugerðar (ESB) 2015/760 kröfu um að hæfar fjárfestingareignir, ef þær eru stakar eignir, séu að minnsta kosti 10 000 000 evrur að verðmæti. Hins vegar eru eignasöfn oft samansett af fjölda stakra eigna sem hafa umtalsvert lægra verðmæti en 10 000 000 evrur. Því ætti að fella brott kröfuna um lágmarksverðmæti stakra eigna. Gert er ráð fyrir að </w:t>
      </w:r>
      <w:proofErr w:type="spellStart"/>
      <w:r>
        <w:t>brottfelling</w:t>
      </w:r>
      <w:proofErr w:type="spellEnd"/>
      <w:r>
        <w:t xml:space="preserve"> þessarar ónauðsynlegu kröfu muni stuðla að auknum fjölbreytileika fjárfestingasafna og ýta undir árangursríkari fjárfestingar evrópskra langtímafjárfestingarsjóða í eignum en gera einnig kleift að taka tillit til mismunandi þróunar </w:t>
      </w:r>
      <w:proofErr w:type="spellStart"/>
      <w:r>
        <w:t>langtímafjárfestingagerninga</w:t>
      </w:r>
      <w:proofErr w:type="spellEnd"/>
      <w:r>
        <w:t xml:space="preserve"> í aðildarríkjunum.</w:t>
      </w:r>
      <w:r>
        <w:br w:type="page"/>
      </w:r>
    </w:p>
    <w:p w14:paraId="59BF4B02" w14:textId="77777777" w:rsidR="002F5113" w:rsidRDefault="00322F12">
      <w:pPr>
        <w:pStyle w:val="Consid"/>
        <w:rPr>
          <w:szCs w:val="18"/>
        </w:rPr>
      </w:pPr>
      <w:r>
        <w:lastRenderedPageBreak/>
        <w:t>15)</w:t>
      </w:r>
      <w:r>
        <w:tab/>
        <w:t xml:space="preserve">Nauðsynlegt er að útvíkka umfang hæfra fjárfestingareigna og stuðla að fjárfestingum evrópskra langtímafjárfestingarsjóða í </w:t>
      </w:r>
      <w:proofErr w:type="spellStart"/>
      <w:r>
        <w:t>verðbréfuðum</w:t>
      </w:r>
      <w:proofErr w:type="spellEnd"/>
      <w:r>
        <w:t xml:space="preserve"> eignum. Því ætti að koma skýrt fram að þar sem undirliggjandi eignir samanstanda af langtímaáhættuskuldbindingum, ættu hæfar fjárfestingareignir einnig að innihalda einfalda, gagnsæja og staðlaða verðbréfun eins og um getur í 18. gr. reglugerðar Evrópuþingsins og ráðsins (ESB) 2017/2402 (</w:t>
      </w:r>
      <w:bookmarkStart w:id="5" w:name="NOTE_6"/>
      <w:r>
        <w:rPr>
          <w:rStyle w:val="FootnoteReference"/>
          <w:sz w:val="18"/>
          <w:szCs w:val="18"/>
        </w:rPr>
        <w:footnoteReference w:id="7"/>
      </w:r>
      <w:bookmarkEnd w:id="5"/>
      <w:r>
        <w:t>). Þessar langtímaáhættuskuldbindingar samanstanda af verðbréfunum íbúðalána sem eru tryggð með veði, einu eða fleiri, í íbúðarhúsnæði (verðbréf, tryggð með fasteignaveði í íbúðarhúsnæði), viðskiptalána sem eru tryggð með veði, einu eða fleiri, í viðskiptahúsnæði, fyrirtækjaláns, þ.m.t. lána til lítilla og meðalstórra fyrirtækja, og viðskiptakrafna eða annarra undirliggjandi áhættuskuldbindinga sem upphafsaðilinn telur vera sérstaka tegund eigna, að því tilskildu að ávinningur af verðbréfun þessara viðskiptakrafna eða annarra undirliggjandi áhættuskuldbindinga sé notaður til að fjármagna eða endurfjármagna langtímafjárfestingar.</w:t>
      </w:r>
    </w:p>
    <w:p w14:paraId="1AAD6352" w14:textId="77777777" w:rsidR="002F5113" w:rsidRDefault="00322F12">
      <w:pPr>
        <w:pStyle w:val="Consid"/>
        <w:rPr>
          <w:szCs w:val="18"/>
        </w:rPr>
      </w:pPr>
      <w:r>
        <w:t>16)</w:t>
      </w:r>
      <w:r>
        <w:tab/>
        <w:t xml:space="preserve">Eins og stendur kemur reglugerð (ESB) 2015/760 í veg fyrir fjárfestingar evrópskra langtímafjárfestingarsjóða í lánastofnunum, verðbréfafyrirtækjum, </w:t>
      </w:r>
      <w:proofErr w:type="spellStart"/>
      <w:r>
        <w:t>vátryggingafélögum</w:t>
      </w:r>
      <w:proofErr w:type="spellEnd"/>
      <w:r>
        <w:t xml:space="preserve"> og öðrum fyrirtækjum á fjármálamarkaði. Þó gætu nýsköpunarfyrirtæki á fjármálamarkaði sem hafa nýlega fengið leyfi, svo sem fjártæknifyrirtæki ( e. </w:t>
      </w:r>
      <w:proofErr w:type="spellStart"/>
      <w:r>
        <w:rPr>
          <w:i/>
          <w:iCs/>
        </w:rPr>
        <w:t>FinTechs</w:t>
      </w:r>
      <w:proofErr w:type="spellEnd"/>
      <w:r>
        <w:t xml:space="preserve">), gegnt mikilvægu hlutverki við að efla stafrænar nýjungar, heildarárangur fjármálamarkaða Sambandsins og atvinnusköpun og við að stuðla að viðnámsþrótti og stöðugleika fjármálainnviða Sambandsins og sambands fjármagnsmarkaða. Slík fyrirtæki á fjármálamarkaði hanna, þróa eða bjóða nýsköpunarvörur eða -tækni sem miðar að því að gera fyrirliggjandi viðskiptalíkön, ferla, forrit og vörur sjálfvirk eða bæta þau, eða leiða til nýrra viðskiptalíkana, ferla, forrita og vara, og geta þar með verið til hagsbóta fyrir fjármálamarkaði Sambandsins, fjármálastofnanir og veitingu fjármálaþjónustu til fjármálastofnana, fyrirtækja eða neytenda. Slík fyrirtæki á fjármálamarkaði gera einnig tiltekna </w:t>
      </w:r>
      <w:proofErr w:type="spellStart"/>
      <w:r>
        <w:t>reglusetningar</w:t>
      </w:r>
      <w:proofErr w:type="spellEnd"/>
      <w:r>
        <w:t>- eða eftirlitsferla skilvirkari og árangursríkari eða færa regluvörslu við reglusetningu eða eftirlit til nútímahorfs í fjármálastofnunum eða stofnunum sem eru ekki fjármálastofnanir. Því er æskilegt að reglugerð (ESB) 2015/760 sé breytt til að heimila evrópskum langtímafjárfestingarsjóðum að fjárfesta í nýsköpunarfyrirtækjum á fjármálamarkaði sem nýlega hafa fengið starfsleyfi. Þar sem sviðið er lifandi og í hraðri þróun ætti að heimila evrópskum langtímafjárfestingarsjóðum að fjárfesta í öðrum fyrirtækjum á fjármálamarkaði en eignarhaldsfélögum á fjármálasviði eða blönduðum eignarhaldsfélögum, sem eru eftirlitsskyldir aðilar með starfsleyfi eða skráningu sem er innan við fimm árum fyrir upphaflega fjárfestingu.</w:t>
      </w:r>
    </w:p>
    <w:p w14:paraId="08C8013B" w14:textId="77777777" w:rsidR="002F5113" w:rsidRDefault="00322F12">
      <w:pPr>
        <w:pStyle w:val="Consid"/>
        <w:rPr>
          <w:szCs w:val="18"/>
        </w:rPr>
      </w:pPr>
      <w:r>
        <w:t>17)</w:t>
      </w:r>
      <w:r>
        <w:tab/>
        <w:t xml:space="preserve">Sem stendur gera ákvæði reglugerðar (ESB) 2015/760 þá kröfu að fjárfestingarhæf fyrirtæki hafi ekki meira markaðsverðmæti en 500 000 000 evrur, ef þau eru tekin til viðskipta á skipulegum markaði eða á markaðstorgi </w:t>
      </w:r>
      <w:proofErr w:type="spellStart"/>
      <w:r>
        <w:t>fjármálagerninga</w:t>
      </w:r>
      <w:proofErr w:type="spellEnd"/>
      <w:r>
        <w:t>. Hins vegar eru mörg skráð félög með lágt markaðsverðmæti með takmarkaðan seljanleika, sem kemur í veg fyrir að rekstraraðilar evrópskra langtímafjárfestingarsjóða geti byggt upp nægilega stöðu í slíkum skráðum félögum innan hæfilegs frests, sem þrengir svið aðgengilegra fjárfestingarmarkmiða. Til að veita evrópskum langtímafjárfestingarsjóðum betra seljanleikasnið ætti því að auka það markaðsverðmæti skráðra fjárfestingarhæfra fyrirtækja sem evrópskir langtímafjárfestingarsjóðir geta fjárfest í úr að hámarki 500 000 000 evrum í að hámarki 1 500 000 000 evrur. Til að forðast hugsanlegar breytingar á fjárfestingarhæfi slíkra fjárfestinga vegna gengissveiflna eða annarra þátta, ætti aðeins að ákvarða mörk markaðsverðmætis þegar upphafleg fjárfesting er gerð.</w:t>
      </w:r>
    </w:p>
    <w:p w14:paraId="7BE3F000" w14:textId="77777777" w:rsidR="002F5113" w:rsidRDefault="00322F12">
      <w:pPr>
        <w:pStyle w:val="Consid"/>
      </w:pPr>
      <w:r>
        <w:t>18)</w:t>
      </w:r>
      <w:r>
        <w:tab/>
        <w:t xml:space="preserve">Til að tryggja gagnsæi og heilindi fjárfestinga í eignum sem staðsettar eru í þriðju löndum fyrir fjárfesta, rekstraraðila evrópskra langtímafjárfestingarsjóða og </w:t>
      </w:r>
      <w:proofErr w:type="spellStart"/>
      <w:r>
        <w:t>lögbær</w:t>
      </w:r>
      <w:proofErr w:type="spellEnd"/>
      <w:r>
        <w:t xml:space="preserve"> yfirvöld, ættu kröfur um fjárfestingar í fjárfestingarhæfum fyrirtækjum í þriðju löndum að vera í samræmi við </w:t>
      </w:r>
      <w:proofErr w:type="spellStart"/>
      <w:r>
        <w:t>staðlana</w:t>
      </w:r>
      <w:proofErr w:type="spellEnd"/>
      <w:r>
        <w:t xml:space="preserve"> sem mælt er fyrir um í tilskipun Evrópuþingsins og ráðsins (ESB) 2015/849 (</w:t>
      </w:r>
      <w:bookmarkStart w:id="6" w:name="NOTE_7"/>
      <w:r>
        <w:rPr>
          <w:rStyle w:val="FootnoteReference"/>
          <w:sz w:val="18"/>
          <w:szCs w:val="18"/>
        </w:rPr>
        <w:footnoteReference w:id="8"/>
      </w:r>
      <w:bookmarkEnd w:id="6"/>
      <w:r>
        <w:t xml:space="preserve">). Þær ættu einnig að vera í samræmi við </w:t>
      </w:r>
      <w:proofErr w:type="spellStart"/>
      <w:r>
        <w:t>staðlana</w:t>
      </w:r>
      <w:proofErr w:type="spellEnd"/>
      <w:r>
        <w:t xml:space="preserve"> sem eru settir fram í sameiginlegri aðgerð aðildarríkjanna varðandi </w:t>
      </w:r>
      <w:proofErr w:type="spellStart"/>
      <w:r>
        <w:t>ósamvinnuþýð</w:t>
      </w:r>
      <w:proofErr w:type="spellEnd"/>
      <w:r>
        <w:t xml:space="preserve"> </w:t>
      </w:r>
      <w:proofErr w:type="spellStart"/>
      <w:r>
        <w:t>lögsagnarumdæmi</w:t>
      </w:r>
      <w:proofErr w:type="spellEnd"/>
      <w:r>
        <w:t xml:space="preserve"> í skattalegu tilliti, sem endurspeglast í ályktunum ráðsins um endurskoðaða skrá ESB yfir </w:t>
      </w:r>
      <w:proofErr w:type="spellStart"/>
      <w:r>
        <w:t>ósamvinnuþýð</w:t>
      </w:r>
      <w:proofErr w:type="spellEnd"/>
      <w:r>
        <w:t xml:space="preserve"> </w:t>
      </w:r>
      <w:proofErr w:type="spellStart"/>
      <w:r>
        <w:t>lögsagnarumdæmi</w:t>
      </w:r>
      <w:proofErr w:type="spellEnd"/>
      <w:r>
        <w:t xml:space="preserve"> í skattalegu tilliti.</w:t>
      </w:r>
    </w:p>
    <w:p w14:paraId="727B1959" w14:textId="77777777" w:rsidR="002F5113" w:rsidRDefault="00322F12">
      <w:pPr>
        <w:pStyle w:val="Consid"/>
        <w:rPr>
          <w:szCs w:val="18"/>
        </w:rPr>
      </w:pPr>
      <w:r>
        <w:t>19)</w:t>
      </w:r>
      <w:r>
        <w:tab/>
        <w:t xml:space="preserve">Rekstraraðilar evrópskra langtímafjárfestingarsjóða sem eiga hlut í eignasafnsfyrirtækjum gætu sett eigin hagsmuni ofar hagsmunum fjárfesta í evrópska langtímafjárfestingarsjóðnum. Til að forðast slíka hagsmunaárekstra og tryggja trausta stjórnarhætti fyrirtækja gera ákvæði reglugerðar (ESB) 2015/760 þá kröfu að evrópskur langtímafjárfestingarsjóður fjárfesti eingöngu í eignum sem eru ótengdar rekstraraðila hans, nema evrópski langtímafjárfestingarsjóðurinn fjárfesti í hlutdeildarskírteinum eða hlutabréfum annarra sjóða um sameiginlega fjárfestingu sem rekstraraðili evrópska langtímafjárfestingarsjóðsins stýrir. Hins vegar er það viðtekin markaðsvenja að ein eða fleiri fjárfestingarleiðir eignastýringaraðila fjárfesti í félagi við annan sjóð sem hefur svipuð markmið og stefnuáætlun og eru hjá evrópska langtímafjárfestingarsjóðnum. Slíkar sameiginlegar fjárfestingar rekstraraðila sérhæfðra sjóða innan ESB og annarra tengdra aðila sem tilheyra sömu samstæðu gera það mögulegt að laða að stærri hluta fjármagns til fjárfestingar í stórum verkefnum. Í því skyni fjárfesta eignastýringaraðilar yfirleitt samhliða evrópska langtímafjárfestingarsjóðnum í markfyrirtæki og byggja fjárfestingar sínar upp í gegnum sameiginlega fjárfestingaraðila. Sem hluti af umboði eignastýringar er </w:t>
      </w:r>
      <w:r>
        <w:lastRenderedPageBreak/>
        <w:t>eignasafnsstjórum og háttsettu starfsfólki eignastýringaraðila yfirleitt skylt eða ætlast er til þess að þeir geri sameiginlega fjárfestingu í sama sjóði og þeir stýra. Því er viðeigandi að tilgreina að ákvæði um hagsmunaárekstra ættu ekki að koma í veg fyrir að rekstraraðili evrópsks langtímafjárfestingarsjóðs eða fyrirtæki sem tilheyrir sömu samstæðu fjárfesti einnig í sama evrópska langtímafjárfestingarsjóðnum eða ásamt þeim evrópska langtímafjárfestingarsjóði í sömu eign. Til að tryggja að ráðstafanir um skilvirka fjárfestavernd séu til staðar þegar slíkar sameiginlegar fjárfestingar eru gerðar, ættu rekstraraðilar evrópskra langtímafjárfestingarsjóða að koma á skipulags- og stjórnunarfyrirkomulagi í samræmi við þær kröfur sem mælt er fyrir um í tilskipun Evrópuþingsins og ráðsins 2011/61/ESB (</w:t>
      </w:r>
      <w:bookmarkStart w:id="7" w:name="NOTE_8"/>
      <w:r>
        <w:rPr>
          <w:rStyle w:val="FootnoteReference"/>
          <w:sz w:val="18"/>
          <w:szCs w:val="18"/>
        </w:rPr>
        <w:footnoteReference w:id="9"/>
      </w:r>
      <w:bookmarkEnd w:id="7"/>
      <w:r>
        <w:t>), sem er mótað til að greina, hindra, stjórna og hafa eftirlit með hagsmunaárekstrum og tryggja að upplýsingar um slíka hagsmunaárekstra séu birtar á viðeigandi hátt.</w:t>
      </w:r>
    </w:p>
    <w:p w14:paraId="77885427" w14:textId="77777777" w:rsidR="002F5113" w:rsidRDefault="00322F12">
      <w:pPr>
        <w:pStyle w:val="Consid"/>
      </w:pPr>
      <w:r>
        <w:t>20)</w:t>
      </w:r>
      <w:r>
        <w:tab/>
        <w:t xml:space="preserve">Til að koma í veg fyrir hagsmunaárekstra, forðast viðskipti sem fara ekki fram á viðskiptagrundvelli og tryggja trausta stjórnarhætti fyrirtækja, heimilar reglugerð (ESB) 2015/760 starfsfólki rekstraraðila evrópsks langtímafjárfestingarsjóðs og fyrirtækja sem tilheyra sömu samstæðu evrópsks langtímafjárfestingarsjóðs ekki að fjárfesta í þeim evrópska langtímafjárfestingarsjóði eða gera sameiginlega fjárfestingu með evrópska langtímafjárfestingarsjóðnum í sömu eigninni. Hins vegar er það viðtekin markaðsvenja að starfsfólki rekstraraðila evrópsks langtímafjárfestingarsjóðs og annarra tengdra aðila sem tilheyra sömu samstæðu, sem fjárfesta í félagi við rekstraraðila evrópska langtímafjárfestingarsjóðsins, þ.m.t. eignasafnsstjórar og háttsett starfsfólk sem ber ábyrgð á helstu ákvörðununum um fjárhag og rekstur rekstraraðila evrópska langtímafjárfestingarsjóðsins, er oft skylt eða ætlast er til þess, vegna eðlis eignastýringarumboðsins, að það geri sameiginlega fjárfestingu í sama sjóði eða sömu eign til að stuðla að </w:t>
      </w:r>
      <w:proofErr w:type="spellStart"/>
      <w:r>
        <w:t>samræmingu</w:t>
      </w:r>
      <w:proofErr w:type="spellEnd"/>
      <w:r>
        <w:t xml:space="preserve"> fjárhagslegra hvata þessa starfsfólks og fjárfestanna. Því er viðeigandi að tilgreina að ákvæði um hagsmunaárekstra ættu ekki koma í veg fyrir að starfsfólk rekstraraðila evrópsks langtímafjárfestingarsjóðs eða fyrirtækja sem tilheyra þeirri samstæðu fjárfesti einnig persónulega í sama evrópska langtímafjárfestingarsjóðnum eða ásamt evrópska langtímafjárfestingarsjóðnum í sömu eign. Til að tryggja að ráðstafanir um skilvirka fjárfestavernd séu til staðar þegar starfsfólk gerir slíkar sameiginlegar fjárfestingar, ættu rekstraraðilar evrópskra langtímafjárfestingarsjóða að koma á skipulags- og stjórnunarfyrirkomulagi, sem er mótað til að greina, hindra, stjórna og hafa eftirlit með hagsmunaárekstrum og tryggja að upplýsingar um slíka hagsmunaárekstra séu birtar á viðeigandi hátt.</w:t>
      </w:r>
    </w:p>
    <w:p w14:paraId="441160DE" w14:textId="77777777" w:rsidR="002F5113" w:rsidRDefault="00322F12">
      <w:pPr>
        <w:pStyle w:val="Consid"/>
      </w:pPr>
      <w:r>
        <w:t>21)</w:t>
      </w:r>
      <w:r>
        <w:tab/>
        <w:t>Reglurnar um evrópska langtímafjárfestingarsjóði eru nánast samhljóða fyrir bæði fagfjárfesta og almenna fjárfesta, þ.m.t. reglur um vogun, fjölbreytileika eigna og samsetningu eignasafna, samþjöppunarmörk og takmarkanir á hæfum eignum og fjárfestingum. Hins vegar hafa fagfjárfestar og almennir fjárfestar mismunandi tímaramma, áhættuþol og fjárfestingarþarfir, sem og mismunandi getu til að greina tækifæri til fjárfestinga. Reyndar hafa fagfjárfestar meira áhættuþol en almennir fjárfestar, geta framkvæmt ítarlega greiningu á fjárfestingartækifærum og áreiðanleikakannanir og verðmat eigna og gætu, vegna eðlis þeirra og starfsemi, haft önnur ávöxtunarmarkmið en almennir fjárfestar. Þrátt fyrir þetta og vegna hinna nánast samhljóða reglna og þess mikla stjórnsýsluálags sem af því leiðir, ásamt tengdum kostnaði fyrir evrópska langtímafjárfestingarsjóði sem ætlaðir eru fagfjárfestum, hafa eignastýringaraðilar hingað til verið tregir til að bjóða fagfjárfestum sérsniðnar afurðir. Því er rétt að kveða á um sértækar reglur um evrópska langtímafjárfestingarsjóði sem eru eingöngu markaðssettir fyrir fagfjárfesta, einkum með tilliti til fjölbreytileika og samsetningar eignasafnsins sem um ræðir, samþjöppunarmarka og lántöku í reiðufé.</w:t>
      </w:r>
    </w:p>
    <w:p w14:paraId="69BDF27F" w14:textId="77777777" w:rsidR="002F5113" w:rsidRDefault="00322F12">
      <w:pPr>
        <w:pStyle w:val="Consid"/>
        <w:spacing w:after="0"/>
      </w:pPr>
      <w:r>
        <w:t>22)</w:t>
      </w:r>
      <w:r>
        <w:tab/>
        <w:t xml:space="preserve">Eins og stendur gera ákvæði reglugerðar (ESB) 2015/760 þá kröfu að evrópskir langtímafjárfestingarsjóðir fjárfesti a.m.k. 70% af eigin fé sínu í hæfum fjárfestingareignum. Þessum háu fjárfestingartakmörkunum fyrir hæfar fjárfestingareignir í eignasafni evrópskra langtímafjárfestingarsjóða var upphaflega komið á með hliðsjón af áherslunni á langtímafjárfestingar evrópsku langtímafjárfestingarsjóðanna og þeirrar framlegðar sem búist var við að slíkar fjárfestingar myndu skila til fjármögnunar sjálfbærs vaxtar í hagkerfi Sambandsins. Í ljósi þess að tilteknar hæfar fjárfestingareignir eru </w:t>
      </w:r>
      <w:proofErr w:type="spellStart"/>
      <w:r>
        <w:t>illseljanlegar</w:t>
      </w:r>
      <w:proofErr w:type="spellEnd"/>
      <w:r>
        <w:t xml:space="preserve"> og sérstæðar í eignasöfnum evrópskra langtímafjárfestingarsjóða getur reynst erfitt og kostnaðarsamt fyrir rekstraraðila evrópskra langtímafjárfestingarsjóða að stýra lausafjárstöðu sjóðanna, uppfylla innlausnarkröfur, gera ráðstafanir til lántöku og framkvæma aðra þætti í fjárfestingaráætlunum evrópsku langtímafjárfestingarsjóðanna sem varða framsal, verðmæti og veðsetningu slíkra hæfra fjárfestingareigna. Lækkun á mörkum fyrir hæfar fjárfestingareignir myndi því gera rekstraraðilum evrópskra langtímafjárfestingarsjóða kleift að stýra lausafjárstöðu sjóðanna betur. Einungis ætti að sameina hæfar fjárfestingareignir í evrópskum langtímafjárfestingarsjóðum sem eru ekki sjóðir um sameiginlega fjárfestingu og hæfar fjárfestingareignir í sjóðum um sameiginlega fjárfestingu sem evrópskir langtímafjárfestingarsjóðir hafa fjárfest í, til að leggja mat á það hvort þessir sjóðir hlíti fjárfestingartakmörkunum fyrir hæfar fjárfestingareignir.</w:t>
      </w:r>
      <w:r>
        <w:br w:type="page"/>
      </w:r>
    </w:p>
    <w:p w14:paraId="370CE7C6" w14:textId="77777777" w:rsidR="002F5113" w:rsidRDefault="00322F12">
      <w:pPr>
        <w:pStyle w:val="Consid"/>
      </w:pPr>
      <w:r>
        <w:lastRenderedPageBreak/>
        <w:t>23)</w:t>
      </w:r>
      <w:r>
        <w:tab/>
        <w:t xml:space="preserve">Gildandi fjölbreytileikakröfur í reglugerð (ESB) 2015/760 voru innleiddar til að tryggja að evrópskir langtímafjárfestingarsjóðir geti staðist óhagstæðar markaðsaðstæður. Hins vegar hafa þessi ákvæði reynst of íþyngjandi vegna þess að í raun þýða þau að evrópskir langtímafjárfestingarsjóðir þurfa að meðaltali að gera 10 aðgreindar fjárfestingar. Ef um er að ræða fjárfestingar í verkefnum eða stórum innviðum getur krafan um að gera 10 fjárfestingar á hvern evrópskan langtímafjárfestingarsjóð verið erfið í framkvæmd og kostnaðarsöm með tilliti til viðskiptakostnaðar og dreifingar fjármagns. Til þess að draga úr viðskipta- og umsýslukostnaði fyrir evrópska langtímafjárfestingarsjóði, og á endanum fyrir fjárfesta í þeim, ættu evrópskir langtímafjárfestingarsjóðir því að geta fylgt hnitmiðaðri fjárfestingaráætlunum og þannig náð áhættuskuldbindingum gagnvart færri hæfum eignum. Því er nauðsynlegt að aðlaga kröfur um fjölbreytileika áhættuskuldbindinga evrópskra langtímafjárfestingarsjóða gagnvart stökum fjárfestingarhæfum fyrirtækjum, stökum eignum, stökum sjóðum um sameiginlega fjárfestingu og tilteknum öðrum hæfum fjárfestingareignum, samningum og </w:t>
      </w:r>
      <w:proofErr w:type="spellStart"/>
      <w:r>
        <w:t>fjármálagerningum</w:t>
      </w:r>
      <w:proofErr w:type="spellEnd"/>
      <w:r>
        <w:t xml:space="preserve">. Þessi viðbótarsveigjanleiki í samsetningu eignasafna evrópskra langtímafjárfestingarsjóða og slökun á kröfum um fjölbreytileika ætti ekki að hafa umtalsverð áhrif á getu evrópskra langtímafjárfestingarsjóða til að standast markaðssveiflur, þar sem evrópskir langtímafjárfestingarsjóðir fjárfesta yfirleitt í eignum sem eru ekki með tiltækt markaðsverð, sem gætu verið afar </w:t>
      </w:r>
      <w:proofErr w:type="spellStart"/>
      <w:r>
        <w:t>illseljanlegar</w:t>
      </w:r>
      <w:proofErr w:type="spellEnd"/>
      <w:r>
        <w:t xml:space="preserve"> og eru oft með langan líftíma eða ná yfir langt tímabil.</w:t>
      </w:r>
    </w:p>
    <w:p w14:paraId="05247784" w14:textId="77777777" w:rsidR="002F5113" w:rsidRDefault="00322F12">
      <w:pPr>
        <w:pStyle w:val="Consid"/>
      </w:pPr>
      <w:r>
        <w:t>24)</w:t>
      </w:r>
      <w:r>
        <w:tab/>
        <w:t xml:space="preserve">Við tilteknar aðstæður hafa fagfjárfestar lengri tímaramma, skýr markmið um fjárhagslega ávöxtun, meiri sérfræðiþekkingu, meira áhættuþol gagnvart óhagstæðum markaðsaðstæðum og meiri </w:t>
      </w:r>
      <w:proofErr w:type="spellStart"/>
      <w:r>
        <w:t>tapgleypni</w:t>
      </w:r>
      <w:proofErr w:type="spellEnd"/>
      <w:r>
        <w:t>, ólíkt almennum fjárfestum. Því er nauðsynlegt að koma á öðrum ráðstöfunum um fjárfestavernd fyrir slíka fagfjárfesta og fella brott fjölbreytileikakröfurnar fyrir evrópska langtímafjárfestingarsjóði sem eru eingöngu markaðssettir til fagfjárfesta.</w:t>
      </w:r>
    </w:p>
    <w:p w14:paraId="6309BB99" w14:textId="77777777" w:rsidR="002F5113" w:rsidRDefault="00322F12">
      <w:pPr>
        <w:pStyle w:val="Consid"/>
      </w:pPr>
      <w:r>
        <w:t>25)</w:t>
      </w:r>
      <w:r>
        <w:tab/>
        <w:t>Til að nýta betur sérfræðiþekkingu rekstraraðila evrópskra langtímafjárfestingarsjóða og vegna þess ávinnings sem hlýst af fjölbreytileika, getur í vissum tilfellum verið hagkvæmt fyrir evrópska langtímafjárfestingarsjóði að fjárfesta öllum eða næstum öllum eignum sínum í fjölbreyttu eignasafni höfuðsjóðs evrópsks langtímafjárfestingarsjóðs (ELTIF-höfuðsjóðs). Evrópskum langtímafjárfestingarsjóðum ætti því að vera heimilt að sameina eignir sínar og nýta sér skipan höfuðsjóða og fylgisjóða með því að fjárfesta í ELTIF-höfuðsjóði.</w:t>
      </w:r>
    </w:p>
    <w:p w14:paraId="076EC2B7" w14:textId="77777777" w:rsidR="002F5113" w:rsidRDefault="00322F12">
      <w:pPr>
        <w:pStyle w:val="Consid"/>
      </w:pPr>
      <w:r>
        <w:t>26)</w:t>
      </w:r>
      <w:r>
        <w:tab/>
        <w:t xml:space="preserve">Vogun er oft notuð til að auðvelda daglegan rekstur evrópsks langtímafjárfestingarsjóðs og hrinda sérstakri fjárfestingaráætlun í framkvæmd. Með nægjanlegu eftirliti getur hófleg skuldsetning aukið ávöxtun án þess að stofna til eða auka óhóflega áhættu. Að auki geta margir sjóðir um sameiginlega fjárfestingu notað vogun til að ná aukinni skilvirkni eða rekstrarárangri. Þar sem lántaka í reiðufé er eins og stendur takmörkuð með reglugerð (ESB) 2015/760 við 30% af virði hlutafjár evrópsks langtímafjárfestingarsjóðs kunna rekstraraðilar evrópskra langtímafjárfestingarsjóða að vera ófærir um að fylgja tilteknum fjárfestingaráætlunum með góðum árangri, þ.m.t. þegar um er að ræða fjárfestingar í eignum, þar sem notkun hærri skuldsetningar er venjan eða er nauðsynleg á annan hátt til að ná aðlaðandi áhættuleiðréttri ávöxtun. Því er viðeigandi að auka sveigjanleika rekstraraðila evrópskra langtímafjárfestingarsjóða til að afla frekara fjármagns á líftíma sjóðsins. Jafnframt er æskilegt að bæta stjórnun </w:t>
      </w:r>
      <w:proofErr w:type="spellStart"/>
      <w:r>
        <w:t>vogunar</w:t>
      </w:r>
      <w:proofErr w:type="spellEnd"/>
      <w:r>
        <w:t xml:space="preserve"> og stuðla að auknu samræmi við tilskipun 2011/61/ESB að því er varðar lántökustefnu, með því að skipta eigin fé út fyrir innra virði sem viðeigandi viðmiðunargrundvöll til að ákvarða mörk á lántöku í reiðufé, sem ætti að fylgja endurbætur á leiðréttingastefnu. Í ljósi þeirrar hugsanlegu áhættu sem skuldsetning getur haft í för með sér, ætti evrópskum langtímafjárfestingarsjóðum, sem hægt er að markaðssetja til almennra fjárfesta, að vera heimilt að taka fé að láni sem nemur allt að 50% af innra virði evrópsks langtímafjárfestingarsjóðs. 50% mörkin eru viðeigandi miðað við þær takmarkanir á heildarlántöku reiðufjár sem eru algengar fyrir sjóði sem fjárfesta í eignum með svipað seljanleika- og innlausnarsnið.</w:t>
      </w:r>
    </w:p>
    <w:p w14:paraId="3F3089B2" w14:textId="77777777" w:rsidR="002F5113" w:rsidRDefault="00322F12">
      <w:pPr>
        <w:pStyle w:val="ConsidWithoutNumber"/>
        <w:ind w:left="540"/>
      </w:pPr>
      <w:r>
        <w:t xml:space="preserve">Hins vegar ætti að heimila hærri skuldsetningu fyrir evrópska langtímafjárfestingarsjóði sem eru markaðssettir til fagfjárfesta vegna þess að fagfjárfestar hafa meira áhættuþol en almennir fjárfestar. Því ætti að hækka lántökumörk á reiðufé fyrir evrópska langtímafjárfestingarsjóði sem eru eingöngu markaðssettir til fagfjárfesta í að hámarki 100% af innra virði evrópskra langtímafjárfestingarsjóða. Enn fremur hefur reglugerð (ESB) 2015/760 hingað til ekki leyft rekstraraðilum evrópskra langtímafjárfestingarsjóða að leiðrétta stöðu fjárfestinga innan viðeigandi tímabils, í þeim tilvikum sem evrópski langtímafjárfestingarsjóðurinn fer yfir skuldsetningarmörkin og rekstraraðili hans fær ekki ráðið við brotið. Að teknu tilliti til óstöðugleika innra </w:t>
      </w:r>
      <w:proofErr w:type="spellStart"/>
      <w:r>
        <w:t>virðis</w:t>
      </w:r>
      <w:proofErr w:type="spellEnd"/>
      <w:r>
        <w:t xml:space="preserve"> sem viðmiðunargildis og hagsmuna fjárfesta í evrópskum langtímafjárfestingarsjóðum ætti því að tilgreina að ákvæði um leiðréttingar í reglugerð (ESB) 2015/760 gildi einnig um lántökutakmarkanir.</w:t>
      </w:r>
    </w:p>
    <w:p w14:paraId="441F59BD" w14:textId="77777777" w:rsidR="002F5113" w:rsidRDefault="00322F12">
      <w:pPr>
        <w:pStyle w:val="Consid"/>
        <w:spacing w:after="0"/>
      </w:pPr>
      <w:r>
        <w:t>27)</w:t>
      </w:r>
      <w:r>
        <w:tab/>
        <w:t>Til að veita evrópskum langtímafjárfestingarsjóðum fleiri tækifæri til fjárfestinga ættu evrópskir langtímafjárfestingarsjóðir að geta tekið lán í þeim gjaldmiðli sem rekstraraðili evrópsks langtímafjárfestingarsjóðs býst við að kaupa eignina í. Þó er nauðsynlegt að draga úr áhættu á gjaldmiðlamisvægi og takmarka þannig gjaldmiðlaáhættu fjárfestingasafnsins. Evrópskir langtímafjárfestingarsjóðir ættu því að verja gjaldmiðlaáhættu sína á viðeigandi hátt.</w:t>
      </w:r>
      <w:r>
        <w:br w:type="page"/>
      </w:r>
    </w:p>
    <w:p w14:paraId="01C28CF8" w14:textId="77777777" w:rsidR="002F5113" w:rsidRDefault="00322F12">
      <w:pPr>
        <w:pStyle w:val="Consid"/>
      </w:pPr>
      <w:r>
        <w:lastRenderedPageBreak/>
        <w:t>28)</w:t>
      </w:r>
      <w:r>
        <w:tab/>
        <w:t>Evrópskir langtímafjárfestingarsjóðir ættu að geta kvaðabundið eignir sínar til að framkvæma lántökuáætlun sína. Til að auka enn á sveigjanleika evrópskra langtímafjárfestingarsjóða við að framkvæma lántökuáætlun sína ættu lántökusamningar ekki að teljast til lántöku ef slík lántaka er að fullu tryggð með loforði fjárfesta um fjármagnsframlög.</w:t>
      </w:r>
    </w:p>
    <w:p w14:paraId="1FA6A963" w14:textId="77777777" w:rsidR="002F5113" w:rsidRDefault="00322F12">
      <w:pPr>
        <w:pStyle w:val="Consid"/>
      </w:pPr>
      <w:r>
        <w:t>29)</w:t>
      </w:r>
      <w:r>
        <w:tab/>
        <w:t xml:space="preserve">Í ljósi hækkunar á hámarki lántöku í reiðufé fyrir evrópska langtímafjárfestingarsjóði og </w:t>
      </w:r>
      <w:proofErr w:type="spellStart"/>
      <w:r>
        <w:t>fjarlægingar</w:t>
      </w:r>
      <w:proofErr w:type="spellEnd"/>
      <w:r>
        <w:t xml:space="preserve"> tiltekinna takmarkana á lántöku í erlendum gjaldmiðlum ættu fjárfestar að hafa heildstæðari upplýsingar um þær lántökuáætlanir og takmarkanir sem evrópskir langtímafjárfestingarsjóðir nota. Því er viðeigandi að gera þá kröfu að rekstraraðilar evrópskra langtímafjárfestingarsjóða taki lántökutakmarkanir skýrt fram í útboðs- og skráningarlýsingu viðkomandi evrópsks langtímafjárfestingarsjóðs.</w:t>
      </w:r>
    </w:p>
    <w:p w14:paraId="57BD03A6" w14:textId="77777777" w:rsidR="002F5113" w:rsidRDefault="00322F12">
      <w:pPr>
        <w:pStyle w:val="Consid"/>
      </w:pPr>
      <w:r>
        <w:t>30)</w:t>
      </w:r>
      <w:r>
        <w:tab/>
        <w:t xml:space="preserve">Sem stendur kveður reglugerð (ESB) 2015/760 á um að fjárfestar í evrópskum langtímafjárfestingarsjóði geti farið fram á að sjóðnum verði slitið ef beiðnir þeirra um innlausnir, settar fram í samræmi við innlausnarstefnu sjóðsins, hafa ekki verið uppfylltar innan árs frá dagsetningunni þegar þær voru settar fram. Í ljósi langtímastefnumörkunar evrópskra langtímafjárfestingarsjóða og oft sérstæðra og </w:t>
      </w:r>
      <w:proofErr w:type="spellStart"/>
      <w:r>
        <w:t>illseljanlegra</w:t>
      </w:r>
      <w:proofErr w:type="spellEnd"/>
      <w:r>
        <w:t xml:space="preserve"> eigna í eignasöfnum þeirra getur réttur hvers fjárfestis eða hópa fjárfesta til að fara fram á slit evrópsks langtímafjárfestingarsjóðs verið óhóflegur og skaðlegur fyrir bæði árangursríka framkvæmd á fjárfestingaráætlun evrópska langtímafjárfestingarsjóðsins og hagsmuni annarra fjárfesta eða hópa fjárfesta. Því er rétt að fjarlægja möguleika fjárfesta til að fara fram á slit evrópsks langtímafjárfestingarsjóðs ef sá sjóður getur ekki staðið við innlausnarkröfur.</w:t>
      </w:r>
    </w:p>
    <w:p w14:paraId="0941C921" w14:textId="77777777" w:rsidR="002F5113" w:rsidRDefault="00322F12">
      <w:pPr>
        <w:pStyle w:val="Consid"/>
      </w:pPr>
      <w:r>
        <w:t>31)</w:t>
      </w:r>
      <w:r>
        <w:tab/>
        <w:t xml:space="preserve">Sem stendur eru ákvæði reglugerðar (ESB) 2015/760 óljós varðandi viðmiðanir til að meta innlausnarhlutfall á tilteknu tímabili og þær lágmarksupplýsingar sem ber að veita </w:t>
      </w:r>
      <w:proofErr w:type="spellStart"/>
      <w:r>
        <w:t>lögbærum</w:t>
      </w:r>
      <w:proofErr w:type="spellEnd"/>
      <w:r>
        <w:t xml:space="preserve"> yfirvöldum um innlausnarmöguleika. Vegna miðlægs hlutverks evrópsku eftirlitsstofnunarinnar (Evrópsku verðbréfamarkaðseftirlitsstofnunarinnar) við beitingu reglugerðar (ESB) 2015/760 og sérfræðiþekkingar hennar á verðbréfum og verðbréfamörkuðum er rétt að fela Evrópsku verðbréfamarkaðseftirlitsstofnuninni að leggja drög að tæknilegum </w:t>
      </w:r>
      <w:proofErr w:type="spellStart"/>
      <w:r>
        <w:t>eftirlitsstöðlum</w:t>
      </w:r>
      <w:proofErr w:type="spellEnd"/>
      <w:r>
        <w:t xml:space="preserve"> sem tilgreina við hvaða aðstæður líftími evrópsks langtímafjárfestingarsjóðs telst samrýmanlegur lífsferlum allra stakra eigna evrópska langtímafjárfestingarsjóðsins, viðmiðanir til að ákvarða lágmarkseignartímabil, þær lágmarksupplýsingar sem ber að veita </w:t>
      </w:r>
      <w:proofErr w:type="spellStart"/>
      <w:r>
        <w:t>lögbæru</w:t>
      </w:r>
      <w:proofErr w:type="spellEnd"/>
      <w:r>
        <w:t xml:space="preserve"> yfirvaldi evrópsks langtímafjárfestingarsjóðs, þær kröfur sem evrópskur langtímafjárfestingarsjóður þarf að uppfylla í tengslum við innlausnarstefnu sína og lausafjárstýringartæki og viðmiðanir til að meta innlausnarhlutfall. Tekið skal fram að ef reglur eða stofnsamningur evrópsks langtímafjárfestingarsjóðs kveður á um að hægt sé að innleysa á líftíma sjóðsins gilda þau ákvæði um stýringu lausafjáráhættu og lausafjárstýringartæki sem sett eru fram í tilskipun 2011/61/ESB.</w:t>
      </w:r>
    </w:p>
    <w:p w14:paraId="3BCDB7F4" w14:textId="77777777" w:rsidR="002F5113" w:rsidRDefault="00322F12">
      <w:pPr>
        <w:pStyle w:val="Consid"/>
      </w:pPr>
      <w:r>
        <w:t>32)</w:t>
      </w:r>
      <w:r>
        <w:tab/>
        <w:t xml:space="preserve">Eins og stendur gera ákvæði reglugerðar (ESB) 2015/760 kröfur um að reglur og stofnsamningar evrópsks langtímafjárfestingarsjóðs komi ekki í veg fyrir að hlutdeildarskírteini eða hlutabréf í sjóðnum séu tekin til viðskipta á skipulegum markaði eða markaðstorgi </w:t>
      </w:r>
      <w:proofErr w:type="spellStart"/>
      <w:r>
        <w:t>fjármálagerninga</w:t>
      </w:r>
      <w:proofErr w:type="spellEnd"/>
      <w:r>
        <w:t xml:space="preserve">. Þrátt fyrir þennan möguleika hafa rekstraraðilar evrópskra langtímafjárfestingarsjóða, sem og fjárfestar og markaðsaðilar, lítið nýtt sér </w:t>
      </w:r>
      <w:proofErr w:type="spellStart"/>
      <w:r>
        <w:t>eftirmarkaðskerfið</w:t>
      </w:r>
      <w:proofErr w:type="spellEnd"/>
      <w:r>
        <w:t xml:space="preserve"> til viðskipta með hlutdeildarskírteini eða hlutabréf í evrópskum langtímafjárfestingarsjóðum. Til að stuðla að </w:t>
      </w:r>
      <w:proofErr w:type="spellStart"/>
      <w:r>
        <w:t>eftirmarkaðsviðskiptum</w:t>
      </w:r>
      <w:proofErr w:type="spellEnd"/>
      <w:r>
        <w:t xml:space="preserve"> með hlutdeildarskírteini eða hlutabréf í evrópskum langtímafjárfestingarsjóðum er rétt að heimila rekstraraðilum evrópskra langtímafjárfestingarsjóða að veita fjárfestum í evrópskum langtímafjárfestingarsjóðum kost á að ganga út úr sjóðnum snemma á líftíma hans. Til að tryggja að slík </w:t>
      </w:r>
      <w:proofErr w:type="spellStart"/>
      <w:r>
        <w:t>eftirmarkaðskerfi</w:t>
      </w:r>
      <w:proofErr w:type="spellEnd"/>
      <w:r>
        <w:t xml:space="preserve"> til viðskipta séu skilvirk ætti </w:t>
      </w:r>
      <w:proofErr w:type="spellStart"/>
      <w:r>
        <w:t>snemmbær</w:t>
      </w:r>
      <w:proofErr w:type="spellEnd"/>
      <w:r>
        <w:t xml:space="preserve"> útganga aðeins að vera möguleg ef rekstraraðili evrópsks langtímafjárfestingarsjóðs hefur komið á stefnu um að para saman hugsanlega fjárfesta og beiðnir um útgöngu. Í þeirri stefnu ætti m.a. að tilgreina framsalsferli, hlutverk rekstraraðila evrópsks langtímafjárfestingarsjóðs eða sjóðsstjóra, tíðni og tímalengd seljanleikaglugga þegar hægt er að skipta hlutdeildarskírteinum eða hlutabréfum í evrópskum langtímafjárfestingarsjóði, reglur sem ákvarða framkvæmdarverð og hlutfallsskilyrði, birtingarkröfur og þóknanir, kostnað og gjöld og önnur skilyrði sem tengjast slíku kerfi seljanleikaglugga. Það ætti að vera í höndum Evrópsku verðbréfamarkaðseftirlitsstofnunarinnar að semja drög að tæknilegum </w:t>
      </w:r>
      <w:proofErr w:type="spellStart"/>
      <w:r>
        <w:t>eftirlitsstöðlum</w:t>
      </w:r>
      <w:proofErr w:type="spellEnd"/>
      <w:r>
        <w:t xml:space="preserve"> sem tilgreina við hvaða aðstæður á að nota pörun, þ.m.t. þær upplýsingar sem evrópskum langtímafjárfestingarsjóðum ber að birta fjárfestum.</w:t>
      </w:r>
    </w:p>
    <w:p w14:paraId="5E16D19F" w14:textId="77777777" w:rsidR="002F5113" w:rsidRDefault="00322F12">
      <w:pPr>
        <w:pStyle w:val="Consid"/>
        <w:spacing w:after="0"/>
      </w:pPr>
      <w:r>
        <w:t>33)</w:t>
      </w:r>
      <w:r>
        <w:tab/>
        <w:t xml:space="preserve">Til að forðast allan misskilning almennra fjárfesta varðandi lagalegt eðli </w:t>
      </w:r>
      <w:proofErr w:type="spellStart"/>
      <w:r>
        <w:t>eftirmarkaðskerfis</w:t>
      </w:r>
      <w:proofErr w:type="spellEnd"/>
      <w:r>
        <w:t xml:space="preserve"> til viðskipta og hugsanlegan seljanleika sem skapast með því ætti dreifingaraðili eða, þegar rekstraraðili evrópsks langtímafjárfestingarsjóðs býður eða setur á markað hlutdeildarskírteini eða hlutabréf beint til almenns fjárfestis, rekstraraðili evrópsks langtímafjárfestingarsjóðs að gefa út skriflega skýra viðvörun til almennra fjárfesta um að tiltækileiki pörunarkerfis tryggi ekki pörun eða veiti almennum fjárfestum rétt til útgöngu eða innlausnar á hlutdeildarskírteinum eða hlutabréfum í viðkomandi evrópskum langtímafjárfestingarsjóði. Þessi skriflega viðvörun ætti að vera hluti af stakri skriflegri viðvörun sem upplýsir almenna fjárfesta einnig um að afurð evrópska langtímafjárfestingarsjóðsins henti hugsanlega ekki fyrir almenna fjárfesta sem geta ekki staðið við slíka illseljanlega langtímaskuldbindingu, ef líftími evrópsks langtímafjárfestingarsjóðs sem er boðinn eða settur á markað fer yfir 10 ár. Í markaðsefni fyrir almenna fjárfesta ætti ekki að kynna tilvist pörunarkerfis sem tæki sem tryggir </w:t>
      </w:r>
      <w:proofErr w:type="spellStart"/>
      <w:r>
        <w:t>innleysanleika</w:t>
      </w:r>
      <w:proofErr w:type="spellEnd"/>
      <w:r>
        <w:t xml:space="preserve"> samkvæmt beiðni.</w:t>
      </w:r>
      <w:r>
        <w:br w:type="page"/>
      </w:r>
    </w:p>
    <w:p w14:paraId="2C74B3A1" w14:textId="77777777" w:rsidR="002F5113" w:rsidRDefault="00322F12">
      <w:pPr>
        <w:pStyle w:val="Consid"/>
        <w:spacing w:after="360"/>
      </w:pPr>
      <w:r>
        <w:lastRenderedPageBreak/>
        <w:t>34)</w:t>
      </w:r>
      <w:r>
        <w:tab/>
        <w:t xml:space="preserve">Sem stendur gera ákvæði reglugerðar (ESB) 2015/760 kröfu um að evrópskir langtímafjárfestingarsjóðir samþykki </w:t>
      </w:r>
      <w:proofErr w:type="spellStart"/>
      <w:r>
        <w:t>sundurliðaða</w:t>
      </w:r>
      <w:proofErr w:type="spellEnd"/>
      <w:r>
        <w:t xml:space="preserve"> áætlun um skipulega sölu eigna til að innleysa hlutdeildarskírteini eða hlutabréf þegar líftíma evrópsks langtímafjárfestingarsjóðs lýkur. Ákvæði þeirrar reglugerðar krefjast þess einnig að evrópskir langtímafjárfestingarsjóðir upplýsi </w:t>
      </w:r>
      <w:proofErr w:type="spellStart"/>
      <w:r>
        <w:t>lögbært</w:t>
      </w:r>
      <w:proofErr w:type="spellEnd"/>
      <w:r>
        <w:t xml:space="preserve"> yfirvald sjóðsins um þá </w:t>
      </w:r>
      <w:proofErr w:type="spellStart"/>
      <w:r>
        <w:t>sundurliðuðu</w:t>
      </w:r>
      <w:proofErr w:type="spellEnd"/>
      <w:r>
        <w:t xml:space="preserve"> áætlun. Þessar kröfur leggja umtalsverða stjórnsýslu- og reglufylgnibyrði á rekstraraðila evrópskra langtímafjárfestingarsjóða, án þess að það hafi í för með sér samsvarandi aukningu á fjárfestavernd. Til að létta þessa byrði án þess að draga úr fjárfestavernd ættu evrópskir langtímafjárfestingarsjóðir að tilkynna </w:t>
      </w:r>
      <w:proofErr w:type="spellStart"/>
      <w:r>
        <w:t>lögbæru</w:t>
      </w:r>
      <w:proofErr w:type="spellEnd"/>
      <w:r>
        <w:t xml:space="preserve"> yfirvaldi sínu um skipulega sölu eigna í þeim tilgangi að innleysa hlutdeildarskírteini eða hlutabréf fjárfesta að loknum líftíma sjóðsins og aðeins veita </w:t>
      </w:r>
      <w:proofErr w:type="spellStart"/>
      <w:r>
        <w:t>lögbæru</w:t>
      </w:r>
      <w:proofErr w:type="spellEnd"/>
      <w:r>
        <w:t xml:space="preserve"> yfirvaldi evrópska langtímafjárfestingarsjóðsins </w:t>
      </w:r>
      <w:proofErr w:type="spellStart"/>
      <w:r>
        <w:t>sundurliðaða</w:t>
      </w:r>
      <w:proofErr w:type="spellEnd"/>
      <w:r>
        <w:t xml:space="preserve"> áætlun ef </w:t>
      </w:r>
      <w:proofErr w:type="spellStart"/>
      <w:r>
        <w:t>lögbæra</w:t>
      </w:r>
      <w:proofErr w:type="spellEnd"/>
      <w:r>
        <w:t xml:space="preserve"> yfirvaldið biður sérstaklega um það.</w:t>
      </w:r>
    </w:p>
    <w:p w14:paraId="141BEC6D" w14:textId="77777777" w:rsidR="002F5113" w:rsidRDefault="00322F12">
      <w:pPr>
        <w:pStyle w:val="Consid"/>
        <w:spacing w:after="360"/>
      </w:pPr>
      <w:r>
        <w:t>35)</w:t>
      </w:r>
      <w:r>
        <w:tab/>
        <w:t>Lýsing fylgisjóðs evrópsks langtímafjárfestingarsjóðs (ELTIF-fylgisjóðs) getur innihaldið upplýsingar sem skipta miklu máli fyrir fjárfesta og gera þeim kleift að meta betur hugsanlega áhættu og ávinning af fjárfestingu. Því er rétt að krefjast þess að ef um er að ræða skipan höfuðsjóða og fylgisjóða ætti lýsing ELTIF-fylgisjóðsins að innihalda upplýsingar um skipan höfuðsjóða og fylgisjóða, um ELTIF-fylgisjóðinn og ELTIF-höfuðsjóðinn, ásamt lýsingu á öllum greiðslum eða endurgreiðslum á kostnaði sem fylgisjóðnum ber að greiða.</w:t>
      </w:r>
    </w:p>
    <w:p w14:paraId="0E49C946" w14:textId="77777777" w:rsidR="002F5113" w:rsidRDefault="00322F12">
      <w:pPr>
        <w:pStyle w:val="Consid"/>
        <w:spacing w:after="360"/>
      </w:pPr>
      <w:r>
        <w:t>36)</w:t>
      </w:r>
      <w:r>
        <w:tab/>
        <w:t>Viðeigandi upplýsingagjöf um þóknanir og gjöld er mjög mikilvæg fyrir mat fjárfesta á evrópskum langtímafjárfestingarsjóði sem hugsanlegu fjárfestingarmarkmiði. Slík upplýsingagjöf er einnig mikilvæg ef evrópskur langtímafjárfestingarsjóður er markaðssettur til almennra fjárfesta þegar um er að ræða skipan höfuðsjóða og fylgisjóða. Því er viðeigandi að krefjast þess að rekstraraðili evrópsks langtímafjárfestingarsjóðs hafi með í ársskýrslu fylgisjóðsins yfirlýsingu um samanlögð gjöld ELTIF-fylgisjóðsins og ELTIF-höfuðsjóðsins. Þess er vænst að þessi krafa stuðli að fjárfestavernd gagnvart óréttmætum viðbótarkostnaði vegna áskriftar- og innlausnargjalda sem ELTIF-höfuðsjóðurinn kann að innheimta af ELTIF-fylgisjóðnum.</w:t>
      </w:r>
    </w:p>
    <w:p w14:paraId="3FBB3455" w14:textId="77777777" w:rsidR="002F5113" w:rsidRDefault="00322F12">
      <w:pPr>
        <w:pStyle w:val="Consid"/>
        <w:spacing w:after="360"/>
        <w:rPr>
          <w:szCs w:val="18"/>
        </w:rPr>
      </w:pPr>
      <w:r>
        <w:t>37)</w:t>
      </w:r>
      <w:r>
        <w:tab/>
        <w:t>Ákvæði reglugerðar (ESB) 2015/760 gera þá kröfu að rekstraraðili evrópsks langtímafjárfestingarsjóðs birti upplýsingar um þóknanir sem tengjast fjárfestingu í evrópskum langtímafjárfestingarsjóði í lýsingu þess evrópska langtímafjárfestingarsjóðs. Hins vegar innihalda ákvæði reglugerðar Evrópuþingsins og ráðsins (ESB) nr. 1286/2014 (</w:t>
      </w:r>
      <w:bookmarkStart w:id="8" w:name="NOTE_9"/>
      <w:r>
        <w:rPr>
          <w:rStyle w:val="FootnoteReference"/>
          <w:sz w:val="18"/>
          <w:szCs w:val="18"/>
        </w:rPr>
        <w:footnoteReference w:id="10"/>
      </w:r>
      <w:bookmarkEnd w:id="8"/>
      <w:r>
        <w:t>) einnig kröfur varðandi upplýsingagjöf um þóknanir. Til að auka gagnsæi um fyrirkomulag þóknana ætti að samræma kröfuna sem mælt er fyrir um í ákvæðum reglugerðar (ESB) 2015/760 við kröfuna sem mælt er fyrir um í reglugerð (ESB) nr. 1286/2014.</w:t>
      </w:r>
    </w:p>
    <w:p w14:paraId="0BD379AC" w14:textId="77777777" w:rsidR="002F5113" w:rsidRDefault="00322F12">
      <w:pPr>
        <w:pStyle w:val="Consid"/>
        <w:spacing w:after="360"/>
        <w:rPr>
          <w:szCs w:val="18"/>
        </w:rPr>
      </w:pPr>
      <w:r>
        <w:t>38)</w:t>
      </w:r>
      <w:r>
        <w:tab/>
        <w:t>Sem stendur er þess krafist í reglugerð (ESB) 2015/760 að rekstraraðilar evrópskra langtímafjárfestingarsjóða setji upp staðbundnar starfsstöðvar í hverju aðildarríki þar sem þeir hyggjast markaðssetja evrópska langtímafjárfestingarsjóði. Þó kröfur um að tilteknum verkefnum sé sinnt fyrir fjárfesta í öllum aðildarríkjum séu enn í gildi hefur krafan um að staðbundnar starfsstöðvar séu settar upp síðan verið felld niður með tilskipun Evrópuþingsins og ráðsins (ESB) 2019/1160 (</w:t>
      </w:r>
      <w:bookmarkStart w:id="9" w:name="NOTE_10"/>
      <w:r>
        <w:rPr>
          <w:rStyle w:val="FootnoteReference"/>
          <w:sz w:val="18"/>
          <w:szCs w:val="18"/>
        </w:rPr>
        <w:footnoteReference w:id="11"/>
      </w:r>
      <w:bookmarkEnd w:id="9"/>
      <w:r>
        <w:t xml:space="preserve">) að því er varðar verðbréfasjóði og sérhæfða sjóði sem eru markaðssettir til almennra fjárfesta þar sem slíkar staðbundnar starfsstöðvar skapa viðbótarkostnað og </w:t>
      </w:r>
      <w:proofErr w:type="spellStart"/>
      <w:r>
        <w:t>núning</w:t>
      </w:r>
      <w:proofErr w:type="spellEnd"/>
      <w:r>
        <w:t xml:space="preserve"> að því er varðar markaðssetningu evrópskra langtímafjárfestingarsjóða yfir landamæri. Enn fremur hefur æskilegur samskiptamáti við fjárfesta færst frá staðfundum á staðbundnum starfsstöðvum yfir í bein samskipti milli rekstraraðila eða dreifingaraðila sjóða og fjárfesta á rafrænan hátt. Að fella kröfuna út úr reglugerð (ESB) 2015/760 fyrir alla fjárfesta í evrópskum langtímafjárfestingarsjóðum væri því í samræmi við tilskipun (ESB) 2019/1160 og núverandi aðferðir við markaðssetningu á fjármálaafurðum og gæti stuðlað að því að evrópskir langtímafjárfestingarsjóðir verði meira aðlaðandi fyrir eignastýringaraðila sem myndu ekki lengur þurfa að leggja í kostnað vegna reksturs staðbundinna starfsstöðva. Því ætti að fella niður þá kröfu.</w:t>
      </w:r>
    </w:p>
    <w:p w14:paraId="4AEF7853" w14:textId="77777777" w:rsidR="002F5113" w:rsidRDefault="00322F12">
      <w:pPr>
        <w:pStyle w:val="Consid"/>
        <w:spacing w:after="360"/>
        <w:rPr>
          <w:szCs w:val="18"/>
        </w:rPr>
      </w:pPr>
      <w:r>
        <w:t>39)</w:t>
      </w:r>
      <w:r>
        <w:tab/>
        <w:t xml:space="preserve">Þar sem hlutdeildarskírteini og hlutabréf evrópskra langtímafjárfestingarsjóða eru </w:t>
      </w:r>
      <w:proofErr w:type="spellStart"/>
      <w:r>
        <w:t>fjármálagerningar</w:t>
      </w:r>
      <w:proofErr w:type="spellEnd"/>
      <w:r>
        <w:t xml:space="preserve"> gilda reglur um afurðastjórnun úr tilskipun Evrópuþingsins og ráðsins 2014/65/ESB (</w:t>
      </w:r>
      <w:bookmarkStart w:id="10" w:name="NOTE_11"/>
      <w:r>
        <w:rPr>
          <w:rStyle w:val="FootnoteReference"/>
          <w:sz w:val="18"/>
          <w:szCs w:val="18"/>
        </w:rPr>
        <w:footnoteReference w:id="12"/>
      </w:r>
      <w:bookmarkEnd w:id="10"/>
      <w:r>
        <w:t xml:space="preserve">) þar sem evrópskir langtímafjárfestingarsjóðir eru markaðssettir með veitingu fjárfestingarþjónustu. Þó er einnig hægt að kaupa hlutdeildarskírteini eða hlutabréf evrópskra langtímafjárfestingarsjóða án þess að fjárfestingarþjónusta sé veitt. Til að ná yfir þessi tilvik er sem stendur gerð krafa í ákvæðum reglugerðar (ESB) 2015/760 um að rekstraraðilar evrópskra langtímafjárfestingarsjóða þrói innra matsferli evrópskra langtímafjárfestingarsjóða sem markaðssettir eru til almennra fjárfesta. Gildandi kerfi er innblásið af reglum um afurðastjórnun úr tilskipun 2014/65/ESB en er frábrugðið í ýmsum atriðum sem eru ekki rökstudd og gæti dregið úr fjárfestavernd. Því ætti að tilgreina að þær reglur um afurðastjórnun sem mælt er fyrir um í tilskipun 2014/65/ESB gilda. </w:t>
      </w:r>
      <w:r>
        <w:lastRenderedPageBreak/>
        <w:t>Skilja ber tilvísanir í tilskipun 2014/65/EB þannig að þær feli í sér beitingu framseldra gerða sem eru viðbót við tilskipunina.</w:t>
      </w:r>
    </w:p>
    <w:p w14:paraId="5FE7F4DF" w14:textId="77777777" w:rsidR="002F5113" w:rsidRDefault="00322F12">
      <w:pPr>
        <w:pStyle w:val="Consid"/>
      </w:pPr>
      <w:r>
        <w:t>40)</w:t>
      </w:r>
      <w:r>
        <w:tab/>
        <w:t>Sem stendur er þess krafist í reglugerð (ESB) 2015/760 að dreifingaraðilar eða rekstraraðilar evrópskra langtímafjárfestingarsjóða geri hæfismat að því er varðar almenna fjárfesta. Hins vegar er þegar mælt fyrir um þessa kröfur í 25. gr. tilskipunar 2014/65/ESB. Tvöföld krafa eykur stjórnsýslubyrði, sem leiðir til meiri kostnaðar fyrir almenna fjárfesta og dregur úr því að rekstraraðilar evrópskra langtímafjárfestingarsjóða bjóði almennum fjárfestum nýja evrópska langtímafjárfestingarsjóði. Því er nauðsynlegt að fjarlægja þessa tvöföldu kröfu úr reglugerð (ESB) 2015/760.</w:t>
      </w:r>
    </w:p>
    <w:p w14:paraId="60A9FE5A" w14:textId="77777777" w:rsidR="002F5113" w:rsidRDefault="00322F12">
      <w:pPr>
        <w:pStyle w:val="Consid"/>
      </w:pPr>
      <w:r>
        <w:t>41)</w:t>
      </w:r>
      <w:r>
        <w:tab/>
        <w:t xml:space="preserve">Til að tryggja mikla vernd almennra fjárfesta ætti að gera hæfismat án tillits til þess hvort almennir fjárfestar kaupa hlutdeildarskírteini eða hlutabréf evrópskra langtímafjárfestingarsjóða af dreifingaraðilum eða rekstraraðilum evrópskra langtímafjárfestingarsjóða eða á </w:t>
      </w:r>
      <w:proofErr w:type="spellStart"/>
      <w:r>
        <w:t>eftirmarkaði</w:t>
      </w:r>
      <w:proofErr w:type="spellEnd"/>
      <w:r>
        <w:t>. Í samræmi við 2. mgr. 25. gr. tilskipunar 2014/65/ESB ætti hæfismat að samanstanda af upplýsingum um áætlaða tímalengd og tilgang fjárfestingar og áhættuþol almenna fjárfestisins, sem hluta af upplýsingum um fjárfestingarmarkmið og fjárhagsstöðu almenns fjárfestis, þ.m.t. getu viðkomandi til að þola tap. Senda ætti niðurstöður matsins til hinna almennu fjárfesta á formi yfirlýsingar um hæfi í samræmi við 6. mgr. 25. gr. tilskipunar 2014/65/ESB.</w:t>
      </w:r>
    </w:p>
    <w:p w14:paraId="748FBFBF" w14:textId="77777777" w:rsidR="002F5113" w:rsidRDefault="00322F12">
      <w:pPr>
        <w:pStyle w:val="Consid"/>
      </w:pPr>
      <w:r>
        <w:t>42)</w:t>
      </w:r>
      <w:r>
        <w:tab/>
        <w:t>Þar að auki, í þeim tilvikum þar sem niðurstaða hæfismats er sú að evrópskur langtímafjárfestingarsjóður henti ekki fyrir almennan fjárfesti og slíkur fjárfestir vill engu að síður halda áfram með viðskiptin ætti að fá afdráttarlaust samþykki þess almenna fjárfestis áður en dreifingaraðili eða rekstraraðili evrópsks langtímafjárfestingarsjóðs heldur viðskiptunum áfram.</w:t>
      </w:r>
    </w:p>
    <w:p w14:paraId="49BC08A8" w14:textId="77777777" w:rsidR="002F5113" w:rsidRDefault="00322F12">
      <w:pPr>
        <w:pStyle w:val="Consid"/>
        <w:rPr>
          <w:szCs w:val="18"/>
        </w:rPr>
      </w:pPr>
      <w:r>
        <w:t>43)</w:t>
      </w:r>
      <w:r>
        <w:tab/>
        <w:t xml:space="preserve">Ákvæði reglugerðar (ESB) 2015/760 krefjast þess einnig að dreifingaraðilar eða rekstraraðilar evrópskra langtímafjárfestingarsjóða veiti tilhlýðilega fjárfestingarráðgjöf við markaðssetningu evrópskra langtímafjárfestingarsjóða til almennra fjárfesta. Skortur á nákvæmni í reglugerð (ESB) 2015/760 á því hvað telst vera tilhlýðileg fjárfestingaráðgjöf og skortur á </w:t>
      </w:r>
      <w:proofErr w:type="spellStart"/>
      <w:r>
        <w:t>millivísun</w:t>
      </w:r>
      <w:proofErr w:type="spellEnd"/>
      <w:r>
        <w:t xml:space="preserve"> í skilgreininguna á fjárfestingarráðgjöf í tilskipun 2014/65/ESB hefur leitt til skorts á réttarvissu og </w:t>
      </w:r>
      <w:proofErr w:type="spellStart"/>
      <w:r>
        <w:t>ruglings</w:t>
      </w:r>
      <w:proofErr w:type="spellEnd"/>
      <w:r>
        <w:t xml:space="preserve"> meðal dreifingaraðila og rekstraraðila evrópskra langtímafjárfestingarsjóða. Enn fremur krefst sú skylda að veita fjárfestingarráðgjöf þess að ytri dreifingaraðilar fái starfsleyfi samkvæmt tilskipun 2014/65/ESB við markaðssetningu evrópskra langtímafjárfestingarsjóða til almennra fjárfesta. Þetta skapar ónauðsynlegar hindranir á markaðssetningu evrópskra langtímafjárfestingarsjóða til slíkra fjárfesta og setur evrópskum langtímafjárfestingarsjóðum einnig strangari kröfur en gerðar eru um dreifingu annarra flókinna fjármálaafurða, þ.m.t. kröfurnar um verðbréfun sem mælt er fyrir um í reglugerð (ESB) 2017/2402 og um víkjandi hæfar skuldbindingar sem mælt er fyrir um í tilskipun Evrópuþingsins og ráðsins 2014/59/ESB (</w:t>
      </w:r>
      <w:bookmarkStart w:id="11" w:name="NOTE_12"/>
      <w:r>
        <w:rPr>
          <w:rStyle w:val="FootnoteReference"/>
          <w:sz w:val="18"/>
          <w:szCs w:val="18"/>
        </w:rPr>
        <w:footnoteReference w:id="13"/>
      </w:r>
      <w:bookmarkEnd w:id="11"/>
      <w:r>
        <w:t xml:space="preserve">). Það er því ekki nauðsynlegt að skylda dreifingaraðila og rekstraraðila evrópskra langtímafjárfestingarsjóða til að veita almennum fjárfestum slíka fjárfestingarráðgjöf. Í ljósi </w:t>
      </w:r>
      <w:proofErr w:type="spellStart"/>
      <w:r>
        <w:t>mikilvægis</w:t>
      </w:r>
      <w:proofErr w:type="spellEnd"/>
      <w:r>
        <w:t xml:space="preserve"> þess að hafa jöfn samkeppnisskilyrði fyrir fjármálaafurðir þegar slíkar afurðir eru markaðssettar til endanlegra fjárfesta og að tryggja að þessi reglugerð feli m.a. í sér skilvirkar ráðstafanir til fjárfestaverndar ættu evrópskir langtímafjárfestingarsjóðir ekki að sæta óþarfa stjórnsýslu- og reglugerðarbyrði.</w:t>
      </w:r>
    </w:p>
    <w:p w14:paraId="4DA5020D" w14:textId="77777777" w:rsidR="002F5113" w:rsidRDefault="00322F12">
      <w:pPr>
        <w:pStyle w:val="Consid"/>
      </w:pPr>
      <w:r>
        <w:t>44)</w:t>
      </w:r>
      <w:r>
        <w:tab/>
        <w:t>Til að tryggja skilvirkt eftirlit með beitingu krafna sem tengjast markaðssetningu evrópskra langtímafjárfestingarsjóða til almennra fjárfesta, ætti dreifingaraðili eða, þegar hlutdeildarskírteini eða hlutabréf í evrópskum langtímafjárfestingarsjóði eru boðin eða markaðssett beint til almenns fjárfestis, rekstraraðili evrópska langtímafjárfestingarsjóðsins að falla undir reglur tilskipunar 2014/65/ESB um skráahald.</w:t>
      </w:r>
    </w:p>
    <w:p w14:paraId="4E4C9193" w14:textId="77777777" w:rsidR="002F5113" w:rsidRDefault="00322F12">
      <w:pPr>
        <w:pStyle w:val="Consid"/>
        <w:spacing w:after="0"/>
        <w:rPr>
          <w:szCs w:val="18"/>
        </w:rPr>
      </w:pPr>
      <w:r>
        <w:t>45)</w:t>
      </w:r>
      <w:r>
        <w:tab/>
        <w:t>Sjái dreifingaraðili um að markaðssetja eða koma á markað evrópskum langtímafjárfestingarsjóðum til almennra fjárfesta ætti slíkur dreifingaraðili að fara að gildandi kröfum tilskipunar 2014/65/ESB og reglugerðar Evrópuþingsins og ráðsins (ESB) nr. 600/2014 (</w:t>
      </w:r>
      <w:bookmarkStart w:id="12" w:name="NOTE_13"/>
      <w:r>
        <w:rPr>
          <w:rStyle w:val="FootnoteReference"/>
          <w:sz w:val="18"/>
          <w:szCs w:val="18"/>
        </w:rPr>
        <w:footnoteReference w:id="14"/>
      </w:r>
      <w:bookmarkEnd w:id="12"/>
      <w:r>
        <w:t>). Til að tryggja réttaröryggi og forðast tvíverknað ætti krafan um hæfismat að teljast uppfyllt hafi almennur fjárfestir fengið fjárfestingarráðgjöf samkvæmt tilskipun 2014/65/ESB.</w:t>
      </w:r>
      <w:r>
        <w:br w:type="page"/>
      </w:r>
    </w:p>
    <w:p w14:paraId="6A79A0F9" w14:textId="77777777" w:rsidR="002F5113" w:rsidRDefault="00322F12">
      <w:pPr>
        <w:pStyle w:val="Consid"/>
      </w:pPr>
      <w:r>
        <w:lastRenderedPageBreak/>
        <w:t>46)</w:t>
      </w:r>
      <w:r>
        <w:tab/>
        <w:t>Það er viðtekin markaðsvenja að eignasafnsstjórar og háttsett starfsfólk rekstraraðila evrópsks langtímafjárfestingarsjóðs séu skyldugir til eða þess vænst að þeir fjárfesti í evrópskum langtímafjárfestingarsjóðum sem eru undir stjórn sama rekstraraðila evrópsks langtímafjárfestingarsjóðs. Gert er ráð fyrir að slíkir einstaklingar hafi reynslu af fjárfestingum og séu vel upplýstir um evrópska langtímafjárfestingarsjóðinn, því væri óþarfi að krefjast þess að þeir gangist undir hæfismat vegna fjárfestinga í evrópska langtímafjárfestingarsjóðnum. Því er rétt að krefjast þess ekki að dreifingaraðilar eða rekstraraðilar evrópskra langtímafjárfestingarsjóða geri hæfismat á slíkum einstaklingum.</w:t>
      </w:r>
    </w:p>
    <w:p w14:paraId="572151DD" w14:textId="77777777" w:rsidR="002F5113" w:rsidRDefault="00322F12">
      <w:pPr>
        <w:pStyle w:val="Consid"/>
      </w:pPr>
      <w:r>
        <w:t>47)</w:t>
      </w:r>
      <w:r>
        <w:tab/>
        <w:t xml:space="preserve">Fyrir hugsanlega almenna fjárfesta með </w:t>
      </w:r>
      <w:proofErr w:type="spellStart"/>
      <w:r>
        <w:t>fjármálagerningasafn</w:t>
      </w:r>
      <w:proofErr w:type="spellEnd"/>
      <w:r>
        <w:t xml:space="preserve"> sem fer ekki yfir 500 000 evrur gerir reglugerð (ESB) 2015/760 eins og stendur kröfu um upphaflega lágmarksfjárfestingu í einum eða fleiri evrópskum langtímafjárfestingarsjóðum upp á 10 000 evrur og að slíkir fjárfestar fjárfesti ekki samanlagðri fjárhæð upp á yfir 10% af </w:t>
      </w:r>
      <w:proofErr w:type="spellStart"/>
      <w:r>
        <w:t>fjármálagerningasafni</w:t>
      </w:r>
      <w:proofErr w:type="spellEnd"/>
      <w:r>
        <w:t xml:space="preserve"> sínu í evrópskum langtímafjárfestingarsjóðum. Þegar þessum kröfum er beitt saman skapa upphafleg lágmarksfjárfesting upp á 10 000 evrur og 10% mörk á samanlagðri fjárfestingu umtalsverða hindrun fyrir fjárfestingar almennra fjárfesta í evrópskum langtímafjárfestingarsjóðum sem stangast á við markmiðið með evrópskum langtímafjárfestingarsjóðum um að koma á sérhæfðum sjóðum fyrir almenna fjárfesta. Því er nauðsynlegt að fella niður kröfuna um 10 000 evra upphaflega fjárfestingu og 10% mörk á samanlagðri fjárfestingu.</w:t>
      </w:r>
    </w:p>
    <w:p w14:paraId="344E6A38" w14:textId="77777777" w:rsidR="002F5113" w:rsidRDefault="00322F12">
      <w:pPr>
        <w:pStyle w:val="Consid"/>
      </w:pPr>
      <w:r>
        <w:t>48)</w:t>
      </w:r>
      <w:r>
        <w:tab/>
        <w:t xml:space="preserve">Sem stendur krefjast ákvæði reglugerðar (ESB) 2015/760 þess að fjárfestar hljóti jafna meðhöndlun og banna </w:t>
      </w:r>
      <w:proofErr w:type="spellStart"/>
      <w:r>
        <w:t>ívilnandi</w:t>
      </w:r>
      <w:proofErr w:type="spellEnd"/>
      <w:r>
        <w:t xml:space="preserve"> meðferð stakra fjárfesta eða hópa fjárfesta eða veitingu sérstaks fjárhagslegs ávinnings til þessara fjárfesta. Hins vegar geta evrópskir langtímafjárfestingarsjóðir verið með nokkra flokka hlutdeildarskírteina eða hlutabréfa með örlítið eða verulega ólík skilyrði að því er varðar gjöld, félagsform, reglur um markaðssetningu og aðrar kröfur. Til þess að taka tillit til þessa mismunar ættu þessar kröfur aðeins að gilda um staka fjárfesta eða hópa fjárfesta sem fjárfesta í sama flokki eða flokkum evrópskra langtímafjárfestingarsjóða.</w:t>
      </w:r>
    </w:p>
    <w:p w14:paraId="3F4DC581" w14:textId="77777777" w:rsidR="002F5113" w:rsidRDefault="00322F12">
      <w:pPr>
        <w:pStyle w:val="Consid"/>
      </w:pPr>
      <w:r>
        <w:t>49)</w:t>
      </w:r>
      <w:r>
        <w:tab/>
        <w:t>Til þess að gefa rekstraraðilum evrópskra langtímafjárfestingarsjóða nægan tíma til að laga sig að kröfum þessarar reglugerðar, þ.m.t. þeim kröfum sem tengjast markaðssetningu evrópskra langtímafjárfestingarsjóða til fjárfesta, ætti þessi reglugerð að koma til framkvæmda níu mánuðum eftir að hún tekur gildi.</w:t>
      </w:r>
    </w:p>
    <w:p w14:paraId="259EB391" w14:textId="77777777" w:rsidR="002F5113" w:rsidRDefault="00322F12">
      <w:pPr>
        <w:pStyle w:val="Consid"/>
      </w:pPr>
      <w:r>
        <w:t>50)</w:t>
      </w:r>
      <w:r>
        <w:tab/>
        <w:t xml:space="preserve">Vegna hugsanlegs illseljanleika hæfra eigna og langtímastefnumörkunar evrópskra langtímafjárfestingarsjóða geta evrópskir langtímafjárfestingarsjóðir lent í erfiðleikum með að hlíta hvers kyns breytingum á þeim sjóðsreglum og kröfum samkvæmt reglum sem gerðar eru á lífsferli þeirra, án þess að það hafi áhrif á traust og tiltrú fjárfesta þeirra. Því er nauðsynlegt að kveða á um umbreytingarákvæði að því er varðar þá evrópsku langtímafjárfestingarsjóði sem fengu starfsleyfi áður en þessi reglugerð kemur til framkvæmda. Hins vegar ættu slíkir evrópskir langtímafjárfestingarsjóðir einnig að geta valið hvort þeir falli undir þessa reglugerð, að því tilskildu að </w:t>
      </w:r>
      <w:proofErr w:type="spellStart"/>
      <w:r>
        <w:t>lögbæru</w:t>
      </w:r>
      <w:proofErr w:type="spellEnd"/>
      <w:r>
        <w:t xml:space="preserve"> yfirvaldi evrópska langtímafjárfestingarsjóðsins berist tilkynning til samræmis við það.</w:t>
      </w:r>
    </w:p>
    <w:p w14:paraId="545B8303" w14:textId="77777777" w:rsidR="002F5113" w:rsidRDefault="00322F12">
      <w:pPr>
        <w:pStyle w:val="Consid"/>
      </w:pPr>
      <w:r>
        <w:t>51)</w:t>
      </w:r>
      <w:r>
        <w:tab/>
        <w:t xml:space="preserve">Þar eð aðildarríkin geta ekki fyllilega náð markmiði þessarar reglugerðar, þ.e. að tryggja skilvirkan lagaramma fyrir rekstur evrópskra langtímafjárfestingarsjóða í Sambandinu öllu og stuðla að langtímafjárfestingum með því að afla og miðla fjármagni til langtímafjárfestinga í raunhagkerfinu í samræmi við markmið Sambandsins um </w:t>
      </w:r>
      <w:proofErr w:type="spellStart"/>
      <w:r>
        <w:t>snjallhagvöxt</w:t>
      </w:r>
      <w:proofErr w:type="spellEnd"/>
      <w:r>
        <w:t>, sjálfbæran hagvöxt og hagvöxt fyrir alla, og markmiðunum verður betur náð á vettvangi Sambandsins vegna umfangs og aðgerða þessarar reglugerðar, er Sambandinu heimilt að samþykkja ráðstafanir í samræmi við nálægðarregluna eins og kveðið er á um í 5. gr. sáttmálans um Evrópusambandið. Í samræmi við meðalhófsregluna, eins og hún er sett fram í þeirri grein, er ekki gengið lengra en nauðsyn krefur í þessari reglugerð til að ná þessum markmiðum.</w:t>
      </w:r>
    </w:p>
    <w:p w14:paraId="55BDF2EA" w14:textId="77777777" w:rsidR="002F5113" w:rsidRDefault="00322F12">
      <w:pPr>
        <w:pStyle w:val="Consid"/>
      </w:pPr>
      <w:r>
        <w:t>52)</w:t>
      </w:r>
      <w:r>
        <w:tab/>
        <w:t>Því ætti að breyta reglugerð (ESB) 2015/760 til samræmis við það.</w:t>
      </w:r>
    </w:p>
    <w:p w14:paraId="731CD944" w14:textId="77777777" w:rsidR="002F5113" w:rsidRDefault="00322F12">
      <w:pPr>
        <w:pStyle w:val="PreambleFinal"/>
        <w:spacing w:line="200" w:lineRule="exact"/>
      </w:pPr>
      <w:r>
        <w:t>SAMÞYKKT REGLUGERÐ ÞESSA:</w:t>
      </w:r>
    </w:p>
    <w:p w14:paraId="34C7F2E0" w14:textId="77777777" w:rsidR="002F5113" w:rsidRDefault="00322F12">
      <w:pPr>
        <w:pStyle w:val="TIART"/>
      </w:pPr>
      <w:r>
        <w:t>1. gr.</w:t>
      </w:r>
    </w:p>
    <w:p w14:paraId="75BD47E0" w14:textId="77777777" w:rsidR="002F5113" w:rsidRDefault="00322F12">
      <w:pPr>
        <w:pStyle w:val="STIART"/>
      </w:pPr>
      <w:r>
        <w:t>Breytingar á reglugerð (ESB) 2015/760</w:t>
      </w:r>
    </w:p>
    <w:p w14:paraId="797B47AB" w14:textId="77777777" w:rsidR="002F5113" w:rsidRDefault="00322F12">
      <w:pPr>
        <w:pStyle w:val="Alinea"/>
      </w:pPr>
      <w:r>
        <w:t>Reglugerð (ESB) 2015/760 er breytt sem hér segir:</w:t>
      </w:r>
    </w:p>
    <w:p w14:paraId="09796F86" w14:textId="77777777" w:rsidR="002F5113" w:rsidRDefault="00322F12">
      <w:pPr>
        <w:pStyle w:val="NumberedText"/>
        <w:tabs>
          <w:tab w:val="clear" w:pos="2047"/>
        </w:tabs>
        <w:ind w:left="383" w:hanging="383"/>
      </w:pPr>
      <w:r>
        <w:t>1)</w:t>
      </w:r>
      <w:r>
        <w:tab/>
        <w:t>Eftirfarandi kemur í stað 2. mgr. 1. gr.:</w:t>
      </w:r>
    </w:p>
    <w:p w14:paraId="12B819A9" w14:textId="77777777" w:rsidR="002F5113" w:rsidRDefault="00322F12">
      <w:pPr>
        <w:pStyle w:val="AlineaWithParag"/>
        <w:tabs>
          <w:tab w:val="left" w:pos="783"/>
        </w:tabs>
        <w:spacing w:after="0"/>
        <w:ind w:left="383"/>
      </w:pPr>
      <w:r>
        <w:t>„2.</w:t>
      </w:r>
      <w:r>
        <w:tab/>
        <w:t xml:space="preserve">Markmið þessarar reglugerðar er að greiða fyrir öflun og dreifingu fjármagns til langtímafjárfestinga í raunhagkerfinu, þ.m.t. til fjárfestinga sem stuðla að Grænu samkomulagi í Evrópu og öðrum forgangssviðum, í samræmi við markmið Sambandsins um </w:t>
      </w:r>
      <w:proofErr w:type="spellStart"/>
      <w:r>
        <w:t>snjallhagvöxt</w:t>
      </w:r>
      <w:proofErr w:type="spellEnd"/>
      <w:r>
        <w:t>, sjálfbæran hagvöxt og hagvöxt fyrir alla.“</w:t>
      </w:r>
      <w:r>
        <w:br w:type="page"/>
      </w:r>
    </w:p>
    <w:p w14:paraId="3BBD21CA" w14:textId="77777777" w:rsidR="002F5113" w:rsidRDefault="00322F12">
      <w:pPr>
        <w:pStyle w:val="NumberedText"/>
        <w:tabs>
          <w:tab w:val="clear" w:pos="2047"/>
        </w:tabs>
        <w:ind w:left="383" w:hanging="383"/>
      </w:pPr>
      <w:r>
        <w:lastRenderedPageBreak/>
        <w:t>2)</w:t>
      </w:r>
      <w:r>
        <w:tab/>
        <w:t>Ákvæðum 2. gr. er breytt sem hér segir:</w:t>
      </w:r>
    </w:p>
    <w:p w14:paraId="61C62177" w14:textId="77777777" w:rsidR="002F5113" w:rsidRDefault="00322F12">
      <w:pPr>
        <w:pStyle w:val="NumberedText"/>
        <w:ind w:left="677" w:hanging="293"/>
      </w:pPr>
      <w:r>
        <w:t>a)</w:t>
      </w:r>
      <w:r>
        <w:tab/>
        <w:t>Í stað 6. liðar kemur eftirfarandi:</w:t>
      </w:r>
    </w:p>
    <w:p w14:paraId="08FEBF54" w14:textId="77777777" w:rsidR="002F5113" w:rsidRDefault="00322F12">
      <w:pPr>
        <w:pStyle w:val="NumberedText"/>
        <w:tabs>
          <w:tab w:val="right" w:pos="947"/>
        </w:tabs>
        <w:ind w:left="1091" w:hanging="413"/>
      </w:pPr>
      <w:r>
        <w:tab/>
        <w:t>„6.</w:t>
      </w:r>
      <w:r>
        <w:tab/>
        <w:t>„eign“: eign sem hefur innra virði vegna gerðar sinnar og eiginleika,“</w:t>
      </w:r>
    </w:p>
    <w:p w14:paraId="2FFEBEFA" w14:textId="77777777" w:rsidR="002F5113" w:rsidRDefault="00322F12">
      <w:pPr>
        <w:pStyle w:val="NumberedText"/>
        <w:ind w:left="677" w:hanging="293"/>
      </w:pPr>
      <w:r>
        <w:t>b)</w:t>
      </w:r>
      <w:r>
        <w:tab/>
        <w:t>Eftirfarandi lið er bætt við 7. lið:</w:t>
      </w:r>
    </w:p>
    <w:p w14:paraId="5AF13EE8" w14:textId="77777777" w:rsidR="002F5113" w:rsidRDefault="00322F12">
      <w:pPr>
        <w:pStyle w:val="NumberedText"/>
        <w:ind w:left="1161" w:hanging="483"/>
      </w:pPr>
      <w:r>
        <w:t>„</w:t>
      </w:r>
      <w:proofErr w:type="spellStart"/>
      <w:r>
        <w:t>ca</w:t>
      </w:r>
      <w:proofErr w:type="spellEnd"/>
      <w:r>
        <w:t>)</w:t>
      </w:r>
      <w:r>
        <w:tab/>
      </w:r>
      <w:proofErr w:type="spellStart"/>
      <w:r>
        <w:t>endurtryggingafélag</w:t>
      </w:r>
      <w:proofErr w:type="spellEnd"/>
      <w:r>
        <w:t xml:space="preserve"> eins og það er skilgreint í 4. lið 13. gr. tilskipunar 2009/138/EB,“.</w:t>
      </w:r>
    </w:p>
    <w:p w14:paraId="74072C0F" w14:textId="77777777" w:rsidR="002F5113" w:rsidRDefault="00322F12">
      <w:pPr>
        <w:pStyle w:val="NumberedText"/>
        <w:ind w:left="677" w:hanging="293"/>
      </w:pPr>
      <w:r>
        <w:t>c)</w:t>
      </w:r>
      <w:r>
        <w:tab/>
        <w:t>Eftirfarandi liðum er bætt við:</w:t>
      </w:r>
    </w:p>
    <w:p w14:paraId="52323D39" w14:textId="77777777" w:rsidR="002F5113" w:rsidRDefault="00322F12">
      <w:pPr>
        <w:pStyle w:val="AlineaWithParag"/>
        <w:tabs>
          <w:tab w:val="left" w:pos="1077"/>
        </w:tabs>
        <w:ind w:left="677"/>
      </w:pPr>
      <w:r>
        <w:t>„14a)</w:t>
      </w:r>
      <w:r>
        <w:tab/>
        <w:t>„einföld, gagnsæ og stöðluð verðbréfun“: verðbréfun sem uppfyllir þau skilyrði sem eru sett fram í 18. gr. reglugerðar Evrópuþingsins og ráðsins (ESB) 2017/2402 (</w:t>
      </w:r>
      <w:r>
        <w:fldChar w:fldCharType="begin"/>
      </w:r>
      <w:r>
        <w:instrText xml:space="preserve"> REF NOTE_14 \h  \* MERGEFORMAT </w:instrText>
      </w:r>
      <w:r>
        <w:fldChar w:fldCharType="separate"/>
      </w:r>
      <w:r>
        <w:t>*</w:t>
      </w:r>
      <w:r>
        <w:fldChar w:fldCharType="end"/>
      </w:r>
      <w:r>
        <w:t>),</w:t>
      </w:r>
    </w:p>
    <w:p w14:paraId="6C63A49F" w14:textId="77777777" w:rsidR="002F5113" w:rsidRDefault="00322F12">
      <w:pPr>
        <w:pStyle w:val="AlineaWithParag"/>
        <w:tabs>
          <w:tab w:val="clear" w:pos="400"/>
        </w:tabs>
        <w:ind w:left="677"/>
      </w:pPr>
      <w:r>
        <w:t>14b)</w:t>
      </w:r>
      <w:r>
        <w:tab/>
        <w:t>„samstæða“: samstæða eins og hún er skilgreind í 11. lið 2. gr. tilskipunar Evrópuþingsins og ráðsins 2013/34/ESB (</w:t>
      </w:r>
      <w:r>
        <w:fldChar w:fldCharType="begin"/>
      </w:r>
      <w:r>
        <w:instrText xml:space="preserve"> REF NOTE_15 \h  \* MERGEFORMAT </w:instrText>
      </w:r>
      <w:r>
        <w:fldChar w:fldCharType="separate"/>
      </w:r>
      <w:r>
        <w:t>**</w:t>
      </w:r>
      <w:r>
        <w:fldChar w:fldCharType="end"/>
      </w:r>
      <w:r>
        <w:t>),</w:t>
      </w:r>
    </w:p>
    <w:p w14:paraId="45AF5DB3" w14:textId="77777777" w:rsidR="002F5113" w:rsidRDefault="002F5113">
      <w:pPr>
        <w:pStyle w:val="QuoteFootnoteRule"/>
        <w:ind w:left="677" w:right="7548"/>
      </w:pPr>
    </w:p>
    <w:p w14:paraId="73AA7244" w14:textId="77777777" w:rsidR="002F5113" w:rsidRDefault="00322F12">
      <w:pPr>
        <w:pStyle w:val="NumberedText"/>
        <w:spacing w:after="0"/>
        <w:ind w:left="1078" w:hanging="400"/>
      </w:pPr>
      <w:r>
        <w:t>(</w:t>
      </w:r>
      <w:bookmarkStart w:id="13" w:name="NOTE_14"/>
      <w:r>
        <w:t>*</w:t>
      </w:r>
      <w:bookmarkEnd w:id="13"/>
      <w:r>
        <w:t>)</w:t>
      </w:r>
      <w:r>
        <w:tab/>
        <w:t>Reglugerð Evrópuþingsins og ráðsins (ESB) 2017/2402 frá 12. desember 2017 um almennan ramma fyrir verðbréfun og gerð sértæks ramma fyrir einfalda, gagnsæja og staðlaða verðbréfun og um breytingu á tilskipunum 2009/65/EB, 2009/138/EB og 2011/61/ESB og reglugerðum (EB) nr. 1060/2009 og (ESB) nr. 648/2012 (</w:t>
      </w:r>
      <w:proofErr w:type="spellStart"/>
      <w:r>
        <w:t>Stjtíð</w:t>
      </w:r>
      <w:proofErr w:type="spellEnd"/>
      <w:r>
        <w:t>. ESB L 347, 28.12.2017, bls. 35).</w:t>
      </w:r>
    </w:p>
    <w:p w14:paraId="6CEE9D87" w14:textId="77777777" w:rsidR="002F5113" w:rsidRDefault="00322F12">
      <w:pPr>
        <w:pStyle w:val="NumberedText"/>
        <w:ind w:left="1078" w:hanging="400"/>
      </w:pPr>
      <w:r>
        <w:t>(</w:t>
      </w:r>
      <w:bookmarkStart w:id="14" w:name="NOTE_15"/>
      <w:r>
        <w:t>**</w:t>
      </w:r>
      <w:bookmarkEnd w:id="14"/>
      <w:r>
        <w:t>)</w:t>
      </w:r>
      <w:r>
        <w:tab/>
        <w:t>Tilskipun Evrópuþingsins og ráðsins 2013/34/ESB frá 26. júní 2013 um árleg reikningsskil, samstæðureikningsskil og tilheyrandi skýrslur tiltekinna tegunda fyrirtækja, um breytingu á tilskipun Evrópuþingsins og ráðsins 2006/43/EB og niðurfellingu tilskipana ráðsins 78/660/EBE og 83/349/EBE (</w:t>
      </w:r>
      <w:proofErr w:type="spellStart"/>
      <w:r>
        <w:t>Stjtíð</w:t>
      </w:r>
      <w:proofErr w:type="spellEnd"/>
      <w:r>
        <w:t>. ESB L 182, 29.6.2013, bls. 19).“</w:t>
      </w:r>
    </w:p>
    <w:p w14:paraId="191E2394" w14:textId="77777777" w:rsidR="002F5113" w:rsidRDefault="00322F12">
      <w:pPr>
        <w:pStyle w:val="NumberedText"/>
        <w:ind w:left="677" w:hanging="293"/>
      </w:pPr>
      <w:r>
        <w:t>d)</w:t>
      </w:r>
      <w:r>
        <w:tab/>
        <w:t>Eftirfarandi liðir bætast við:</w:t>
      </w:r>
    </w:p>
    <w:p w14:paraId="3447AF05" w14:textId="77777777" w:rsidR="002F5113" w:rsidRDefault="00322F12">
      <w:pPr>
        <w:pStyle w:val="NumberedText"/>
        <w:tabs>
          <w:tab w:val="right" w:pos="1037"/>
        </w:tabs>
        <w:ind w:left="1181" w:hanging="503"/>
      </w:pPr>
      <w:r>
        <w:tab/>
        <w:t>„20)</w:t>
      </w:r>
      <w:r>
        <w:tab/>
        <w:t>„ELTIF-fylgisjóður“: evrópskur langtímafjárfestingarsjóður, eða fjárfestingardeild innan hans, sem hefur heimild til að fjárfesta a.m.k. 85% af eignum sínum í hlutdeildarskírteinum eða hlutabréfum í öðrum evrópskum langtímafjárfestingarsjóði eða fjárfestingardeild evrópsks langtímafjárfestingarsjóðs,</w:t>
      </w:r>
    </w:p>
    <w:p w14:paraId="3D122CE1" w14:textId="77777777" w:rsidR="002F5113" w:rsidRDefault="00322F12">
      <w:pPr>
        <w:pStyle w:val="NumberedText"/>
        <w:tabs>
          <w:tab w:val="clear" w:pos="2047"/>
        </w:tabs>
        <w:ind w:left="1181" w:hanging="503"/>
      </w:pPr>
      <w:r>
        <w:t>21)</w:t>
      </w:r>
      <w:r>
        <w:tab/>
        <w:t>„ELTIF-höfuðsjóður“: evrópskur langtímafjárfestingarsjóður, eða fjárfestingardeild innan hans, þar sem annar evrópskur langtímafjárfestingarsjóður fjárfestir a.m.k. 85% eigna sinna í hlutdeildarskírteinum eða hlutabréfum.“</w:t>
      </w:r>
    </w:p>
    <w:p w14:paraId="7D509A50" w14:textId="77777777" w:rsidR="002F5113" w:rsidRDefault="00322F12">
      <w:pPr>
        <w:pStyle w:val="NumberedText"/>
        <w:tabs>
          <w:tab w:val="clear" w:pos="2047"/>
        </w:tabs>
        <w:ind w:left="383" w:hanging="383"/>
      </w:pPr>
      <w:r>
        <w:t>3)</w:t>
      </w:r>
      <w:r>
        <w:tab/>
        <w:t>Eftirfarandi kemur í stað 3. mgr. 3. gr.:</w:t>
      </w:r>
    </w:p>
    <w:p w14:paraId="183CE274" w14:textId="77777777" w:rsidR="002F5113" w:rsidRDefault="00322F12">
      <w:pPr>
        <w:pStyle w:val="AlineaWithParag"/>
        <w:tabs>
          <w:tab w:val="left" w:pos="783"/>
        </w:tabs>
        <w:ind w:left="383"/>
      </w:pPr>
      <w:r>
        <w:t>„3.</w:t>
      </w:r>
      <w:r>
        <w:tab/>
      </w:r>
      <w:proofErr w:type="spellStart"/>
      <w:r>
        <w:t>Lögbær</w:t>
      </w:r>
      <w:proofErr w:type="spellEnd"/>
      <w:r>
        <w:t xml:space="preserve"> yfirvöld evrópskra langtímafjárfestingarsjóða skulu, á ársfjórðungsgrundvelli, skýra Evrópsku verðbréfamarkaðseftirlitsstofnuninni frá starfsleyfum sem veitt hafa verið eða dregin til baka samkvæmt þessari reglugerð og hvers kyns breytingum á upplýsingum um evrópskan langtímafjárfestingarsjóð sem settar eru fram í miðlægu opinberu skránni sem um getur í annarri undirgrein.</w:t>
      </w:r>
    </w:p>
    <w:p w14:paraId="72C84B7D" w14:textId="77777777" w:rsidR="002F5113" w:rsidRDefault="00322F12">
      <w:pPr>
        <w:pStyle w:val="Alinea"/>
        <w:ind w:left="383"/>
      </w:pPr>
      <w:r>
        <w:t>Evrópska verðbréfamarkaðseftirlitsstofnunin skal halda uppfærða, miðlæga, opinbera skrá, sem tilgreinir fyrir sérhvern evrópskan langtímafjárfestingarsjóð sem hefur starfsleyfi samkvæmt þessari reglugerð:</w:t>
      </w:r>
    </w:p>
    <w:p w14:paraId="0904E1F7" w14:textId="77777777" w:rsidR="002F5113" w:rsidRDefault="00322F12">
      <w:pPr>
        <w:pStyle w:val="NumberedText"/>
        <w:ind w:left="677" w:hanging="293"/>
      </w:pPr>
      <w:r>
        <w:t>a)</w:t>
      </w:r>
      <w:r>
        <w:tab/>
        <w:t xml:space="preserve">auðkenni lögaðila (LEI-auðkenni) og </w:t>
      </w:r>
      <w:proofErr w:type="spellStart"/>
      <w:r>
        <w:t>landsauðkenniskóða</w:t>
      </w:r>
      <w:proofErr w:type="spellEnd"/>
      <w:r>
        <w:t xml:space="preserve"> evrópsks langtímafjárfestingarsjóðs, þar sem hann er tiltækur,</w:t>
      </w:r>
    </w:p>
    <w:p w14:paraId="1B5D7568" w14:textId="77777777" w:rsidR="002F5113" w:rsidRDefault="00322F12">
      <w:pPr>
        <w:pStyle w:val="NumberedText"/>
        <w:ind w:left="677" w:hanging="293"/>
      </w:pPr>
      <w:r>
        <w:t>b)</w:t>
      </w:r>
      <w:r>
        <w:tab/>
        <w:t>nafn og heimilisfang rekstraraðila evrópsks langtímafjárfestingarsjóðs og LEI-auðkenni þess rekstraraðila, ef það er fyrir hendi,</w:t>
      </w:r>
    </w:p>
    <w:p w14:paraId="6B6DE4DB" w14:textId="77777777" w:rsidR="002F5113" w:rsidRDefault="00322F12">
      <w:pPr>
        <w:pStyle w:val="NumberedText"/>
        <w:ind w:left="677" w:hanging="293"/>
      </w:pPr>
      <w:r>
        <w:t>c)</w:t>
      </w:r>
      <w:r>
        <w:tab/>
        <w:t>ISIN-númer evrópsks langtímafjárfestingarsjóðs og sérhvers sérstaks hlutdeildarskírteinis- eða hlutabréfaflokks, ef það liggur fyrir,</w:t>
      </w:r>
    </w:p>
    <w:p w14:paraId="71F189BC" w14:textId="77777777" w:rsidR="002F5113" w:rsidRDefault="00322F12">
      <w:pPr>
        <w:pStyle w:val="NumberedText"/>
        <w:ind w:left="677" w:hanging="293"/>
      </w:pPr>
      <w:r>
        <w:t>d)</w:t>
      </w:r>
      <w:r>
        <w:tab/>
        <w:t>LEI-auðkenni ELTIF-höfuðsjóðsins, ef það liggur fyrir,</w:t>
      </w:r>
    </w:p>
    <w:p w14:paraId="5A3DEBF4" w14:textId="77777777" w:rsidR="002F5113" w:rsidRDefault="00322F12">
      <w:pPr>
        <w:pStyle w:val="NumberedText"/>
        <w:ind w:left="677" w:hanging="293"/>
      </w:pPr>
      <w:r>
        <w:t>e)</w:t>
      </w:r>
      <w:r>
        <w:tab/>
        <w:t>LEI-auðkenni fylgisjóðs, ef það liggur fyrir,</w:t>
      </w:r>
    </w:p>
    <w:p w14:paraId="1491D6D2" w14:textId="77777777" w:rsidR="002F5113" w:rsidRDefault="00322F12">
      <w:pPr>
        <w:pStyle w:val="NumberedText"/>
        <w:ind w:left="677" w:hanging="293"/>
      </w:pPr>
      <w:r>
        <w:t>f)</w:t>
      </w:r>
      <w:r>
        <w:tab/>
      </w:r>
      <w:proofErr w:type="spellStart"/>
      <w:r>
        <w:t>lögbært</w:t>
      </w:r>
      <w:proofErr w:type="spellEnd"/>
      <w:r>
        <w:t xml:space="preserve"> yfirvald evrópsks langtímafjárfestingarsjóðs og heimaaðildarríki hans,</w:t>
      </w:r>
    </w:p>
    <w:p w14:paraId="39EAEE56" w14:textId="77777777" w:rsidR="002F5113" w:rsidRDefault="00322F12">
      <w:pPr>
        <w:pStyle w:val="NumberedText"/>
        <w:ind w:left="677" w:hanging="293"/>
      </w:pPr>
      <w:r>
        <w:t>g)</w:t>
      </w:r>
      <w:r>
        <w:tab/>
        <w:t>aðildarríkin þar sem evrópski langtímafjárfestingarsjóðurinn er markaðssettur,</w:t>
      </w:r>
    </w:p>
    <w:p w14:paraId="04C62DFD" w14:textId="77777777" w:rsidR="002F5113" w:rsidRDefault="00322F12">
      <w:pPr>
        <w:pStyle w:val="NumberedText"/>
        <w:ind w:left="677" w:hanging="293"/>
      </w:pPr>
      <w:r>
        <w:lastRenderedPageBreak/>
        <w:t>h)</w:t>
      </w:r>
      <w:r>
        <w:tab/>
        <w:t>hvort hægt sé að markaðssetja evrópskan langtímafjárfestingarsjóð til almennra fjárfesta eða einungis til fagfjárfesta,</w:t>
      </w:r>
    </w:p>
    <w:p w14:paraId="41DF0718" w14:textId="77777777" w:rsidR="002F5113" w:rsidRDefault="00322F12">
      <w:pPr>
        <w:pStyle w:val="NumberedText"/>
        <w:spacing w:after="0"/>
        <w:ind w:left="677" w:hanging="293"/>
      </w:pPr>
      <w:r>
        <w:t>i)</w:t>
      </w:r>
      <w:r>
        <w:tab/>
        <w:t>dagsetningu starfsleyfis evrópsks langtímafjárfestingarsjóðs,</w:t>
      </w:r>
      <w:r>
        <w:br w:type="page"/>
      </w:r>
    </w:p>
    <w:p w14:paraId="242008CD" w14:textId="77777777" w:rsidR="002F5113" w:rsidRDefault="00322F12">
      <w:pPr>
        <w:pStyle w:val="NumberedText"/>
        <w:spacing w:after="140"/>
        <w:ind w:left="677" w:hanging="293"/>
      </w:pPr>
      <w:r>
        <w:lastRenderedPageBreak/>
        <w:t>j)</w:t>
      </w:r>
      <w:r>
        <w:tab/>
        <w:t>dagsetningu þegar markaðssetning evrópsks langtímafjárfestingarsjóðs hófst,</w:t>
      </w:r>
    </w:p>
    <w:p w14:paraId="7BFE5538" w14:textId="77777777" w:rsidR="002F5113" w:rsidRDefault="00322F12">
      <w:pPr>
        <w:pStyle w:val="NumberedText"/>
        <w:spacing w:after="140"/>
        <w:ind w:left="677" w:hanging="293"/>
      </w:pPr>
      <w:r>
        <w:t>k)</w:t>
      </w:r>
      <w:r>
        <w:tab/>
        <w:t>dagsetningu nýjustu uppfærslu Evrópsku verðbréfamarkaðseftirlitsstofnunarinnar á upplýsingum um evrópskan langtímafjárfestingarsjóð.</w:t>
      </w:r>
    </w:p>
    <w:p w14:paraId="671840C0" w14:textId="77777777" w:rsidR="002F5113" w:rsidRDefault="00322F12">
      <w:pPr>
        <w:pStyle w:val="Alinea"/>
        <w:spacing w:after="140"/>
        <w:ind w:left="383"/>
      </w:pPr>
      <w:r>
        <w:t>Miðlæga opinbera skráin skal gerð aðgengileg á rafrænu formi.“</w:t>
      </w:r>
    </w:p>
    <w:p w14:paraId="2878E5E2" w14:textId="77777777" w:rsidR="002F5113" w:rsidRDefault="00322F12">
      <w:pPr>
        <w:pStyle w:val="NumberedText"/>
        <w:tabs>
          <w:tab w:val="clear" w:pos="2047"/>
        </w:tabs>
        <w:spacing w:after="140"/>
        <w:ind w:left="383" w:hanging="383"/>
      </w:pPr>
      <w:r>
        <w:t>4)</w:t>
      </w:r>
      <w:r>
        <w:tab/>
        <w:t>Ákvæðum 5. gr. er breytt sem hér segir:</w:t>
      </w:r>
    </w:p>
    <w:p w14:paraId="4117EAAA" w14:textId="77777777" w:rsidR="002F5113" w:rsidRDefault="00322F12">
      <w:pPr>
        <w:pStyle w:val="NumberedText"/>
        <w:spacing w:after="140"/>
        <w:ind w:left="677" w:hanging="293"/>
      </w:pPr>
      <w:r>
        <w:t>a)</w:t>
      </w:r>
      <w:r>
        <w:tab/>
        <w:t>Í stað annarrar undirgreinar 1. mgr. kemur eftirfarandi:</w:t>
      </w:r>
    </w:p>
    <w:p w14:paraId="4D92543F" w14:textId="77777777" w:rsidR="002F5113" w:rsidRDefault="00322F12">
      <w:pPr>
        <w:pStyle w:val="Para"/>
        <w:spacing w:after="140"/>
        <w:ind w:left="677"/>
      </w:pPr>
      <w:r>
        <w:t>„Umsókn um starfsleyfi sem evrópskur langtímafjárfestingarsjóður skal innihalda allt eftirfarandi:</w:t>
      </w:r>
    </w:p>
    <w:p w14:paraId="01B6E296" w14:textId="77777777" w:rsidR="002F5113" w:rsidRDefault="00322F12">
      <w:pPr>
        <w:pStyle w:val="NumberedText"/>
        <w:spacing w:after="140"/>
        <w:ind w:left="971" w:hanging="293"/>
      </w:pPr>
      <w:r>
        <w:t>a)</w:t>
      </w:r>
      <w:r>
        <w:tab/>
        <w:t>sjóðsreglur eða stofnsamninga,</w:t>
      </w:r>
    </w:p>
    <w:p w14:paraId="601F44F8" w14:textId="77777777" w:rsidR="002F5113" w:rsidRDefault="00322F12">
      <w:pPr>
        <w:pStyle w:val="NumberedText"/>
        <w:spacing w:after="140"/>
        <w:ind w:left="971" w:hanging="293"/>
      </w:pPr>
      <w:r>
        <w:t>b)</w:t>
      </w:r>
      <w:r>
        <w:tab/>
        <w:t>nafn fyrirhugaðs rekstraraðila evrópska langtímafjárfestingarsjóðsins,</w:t>
      </w:r>
    </w:p>
    <w:p w14:paraId="2AA5CBF1" w14:textId="77777777" w:rsidR="002F5113" w:rsidRDefault="00322F12">
      <w:pPr>
        <w:pStyle w:val="NumberedText"/>
        <w:spacing w:after="140"/>
        <w:ind w:left="971" w:hanging="293"/>
      </w:pPr>
      <w:r>
        <w:t>c)</w:t>
      </w:r>
      <w:r>
        <w:tab/>
        <w:t xml:space="preserve">nafn vörsluaðila og, ef þess er óskað af </w:t>
      </w:r>
      <w:proofErr w:type="spellStart"/>
      <w:r>
        <w:t>lögbæru</w:t>
      </w:r>
      <w:proofErr w:type="spellEnd"/>
      <w:r>
        <w:t xml:space="preserve"> yfirvaldi evrópsks langtímafjárfestingarsjóðs sem hægt er að markaðssetja til almennra fjárfesta, skriflegan samning við vörsluaðilann,</w:t>
      </w:r>
    </w:p>
    <w:p w14:paraId="358DB1F8" w14:textId="77777777" w:rsidR="002F5113" w:rsidRDefault="00322F12">
      <w:pPr>
        <w:pStyle w:val="NumberedText"/>
        <w:spacing w:after="140"/>
        <w:ind w:left="971" w:hanging="293"/>
      </w:pPr>
      <w:r>
        <w:t>d)</w:t>
      </w:r>
      <w:r>
        <w:tab/>
        <w:t>lýsingu á upplýsingum sem gera á fjárfestum aðgengilegar, þ.m.t. lýsingu á fyrirkomulagi við meðhöndlun kvartana sem almennir fjárfestar leggja fram, þar sem hægt er að markaðssetja evrópskan langtímafjárfestingarsjóð til almennra fjárfesta,</w:t>
      </w:r>
    </w:p>
    <w:p w14:paraId="17F153A2" w14:textId="77777777" w:rsidR="002F5113" w:rsidRDefault="00322F12">
      <w:pPr>
        <w:pStyle w:val="NumberedText"/>
        <w:spacing w:after="140"/>
        <w:ind w:left="971" w:hanging="293"/>
      </w:pPr>
      <w:r>
        <w:t>e)</w:t>
      </w:r>
      <w:r>
        <w:tab/>
        <w:t>eftir atvikum, eftirfarandi upplýsingar um skipan höfuðsjóða og fylgisjóða evrópska langtímafjárfestingarsjóðsins:</w:t>
      </w:r>
    </w:p>
    <w:p w14:paraId="20222DD8" w14:textId="77777777" w:rsidR="002F5113" w:rsidRDefault="00322F12">
      <w:pPr>
        <w:pStyle w:val="NumberedText"/>
        <w:tabs>
          <w:tab w:val="clear" w:pos="2047"/>
        </w:tabs>
        <w:spacing w:after="140"/>
        <w:ind w:left="1325" w:hanging="353"/>
      </w:pPr>
      <w:r>
        <w:t>i.</w:t>
      </w:r>
      <w:r>
        <w:tab/>
        <w:t>yfirlýsing um að ELTIF-fylgisjóðurinn sé fylgisjóður við ELTIF-höfuðsjóð,</w:t>
      </w:r>
    </w:p>
    <w:p w14:paraId="5A456F97" w14:textId="77777777" w:rsidR="002F5113" w:rsidRDefault="00322F12">
      <w:pPr>
        <w:pStyle w:val="NumberedText"/>
        <w:tabs>
          <w:tab w:val="clear" w:pos="2047"/>
        </w:tabs>
        <w:spacing w:after="140"/>
        <w:ind w:left="1325" w:hanging="353"/>
      </w:pPr>
      <w:r>
        <w:t>ii.</w:t>
      </w:r>
      <w:r>
        <w:tab/>
        <w:t>sjóðsreglur eða stofnsamninga ELTIF-höfuðsjóðsins og samkomulag milli fylgisjóðsins og höfuðsjóðsins eða innri reglur um viðskiptahætti, sem um getur í 6. mgr. 29. gr.,</w:t>
      </w:r>
    </w:p>
    <w:p w14:paraId="34D6CF92" w14:textId="77777777" w:rsidR="002F5113" w:rsidRDefault="00322F12">
      <w:pPr>
        <w:pStyle w:val="NumberedText"/>
        <w:tabs>
          <w:tab w:val="clear" w:pos="2047"/>
        </w:tabs>
        <w:spacing w:after="140"/>
        <w:ind w:left="1325" w:hanging="353"/>
      </w:pPr>
      <w:r>
        <w:t>iii.</w:t>
      </w:r>
      <w:r>
        <w:tab/>
        <w:t>ef ELTIF-höfuðsjóðurinn og ELTIF-fylgisjóðurinn hafa mismunandi vörsluaðila, samning um upplýsingaskipti sem um getur í 7. mgr. 29. gr.,</w:t>
      </w:r>
    </w:p>
    <w:p w14:paraId="2FE5D41B" w14:textId="77777777" w:rsidR="002F5113" w:rsidRDefault="00322F12">
      <w:pPr>
        <w:pStyle w:val="NumberedText"/>
        <w:tabs>
          <w:tab w:val="clear" w:pos="2047"/>
        </w:tabs>
        <w:spacing w:after="140"/>
        <w:ind w:left="1325" w:hanging="353"/>
      </w:pPr>
      <w:r>
        <w:t>iv.</w:t>
      </w:r>
      <w:r>
        <w:tab/>
        <w:t xml:space="preserve">ef ELTIF-fylgisjóðurinn hefur staðfestu í öðru aðildarríki en heimaaðildarríki höfuðsjóðs, staðfesting </w:t>
      </w:r>
      <w:proofErr w:type="spellStart"/>
      <w:r>
        <w:t>lögbærs</w:t>
      </w:r>
      <w:proofErr w:type="spellEnd"/>
      <w:r>
        <w:t xml:space="preserve"> yfirvalds í aðildarríki höfuðsjóðsins á að höfuðsjóðurinn sé evrópskur langtímafjárfestingarsjóður sem fylgisjóðurinn leggur fram.“</w:t>
      </w:r>
    </w:p>
    <w:p w14:paraId="1F06CEE7" w14:textId="77777777" w:rsidR="002F5113" w:rsidRDefault="00322F12">
      <w:pPr>
        <w:pStyle w:val="NumberedText"/>
        <w:spacing w:after="140"/>
        <w:ind w:left="677" w:hanging="293"/>
      </w:pPr>
      <w:r>
        <w:t>b)</w:t>
      </w:r>
      <w:r>
        <w:tab/>
        <w:t>Í stað inngangshlutans í annarri undirgrein 2. mgr. kemur eftirfarandi:</w:t>
      </w:r>
    </w:p>
    <w:p w14:paraId="633C2525" w14:textId="77777777" w:rsidR="002F5113" w:rsidRDefault="00322F12">
      <w:pPr>
        <w:pStyle w:val="Para"/>
        <w:spacing w:after="140"/>
        <w:ind w:left="677"/>
      </w:pPr>
      <w:r>
        <w:t xml:space="preserve">„Án þess að hafa áhrif á 1. mgr. skal rekstraraðili sérhæfðra sjóða innan ESB, sem sækir um að stjórna evrópskum langtímafjárfestingarsjóði sem hefur staðfestu í öðru aðildarríki veita </w:t>
      </w:r>
      <w:proofErr w:type="spellStart"/>
      <w:r>
        <w:t>lögbæru</w:t>
      </w:r>
      <w:proofErr w:type="spellEnd"/>
      <w:r>
        <w:t xml:space="preserve"> yfirvaldi evrópska langtímafjárfestingarsjóðsins eftirfarandi gögn:“.</w:t>
      </w:r>
    </w:p>
    <w:p w14:paraId="1569E33F" w14:textId="77777777" w:rsidR="002F5113" w:rsidRDefault="00322F12">
      <w:pPr>
        <w:pStyle w:val="NumberedText"/>
        <w:spacing w:after="140"/>
        <w:ind w:left="677" w:hanging="293"/>
      </w:pPr>
      <w:r>
        <w:t>c)</w:t>
      </w:r>
      <w:r>
        <w:tab/>
        <w:t>Í stað 3. mgr. kemur eftirfarandi:</w:t>
      </w:r>
    </w:p>
    <w:p w14:paraId="1A3FA375" w14:textId="77777777" w:rsidR="002F5113" w:rsidRDefault="00322F12">
      <w:pPr>
        <w:pStyle w:val="AlineaWithParag"/>
        <w:tabs>
          <w:tab w:val="left" w:pos="1077"/>
        </w:tabs>
        <w:spacing w:after="140"/>
        <w:ind w:left="677"/>
      </w:pPr>
      <w:r>
        <w:t>„3.</w:t>
      </w:r>
      <w:r>
        <w:tab/>
        <w:t>Innan tveggja mánaða frá framlagningardegi fullgerðrar umsóknar skal upplýsa umsækjendur um hvort starfsleyfi sem evrópskur langtímafjárfestingarsjóður hafi verið veitt.“</w:t>
      </w:r>
    </w:p>
    <w:p w14:paraId="166E827E" w14:textId="77777777" w:rsidR="002F5113" w:rsidRDefault="00322F12">
      <w:pPr>
        <w:pStyle w:val="NumberedText"/>
        <w:spacing w:after="140"/>
        <w:ind w:left="677" w:hanging="293"/>
      </w:pPr>
      <w:r>
        <w:t>d)</w:t>
      </w:r>
      <w:r>
        <w:tab/>
        <w:t xml:space="preserve">Í stað </w:t>
      </w:r>
      <w:proofErr w:type="spellStart"/>
      <w:r>
        <w:t>b-liðar</w:t>
      </w:r>
      <w:proofErr w:type="spellEnd"/>
      <w:r>
        <w:t xml:space="preserve"> annarrar undirgreinar 5. mgr. kemur eftirfarandi:</w:t>
      </w:r>
    </w:p>
    <w:p w14:paraId="2890DE16" w14:textId="77777777" w:rsidR="002F5113" w:rsidRDefault="00322F12">
      <w:pPr>
        <w:pStyle w:val="NumberedText"/>
        <w:spacing w:after="140"/>
        <w:ind w:left="1091" w:hanging="413"/>
      </w:pPr>
      <w:r>
        <w:t>„b)</w:t>
      </w:r>
      <w:r>
        <w:tab/>
        <w:t>lýsingu á upplýsingum sem gera á almennum fjárfestum aðgengilegar, þ.m.t. lýsingu á fyrirkomulagi við meðhöndlun kvartana sem almennir fjárfestar leggja fram, ef hægt er að markaðssetja evrópskan langtímafjárfestingarsjóð til almennra fjárfesta,“.</w:t>
      </w:r>
    </w:p>
    <w:p w14:paraId="58A4C250" w14:textId="77777777" w:rsidR="002F5113" w:rsidRDefault="00322F12">
      <w:pPr>
        <w:pStyle w:val="NumberedText"/>
        <w:tabs>
          <w:tab w:val="clear" w:pos="2047"/>
        </w:tabs>
        <w:spacing w:after="140"/>
        <w:ind w:left="383" w:hanging="383"/>
      </w:pPr>
      <w:r>
        <w:t>5)</w:t>
      </w:r>
      <w:r>
        <w:tab/>
        <w:t>Í stað 10. gr. kemur eftirfarandi:</w:t>
      </w:r>
    </w:p>
    <w:p w14:paraId="43BF6C7A" w14:textId="77777777" w:rsidR="002F5113" w:rsidRDefault="00322F12">
      <w:pPr>
        <w:pStyle w:val="TIARTquoted"/>
        <w:spacing w:after="140"/>
        <w:ind w:left="383"/>
      </w:pPr>
      <w:r>
        <w:t>„10. gr.</w:t>
      </w:r>
    </w:p>
    <w:p w14:paraId="21B15000" w14:textId="77777777" w:rsidR="002F5113" w:rsidRDefault="00322F12">
      <w:pPr>
        <w:pStyle w:val="STIARTquoted"/>
        <w:spacing w:after="140"/>
        <w:ind w:left="383"/>
      </w:pPr>
      <w:r>
        <w:t>Hæfar fjárfestingareignir</w:t>
      </w:r>
    </w:p>
    <w:p w14:paraId="2A56D503" w14:textId="77777777" w:rsidR="002F5113" w:rsidRDefault="00322F12">
      <w:pPr>
        <w:pStyle w:val="AlineaWithParag"/>
        <w:tabs>
          <w:tab w:val="left" w:pos="783"/>
        </w:tabs>
        <w:spacing w:after="140"/>
        <w:ind w:left="383"/>
      </w:pPr>
      <w:r>
        <w:t>1.</w:t>
      </w:r>
      <w:r>
        <w:tab/>
        <w:t>Eign, sem um getur í a-lið 1. mgr. 9. gr., skal aðeins vera hæf til fjárfestingar evrópsks langtímafjárfestingarsjóðs falli hún í einn af eftirtöldum flokkum:</w:t>
      </w:r>
    </w:p>
    <w:p w14:paraId="603692BA" w14:textId="77777777" w:rsidR="002F5113" w:rsidRDefault="00322F12">
      <w:pPr>
        <w:pStyle w:val="NumberedText"/>
        <w:spacing w:after="140"/>
        <w:ind w:left="677" w:hanging="293"/>
      </w:pPr>
      <w:r>
        <w:t>a)</w:t>
      </w:r>
      <w:r>
        <w:tab/>
      </w:r>
      <w:proofErr w:type="spellStart"/>
      <w:r>
        <w:t>eiginfjárgerningar</w:t>
      </w:r>
      <w:proofErr w:type="spellEnd"/>
      <w:r>
        <w:t xml:space="preserve"> eða ígildi </w:t>
      </w:r>
      <w:proofErr w:type="spellStart"/>
      <w:r>
        <w:t>eiginfjárgerninga</w:t>
      </w:r>
      <w:proofErr w:type="spellEnd"/>
      <w:r>
        <w:t xml:space="preserve"> sem:</w:t>
      </w:r>
    </w:p>
    <w:p w14:paraId="28A7E414" w14:textId="77777777" w:rsidR="002F5113" w:rsidRDefault="00322F12">
      <w:pPr>
        <w:pStyle w:val="NumberedText"/>
        <w:tabs>
          <w:tab w:val="clear" w:pos="2047"/>
        </w:tabs>
        <w:spacing w:after="0"/>
        <w:ind w:left="1031" w:hanging="353"/>
      </w:pPr>
      <w:r>
        <w:t>i.</w:t>
      </w:r>
      <w:r>
        <w:tab/>
        <w:t xml:space="preserve">fjárfestingarhæft fyrirtæki, eins og um getur í 11. gr., hefur gefið út og evrópski langtímafjárfestingarsjóðurinn hefur keypt af fjárfestingarhæfa fyrirtækinu eða þriðja aðila á </w:t>
      </w:r>
      <w:proofErr w:type="spellStart"/>
      <w:r>
        <w:t>eftirmarkaði</w:t>
      </w:r>
      <w:proofErr w:type="spellEnd"/>
      <w:r>
        <w:t>,</w:t>
      </w:r>
      <w:r>
        <w:br w:type="page"/>
      </w:r>
    </w:p>
    <w:p w14:paraId="4BE5AC6E" w14:textId="77777777" w:rsidR="002F5113" w:rsidRDefault="00322F12">
      <w:pPr>
        <w:pStyle w:val="NumberedText"/>
        <w:tabs>
          <w:tab w:val="clear" w:pos="2047"/>
        </w:tabs>
        <w:spacing w:after="240"/>
        <w:ind w:left="1031" w:hanging="353"/>
      </w:pPr>
      <w:r>
        <w:lastRenderedPageBreak/>
        <w:t>ii.</w:t>
      </w:r>
      <w:r>
        <w:tab/>
        <w:t xml:space="preserve">fjárfestingarhæft fyrirtæki, eins og um getur í 11. gr., hefur gefið út í skiptum fyrir </w:t>
      </w:r>
      <w:proofErr w:type="spellStart"/>
      <w:r>
        <w:t>eiginfjárgerning</w:t>
      </w:r>
      <w:proofErr w:type="spellEnd"/>
      <w:r>
        <w:t xml:space="preserve"> eða ígildi </w:t>
      </w:r>
      <w:proofErr w:type="spellStart"/>
      <w:r>
        <w:t>eiginfjárgernings</w:t>
      </w:r>
      <w:proofErr w:type="spellEnd"/>
      <w:r>
        <w:t xml:space="preserve"> sem evrópski langtímafjárfestingarsjóðurinn hefur áður keypt af fjárfestingarhæfa fyrirtækinu eða þriðja aðila á </w:t>
      </w:r>
      <w:proofErr w:type="spellStart"/>
      <w:r>
        <w:t>eftirmarkaði</w:t>
      </w:r>
      <w:proofErr w:type="spellEnd"/>
      <w:r>
        <w:t>,</w:t>
      </w:r>
    </w:p>
    <w:p w14:paraId="4514D7A5" w14:textId="77777777" w:rsidR="002F5113" w:rsidRDefault="00322F12">
      <w:pPr>
        <w:pStyle w:val="NumberedText"/>
        <w:tabs>
          <w:tab w:val="clear" w:pos="2047"/>
        </w:tabs>
        <w:spacing w:after="240"/>
        <w:ind w:left="1031" w:hanging="353"/>
      </w:pPr>
      <w:r>
        <w:t>iii.</w:t>
      </w:r>
      <w:r>
        <w:tab/>
        <w:t xml:space="preserve">fyrirtæki, sem fjárfestingarhæft fyrirtæki, eins og um getur í 11. gr., á hlutafjárhlutdeild í, hefur gefið út í skiptum fyrir </w:t>
      </w:r>
      <w:proofErr w:type="spellStart"/>
      <w:r>
        <w:t>eiginfjárgerning</w:t>
      </w:r>
      <w:proofErr w:type="spellEnd"/>
      <w:r>
        <w:t xml:space="preserve"> eða ígildi </w:t>
      </w:r>
      <w:proofErr w:type="spellStart"/>
      <w:r>
        <w:t>eiginfjárgernings</w:t>
      </w:r>
      <w:proofErr w:type="spellEnd"/>
      <w:r>
        <w:t xml:space="preserve"> sem evrópski langtímafjárfestingarsjóðurinn hefur keypt í samræmi við i. eða ii. lið þessa a-liðar,</w:t>
      </w:r>
    </w:p>
    <w:p w14:paraId="4BA1AD0F" w14:textId="77777777" w:rsidR="002F5113" w:rsidRDefault="00322F12">
      <w:pPr>
        <w:pStyle w:val="NumberedText"/>
        <w:spacing w:after="240"/>
        <w:ind w:left="677" w:hanging="293"/>
      </w:pPr>
      <w:r>
        <w:t>b)</w:t>
      </w:r>
      <w:r>
        <w:tab/>
      </w:r>
      <w:proofErr w:type="spellStart"/>
      <w:r>
        <w:t>skuldagerningar</w:t>
      </w:r>
      <w:proofErr w:type="spellEnd"/>
      <w:r>
        <w:t xml:space="preserve"> sem fjárfestingarhæft fyrirtæki, eins og um getur í 11. gr., gefur út,</w:t>
      </w:r>
    </w:p>
    <w:p w14:paraId="1478E34E" w14:textId="77777777" w:rsidR="002F5113" w:rsidRDefault="00322F12">
      <w:pPr>
        <w:pStyle w:val="NumberedText"/>
        <w:spacing w:after="240"/>
        <w:ind w:left="677" w:hanging="293"/>
      </w:pPr>
      <w:r>
        <w:t>c)</w:t>
      </w:r>
      <w:r>
        <w:tab/>
        <w:t>lán sem evrópski langtímafjárfestingarsjóðurinn veitir fjárfestingarhæfu fyrirtæki, eins og um getur í 11. gr., með lánstíma sem er ekki lengri en líftími evrópska langtímafjárfestingarsjóðsins,</w:t>
      </w:r>
    </w:p>
    <w:p w14:paraId="7CB4EC6B" w14:textId="77777777" w:rsidR="002F5113" w:rsidRDefault="00322F12">
      <w:pPr>
        <w:pStyle w:val="NumberedText"/>
        <w:spacing w:after="240"/>
        <w:ind w:left="677" w:hanging="293"/>
      </w:pPr>
      <w:r>
        <w:t>d)</w:t>
      </w:r>
      <w:r>
        <w:tab/>
        <w:t>hlutdeildarskírteini eða hlutabréf í einum eða nokkrum öðrum evrópskum langtímafjárfestingarsjóðum, evrópskum áhættufjármagnssjóðum, evrópskum félagslegum framtakssjóðum, verðbréfasjóðum og sérhæfðum sjóðum innan ESB í umsjón rekstraraðila sérhæfðra sjóða innan ESB, að því tilskildu að þessir evrópsku langtímafjárfestingarsjóðir, evrópsku áhættufjármagnssjóðir, evrópsku félagslegu framtakssjóðir, verðbréfasjóðir og sérhæfðu sjóðir innan ESB fjárfesti í hæfum fjárfestingum, eins og um getur í 1. og 2. mgr. 9. gr., og hafi ekki sjálfir fjárfest meira en 10% eigna sinna í neinum öðrum sjóði um sameiginlega fjárfestingu,</w:t>
      </w:r>
    </w:p>
    <w:p w14:paraId="43DEB0D8" w14:textId="77777777" w:rsidR="002F5113" w:rsidRDefault="00322F12">
      <w:pPr>
        <w:pStyle w:val="NumberedText"/>
        <w:spacing w:after="240"/>
        <w:ind w:left="677" w:hanging="293"/>
      </w:pPr>
      <w:r>
        <w:t>e)</w:t>
      </w:r>
      <w:r>
        <w:tab/>
        <w:t>eignir,</w:t>
      </w:r>
    </w:p>
    <w:p w14:paraId="51331E91" w14:textId="77777777" w:rsidR="002F5113" w:rsidRDefault="00322F12">
      <w:pPr>
        <w:pStyle w:val="NumberedText"/>
        <w:spacing w:after="240"/>
        <w:ind w:left="677" w:hanging="293"/>
      </w:pPr>
      <w:r>
        <w:t>f)</w:t>
      </w:r>
      <w:r>
        <w:tab/>
        <w:t xml:space="preserve">einfaldar, gagnsæjar og staðlaðar </w:t>
      </w:r>
      <w:proofErr w:type="spellStart"/>
      <w:r>
        <w:t>verðbréfanir</w:t>
      </w:r>
      <w:proofErr w:type="spellEnd"/>
      <w:r>
        <w:t xml:space="preserve"> þar sem undirliggjandi áhættuskuldbindingar samsvara einum af eftirfarandi flokkum:</w:t>
      </w:r>
    </w:p>
    <w:p w14:paraId="3128812F" w14:textId="77777777" w:rsidR="002F5113" w:rsidRDefault="00322F12">
      <w:pPr>
        <w:pStyle w:val="NumberedText"/>
        <w:tabs>
          <w:tab w:val="clear" w:pos="2047"/>
        </w:tabs>
        <w:spacing w:after="240"/>
        <w:ind w:left="981" w:hanging="303"/>
      </w:pPr>
      <w:r>
        <w:t>i.</w:t>
      </w:r>
      <w:r>
        <w:tab/>
        <w:t>eignir sem eru taldar eru upp í i., ii. eða iv. lið a-liðar 1. gr. framseldrar reglugerðar framkvæmdastjórnarinnar (ESB) 2019/1851 (</w:t>
      </w:r>
      <w:r>
        <w:fldChar w:fldCharType="begin"/>
      </w:r>
      <w:r>
        <w:instrText xml:space="preserve"> REF NOTE_16 \h  \* MERGEFORMAT </w:instrText>
      </w:r>
      <w:r>
        <w:fldChar w:fldCharType="separate"/>
      </w:r>
      <w:r>
        <w:t>*</w:t>
      </w:r>
      <w:r>
        <w:fldChar w:fldCharType="end"/>
      </w:r>
      <w:r>
        <w:t>),</w:t>
      </w:r>
    </w:p>
    <w:p w14:paraId="79F0C01D" w14:textId="77777777" w:rsidR="002F5113" w:rsidRDefault="00322F12">
      <w:pPr>
        <w:pStyle w:val="NumberedText"/>
        <w:tabs>
          <w:tab w:val="clear" w:pos="2047"/>
        </w:tabs>
        <w:spacing w:after="240"/>
        <w:ind w:left="981" w:hanging="303"/>
      </w:pPr>
      <w:r>
        <w:t>ii.</w:t>
      </w:r>
      <w:r>
        <w:tab/>
        <w:t xml:space="preserve">eignir sem eru taldar upp í vii. eða viii. lið a-liðar 1. gr. framseldrar reglugerðar (ESB) 2019/1851, að því tilskildu að ágóði af </w:t>
      </w:r>
      <w:proofErr w:type="spellStart"/>
      <w:r>
        <w:t>verðbréfunarskuldabréfum</w:t>
      </w:r>
      <w:proofErr w:type="spellEnd"/>
      <w:r>
        <w:t xml:space="preserve"> sé notaður í fjármögnun eða endurfjármögnun á langtímafjárfestingum,</w:t>
      </w:r>
    </w:p>
    <w:p w14:paraId="240702C9" w14:textId="77777777" w:rsidR="002F5113" w:rsidRDefault="00322F12">
      <w:pPr>
        <w:pStyle w:val="NumberedText"/>
        <w:spacing w:after="240"/>
        <w:ind w:left="677" w:hanging="293"/>
      </w:pPr>
      <w:r>
        <w:t>g)</w:t>
      </w:r>
      <w:r>
        <w:tab/>
        <w:t>skuldabréf, samkvæmt reglugerð Evrópuþingsins og ráðsins um evrópsk græn skuldabréf, sem fjárfestingarhæft fyrirtæki, sem um getur í 11. gr., gefur út.</w:t>
      </w:r>
    </w:p>
    <w:p w14:paraId="3C02A260" w14:textId="77777777" w:rsidR="002F5113" w:rsidRDefault="00322F12">
      <w:pPr>
        <w:pStyle w:val="Alinea"/>
        <w:spacing w:after="240"/>
        <w:ind w:left="383"/>
      </w:pPr>
      <w:r>
        <w:t xml:space="preserve">Mörkin sem mælt er fyrir um í </w:t>
      </w:r>
      <w:proofErr w:type="spellStart"/>
      <w:r>
        <w:t>d-lið</w:t>
      </w:r>
      <w:proofErr w:type="spellEnd"/>
      <w:r>
        <w:t xml:space="preserve"> fyrstu undirgreinar skulu ekki gilda um ELTIF-fylgisjóði.</w:t>
      </w:r>
    </w:p>
    <w:p w14:paraId="4C1C100C" w14:textId="77777777" w:rsidR="002F5113" w:rsidRDefault="00322F12">
      <w:pPr>
        <w:pStyle w:val="AlineaWithParag"/>
        <w:tabs>
          <w:tab w:val="left" w:pos="783"/>
        </w:tabs>
        <w:spacing w:after="240"/>
        <w:ind w:left="383"/>
      </w:pPr>
      <w:r>
        <w:t>2.</w:t>
      </w:r>
      <w:r>
        <w:tab/>
        <w:t xml:space="preserve">Til að ákvarða hvort fjárfestingartakmörkununum sem mælt er fyrir um í 1. mgr. 13. gr. sé </w:t>
      </w:r>
      <w:proofErr w:type="spellStart"/>
      <w:r>
        <w:t>hlítt</w:t>
      </w:r>
      <w:proofErr w:type="spellEnd"/>
      <w:r>
        <w:t xml:space="preserve"> skal eingöngu tekið tillit til fjárfestinga evrópsks langtímafjárfestingarsjóðs í hlutdeildarskírteinum eða hlutabréfum í evrópskum langtímafjárfestingarsjóðum, evrópskum áhættufjármagnssjóðum, evrópskum félagslegum framtakssjóðum, verðbréfasjóðum og sérhæfðum sjóðum innan ESB í umsjón rekstraraðila sérhæfðra sjóða innan ESB að því marki sem nemur fjárhæð fjárfestinga þessara sjóða um sameiginlega fjárfestingu í þeim hæfu fjárfestingareignum, sem um getur í a-, b-, c-, e-, f- og </w:t>
      </w:r>
      <w:proofErr w:type="spellStart"/>
      <w:r>
        <w:t>g-liðum</w:t>
      </w:r>
      <w:proofErr w:type="spellEnd"/>
      <w:r>
        <w:t xml:space="preserve"> fyrstu undirgreinar 1. mgr. þessarar greinar.</w:t>
      </w:r>
    </w:p>
    <w:p w14:paraId="6BA067A9" w14:textId="77777777" w:rsidR="002F5113" w:rsidRDefault="00322F12">
      <w:pPr>
        <w:pStyle w:val="Alinea"/>
        <w:spacing w:after="240"/>
        <w:ind w:left="383"/>
      </w:pPr>
      <w:r>
        <w:t xml:space="preserve">Til að ákvarða hvort fjárfestingartakmörkunum og öðrum takmörkunum sem mælt er fyrir um í 13. gr. og 1. mgr. 16. gr. sé </w:t>
      </w:r>
      <w:proofErr w:type="spellStart"/>
      <w:r>
        <w:t>hlítt</w:t>
      </w:r>
      <w:proofErr w:type="spellEnd"/>
      <w:r>
        <w:t xml:space="preserve"> skal leggja saman eignir og lántökustöðu evrópsks langtímafjárfestingarsjóðs og annarra sjóða um sameiginlega fjárfestingu sem sá evrópski langtímafjárfestingarsjóður hefur fjárfest í.</w:t>
      </w:r>
    </w:p>
    <w:p w14:paraId="03B5AD4B" w14:textId="77777777" w:rsidR="002F5113" w:rsidRDefault="00322F12">
      <w:pPr>
        <w:pStyle w:val="Alinea"/>
        <w:spacing w:after="240"/>
        <w:ind w:left="383"/>
      </w:pPr>
      <w:r>
        <w:t xml:space="preserve">Þegar ákvarðað er hvort fjárfestingartakmörkunum og öðrum mörkum sem mælt er fyrir um í 13. gr. og 1. mgr. 16. gr. sé </w:t>
      </w:r>
      <w:proofErr w:type="spellStart"/>
      <w:r>
        <w:t>hlítt</w:t>
      </w:r>
      <w:proofErr w:type="spellEnd"/>
      <w:r>
        <w:t xml:space="preserve"> í samræmi við þessa málsgrein skal það gert á grundvelli upplýsinga sem eru uppfærðar á a.m.k. ársfjórðungsgrundvelli og, ef þær upplýsingar eru ekki tiltækar á ársfjórðungsgrundvelli, á grundvelli nýjustu tiltæku upplýsinga.</w:t>
      </w:r>
    </w:p>
    <w:p w14:paraId="6BC5C320" w14:textId="77777777" w:rsidR="002F5113" w:rsidRDefault="00322F12">
      <w:pPr>
        <w:pStyle w:val="QuoteFootnoteRule"/>
        <w:pBdr>
          <w:bottom w:val="none" w:sz="0" w:space="0" w:color="auto"/>
        </w:pBdr>
        <w:tabs>
          <w:tab w:val="left" w:pos="1452"/>
        </w:tabs>
        <w:spacing w:line="240" w:lineRule="auto"/>
        <w:ind w:left="383" w:right="0"/>
        <w:rPr>
          <w:u w:val="single"/>
        </w:rPr>
      </w:pPr>
      <w:r>
        <w:rPr>
          <w:u w:val="single"/>
        </w:rPr>
        <w:tab/>
      </w:r>
    </w:p>
    <w:p w14:paraId="1CDB9B43" w14:textId="77777777" w:rsidR="002F5113" w:rsidRDefault="00322F12">
      <w:pPr>
        <w:pStyle w:val="NumberedText"/>
        <w:spacing w:after="0"/>
        <w:ind w:left="744" w:hanging="360"/>
      </w:pPr>
      <w:r>
        <w:t>(</w:t>
      </w:r>
      <w:bookmarkStart w:id="15" w:name="NOTE_16"/>
      <w:r>
        <w:t>*</w:t>
      </w:r>
      <w:bookmarkEnd w:id="15"/>
      <w:r>
        <w:t>)</w:t>
      </w:r>
      <w:r>
        <w:tab/>
        <w:t xml:space="preserve">Framseld reglugerð framkvæmdastjórnarinnar (ESB) 2019/1851 frá 28. maí 2019 um viðbætur við reglugerð Evrópuþingsins og ráðsins (ESB) 2017/2402 að því er varðar tæknilega </w:t>
      </w:r>
      <w:proofErr w:type="spellStart"/>
      <w:r>
        <w:t>eftirlitsstaðla</w:t>
      </w:r>
      <w:proofErr w:type="spellEnd"/>
      <w:r>
        <w:t xml:space="preserve"> um einsleitni undirliggjandi áhættuskuldbindinga í verðbréfun (</w:t>
      </w:r>
      <w:proofErr w:type="spellStart"/>
      <w:r>
        <w:t>Stjtíð</w:t>
      </w:r>
      <w:proofErr w:type="spellEnd"/>
      <w:r>
        <w:t>. ESB L 285, 6.11.2019, bls. 1).“</w:t>
      </w:r>
      <w:r>
        <w:br w:type="page"/>
      </w:r>
    </w:p>
    <w:p w14:paraId="2FE01DE7" w14:textId="77777777" w:rsidR="002F5113" w:rsidRDefault="00322F12">
      <w:pPr>
        <w:pStyle w:val="NumberedText"/>
        <w:tabs>
          <w:tab w:val="right" w:pos="239"/>
        </w:tabs>
        <w:ind w:left="383" w:hanging="383"/>
      </w:pPr>
      <w:r>
        <w:lastRenderedPageBreak/>
        <w:tab/>
        <w:t>6)</w:t>
      </w:r>
      <w:r>
        <w:tab/>
        <w:t>Eftirfarandi kemur í stað 1. mgr. 11. gr.:</w:t>
      </w:r>
    </w:p>
    <w:p w14:paraId="43E7E21D" w14:textId="77777777" w:rsidR="002F5113" w:rsidRDefault="00322F12">
      <w:pPr>
        <w:pStyle w:val="AlineaWithParag"/>
        <w:tabs>
          <w:tab w:val="left" w:pos="783"/>
        </w:tabs>
        <w:ind w:left="383"/>
      </w:pPr>
      <w:r>
        <w:t>„1.</w:t>
      </w:r>
      <w:r>
        <w:tab/>
        <w:t>Fjárfestingarhæft fyrirtæki skal vera fyrirtæki sem uppfyllir eftirfarandi kröfur á þeim tíma sem upphafleg fjárfesting er gerð:</w:t>
      </w:r>
    </w:p>
    <w:p w14:paraId="31DA390B" w14:textId="77777777" w:rsidR="002F5113" w:rsidRDefault="00322F12">
      <w:pPr>
        <w:pStyle w:val="NumberedText"/>
        <w:ind w:left="677" w:hanging="293"/>
      </w:pPr>
      <w:r>
        <w:t>a)</w:t>
      </w:r>
      <w:r>
        <w:tab/>
        <w:t>það er ekki fyrirtæki á fjármálamarkaði, nema:</w:t>
      </w:r>
    </w:p>
    <w:p w14:paraId="1BCB31EA" w14:textId="77777777" w:rsidR="002F5113" w:rsidRDefault="00322F12">
      <w:pPr>
        <w:pStyle w:val="NumberedText"/>
        <w:tabs>
          <w:tab w:val="clear" w:pos="2047"/>
        </w:tabs>
        <w:ind w:left="981" w:hanging="303"/>
      </w:pPr>
      <w:r>
        <w:t>i.</w:t>
      </w:r>
      <w:r>
        <w:tab/>
        <w:t>það sé fyrirtæki á fjármálamarkaði sem er ekki eignarhaldsfélag á fjármálasviði eða blandað eignarhaldsfélag, og</w:t>
      </w:r>
    </w:p>
    <w:p w14:paraId="5D46AC75" w14:textId="77777777" w:rsidR="002F5113" w:rsidRDefault="00322F12">
      <w:pPr>
        <w:pStyle w:val="NumberedText"/>
        <w:tabs>
          <w:tab w:val="clear" w:pos="2047"/>
        </w:tabs>
        <w:ind w:left="981" w:hanging="303"/>
      </w:pPr>
      <w:r>
        <w:t>ii.</w:t>
      </w:r>
      <w:r>
        <w:tab/>
        <w:t>þetta fyrirtæki á fjármálamarkaði hafi fengið starfsleyfi eða verið skráð ekki meira en 5 árum fyrir dagsetningu upphaflegrar fjárfestingar,</w:t>
      </w:r>
    </w:p>
    <w:p w14:paraId="7B52E528" w14:textId="77777777" w:rsidR="002F5113" w:rsidRDefault="00322F12">
      <w:pPr>
        <w:pStyle w:val="NumberedText"/>
        <w:ind w:left="677" w:hanging="293"/>
      </w:pPr>
      <w:r>
        <w:t>b)</w:t>
      </w:r>
      <w:r>
        <w:tab/>
        <w:t>það er fyrirtæki sem:</w:t>
      </w:r>
    </w:p>
    <w:p w14:paraId="362E3BDF" w14:textId="77777777" w:rsidR="002F5113" w:rsidRDefault="00322F12">
      <w:pPr>
        <w:pStyle w:val="NumberedText"/>
        <w:tabs>
          <w:tab w:val="clear" w:pos="2047"/>
        </w:tabs>
        <w:ind w:left="981" w:hanging="303"/>
      </w:pPr>
      <w:r>
        <w:t>i.</w:t>
      </w:r>
      <w:r>
        <w:tab/>
        <w:t xml:space="preserve">er hvorki tekið til viðskipta á skipulegum markaði né markaðstorgi </w:t>
      </w:r>
      <w:proofErr w:type="spellStart"/>
      <w:r>
        <w:t>fjármálagerninga</w:t>
      </w:r>
      <w:proofErr w:type="spellEnd"/>
      <w:r>
        <w:t xml:space="preserve"> eða</w:t>
      </w:r>
    </w:p>
    <w:p w14:paraId="26BBBC18" w14:textId="77777777" w:rsidR="002F5113" w:rsidRDefault="00322F12">
      <w:pPr>
        <w:pStyle w:val="NumberedText"/>
        <w:tabs>
          <w:tab w:val="clear" w:pos="2047"/>
        </w:tabs>
        <w:ind w:left="981" w:hanging="303"/>
      </w:pPr>
      <w:r>
        <w:t>ii.</w:t>
      </w:r>
      <w:r>
        <w:tab/>
        <w:t xml:space="preserve">er tekið til viðskipta á skipulegum markaði eða á markaðstorgi </w:t>
      </w:r>
      <w:proofErr w:type="spellStart"/>
      <w:r>
        <w:t>fjármálagerninga</w:t>
      </w:r>
      <w:proofErr w:type="spellEnd"/>
      <w:r>
        <w:t xml:space="preserve"> og er í mesta lagi 1 500 000 000 evrur að markaðsverðmæti,</w:t>
      </w:r>
    </w:p>
    <w:p w14:paraId="0B2BB5A5" w14:textId="77777777" w:rsidR="002F5113" w:rsidRDefault="00322F12">
      <w:pPr>
        <w:pStyle w:val="NumberedText"/>
        <w:ind w:left="677" w:hanging="293"/>
      </w:pPr>
      <w:r>
        <w:t>c)</w:t>
      </w:r>
      <w:r>
        <w:tab/>
        <w:t>er með staðfestu í aðildarríki eða þriðja landi, að því tilskildu að viðkomandi þriðja land:</w:t>
      </w:r>
    </w:p>
    <w:p w14:paraId="26E43503" w14:textId="77777777" w:rsidR="002F5113" w:rsidRDefault="00322F12">
      <w:pPr>
        <w:pStyle w:val="NumberedText"/>
        <w:tabs>
          <w:tab w:val="clear" w:pos="2047"/>
        </w:tabs>
        <w:ind w:left="981" w:hanging="303"/>
      </w:pPr>
      <w:r>
        <w:t>i.</w:t>
      </w:r>
      <w:r>
        <w:tab/>
        <w:t>sé ekki tilgreint sem áhættusamt þriðja land sem skráð er í framselda gerð sem var samþykkt skv. 2. mgr. 9. gr. tilskipunar Evrópuþingsins og ráðsins (ESB) 2015/849 (</w:t>
      </w:r>
      <w:r>
        <w:fldChar w:fldCharType="begin"/>
      </w:r>
      <w:r>
        <w:instrText xml:space="preserve"> REF NOTE_17 \h  \* MERGEFORMAT </w:instrText>
      </w:r>
      <w:r>
        <w:fldChar w:fldCharType="separate"/>
      </w:r>
      <w:r>
        <w:t>*</w:t>
      </w:r>
      <w:r>
        <w:fldChar w:fldCharType="end"/>
      </w:r>
      <w:r>
        <w:t>),</w:t>
      </w:r>
    </w:p>
    <w:p w14:paraId="1BD2852A" w14:textId="77777777" w:rsidR="002F5113" w:rsidRDefault="00322F12">
      <w:pPr>
        <w:pStyle w:val="NumberedText"/>
        <w:tabs>
          <w:tab w:val="clear" w:pos="2047"/>
        </w:tabs>
        <w:ind w:left="981" w:hanging="303"/>
      </w:pPr>
      <w:r>
        <w:t>ii.</w:t>
      </w:r>
      <w:r>
        <w:tab/>
        <w:t xml:space="preserve">sé ekki nefnt í I. viðauka við ályktanir ráðsins um endurskoðaðan lista Sambandsins yfir </w:t>
      </w:r>
      <w:proofErr w:type="spellStart"/>
      <w:r>
        <w:t>ósamvinnuþýð</w:t>
      </w:r>
      <w:proofErr w:type="spellEnd"/>
      <w:r>
        <w:t xml:space="preserve"> </w:t>
      </w:r>
      <w:proofErr w:type="spellStart"/>
      <w:r>
        <w:t>lögsagnarumdæmi</w:t>
      </w:r>
      <w:proofErr w:type="spellEnd"/>
      <w:r>
        <w:t xml:space="preserve"> í skattalegu tilliti.</w:t>
      </w:r>
    </w:p>
    <w:p w14:paraId="764B6443" w14:textId="77777777" w:rsidR="002F5113" w:rsidRDefault="002F5113">
      <w:pPr>
        <w:pStyle w:val="QuoteFootnoteRule"/>
        <w:spacing w:line="240" w:lineRule="auto"/>
        <w:ind w:left="383" w:right="7842"/>
      </w:pPr>
    </w:p>
    <w:p w14:paraId="45524D89" w14:textId="77777777" w:rsidR="002F5113" w:rsidRDefault="00322F12">
      <w:pPr>
        <w:pStyle w:val="NumberedText"/>
        <w:ind w:left="744" w:hanging="360"/>
      </w:pPr>
      <w:r>
        <w:t>(</w:t>
      </w:r>
      <w:bookmarkStart w:id="16" w:name="NOTE_17"/>
      <w:r>
        <w:t>*</w:t>
      </w:r>
      <w:bookmarkEnd w:id="16"/>
      <w:r>
        <w:t>)</w:t>
      </w:r>
      <w:r>
        <w:tab/>
        <w:t>Tilskipun Evrópuþingsins og ráðsins (ESB) 2015/849 frá 20. maí 2015 um ráðstafanir gegn því að fjármálakerfið sé notað til peningaþvættis eða til fjármögnunar hryðjuverka, um breytingu á reglugerð Evrópuþingsins og ráðsins ESB nr. 648/2012, og um niðurfellingu á tilskipun Evrópuþingsins og ráðsins 2005/60/EB og tilskipun framkvæmdastjórnarinnar 2006/70/EB (</w:t>
      </w:r>
      <w:proofErr w:type="spellStart"/>
      <w:r>
        <w:t>Stjtíð</w:t>
      </w:r>
      <w:proofErr w:type="spellEnd"/>
      <w:r>
        <w:t>. ESB L 141, 5.6.2015, bls. 73).“</w:t>
      </w:r>
    </w:p>
    <w:p w14:paraId="01754987" w14:textId="77777777" w:rsidR="002F5113" w:rsidRDefault="00322F12">
      <w:pPr>
        <w:pStyle w:val="NumberedText"/>
        <w:tabs>
          <w:tab w:val="clear" w:pos="2047"/>
        </w:tabs>
        <w:ind w:left="383" w:hanging="383"/>
      </w:pPr>
      <w:r>
        <w:t>7)</w:t>
      </w:r>
      <w:r>
        <w:tab/>
        <w:t>Í stað 12. gr. kemur eftirfarandi:</w:t>
      </w:r>
    </w:p>
    <w:p w14:paraId="0B9281D5" w14:textId="77777777" w:rsidR="002F5113" w:rsidRDefault="00322F12">
      <w:pPr>
        <w:pStyle w:val="TIARTquoted"/>
        <w:ind w:left="383"/>
      </w:pPr>
      <w:r>
        <w:t>„12. gr.</w:t>
      </w:r>
    </w:p>
    <w:p w14:paraId="0E8B8E4B" w14:textId="77777777" w:rsidR="002F5113" w:rsidRDefault="00322F12">
      <w:pPr>
        <w:pStyle w:val="STIARTquoted"/>
        <w:ind w:left="383"/>
      </w:pPr>
      <w:r>
        <w:t>Hagsmunaárekstrar</w:t>
      </w:r>
    </w:p>
    <w:p w14:paraId="1ADE7DEC" w14:textId="77777777" w:rsidR="002F5113" w:rsidRDefault="00322F12">
      <w:pPr>
        <w:pStyle w:val="AlineaWithParag"/>
        <w:tabs>
          <w:tab w:val="left" w:pos="783"/>
        </w:tabs>
        <w:ind w:left="383"/>
      </w:pPr>
      <w:r>
        <w:t>1.</w:t>
      </w:r>
      <w:r>
        <w:tab/>
        <w:t>Evrópskur langtímafjárfestingarsjóður skal ekki fjárfesta í hæfri fjárfestingareign sem rekstraraðili evrópsks langtímafjárfestingarsjóðs á beinna eða óbeinna hagsmuna að gæta í, nema með eignarhaldi á hlutdeildarskírteinum eða hlutabréfum í evrópskum langtímafjárfestingarsjóðum, evrópskum félagslegum framtakssjóðum, evrópskum áhættufjármagnssjóðum, verðbréfasjóðum eða sérhæfðum sjóðum innan ESB sem rekstraraðili evrópska langtímafjárfestingarsjóðsins stýrir.</w:t>
      </w:r>
    </w:p>
    <w:p w14:paraId="64917813" w14:textId="77777777" w:rsidR="002F5113" w:rsidRDefault="00322F12">
      <w:pPr>
        <w:pStyle w:val="AlineaWithParag"/>
        <w:tabs>
          <w:tab w:val="left" w:pos="783"/>
        </w:tabs>
        <w:ind w:left="383"/>
      </w:pPr>
      <w:r>
        <w:t>2.</w:t>
      </w:r>
      <w:r>
        <w:tab/>
        <w:t>Rekstraraðili sérhæfðs sjóðs í ESB sem stýrir evrópskum langtímafjárfestingarsjóði og fyrirtækjum sem tilheyra sömu samstæðu og rekstraraðilinn og starfsfólk hans geta fjárfest saman í þeim evrópska langtímafjárfestingarsjóði og fjárfest með evrópska langtímafjárfestingarsjóðnum í sömu eign, að því tilskildu að rekstraraðili evrópska langtímafjárfestingarsjóðsins hafi komið á skipulags- og stjórnunarfyrirkomulagi sem er mótað til að greina, hindra, stjórna og hafa eftirlit með hagsmunaárekstrum og að því tilskildu að upplýsingar um slíka hagsmunaárekstra séu birtar á viðeigandi hátt.“</w:t>
      </w:r>
    </w:p>
    <w:p w14:paraId="3BB84EFA" w14:textId="77777777" w:rsidR="002F5113" w:rsidRDefault="00322F12">
      <w:pPr>
        <w:pStyle w:val="NumberedText"/>
        <w:tabs>
          <w:tab w:val="clear" w:pos="2047"/>
        </w:tabs>
        <w:ind w:left="383" w:hanging="383"/>
      </w:pPr>
      <w:r>
        <w:t>8)</w:t>
      </w:r>
      <w:r>
        <w:tab/>
        <w:t>Í stað 13., 14., 15. og 16. gr. kemur eftirfarandi:</w:t>
      </w:r>
    </w:p>
    <w:p w14:paraId="28BA955A" w14:textId="77777777" w:rsidR="002F5113" w:rsidRDefault="00322F12">
      <w:pPr>
        <w:pStyle w:val="TIARTquoted"/>
        <w:ind w:left="383"/>
      </w:pPr>
      <w:r>
        <w:t>„13. gr.</w:t>
      </w:r>
    </w:p>
    <w:p w14:paraId="190070F1" w14:textId="77777777" w:rsidR="002F5113" w:rsidRDefault="00322F12">
      <w:pPr>
        <w:pStyle w:val="STIARTquoted"/>
        <w:ind w:left="383"/>
      </w:pPr>
      <w:r>
        <w:t>Samsetning og fjölbreytileiki eignasafna</w:t>
      </w:r>
    </w:p>
    <w:p w14:paraId="40F99FD3" w14:textId="77777777" w:rsidR="002F5113" w:rsidRDefault="00322F12">
      <w:pPr>
        <w:pStyle w:val="AlineaWithParag"/>
        <w:tabs>
          <w:tab w:val="left" w:pos="783"/>
        </w:tabs>
        <w:ind w:left="383"/>
      </w:pPr>
      <w:r>
        <w:t>1.</w:t>
      </w:r>
      <w:r>
        <w:tab/>
        <w:t>Evrópskur langtímafjárfestingarsjóður skal fjárfesta a.m.k. 55% hlutafjár síns í hæfum fjárfestingareignum.</w:t>
      </w:r>
    </w:p>
    <w:p w14:paraId="43752610" w14:textId="77777777" w:rsidR="002F5113" w:rsidRDefault="00322F12">
      <w:pPr>
        <w:pStyle w:val="AlineaWithParag"/>
        <w:tabs>
          <w:tab w:val="left" w:pos="783"/>
        </w:tabs>
        <w:ind w:left="383"/>
      </w:pPr>
      <w:r>
        <w:t>2.</w:t>
      </w:r>
      <w:r>
        <w:tab/>
        <w:t>Evrópskur langtímafjárfestingarsjóður skal ekki fjárfesta meira en sem nemur:</w:t>
      </w:r>
    </w:p>
    <w:p w14:paraId="00420770" w14:textId="77777777" w:rsidR="002F5113" w:rsidRDefault="00322F12">
      <w:pPr>
        <w:pStyle w:val="NumberedText"/>
        <w:ind w:left="677" w:hanging="293"/>
      </w:pPr>
      <w:r>
        <w:t>a)</w:t>
      </w:r>
      <w:r>
        <w:tab/>
        <w:t xml:space="preserve">20% af hlutafé sínu í </w:t>
      </w:r>
      <w:proofErr w:type="spellStart"/>
      <w:r>
        <w:t>gerningum</w:t>
      </w:r>
      <w:proofErr w:type="spellEnd"/>
      <w:r>
        <w:t xml:space="preserve"> sem stakt fjárfestingarhæft fyrirtæki gefur út eða lánum til staks fjárfestingarhæfs fyrirtækis,</w:t>
      </w:r>
    </w:p>
    <w:p w14:paraId="0023FC14" w14:textId="77777777" w:rsidR="002F5113" w:rsidRDefault="00322F12">
      <w:pPr>
        <w:pStyle w:val="NumberedText"/>
        <w:spacing w:after="0"/>
        <w:ind w:left="677" w:hanging="293"/>
      </w:pPr>
      <w:r>
        <w:lastRenderedPageBreak/>
        <w:t>b)</w:t>
      </w:r>
      <w:r>
        <w:tab/>
        <w:t>20% af hlutafé sínu í stakri eign,</w:t>
      </w:r>
      <w:r>
        <w:br w:type="page"/>
      </w:r>
    </w:p>
    <w:p w14:paraId="7F8A3B11" w14:textId="77777777" w:rsidR="002F5113" w:rsidRDefault="00322F12">
      <w:pPr>
        <w:pStyle w:val="NumberedText"/>
        <w:ind w:left="677" w:hanging="293"/>
      </w:pPr>
      <w:r>
        <w:lastRenderedPageBreak/>
        <w:t>c)</w:t>
      </w:r>
      <w:r>
        <w:tab/>
        <w:t>20% af hlutafé sínu í hlutdeildarskírteinum eða hlutabréfum í einstökum evrópskum langtímafjárfestingarsjóði, evrópskum áhættufjármagnssjóði, evrópskum félagslegum framtakssjóði, verðbréfasjóði eða sérhæfðum sjóði innan ESB sem rekstraraðili sérhæfðs sjóðs innan ESB stýrir,</w:t>
      </w:r>
    </w:p>
    <w:p w14:paraId="75090567" w14:textId="77777777" w:rsidR="002F5113" w:rsidRDefault="00322F12">
      <w:pPr>
        <w:pStyle w:val="NumberedText"/>
        <w:ind w:left="677" w:hanging="293"/>
      </w:pPr>
      <w:r>
        <w:t>d)</w:t>
      </w:r>
      <w:r>
        <w:tab/>
        <w:t xml:space="preserve">10% af hlutafé sínu í eignum sem um getur í </w:t>
      </w:r>
      <w:proofErr w:type="spellStart"/>
      <w:r>
        <w:t>b-lið</w:t>
      </w:r>
      <w:proofErr w:type="spellEnd"/>
      <w:r>
        <w:t xml:space="preserve"> 1. mgr. 9. gr. þegar stakur aðili hefur gefið út þessar eignir.</w:t>
      </w:r>
    </w:p>
    <w:p w14:paraId="76213FDE" w14:textId="77777777" w:rsidR="002F5113" w:rsidRDefault="00322F12">
      <w:pPr>
        <w:pStyle w:val="AlineaWithParag"/>
        <w:tabs>
          <w:tab w:val="left" w:pos="783"/>
        </w:tabs>
        <w:ind w:left="383"/>
      </w:pPr>
      <w:r>
        <w:t>3.</w:t>
      </w:r>
      <w:r>
        <w:tab/>
        <w:t xml:space="preserve">Samanlagt virði einfaldrar, gagnsærrar og staðlaðrar </w:t>
      </w:r>
      <w:proofErr w:type="spellStart"/>
      <w:r>
        <w:t>verðbréfunar</w:t>
      </w:r>
      <w:proofErr w:type="spellEnd"/>
      <w:r>
        <w:t xml:space="preserve"> í eignasafni evrópsks langtímafjárfestingarsjóðs skal ekki vera hærra en 20% af virði hlutafjár evrópska langtímafjárfestingarsjóðsins.</w:t>
      </w:r>
    </w:p>
    <w:p w14:paraId="749C26CD" w14:textId="77777777" w:rsidR="002F5113" w:rsidRDefault="00322F12">
      <w:pPr>
        <w:pStyle w:val="AlineaWithParag"/>
        <w:tabs>
          <w:tab w:val="left" w:pos="783"/>
        </w:tabs>
        <w:ind w:left="383"/>
      </w:pPr>
      <w:r>
        <w:t>4.</w:t>
      </w:r>
      <w:r>
        <w:tab/>
        <w:t xml:space="preserve">Samanlögð áhættuskuldbinding gagnvart mótaðila evrópska langtímafjárfestingarsjóðsins vegna viðskipta utan viðskiptavettvangs (viðskipta með OTC-afleiður), </w:t>
      </w:r>
      <w:proofErr w:type="spellStart"/>
      <w:r>
        <w:t>endurhverfra</w:t>
      </w:r>
      <w:proofErr w:type="spellEnd"/>
      <w:r>
        <w:t xml:space="preserve"> verðbréfakaupa eða </w:t>
      </w:r>
      <w:proofErr w:type="spellStart"/>
      <w:r>
        <w:t>endurhverfrar</w:t>
      </w:r>
      <w:proofErr w:type="spellEnd"/>
      <w:r>
        <w:t xml:space="preserve"> verðbréfasölu skal ekki vera hærri en 10% af virði hlutafjár evrópska langtímafjárfestingarsjóðsins.</w:t>
      </w:r>
    </w:p>
    <w:p w14:paraId="258969C1" w14:textId="77777777" w:rsidR="002F5113" w:rsidRDefault="00322F12">
      <w:pPr>
        <w:pStyle w:val="AlineaWithParag"/>
        <w:tabs>
          <w:tab w:val="left" w:pos="783"/>
        </w:tabs>
        <w:ind w:left="383"/>
      </w:pPr>
      <w:r>
        <w:t>5.</w:t>
      </w:r>
      <w:r>
        <w:tab/>
        <w:t xml:space="preserve">Þrátt fyrir </w:t>
      </w:r>
      <w:proofErr w:type="spellStart"/>
      <w:r>
        <w:t>d-lið</w:t>
      </w:r>
      <w:proofErr w:type="spellEnd"/>
      <w:r>
        <w:t xml:space="preserve"> 2. mgr. er evrópskum langtímafjárfestingarsjóði heimilt að hækka 10% mörkin, sem þar er mælt fyrir um, í 25% þegar um er að ræða skuldabréf útgefin af lánastofnun sem hefur skráða skrifstofu sína í aðildarríki og sem sætir, samkvæmt lögum, sérstöku opinberu eftirliti sem ætlað er að vernda eigendur skuldabréfa. Andvirði slíkra skuldabréfa skal samkvæmt lögum einkum notað til fjárfestinga í eignum sem staðið geta undir kröfum sem eru bundnar bréfunum allan gildistíma þeirra og skal endurgreiðsla höfuðstóls og áfallinna vaxta hafa forgang af andvirði eignanna ef útgefandi skuldabréfanna stendur ekki í skilum.</w:t>
      </w:r>
    </w:p>
    <w:p w14:paraId="23AADE84" w14:textId="77777777" w:rsidR="002F5113" w:rsidRDefault="00322F12">
      <w:pPr>
        <w:pStyle w:val="AlineaWithParag"/>
        <w:tabs>
          <w:tab w:val="left" w:pos="783"/>
        </w:tabs>
        <w:ind w:left="383"/>
      </w:pPr>
      <w:r>
        <w:t>6.</w:t>
      </w:r>
      <w:r>
        <w:tab/>
        <w:t>Félög, sem teljast til sömu samstæðu að því er varðar samstæðureikningsskil eins og reglur hafa verið settar um í tilskipun 2013/34/ESB eða í samræmi við viðurkenndar alþjóðlegar reikningsskilareglur, skulu teljast eitt fjárfestingarhæft fyrirtæki eða einn aðili að því er varðar útreikning á mörkunum sem um getur í 1.–5. mgr. þessarar greinar.</w:t>
      </w:r>
    </w:p>
    <w:p w14:paraId="6D2739C7" w14:textId="77777777" w:rsidR="002F5113" w:rsidRDefault="00322F12">
      <w:pPr>
        <w:pStyle w:val="AlineaWithParag"/>
        <w:tabs>
          <w:tab w:val="left" w:pos="783"/>
        </w:tabs>
        <w:ind w:left="383"/>
      </w:pPr>
      <w:r>
        <w:t>7.</w:t>
      </w:r>
      <w:r>
        <w:tab/>
        <w:t xml:space="preserve">Fjárfestingartakmarkanirnar sem settar eru fram í 2.–4. mgr. skulu ekki gilda ef evrópskir langtímafjárfestingarsjóðir eru markaðssettir eingöngu fyrir fagfjárfesta. Fjárfestingartakmarkanirnar sem settar eru fram í </w:t>
      </w:r>
      <w:proofErr w:type="spellStart"/>
      <w:r>
        <w:t>c-lið</w:t>
      </w:r>
      <w:proofErr w:type="spellEnd"/>
      <w:r>
        <w:t xml:space="preserve"> 2. mgr. skulu ekki gilda ef evrópskur langtímafjárfestingarsjóður er fylgisjóður.</w:t>
      </w:r>
    </w:p>
    <w:p w14:paraId="14E0809B" w14:textId="77777777" w:rsidR="002F5113" w:rsidRDefault="00322F12">
      <w:pPr>
        <w:pStyle w:val="TIARTquoted"/>
        <w:ind w:left="383"/>
      </w:pPr>
      <w:r>
        <w:t>14. gr.</w:t>
      </w:r>
    </w:p>
    <w:p w14:paraId="03B270C9" w14:textId="77777777" w:rsidR="002F5113" w:rsidRDefault="00322F12">
      <w:pPr>
        <w:pStyle w:val="STIARTquoted"/>
        <w:ind w:left="383"/>
      </w:pPr>
      <w:r>
        <w:t>Leiðréttingar á fjárfestingarstöðum</w:t>
      </w:r>
    </w:p>
    <w:p w14:paraId="6F9D8484" w14:textId="77777777" w:rsidR="002F5113" w:rsidRDefault="00322F12">
      <w:pPr>
        <w:pStyle w:val="Alinea"/>
        <w:ind w:left="383"/>
      </w:pPr>
      <w:r>
        <w:t>Ef evrópskur langtímafjárfestingarsjóður brýtur gegn kröfunum um samsetningu og fjölbreytileika eignasafna sem settar eru fram í 13. gr. eða lántökutakmörkununum sem settar eru fram í a-lið 1. mgr. 16. gr., og rekstraraðili sjóðsins fær ekki við brotið ráðið skal rekstraraðili evrópska langtímafjárfestingarsjóðsins, innan viðeigandi tímabils, grípa til nauðsynlegra aðgerða til að leiðrétta stöðuna og taka tilhlýðilegt tillit til hagsmuna fjárfesta í evrópska langtímafjárfestingarsjóðnum.</w:t>
      </w:r>
    </w:p>
    <w:p w14:paraId="08F1B052" w14:textId="77777777" w:rsidR="002F5113" w:rsidRDefault="00322F12">
      <w:pPr>
        <w:pStyle w:val="TIARTquoted"/>
        <w:ind w:left="383"/>
      </w:pPr>
      <w:r>
        <w:t>15. gr.</w:t>
      </w:r>
    </w:p>
    <w:p w14:paraId="3B05F0B6" w14:textId="77777777" w:rsidR="002F5113" w:rsidRDefault="00322F12">
      <w:pPr>
        <w:pStyle w:val="STIARTquoted"/>
        <w:ind w:left="383"/>
      </w:pPr>
      <w:r>
        <w:t>Samþjöppunarmörk</w:t>
      </w:r>
    </w:p>
    <w:p w14:paraId="6DF0556C" w14:textId="77777777" w:rsidR="002F5113" w:rsidRDefault="00322F12">
      <w:pPr>
        <w:pStyle w:val="AlineaWithParag"/>
        <w:tabs>
          <w:tab w:val="left" w:pos="783"/>
        </w:tabs>
        <w:ind w:left="383"/>
      </w:pPr>
      <w:r>
        <w:t>1.</w:t>
      </w:r>
      <w:r>
        <w:tab/>
        <w:t>Evrópskum langtímafjárfestingarsjóði er ekki heimilt að eignast meira en 30% hlutdeildarskírteina eða hlutabréfa í einstökum evrópskum langtímafjárfestingarsjóði, evrópskum, áhættufjármagnssjóði, evrópskum félagslegum framtakssjóði, verðbréfasjóði eða sérhæfðum sjóði innan ESB sem rekstraraðili sérhæfðs sjóðs innan ESB stjórnar. Þessi mörk skulu ekki gilda ef evrópskir langtímafjárfestingarsjóðir eru markaðssettir eingöngu fyrir fagfjárfesta og þau skulu ekki heldur gilda um ELTIF-fylgisjóð sem fjárfestir í ELTIF-höfuðsjóði sínum.</w:t>
      </w:r>
    </w:p>
    <w:p w14:paraId="380A123C" w14:textId="77777777" w:rsidR="002F5113" w:rsidRDefault="00322F12">
      <w:pPr>
        <w:pStyle w:val="AlineaWithParag"/>
        <w:tabs>
          <w:tab w:val="left" w:pos="783"/>
        </w:tabs>
        <w:ind w:left="383"/>
      </w:pPr>
      <w:r>
        <w:t>2.</w:t>
      </w:r>
      <w:r>
        <w:tab/>
        <w:t xml:space="preserve">Samþjöppunarmörkin sem mælt er fyrir um í 2. mgr. 56. gr. tilskipunar 2009/65/EB skulu gilda um fjárfestingar í eignum sem um getur í </w:t>
      </w:r>
      <w:proofErr w:type="spellStart"/>
      <w:r>
        <w:t>b-lið</w:t>
      </w:r>
      <w:proofErr w:type="spellEnd"/>
      <w:r>
        <w:t xml:space="preserve"> 1. mgr. 9. gr. þessarar reglugerðar, nema þegar evrópskir langtímafjárfestingarsjóðir eru markaðssettir eingöngu til fagfjárfesta.</w:t>
      </w:r>
    </w:p>
    <w:p w14:paraId="756A6754" w14:textId="77777777" w:rsidR="002F5113" w:rsidRDefault="00322F12">
      <w:pPr>
        <w:pStyle w:val="TIARTquoted"/>
        <w:ind w:left="383"/>
      </w:pPr>
      <w:r>
        <w:t>16. gr.</w:t>
      </w:r>
    </w:p>
    <w:p w14:paraId="0E0AF210" w14:textId="77777777" w:rsidR="002F5113" w:rsidRDefault="00322F12">
      <w:pPr>
        <w:pStyle w:val="STIARTquoted"/>
        <w:ind w:left="383"/>
      </w:pPr>
      <w:r>
        <w:t>Lántaka í reiðufé</w:t>
      </w:r>
    </w:p>
    <w:p w14:paraId="54F4FCB2" w14:textId="77777777" w:rsidR="002F5113" w:rsidRDefault="00322F12">
      <w:pPr>
        <w:pStyle w:val="AlineaWithParag"/>
        <w:tabs>
          <w:tab w:val="left" w:pos="783"/>
        </w:tabs>
        <w:ind w:left="383"/>
      </w:pPr>
      <w:r>
        <w:t>1.</w:t>
      </w:r>
      <w:r>
        <w:tab/>
        <w:t>Evrópskum langtímafjárfestingarsjóði er heimilt að taka reiðufé að láni að því tilskildu að slíkt lán uppfylli öll eftirfarandi skilyrði:</w:t>
      </w:r>
    </w:p>
    <w:p w14:paraId="558F0AEF" w14:textId="77777777" w:rsidR="002F5113" w:rsidRDefault="00322F12">
      <w:pPr>
        <w:pStyle w:val="NumberedText"/>
        <w:ind w:left="677" w:hanging="293"/>
      </w:pPr>
      <w:r>
        <w:t>a)</w:t>
      </w:r>
      <w:r>
        <w:tab/>
        <w:t>það sé ekki hærra en 50% af innra virði evrópsks langtímafjárfestingarsjóðs ef um er að ræða evrópska langtímafjárfestingarsjóði sem hægt er að markaðssetja fyrir almennra fjárfesta og ekki hærra en 100% af verðmæti hreinnar eignar evrópsks langtímafjárfestingarsjóðs ef um er að ræða evrópska langtímafjárfestingarsjóði sem eru eingöngu markaðssettir fyrir fagfjárfesta,</w:t>
      </w:r>
    </w:p>
    <w:p w14:paraId="6BA35D98" w14:textId="77777777" w:rsidR="002F5113" w:rsidRDefault="00322F12">
      <w:pPr>
        <w:pStyle w:val="NumberedText"/>
        <w:spacing w:after="0"/>
        <w:ind w:left="677" w:hanging="293"/>
      </w:pPr>
      <w:r>
        <w:lastRenderedPageBreak/>
        <w:t>b)</w:t>
      </w:r>
      <w:r>
        <w:tab/>
        <w:t>það þjóni þeim tilgangi að gera fjárfestingar eða útvega lausafé, þ.m.t. til að greiða kostnað og útgjöld, að því tilskildu að handbært fé eða ígildi þess í evrópskum langtímafjárfestingarsjóði sé ekki nægilegt til að gera viðkomandi fjárfestingu,</w:t>
      </w:r>
      <w:r>
        <w:br w:type="page"/>
      </w:r>
    </w:p>
    <w:p w14:paraId="754A8A33" w14:textId="77777777" w:rsidR="002F5113" w:rsidRDefault="00322F12">
      <w:pPr>
        <w:pStyle w:val="NumberedText"/>
        <w:spacing w:after="170"/>
        <w:ind w:left="677" w:hanging="293"/>
      </w:pPr>
      <w:r>
        <w:lastRenderedPageBreak/>
        <w:t>c)</w:t>
      </w:r>
      <w:r>
        <w:tab/>
        <w:t>samið sé um það í sama gjaldmiðli og eignirnar sem á að kaupa með reiðufénu sem tekið er að láni, eða í öðrum gjaldmiðli ef gjaldmiðlaáhættan hefur verið varin á viðeigandi hátt,</w:t>
      </w:r>
    </w:p>
    <w:p w14:paraId="47A4BBA4" w14:textId="77777777" w:rsidR="002F5113" w:rsidRDefault="00322F12">
      <w:pPr>
        <w:pStyle w:val="NumberedText"/>
        <w:spacing w:after="170"/>
        <w:ind w:left="677" w:hanging="293"/>
      </w:pPr>
      <w:r>
        <w:t>d)</w:t>
      </w:r>
      <w:r>
        <w:tab/>
        <w:t>lánstími þess sé ekki lengri en líftími evrópska langtímafjárfestingarsjóðsins.</w:t>
      </w:r>
    </w:p>
    <w:p w14:paraId="15BF58D3" w14:textId="77777777" w:rsidR="002F5113" w:rsidRDefault="00322F12">
      <w:pPr>
        <w:pStyle w:val="Alinea"/>
        <w:spacing w:after="170"/>
        <w:ind w:left="383"/>
      </w:pPr>
      <w:r>
        <w:t>Þegar evrópskur langtímafjárfestingarsjóður tekur lán getur hann kvaðabundið eignir til að framkvæma lántökuáætlun sína.</w:t>
      </w:r>
    </w:p>
    <w:p w14:paraId="68BF4CC0" w14:textId="77777777" w:rsidR="002F5113" w:rsidRDefault="00322F12">
      <w:pPr>
        <w:pStyle w:val="Alinea"/>
        <w:spacing w:after="170"/>
        <w:ind w:left="383"/>
      </w:pPr>
      <w:r>
        <w:t>Lántökufyrirkomulag sem fellur að fullu undir fjármagnsframlög fjárfesta skal ekki teljast til lántöku að því er varðar þessa málsgrein.</w:t>
      </w:r>
    </w:p>
    <w:p w14:paraId="0DF04123" w14:textId="77777777" w:rsidR="002F5113" w:rsidRDefault="00322F12">
      <w:pPr>
        <w:pStyle w:val="AlineaWithParag"/>
        <w:tabs>
          <w:tab w:val="left" w:pos="783"/>
        </w:tabs>
        <w:spacing w:after="170"/>
        <w:ind w:left="383"/>
      </w:pPr>
      <w:r>
        <w:t>2.</w:t>
      </w:r>
      <w:r>
        <w:tab/>
        <w:t>Í lýsingu evrópsks langtímafjárfestingarsjóðs skal rekstraraðili hans tilgreina hvort sjóðurinn hyggist taka lán í reiðufé sem hluta af fjárfestingaráætlun sjóðsins og ef svo er skal hann í henni einnig tilgreina lántökutakmarkanirnar.</w:t>
      </w:r>
    </w:p>
    <w:p w14:paraId="54FF97F5" w14:textId="77777777" w:rsidR="002F5113" w:rsidRDefault="00322F12">
      <w:pPr>
        <w:pStyle w:val="AlineaWithParag"/>
        <w:tabs>
          <w:tab w:val="left" w:pos="783"/>
        </w:tabs>
        <w:spacing w:after="170"/>
        <w:ind w:left="383"/>
      </w:pPr>
      <w:r>
        <w:t>3.</w:t>
      </w:r>
      <w:r>
        <w:tab/>
        <w:t>Lántökutakmarkanirnar sem tilgreina ber í lýsingunni, eins og um getur 2. mgr., skulu aðeins gilda frá og með dagsetningunni sem er tilgreind í reglum eða stofnsamningum evrópska langtímafjárfestingarsjóðsins. Sú dagsetningin skal vera eigi síðar en þremur árum eftir dagsetninguna þegar markaðssetning evrópsks langtímafjárfestingarsjóðs hófst.</w:t>
      </w:r>
    </w:p>
    <w:p w14:paraId="6C756D57" w14:textId="77777777" w:rsidR="002F5113" w:rsidRDefault="00322F12">
      <w:pPr>
        <w:pStyle w:val="AlineaWithParag"/>
        <w:tabs>
          <w:tab w:val="left" w:pos="783"/>
        </w:tabs>
        <w:spacing w:after="170"/>
        <w:ind w:left="383"/>
      </w:pPr>
      <w:r>
        <w:t>4.</w:t>
      </w:r>
      <w:r>
        <w:tab/>
        <w:t>Lántökutakmarkanirnar sem um getur í a-lið 1. mgr. skulu felldar tímabundið úr gildi ef evrópskur langtímafjárfestingarsjóður aflar viðbótarfjármagns eða lækkar fyrirliggjandi hlutafé. Slík tímabundin niðurfelling skal takmarkast við tímabilið sem er bráðnauðsynlegt, að teknu tilhlýðilegu tilliti til hagsmuna fjárfesta evrópsks langtímafjárfestingarsjóðs, og skal í öllum tilvikum ekki vara lengur en í 12 mánuði.“</w:t>
      </w:r>
    </w:p>
    <w:p w14:paraId="6FF08C8D" w14:textId="77777777" w:rsidR="002F5113" w:rsidRDefault="00322F12">
      <w:pPr>
        <w:pStyle w:val="NumberedText"/>
        <w:tabs>
          <w:tab w:val="clear" w:pos="2047"/>
        </w:tabs>
        <w:spacing w:after="170"/>
        <w:ind w:left="383" w:hanging="383"/>
      </w:pPr>
      <w:r>
        <w:t>9)</w:t>
      </w:r>
      <w:r>
        <w:tab/>
        <w:t>Í stað fyrstu undirgreinar 1. mgr. 17. gr. kemur eftirfarandi:</w:t>
      </w:r>
    </w:p>
    <w:p w14:paraId="7A4CF76D" w14:textId="77777777" w:rsidR="002F5113" w:rsidRDefault="00322F12">
      <w:pPr>
        <w:pStyle w:val="AlineaWithParag"/>
        <w:tabs>
          <w:tab w:val="left" w:pos="783"/>
        </w:tabs>
        <w:spacing w:after="170"/>
        <w:ind w:left="383"/>
      </w:pPr>
      <w:r>
        <w:t>„1.</w:t>
      </w:r>
      <w:r>
        <w:tab/>
        <w:t>Kröfurnar um samsetningu og fjölbreytileika eignasafna sem mælt er fyrir um í 13. gr. skulu:</w:t>
      </w:r>
    </w:p>
    <w:p w14:paraId="75BD1AB0" w14:textId="77777777" w:rsidR="002F5113" w:rsidRDefault="00322F12">
      <w:pPr>
        <w:pStyle w:val="NumberedText"/>
        <w:spacing w:after="170"/>
        <w:ind w:left="677" w:hanging="293"/>
      </w:pPr>
      <w:r>
        <w:t>a)</w:t>
      </w:r>
      <w:r>
        <w:tab/>
        <w:t>gilda frá og með þeirri dagsetningu sem tilgreind er í reglum eða stofnsamningum evrópsks langtímafjárfestingarsjóðs,</w:t>
      </w:r>
    </w:p>
    <w:p w14:paraId="72B5C925" w14:textId="77777777" w:rsidR="002F5113" w:rsidRDefault="00322F12">
      <w:pPr>
        <w:pStyle w:val="NumberedText"/>
        <w:spacing w:after="170"/>
        <w:ind w:left="677" w:hanging="293"/>
      </w:pPr>
      <w:r>
        <w:t>b)</w:t>
      </w:r>
      <w:r>
        <w:tab/>
        <w:t>falla úr gildi þegar evrópskur langtímafjárfestingarsjóður hefur sölu á eignum til að innleysa hlutdeildarskírteini eða hlutabréf fjárfesta eftir að líftíma sjóðsins lýkur,</w:t>
      </w:r>
    </w:p>
    <w:p w14:paraId="42F29058" w14:textId="77777777" w:rsidR="002F5113" w:rsidRDefault="00322F12">
      <w:pPr>
        <w:pStyle w:val="NumberedText"/>
        <w:spacing w:after="170"/>
        <w:ind w:left="677" w:hanging="293"/>
      </w:pPr>
      <w:r>
        <w:t>c)</w:t>
      </w:r>
      <w:r>
        <w:tab/>
        <w:t>felldar tímabundið úr gildi þegar evrópskur langtímafjárfestingarsjóður aflar viðbótarfjármagns eða lækkar fyrirliggjandi hlutafé, svo framarlega sem slík tímabundin niðurfelling varir ekki lengur en 12 mánuði.“</w:t>
      </w:r>
    </w:p>
    <w:p w14:paraId="6E985C34" w14:textId="77777777" w:rsidR="002F5113" w:rsidRDefault="00322F12">
      <w:pPr>
        <w:pStyle w:val="NumberedText"/>
        <w:tabs>
          <w:tab w:val="right" w:pos="239"/>
        </w:tabs>
        <w:spacing w:after="170"/>
        <w:ind w:left="383" w:hanging="383"/>
      </w:pPr>
      <w:r>
        <w:tab/>
        <w:t>10)</w:t>
      </w:r>
      <w:r>
        <w:tab/>
        <w:t>Í stað 18. gr. kemur eftirfarandi:</w:t>
      </w:r>
    </w:p>
    <w:p w14:paraId="661627BB" w14:textId="77777777" w:rsidR="002F5113" w:rsidRDefault="00322F12">
      <w:pPr>
        <w:pStyle w:val="TIARTquoted"/>
        <w:spacing w:after="170"/>
        <w:ind w:left="383"/>
      </w:pPr>
      <w:r>
        <w:t>„18. gr.</w:t>
      </w:r>
    </w:p>
    <w:p w14:paraId="7AFF200D" w14:textId="77777777" w:rsidR="002F5113" w:rsidRDefault="00322F12">
      <w:pPr>
        <w:pStyle w:val="STIARTquoted"/>
        <w:spacing w:after="170"/>
        <w:ind w:left="383"/>
      </w:pPr>
      <w:r>
        <w:t>Innlausn hlutdeildarskírteina eða hlutabréfa í evrópskum langtímafjárfestingarsjóðum</w:t>
      </w:r>
    </w:p>
    <w:p w14:paraId="287D7AE0" w14:textId="77777777" w:rsidR="002F5113" w:rsidRDefault="00322F12">
      <w:pPr>
        <w:pStyle w:val="AlineaWithParag"/>
        <w:tabs>
          <w:tab w:val="left" w:pos="783"/>
        </w:tabs>
        <w:spacing w:after="170"/>
        <w:ind w:left="383"/>
      </w:pPr>
      <w:r>
        <w:t>1.</w:t>
      </w:r>
      <w:r>
        <w:tab/>
        <w:t>Fjárfestar í evrópskum langtímafjárfestingarsjóði skulu ekki geta farið fram á innlausn hlutdeildarskírteina sinna eða hlutabréfa fyrir lok líftíma sjóðsins. Innlausnir til fjárfesta skulu vera mögulegar frá og með deginum eftir dagsetninguna þegar líftíma evrópsks langtímafjárfestingarsjóðs lýkur.</w:t>
      </w:r>
    </w:p>
    <w:p w14:paraId="70DFA96E" w14:textId="77777777" w:rsidR="002F5113" w:rsidRDefault="00322F12">
      <w:pPr>
        <w:pStyle w:val="Alinea"/>
        <w:spacing w:after="170"/>
        <w:ind w:left="383"/>
      </w:pPr>
      <w:r>
        <w:t>Reglur eða stofnsamningar evrópsks langtímafjárfestingarsjóðs skulu tilgreina með skýrum hætti tiltekna dagsetningu þegar líftíma evrópska langtímafjárfestingarsjóðsins lýkur og mega kveða á um rétt til að framlengja tímabundið líftíma hans og skilyrði fyrir að beita slíkum rétti.</w:t>
      </w:r>
    </w:p>
    <w:p w14:paraId="4F73DACB" w14:textId="77777777" w:rsidR="002F5113" w:rsidRDefault="00322F12">
      <w:pPr>
        <w:pStyle w:val="Alinea"/>
        <w:spacing w:after="170"/>
        <w:ind w:left="383"/>
      </w:pPr>
      <w:r>
        <w:t>Reglur eða stofnsamningar evrópsks langtímafjárfestingarsjóðs og upplýsingagjöf til fjárfesta skulu mæla fyrir um verklag við innlausn hlutdeildarskírteina eða hlutabréfa og sölu eigna og tilgreina með skýrum hætti að innlausnir til fjárfesta skuli vera mögulegar daginn eftir dagsetninguna þegar líftíma evrópska langtímafjárfestingarsjóðsins lýkur.</w:t>
      </w:r>
    </w:p>
    <w:p w14:paraId="2A9D8513" w14:textId="77777777" w:rsidR="002F5113" w:rsidRDefault="00322F12">
      <w:pPr>
        <w:pStyle w:val="AlineaWithParag"/>
        <w:tabs>
          <w:tab w:val="left" w:pos="783"/>
        </w:tabs>
        <w:spacing w:after="170"/>
        <w:ind w:left="383"/>
      </w:pPr>
      <w:r>
        <w:t>2.</w:t>
      </w:r>
      <w:r>
        <w:tab/>
        <w:t>Þrátt fyrir 1. mgr. þessarar greinar geta reglur og stofnsamningar evrópsks langtímafjárfestingarsjóðs kveðið á um mögulega innlausn á líftíma sjóðsins, að því tilskildu að öll eftirfarandi skilyrði séu uppfyllt:</w:t>
      </w:r>
    </w:p>
    <w:p w14:paraId="7806EFE2" w14:textId="77777777" w:rsidR="002F5113" w:rsidRDefault="00322F12">
      <w:pPr>
        <w:pStyle w:val="NumberedText"/>
        <w:spacing w:after="170"/>
        <w:ind w:left="677" w:hanging="293"/>
      </w:pPr>
      <w:r>
        <w:t>a)</w:t>
      </w:r>
      <w:r>
        <w:tab/>
        <w:t>innlausnir séu ekki leyfðar fyrir lok lágmarkseignatímabils eða á undan dagsetningunni sem er tilgreind í a-lið 1. mgr. 17. gr.,</w:t>
      </w:r>
    </w:p>
    <w:p w14:paraId="3D2DA3F8" w14:textId="77777777" w:rsidR="002F5113" w:rsidRDefault="00322F12">
      <w:pPr>
        <w:pStyle w:val="NumberedText"/>
        <w:spacing w:after="170"/>
        <w:ind w:left="677" w:hanging="293"/>
      </w:pPr>
      <w:r>
        <w:t>b)</w:t>
      </w:r>
      <w:r>
        <w:tab/>
        <w:t xml:space="preserve">að þegar starfsleyfi er gefið út og allan líftíma evrópska langtímafjárfestingarsjóðsins geti rekstraraðili hans sýnt </w:t>
      </w:r>
      <w:proofErr w:type="spellStart"/>
      <w:r>
        <w:t>lögbæru</w:t>
      </w:r>
      <w:proofErr w:type="spellEnd"/>
      <w:r>
        <w:t xml:space="preserve"> yfirvaldi sjóðsins fram á að til staðar séu viðeigandi innlausnarstefna og lausafjárstýringartæki sem eru samrýmanleg langtímafjárfestingarstefnu evrópska langtímafjárfestingarsjóðsins,</w:t>
      </w:r>
    </w:p>
    <w:p w14:paraId="1AF8261B" w14:textId="77777777" w:rsidR="002F5113" w:rsidRDefault="00322F12">
      <w:pPr>
        <w:pStyle w:val="NumberedText"/>
        <w:spacing w:after="0"/>
        <w:ind w:left="677" w:hanging="293"/>
      </w:pPr>
      <w:r>
        <w:t>c)</w:t>
      </w:r>
      <w:r>
        <w:tab/>
        <w:t>innlausnarstefna evrópska langtímafjárfestingarsjóðsins tilgreini verklagsreglur og skilyrði fyrir innlausnum með skýrum hætti,</w:t>
      </w:r>
      <w:r>
        <w:br w:type="page"/>
      </w:r>
    </w:p>
    <w:p w14:paraId="3CDA9873" w14:textId="77777777" w:rsidR="002F5113" w:rsidRDefault="00322F12">
      <w:pPr>
        <w:pStyle w:val="NumberedText"/>
        <w:ind w:left="677" w:hanging="293"/>
      </w:pPr>
      <w:r>
        <w:lastRenderedPageBreak/>
        <w:t>d)</w:t>
      </w:r>
      <w:r>
        <w:tab/>
        <w:t xml:space="preserve">innlausnarstefna evrópska langtímafjárfestingarsjóðsins tryggi að innlausnir takmarkist við það hlutfall eigna evrópska langtímafjárfestingarsjóðsins sem um getur í </w:t>
      </w:r>
      <w:proofErr w:type="spellStart"/>
      <w:r>
        <w:t>b-lið</w:t>
      </w:r>
      <w:proofErr w:type="spellEnd"/>
      <w:r>
        <w:t xml:space="preserve"> 1. mgr. 9. gr.,</w:t>
      </w:r>
    </w:p>
    <w:p w14:paraId="291747EC" w14:textId="77777777" w:rsidR="002F5113" w:rsidRDefault="00322F12">
      <w:pPr>
        <w:pStyle w:val="NumberedText"/>
        <w:ind w:left="677" w:hanging="293"/>
      </w:pPr>
      <w:r>
        <w:t>e)</w:t>
      </w:r>
      <w:r>
        <w:tab/>
        <w:t xml:space="preserve">að innlausnarstefna evrópska langtímafjárfestingarsjóðsins tryggi að fjárfestar fái sanngjarna meðhöndlun og að innlausnir séu veittar í réttu hlutfalli ef fjárhæð beiðna um innlausnir er hærri en hundraðshlutinn sem um getur í </w:t>
      </w:r>
      <w:proofErr w:type="spellStart"/>
      <w:r>
        <w:t>d-lið</w:t>
      </w:r>
      <w:proofErr w:type="spellEnd"/>
      <w:r>
        <w:t xml:space="preserve"> þessarar undirgreinar.</w:t>
      </w:r>
    </w:p>
    <w:p w14:paraId="7D2F01E5" w14:textId="77777777" w:rsidR="002F5113" w:rsidRDefault="00322F12">
      <w:pPr>
        <w:pStyle w:val="Alinea"/>
        <w:ind w:left="383"/>
      </w:pPr>
      <w:r>
        <w:t>Skilyrði lágmarkseignartímabilsins sem um getur í a-lið fyrstu undirgreinar skal ekki gilda um ELTIF-fylgisjóði sem fjárfesta í ELTIF-höfuðsjóðum sínum.</w:t>
      </w:r>
    </w:p>
    <w:p w14:paraId="0F68B43E" w14:textId="77777777" w:rsidR="002F5113" w:rsidRDefault="00322F12">
      <w:pPr>
        <w:pStyle w:val="AlineaWithParag"/>
        <w:tabs>
          <w:tab w:val="left" w:pos="783"/>
        </w:tabs>
        <w:ind w:left="383"/>
      </w:pPr>
      <w:r>
        <w:t>3.</w:t>
      </w:r>
      <w:r>
        <w:tab/>
        <w:t>Líftími evrópsks langtímafjárfestingarsjóðs skal vera í samræmi við langtímaeðli sjóðsins og samrýmast lífsferlum hverrar einstakrar eignar sjóðsins, mælt í samræmi við hve illseljanleg eignin er og fjárhagslegan lífsferil hennar, einnig yfirlýst fjárfestingarmarkmið evrópska langtímafjárfestingarsjóðsins.</w:t>
      </w:r>
    </w:p>
    <w:p w14:paraId="3ED7605A" w14:textId="77777777" w:rsidR="002F5113" w:rsidRDefault="00322F12">
      <w:pPr>
        <w:pStyle w:val="AlineaWithParag"/>
        <w:tabs>
          <w:tab w:val="left" w:pos="783"/>
        </w:tabs>
        <w:ind w:left="383"/>
      </w:pPr>
      <w:r>
        <w:t>4.</w:t>
      </w:r>
      <w:r>
        <w:tab/>
        <w:t>Fjárfestar skulu ætíð eiga kost á endurgreiðslu í reiðufé.</w:t>
      </w:r>
    </w:p>
    <w:p w14:paraId="67982E84" w14:textId="77777777" w:rsidR="002F5113" w:rsidRDefault="00322F12">
      <w:pPr>
        <w:pStyle w:val="AlineaWithParag"/>
        <w:tabs>
          <w:tab w:val="left" w:pos="783"/>
        </w:tabs>
        <w:ind w:left="383"/>
      </w:pPr>
      <w:r>
        <w:t>5.</w:t>
      </w:r>
      <w:r>
        <w:tab/>
        <w:t>Endurgreiðsla með afhendingu eigna evrópsks langtímafjárfestingarsjóðs skal aðeins vera möguleg að uppfylltum öllum eftirfarandi skilyrðum:</w:t>
      </w:r>
    </w:p>
    <w:p w14:paraId="543D6547" w14:textId="77777777" w:rsidR="002F5113" w:rsidRDefault="00322F12">
      <w:pPr>
        <w:pStyle w:val="NumberedText"/>
        <w:ind w:left="677" w:hanging="293"/>
      </w:pPr>
      <w:r>
        <w:t>a)</w:t>
      </w:r>
      <w:r>
        <w:tab/>
        <w:t>reglur eða stofnsamningar evrópska langtímafjárfestingarsjóðsins bjóða þennan möguleika, að því tilskildu að fjárfestar fái allir sanngjarna meðhöndlun,</w:t>
      </w:r>
    </w:p>
    <w:p w14:paraId="52634123" w14:textId="77777777" w:rsidR="002F5113" w:rsidRDefault="00322F12">
      <w:pPr>
        <w:pStyle w:val="NumberedText"/>
        <w:ind w:left="677" w:hanging="293"/>
      </w:pPr>
      <w:r>
        <w:t>b)</w:t>
      </w:r>
      <w:r>
        <w:tab/>
        <w:t>fjárfestir biður skriflega um að fá endurgreitt með hlut í eignum evrópska langtímafjárfestingarsjóðsins,</w:t>
      </w:r>
    </w:p>
    <w:p w14:paraId="44C6CE94" w14:textId="77777777" w:rsidR="002F5113" w:rsidRDefault="00322F12">
      <w:pPr>
        <w:pStyle w:val="NumberedText"/>
        <w:ind w:left="677" w:hanging="293"/>
      </w:pPr>
      <w:r>
        <w:t>c)</w:t>
      </w:r>
      <w:r>
        <w:tab/>
        <w:t>engar sértækar reglur takmarki framsal þessara eigna.</w:t>
      </w:r>
    </w:p>
    <w:p w14:paraId="19EFEF11" w14:textId="77777777" w:rsidR="002F5113" w:rsidRDefault="00322F12">
      <w:pPr>
        <w:pStyle w:val="AlineaWithParag"/>
        <w:tabs>
          <w:tab w:val="left" w:pos="783"/>
        </w:tabs>
        <w:ind w:left="383"/>
      </w:pPr>
      <w:r>
        <w:t>6.</w:t>
      </w:r>
      <w:r>
        <w:tab/>
        <w:t xml:space="preserve">Evrópska verðbréfamarkaðseftirlitsstofnunin skal semja drög að tæknilegum </w:t>
      </w:r>
      <w:proofErr w:type="spellStart"/>
      <w:r>
        <w:t>eftirlitsstöðlum</w:t>
      </w:r>
      <w:proofErr w:type="spellEnd"/>
      <w:r>
        <w:t xml:space="preserve"> sem tilgreina við hvaða aðstæður líftími evrópsks langtímafjárfestingarsjóðs telst samrýmanlegur við lífsferla hverrar einstakrar eignar sjóðsins, eins og um getur í 3. mgr.</w:t>
      </w:r>
    </w:p>
    <w:p w14:paraId="24B316D9" w14:textId="77777777" w:rsidR="002F5113" w:rsidRDefault="00322F12">
      <w:pPr>
        <w:pStyle w:val="Alinea"/>
        <w:ind w:left="383"/>
      </w:pPr>
      <w:r>
        <w:t xml:space="preserve">Evrópska verðbréfamarkaðseftirlitsstofnunin skal einnig semja drög að tæknilegum </w:t>
      </w:r>
      <w:proofErr w:type="spellStart"/>
      <w:r>
        <w:t>eftirlitsstöðlum</w:t>
      </w:r>
      <w:proofErr w:type="spellEnd"/>
      <w:r>
        <w:t xml:space="preserve"> sem tilgreina eftirfarandi:</w:t>
      </w:r>
    </w:p>
    <w:p w14:paraId="05805B1A" w14:textId="77777777" w:rsidR="002F5113" w:rsidRDefault="00322F12">
      <w:pPr>
        <w:pStyle w:val="NumberedText"/>
        <w:ind w:left="677" w:hanging="293"/>
      </w:pPr>
      <w:r>
        <w:t>a)</w:t>
      </w:r>
      <w:r>
        <w:tab/>
        <w:t>viðmiðanir fyrir ákvörðun lágmarkseignarhaldstímabilsins sem um getur í a-lið fyrstu undirgreinar 2. mgr.,</w:t>
      </w:r>
    </w:p>
    <w:p w14:paraId="2833A6E0" w14:textId="77777777" w:rsidR="002F5113" w:rsidRDefault="00322F12">
      <w:pPr>
        <w:pStyle w:val="NumberedText"/>
        <w:ind w:left="677" w:hanging="293"/>
      </w:pPr>
      <w:r>
        <w:t>b)</w:t>
      </w:r>
      <w:r>
        <w:tab/>
        <w:t xml:space="preserve">þær lágmarksupplýsingar sem ber að veita </w:t>
      </w:r>
      <w:proofErr w:type="spellStart"/>
      <w:r>
        <w:t>lögbæru</w:t>
      </w:r>
      <w:proofErr w:type="spellEnd"/>
      <w:r>
        <w:t xml:space="preserve"> yfirvaldi evrópsks langtímafjárfestingarsjóðs skv. </w:t>
      </w:r>
      <w:proofErr w:type="spellStart"/>
      <w:r>
        <w:t>b-lið</w:t>
      </w:r>
      <w:proofErr w:type="spellEnd"/>
      <w:r>
        <w:t xml:space="preserve"> fyrstu undirgreinar 2. mgr.,</w:t>
      </w:r>
    </w:p>
    <w:p w14:paraId="60959C37" w14:textId="77777777" w:rsidR="002F5113" w:rsidRDefault="00322F12">
      <w:pPr>
        <w:pStyle w:val="NumberedText"/>
        <w:ind w:left="677" w:hanging="293"/>
      </w:pPr>
      <w:r>
        <w:t>c)</w:t>
      </w:r>
      <w:r>
        <w:tab/>
        <w:t xml:space="preserve">þær kröfur sem evrópskur langtímafjárfestingarsjóður þarf að uppfylla með tilliti til innlausnarstefnu sinnar og lausafjárstýringartækja sem um getur í b- og </w:t>
      </w:r>
      <w:proofErr w:type="spellStart"/>
      <w:r>
        <w:t>c-liðum</w:t>
      </w:r>
      <w:proofErr w:type="spellEnd"/>
      <w:r>
        <w:t xml:space="preserve"> fyrstu undirgreinar 2. mgr. og</w:t>
      </w:r>
    </w:p>
    <w:p w14:paraId="6696D6B3" w14:textId="77777777" w:rsidR="002F5113" w:rsidRDefault="00322F12">
      <w:pPr>
        <w:pStyle w:val="NumberedText"/>
        <w:ind w:left="677" w:hanging="293"/>
      </w:pPr>
      <w:r>
        <w:t>d)</w:t>
      </w:r>
      <w:r>
        <w:tab/>
        <w:t xml:space="preserve">viðmiðanir fyrir mati á hlutfallinu sem um getur í </w:t>
      </w:r>
      <w:proofErr w:type="spellStart"/>
      <w:r>
        <w:t>d-lið</w:t>
      </w:r>
      <w:proofErr w:type="spellEnd"/>
      <w:r>
        <w:t xml:space="preserve"> fyrstu undirgreinar 2. gr., að teknu tilliti til m.a. </w:t>
      </w:r>
      <w:proofErr w:type="spellStart"/>
      <w:r>
        <w:t>vænts</w:t>
      </w:r>
      <w:proofErr w:type="spellEnd"/>
      <w:r>
        <w:t xml:space="preserve"> sjóðstreymis og skuldbindinga evrópska langtímafjárfestingarsjóðsins.</w:t>
      </w:r>
    </w:p>
    <w:p w14:paraId="43B7805F" w14:textId="77777777" w:rsidR="002F5113" w:rsidRDefault="00322F12">
      <w:pPr>
        <w:pStyle w:val="Alinea"/>
        <w:ind w:left="383"/>
      </w:pPr>
      <w:r>
        <w:t xml:space="preserve">Evrópska verðbréfamarkaðseftirlitsstofnunin skal leggja drögin að tæknilegu </w:t>
      </w:r>
      <w:proofErr w:type="spellStart"/>
      <w:r>
        <w:t>eftirlitsstöðlunum</w:t>
      </w:r>
      <w:proofErr w:type="spellEnd"/>
      <w:r>
        <w:t xml:space="preserve"> sem um getur í fyrstu og annarri undirgrein fyrir framkvæmdastjórnina eigi síðar en 10. janúar 2024.</w:t>
      </w:r>
    </w:p>
    <w:p w14:paraId="71C49333" w14:textId="77777777" w:rsidR="002F5113" w:rsidRDefault="00322F12">
      <w:pPr>
        <w:pStyle w:val="Alinea"/>
        <w:ind w:left="383"/>
      </w:pPr>
      <w:r>
        <w:t xml:space="preserve">Framkvæmdastjórninni er falið vald til að bæta við þessa reglugerð með því að samþykkja tæknilegu </w:t>
      </w:r>
      <w:proofErr w:type="spellStart"/>
      <w:r>
        <w:t>eftirlitsstaðlana</w:t>
      </w:r>
      <w:proofErr w:type="spellEnd"/>
      <w:r>
        <w:t xml:space="preserve"> sem um getur í fyrstu og annarri undirgrein í samræmi við 10.–14. gr. reglugerðar (ESB) nr. 1095/2010.“</w:t>
      </w:r>
    </w:p>
    <w:p w14:paraId="1D5011CD" w14:textId="77777777" w:rsidR="002F5113" w:rsidRDefault="00322F12">
      <w:pPr>
        <w:pStyle w:val="NumberedText"/>
        <w:tabs>
          <w:tab w:val="right" w:pos="239"/>
        </w:tabs>
        <w:ind w:left="383" w:hanging="383"/>
      </w:pPr>
      <w:r>
        <w:tab/>
        <w:t>11)</w:t>
      </w:r>
      <w:r>
        <w:tab/>
        <w:t>Ákvæðum 19. gr. er breytt sem hér segir:</w:t>
      </w:r>
    </w:p>
    <w:p w14:paraId="23C7AC22" w14:textId="77777777" w:rsidR="002F5113" w:rsidRDefault="00322F12">
      <w:pPr>
        <w:pStyle w:val="NumberedText"/>
        <w:ind w:left="677" w:hanging="293"/>
      </w:pPr>
      <w:r>
        <w:t>a)</w:t>
      </w:r>
      <w:r>
        <w:tab/>
        <w:t>Í stað 2. mgr. kemur eftirfarandi:</w:t>
      </w:r>
    </w:p>
    <w:p w14:paraId="3E2352D8" w14:textId="77777777" w:rsidR="002F5113" w:rsidRDefault="00322F12">
      <w:pPr>
        <w:pStyle w:val="AlineaWithParag"/>
        <w:tabs>
          <w:tab w:val="left" w:pos="1077"/>
        </w:tabs>
        <w:ind w:left="677"/>
      </w:pPr>
      <w:r>
        <w:t>„2.</w:t>
      </w:r>
      <w:r>
        <w:tab/>
        <w:t>Reglur og stofnsamningar evrópsks langtímafjárfestingarsjóðs skulu ekki koma í veg fyrir að fjárfestar framselji án takmarkana hlutdeildarskírteini sín eða hlutabréf til þriðja aðila, annarra en rekstraraðila evrópska langtímafjárfestingarsjóðsins, með fyrirvara um gildandi kröfur samkvæmt reglum og þau skilyrði sem sett eru fram í lýsingu evrópska langtímafjárfestingarsjóðsins.“</w:t>
      </w:r>
    </w:p>
    <w:p w14:paraId="6C2DEEAD" w14:textId="77777777" w:rsidR="002F5113" w:rsidRDefault="00322F12">
      <w:pPr>
        <w:pStyle w:val="NumberedText"/>
        <w:ind w:left="677" w:hanging="293"/>
      </w:pPr>
      <w:r>
        <w:t>b)</w:t>
      </w:r>
      <w:r>
        <w:tab/>
        <w:t>Eftirfarandi málsgrein er bætt við:</w:t>
      </w:r>
    </w:p>
    <w:p w14:paraId="392A4441" w14:textId="77777777" w:rsidR="002F5113" w:rsidRDefault="00322F12">
      <w:pPr>
        <w:pStyle w:val="AlineaWithParag"/>
        <w:tabs>
          <w:tab w:val="left" w:pos="1077"/>
        </w:tabs>
        <w:ind w:left="677"/>
      </w:pPr>
      <w:r>
        <w:t>„2a.</w:t>
      </w:r>
      <w:r>
        <w:tab/>
        <w:t xml:space="preserve">Á líftíma evrópsks langtímafjárfestingarsjóðs geta reglur eða stofnsamningar hans kveðið á um möguleika á pörun beiðna útgöngufjárfesta, að fullu eða hluta, um framsal á hlutdeildarskírteinum eða hlutabréfum í evrópska </w:t>
      </w:r>
      <w:r>
        <w:lastRenderedPageBreak/>
        <w:t>langtímafjárfestingarsjóðnum við beiðnir hugsanlegra fjárfesta um framsal, að því tilskildu að öll eftirfarandi skilyrði séu uppfyllt:</w:t>
      </w:r>
    </w:p>
    <w:p w14:paraId="2589508D" w14:textId="77777777" w:rsidR="002F5113" w:rsidRDefault="00322F12">
      <w:pPr>
        <w:pStyle w:val="NumberedText"/>
        <w:ind w:left="971" w:hanging="293"/>
      </w:pPr>
      <w:r>
        <w:t>a)</w:t>
      </w:r>
      <w:r>
        <w:tab/>
        <w:t>rekstraraðili evrópsks langtímafjárfestingarsjóðs sé með stefnu um pörun beiðna þar sem kveðið er skýrt á um allt eftirfarandi:</w:t>
      </w:r>
    </w:p>
    <w:p w14:paraId="1FE3EA05" w14:textId="77777777" w:rsidR="002F5113" w:rsidRDefault="00322F12">
      <w:pPr>
        <w:pStyle w:val="NumberedText"/>
        <w:tabs>
          <w:tab w:val="clear" w:pos="2047"/>
        </w:tabs>
        <w:spacing w:after="0"/>
        <w:ind w:left="1365" w:hanging="393"/>
      </w:pPr>
      <w:r>
        <w:t>i.</w:t>
      </w:r>
      <w:r>
        <w:tab/>
        <w:t>framsalsferli fyrir bæði útgöngufjárfesta og hugsanlega fjárfesta,</w:t>
      </w:r>
      <w:r>
        <w:br w:type="page"/>
      </w:r>
    </w:p>
    <w:p w14:paraId="05958F85" w14:textId="77777777" w:rsidR="002F5113" w:rsidRDefault="00322F12">
      <w:pPr>
        <w:pStyle w:val="NumberedText"/>
        <w:tabs>
          <w:tab w:val="clear" w:pos="2047"/>
        </w:tabs>
        <w:ind w:left="1365" w:hanging="393"/>
      </w:pPr>
      <w:r>
        <w:lastRenderedPageBreak/>
        <w:t>ii.</w:t>
      </w:r>
      <w:r>
        <w:tab/>
        <w:t>hlutverk rekstraraðila evrópska langtímafjárfestingarsjóðsins eða sjóðsstjóra við framkvæmd framsals og við pörun beiðna,</w:t>
      </w:r>
    </w:p>
    <w:p w14:paraId="55AFA2A7" w14:textId="77777777" w:rsidR="002F5113" w:rsidRDefault="00322F12">
      <w:pPr>
        <w:pStyle w:val="NumberedText"/>
        <w:tabs>
          <w:tab w:val="clear" w:pos="2047"/>
        </w:tabs>
        <w:ind w:left="1365" w:hanging="393"/>
      </w:pPr>
      <w:r>
        <w:t>iii.</w:t>
      </w:r>
      <w:r>
        <w:tab/>
        <w:t>tímabilin þegar útgöngufjárfestar og hugsanlegir fjárfestar geta óskað eftir framsali á hlutdeildarskírteinum eða hlutabréfum í evrópska langtímafjárfestingarsjóðnum,</w:t>
      </w:r>
    </w:p>
    <w:p w14:paraId="4DFFC97E" w14:textId="77777777" w:rsidR="002F5113" w:rsidRDefault="00322F12">
      <w:pPr>
        <w:pStyle w:val="NumberedText"/>
        <w:tabs>
          <w:tab w:val="clear" w:pos="2047"/>
        </w:tabs>
        <w:ind w:left="1365" w:hanging="393"/>
      </w:pPr>
      <w:r>
        <w:t>iv.</w:t>
      </w:r>
      <w:r>
        <w:tab/>
        <w:t>reglurnar sem ákvarða framkvæmdarverð,</w:t>
      </w:r>
    </w:p>
    <w:p w14:paraId="68E1C508" w14:textId="77777777" w:rsidR="002F5113" w:rsidRDefault="00322F12">
      <w:pPr>
        <w:pStyle w:val="NumberedText"/>
        <w:tabs>
          <w:tab w:val="clear" w:pos="2047"/>
        </w:tabs>
        <w:ind w:left="1365" w:hanging="393"/>
      </w:pPr>
      <w:r>
        <w:t>v.</w:t>
      </w:r>
      <w:r>
        <w:tab/>
        <w:t>reglurnar sem ákvarða hlutfallsskilyrði,</w:t>
      </w:r>
    </w:p>
    <w:p w14:paraId="3850B114" w14:textId="77777777" w:rsidR="002F5113" w:rsidRDefault="00322F12">
      <w:pPr>
        <w:pStyle w:val="NumberedText"/>
        <w:tabs>
          <w:tab w:val="clear" w:pos="2047"/>
        </w:tabs>
        <w:ind w:left="1365" w:hanging="393"/>
      </w:pPr>
      <w:r>
        <w:t>vi.</w:t>
      </w:r>
      <w:r>
        <w:tab/>
        <w:t>tímasetningu og eðli upplýsingagjafar að því er varðar framsalsferlið,</w:t>
      </w:r>
    </w:p>
    <w:p w14:paraId="0AA618B2" w14:textId="77777777" w:rsidR="002F5113" w:rsidRDefault="00322F12">
      <w:pPr>
        <w:pStyle w:val="NumberedText"/>
        <w:tabs>
          <w:tab w:val="clear" w:pos="2047"/>
        </w:tabs>
        <w:ind w:left="1365" w:hanging="393"/>
      </w:pPr>
      <w:r>
        <w:t>vii.</w:t>
      </w:r>
      <w:r>
        <w:tab/>
        <w:t>þóknanir, kostnað og gjöld, ef einhver eru, sem tengist framsalsferlinu,</w:t>
      </w:r>
    </w:p>
    <w:p w14:paraId="210E22A2" w14:textId="77777777" w:rsidR="002F5113" w:rsidRDefault="00322F12">
      <w:pPr>
        <w:pStyle w:val="NumberedText"/>
        <w:ind w:left="971" w:hanging="293"/>
      </w:pPr>
      <w:r>
        <w:t>b)</w:t>
      </w:r>
      <w:r>
        <w:tab/>
        <w:t>stefna og verklagsreglur við pörun beiðna útgöngufjárfesta evrópska langtímafjárfestingarsjóðsins við beiðnir hugsanlegra fjárfesta tryggi að allir fjárfestar fái sanngjarna meðhöndlun og, ef misræmi er á milli útgöngufjárfesta og hugsanlegra fjárfesta, að pörun sé gerð á hlutfallslegum grundvelli,</w:t>
      </w:r>
    </w:p>
    <w:p w14:paraId="36535CA5" w14:textId="77777777" w:rsidR="002F5113" w:rsidRDefault="00322F12">
      <w:pPr>
        <w:pStyle w:val="NumberedText"/>
        <w:ind w:left="971" w:hanging="293"/>
      </w:pPr>
      <w:r>
        <w:t>c)</w:t>
      </w:r>
      <w:r>
        <w:tab/>
        <w:t>pörun beiðna geri rekstraraðila evrópska langtímafjárfestingarsjóðsins kleift að vakta lausafjáráhættu sjóðsins og pörunin sé samrýmanleg við langtímafjárfestingaráætlun evrópska langtímafjárfestingarsjóðsins.“</w:t>
      </w:r>
    </w:p>
    <w:p w14:paraId="3715FDD5" w14:textId="77777777" w:rsidR="002F5113" w:rsidRDefault="00322F12">
      <w:pPr>
        <w:pStyle w:val="NumberedText"/>
        <w:ind w:left="677" w:hanging="293"/>
      </w:pPr>
      <w:r>
        <w:t>c)</w:t>
      </w:r>
      <w:r>
        <w:tab/>
        <w:t>Eftirfarandi málsgrein bætist við:</w:t>
      </w:r>
    </w:p>
    <w:p w14:paraId="61B7B0B0" w14:textId="77777777" w:rsidR="002F5113" w:rsidRDefault="00322F12">
      <w:pPr>
        <w:pStyle w:val="AlineaWithParag"/>
        <w:tabs>
          <w:tab w:val="left" w:pos="1077"/>
        </w:tabs>
        <w:ind w:left="677"/>
      </w:pPr>
      <w:r>
        <w:t>„5.</w:t>
      </w:r>
      <w:r>
        <w:tab/>
        <w:t xml:space="preserve">Evrópska verðbréfamarkaðseftirlitsstofnunin skal semja drög að tæknilegum </w:t>
      </w:r>
      <w:proofErr w:type="spellStart"/>
      <w:r>
        <w:t>eftirlitsstöðlum</w:t>
      </w:r>
      <w:proofErr w:type="spellEnd"/>
      <w:r>
        <w:t xml:space="preserve"> sem tilgreina aðstæður fyrir notkun pörunar, sem kveðið er á um í 2. mgr. a, þ.m.t. þær upplýsingar sem evrópskir langtímafjárfestingarsjóðir þurfa að veita fjárfestum.</w:t>
      </w:r>
    </w:p>
    <w:p w14:paraId="5F0247BF" w14:textId="77777777" w:rsidR="002F5113" w:rsidRDefault="00322F12">
      <w:pPr>
        <w:pStyle w:val="Alinea"/>
        <w:ind w:left="677"/>
      </w:pPr>
      <w:r>
        <w:t xml:space="preserve">Evrópska verðbréfamarkaðseftirlitsstofnunin skal leggja drögin að tæknilegu </w:t>
      </w:r>
      <w:proofErr w:type="spellStart"/>
      <w:r>
        <w:t>eftirlitsstöðlunum</w:t>
      </w:r>
      <w:proofErr w:type="spellEnd"/>
      <w:r>
        <w:t xml:space="preserve"> sem um getur í fyrstu undirgrein fyrir framkvæmdastjórnina eigi síðar en 10. janúar 2024.</w:t>
      </w:r>
    </w:p>
    <w:p w14:paraId="7587553B" w14:textId="77777777" w:rsidR="002F5113" w:rsidRDefault="00322F12">
      <w:pPr>
        <w:pStyle w:val="Alinea"/>
        <w:ind w:left="677"/>
      </w:pPr>
      <w:r>
        <w:t xml:space="preserve">Framkvæmdastjórninni er falið vald til að bæta við þessa reglugerð með því að samþykkja tæknilegu </w:t>
      </w:r>
      <w:proofErr w:type="spellStart"/>
      <w:r>
        <w:t>eftirlitsstaðlana</w:t>
      </w:r>
      <w:proofErr w:type="spellEnd"/>
      <w:r>
        <w:t xml:space="preserve"> sem um getur í fyrstu undirgrein í samræmi við 10. til 14. gr. reglugerðar (ESB) nr. 1095/2010.“</w:t>
      </w:r>
    </w:p>
    <w:p w14:paraId="63DDB962" w14:textId="77777777" w:rsidR="002F5113" w:rsidRDefault="00322F12">
      <w:pPr>
        <w:pStyle w:val="NumberedText"/>
        <w:tabs>
          <w:tab w:val="right" w:pos="239"/>
        </w:tabs>
        <w:ind w:left="383" w:hanging="383"/>
      </w:pPr>
      <w:r>
        <w:tab/>
        <w:t>12)</w:t>
      </w:r>
      <w:r>
        <w:tab/>
        <w:t>Eftirfarandi kemur í stað 1. mgr. 21. gr.:</w:t>
      </w:r>
    </w:p>
    <w:p w14:paraId="4C1DD5AB" w14:textId="77777777" w:rsidR="002F5113" w:rsidRDefault="00322F12">
      <w:pPr>
        <w:pStyle w:val="AlineaWithParag"/>
        <w:tabs>
          <w:tab w:val="left" w:pos="783"/>
        </w:tabs>
        <w:ind w:left="383"/>
      </w:pPr>
      <w:r>
        <w:t>„1.</w:t>
      </w:r>
      <w:r>
        <w:tab/>
        <w:t xml:space="preserve">Evrópskur langtímafjárfestingarsjóður skal tilkynna </w:t>
      </w:r>
      <w:proofErr w:type="spellStart"/>
      <w:r>
        <w:t>lögbæru</w:t>
      </w:r>
      <w:proofErr w:type="spellEnd"/>
      <w:r>
        <w:t xml:space="preserve"> yfirvaldi evrópska langtímafjárfestingarsjóðsins um skipulega sölu eigna sinna til að innleysa hlutdeildarskírteini eða hlutabréf fjárfesta eftir að líftíma sjóðsins lýkur, í síðasta lagi ári fyrir dagsetninguna þegar líftíma sjóðsins lýkur. Að beiðni </w:t>
      </w:r>
      <w:proofErr w:type="spellStart"/>
      <w:r>
        <w:t>lögbærs</w:t>
      </w:r>
      <w:proofErr w:type="spellEnd"/>
      <w:r>
        <w:t xml:space="preserve"> yfirvalds evrópsks langtímafjárfestingarsjóðs skal evrópski langtímafjárfestingarsjóðurinn leggja </w:t>
      </w:r>
      <w:proofErr w:type="spellStart"/>
      <w:r>
        <w:t>sundurliðaða</w:t>
      </w:r>
      <w:proofErr w:type="spellEnd"/>
      <w:r>
        <w:t xml:space="preserve"> áætlun um skipulega sölu eigna sinna fyrir </w:t>
      </w:r>
      <w:proofErr w:type="spellStart"/>
      <w:r>
        <w:t>lögbæra</w:t>
      </w:r>
      <w:proofErr w:type="spellEnd"/>
      <w:r>
        <w:t xml:space="preserve"> yfirvaldið.“</w:t>
      </w:r>
    </w:p>
    <w:p w14:paraId="2F9ADEA2" w14:textId="77777777" w:rsidR="002F5113" w:rsidRDefault="00322F12">
      <w:pPr>
        <w:pStyle w:val="NumberedText"/>
        <w:tabs>
          <w:tab w:val="right" w:pos="239"/>
        </w:tabs>
        <w:ind w:left="383" w:hanging="383"/>
      </w:pPr>
      <w:r>
        <w:tab/>
        <w:t>13)</w:t>
      </w:r>
      <w:r>
        <w:tab/>
        <w:t>Eftirfarandi kemur í stað 3. mgr. 22. gr.:</w:t>
      </w:r>
    </w:p>
    <w:p w14:paraId="635BBAB3" w14:textId="77777777" w:rsidR="002F5113" w:rsidRDefault="00322F12">
      <w:pPr>
        <w:pStyle w:val="AlineaWithParag"/>
        <w:tabs>
          <w:tab w:val="left" w:pos="783"/>
        </w:tabs>
        <w:ind w:left="383"/>
      </w:pPr>
      <w:r>
        <w:t>„3.</w:t>
      </w:r>
      <w:r>
        <w:tab/>
        <w:t>Evrópskur langtímafjárfestingarsjóður getur minnkað hlutafé sitt í réttu hlutfalli ef sala eignar kemur til á líftíma sjóðsins, að því tilskildu að rekstraraðili sjóðsins telji fortakslaust að slík úthlutun sé í þágu hagsmuna fjárfesta.“</w:t>
      </w:r>
    </w:p>
    <w:p w14:paraId="51165AAA" w14:textId="77777777" w:rsidR="002F5113" w:rsidRDefault="00322F12">
      <w:pPr>
        <w:pStyle w:val="NumberedText"/>
        <w:tabs>
          <w:tab w:val="right" w:pos="239"/>
        </w:tabs>
        <w:ind w:left="383" w:hanging="383"/>
      </w:pPr>
      <w:r>
        <w:tab/>
        <w:t>14)</w:t>
      </w:r>
      <w:r>
        <w:tab/>
        <w:t>Ákvæðum 23. gr. er breytt sem hér segir:</w:t>
      </w:r>
    </w:p>
    <w:p w14:paraId="61A10C57" w14:textId="77777777" w:rsidR="002F5113" w:rsidRDefault="00322F12">
      <w:pPr>
        <w:pStyle w:val="NumberedText"/>
        <w:ind w:left="677" w:hanging="293"/>
      </w:pPr>
      <w:r>
        <w:t>a)</w:t>
      </w:r>
      <w:r>
        <w:tab/>
        <w:t xml:space="preserve">Í stað </w:t>
      </w:r>
      <w:proofErr w:type="spellStart"/>
      <w:r>
        <w:t>b-liðar</w:t>
      </w:r>
      <w:proofErr w:type="spellEnd"/>
      <w:r>
        <w:t xml:space="preserve"> 3. mgr. kemur eftirfarandi:</w:t>
      </w:r>
    </w:p>
    <w:p w14:paraId="7A63449C" w14:textId="77777777" w:rsidR="002F5113" w:rsidRDefault="00322F12">
      <w:pPr>
        <w:pStyle w:val="NumberedText"/>
        <w:ind w:left="1091" w:hanging="413"/>
      </w:pPr>
      <w:r>
        <w:t>„b)</w:t>
      </w:r>
      <w:r>
        <w:tab/>
        <w:t>upplýsingar sem lokaðir sjóðir um sameiginlega fjárfestingu verða að birta í samræmi við reglugerð Evrópuþingsins og ráðsins (ESB) 2017/1129 (</w:t>
      </w:r>
      <w:r>
        <w:fldChar w:fldCharType="begin"/>
      </w:r>
      <w:r>
        <w:instrText xml:space="preserve"> REF NOTE_18 \h  \* MERGEFORMAT </w:instrText>
      </w:r>
      <w:r>
        <w:fldChar w:fldCharType="separate"/>
      </w:r>
      <w:r>
        <w:t>*</w:t>
      </w:r>
      <w:r>
        <w:fldChar w:fldCharType="end"/>
      </w:r>
      <w:r>
        <w:t>),</w:t>
      </w:r>
    </w:p>
    <w:p w14:paraId="4D4C2129" w14:textId="77777777" w:rsidR="002F5113" w:rsidRDefault="002F5113">
      <w:pPr>
        <w:pStyle w:val="QuoteFootnoteRule"/>
        <w:ind w:left="677" w:right="7548"/>
      </w:pPr>
    </w:p>
    <w:p w14:paraId="7CA111E9" w14:textId="77777777" w:rsidR="002F5113" w:rsidRDefault="00322F12">
      <w:pPr>
        <w:pStyle w:val="NumberedText"/>
        <w:ind w:left="1038" w:hanging="360"/>
      </w:pPr>
      <w:r>
        <w:t>(</w:t>
      </w:r>
      <w:bookmarkStart w:id="17" w:name="NOTE_18"/>
      <w:r>
        <w:t>*</w:t>
      </w:r>
      <w:bookmarkEnd w:id="17"/>
      <w:r>
        <w:t>)</w:t>
      </w:r>
      <w:r>
        <w:tab/>
        <w:t>Reglugerð Evrópuþingsins og ráðsins (ESB) 2017/1129 frá 14. júní 2017 um lýsingu sem birta skal þegar verðbréf eru boðin í almennu útboði eða tekin til viðskipta á skipulegum markaði og um niðurfellingu á tilskipun 2003/71/EB (</w:t>
      </w:r>
      <w:proofErr w:type="spellStart"/>
      <w:r>
        <w:t>Stjtíð</w:t>
      </w:r>
      <w:proofErr w:type="spellEnd"/>
      <w:r>
        <w:t>. ESB L 168, 30.6.2017, bls. 12).“</w:t>
      </w:r>
    </w:p>
    <w:p w14:paraId="4A3906B0" w14:textId="77777777" w:rsidR="002F5113" w:rsidRDefault="00322F12">
      <w:pPr>
        <w:pStyle w:val="NumberedText"/>
        <w:ind w:left="677" w:hanging="293"/>
      </w:pPr>
      <w:r>
        <w:t>b)</w:t>
      </w:r>
      <w:r>
        <w:tab/>
        <w:t>Eftirfarandi málsgrein er bætt við:</w:t>
      </w:r>
    </w:p>
    <w:p w14:paraId="08C26F46" w14:textId="77777777" w:rsidR="002F5113" w:rsidRDefault="00322F12">
      <w:pPr>
        <w:pStyle w:val="AlineaWithParag"/>
        <w:tabs>
          <w:tab w:val="left" w:pos="1077"/>
        </w:tabs>
        <w:ind w:left="677"/>
      </w:pPr>
      <w:r>
        <w:t>„3a.</w:t>
      </w:r>
      <w:r>
        <w:tab/>
        <w:t>Í lýsingu ELTIF-fylgisjóðs skulu eftirfarandi upplýsingar koma fram:</w:t>
      </w:r>
    </w:p>
    <w:p w14:paraId="26338209" w14:textId="77777777" w:rsidR="002F5113" w:rsidRDefault="00322F12">
      <w:pPr>
        <w:pStyle w:val="NumberedText"/>
        <w:tabs>
          <w:tab w:val="clear" w:pos="2047"/>
        </w:tabs>
        <w:spacing w:after="0"/>
        <w:ind w:left="1380" w:hanging="300"/>
      </w:pPr>
      <w:r>
        <w:lastRenderedPageBreak/>
        <w:t>a)</w:t>
      </w:r>
      <w:r>
        <w:tab/>
        <w:t>yfirlýsing um að ELTIF-fylgisjóðurinn sé fylgisjóður ELTIF-höfuðsjóðs og fjárfesti sem slíkur varanlega 85% eða meira af eignum sínum í hlutdeildarskírteinum eða hlutabréfum þess höfuðsjóðs,</w:t>
      </w:r>
      <w:r>
        <w:br w:type="page"/>
      </w:r>
    </w:p>
    <w:p w14:paraId="21105030" w14:textId="77777777" w:rsidR="002F5113" w:rsidRDefault="00322F12">
      <w:pPr>
        <w:pStyle w:val="NumberedText"/>
        <w:tabs>
          <w:tab w:val="clear" w:pos="2047"/>
        </w:tabs>
        <w:ind w:left="1380" w:hanging="300"/>
      </w:pPr>
      <w:r>
        <w:lastRenderedPageBreak/>
        <w:t>b)</w:t>
      </w:r>
      <w:r>
        <w:tab/>
        <w:t>fjárfestingarmarkmið og -stefna ELTIF-fylgisjóðsins, þ.m.t. áhættulýsing og hvort afkoma hans og höfuðsjóðs hans sé sú sama, eða að hvaða marki og af hvaða ástæðum þær eru ólíkar,</w:t>
      </w:r>
    </w:p>
    <w:p w14:paraId="09E10EC4" w14:textId="77777777" w:rsidR="002F5113" w:rsidRDefault="00322F12">
      <w:pPr>
        <w:pStyle w:val="NumberedText"/>
        <w:tabs>
          <w:tab w:val="clear" w:pos="2047"/>
        </w:tabs>
        <w:ind w:left="1380" w:hanging="300"/>
      </w:pPr>
      <w:r>
        <w:t>c)</w:t>
      </w:r>
      <w:r>
        <w:tab/>
        <w:t xml:space="preserve">stutt lýsing á ELTIF-höfuðsjóðnum, skipulagi hans, fjárfestingarmarkmiðum hans og stefnu, þ.m.t. áhættulýsingu, og </w:t>
      </w:r>
      <w:proofErr w:type="spellStart"/>
      <w:r>
        <w:t>tilgreining</w:t>
      </w:r>
      <w:proofErr w:type="spellEnd"/>
      <w:r>
        <w:t xml:space="preserve"> á því hvernig hægt er að nálgast lýsingu hans,</w:t>
      </w:r>
    </w:p>
    <w:p w14:paraId="1A003A11" w14:textId="77777777" w:rsidR="002F5113" w:rsidRDefault="00322F12">
      <w:pPr>
        <w:pStyle w:val="NumberedText"/>
        <w:tabs>
          <w:tab w:val="clear" w:pos="2047"/>
        </w:tabs>
        <w:ind w:left="1380" w:hanging="300"/>
      </w:pPr>
      <w:r>
        <w:t>d)</w:t>
      </w:r>
      <w:r>
        <w:tab/>
        <w:t>samantekt samkomulags sem gert var á milli ELTIF-fylgisjóðsins og höfuðsjóðs hans eða innri reglna um viðskiptahætti, sem um getur í 6. mgr. 29. gr.,</w:t>
      </w:r>
    </w:p>
    <w:p w14:paraId="15C04EE2" w14:textId="77777777" w:rsidR="002F5113" w:rsidRDefault="00322F12">
      <w:pPr>
        <w:pStyle w:val="NumberedText"/>
        <w:tabs>
          <w:tab w:val="clear" w:pos="2047"/>
        </w:tabs>
        <w:ind w:left="1380" w:hanging="300"/>
      </w:pPr>
      <w:r>
        <w:t>e)</w:t>
      </w:r>
      <w:r>
        <w:tab/>
        <w:t>hvernig handhafar hlutdeildarskírteina eða hluthafar geta fengið nánari upplýsingar um ELTIF-höfuðsjóðinn og samkomulagið sem gert var milli fylgisjóðsins og höfuðsjóðsins sem um getur í 6. mgr. 29. gr.,</w:t>
      </w:r>
    </w:p>
    <w:p w14:paraId="0D9EEA21" w14:textId="77777777" w:rsidR="002F5113" w:rsidRDefault="00322F12">
      <w:pPr>
        <w:pStyle w:val="NumberedText"/>
        <w:tabs>
          <w:tab w:val="clear" w:pos="2047"/>
        </w:tabs>
        <w:ind w:left="1380" w:hanging="300"/>
      </w:pPr>
      <w:r>
        <w:t>f)</w:t>
      </w:r>
      <w:r>
        <w:tab/>
        <w:t>lýsing á öllum þóknunum eða endurgreiðslum kostnaðar sem ELTIF-fylgisjóði ber að greiða vegna fjárfestingar í hlutdeildarskírteinum eða hlutabréfum ELTIF-höfuðsjóðsins, sem og samanlögð gjöld fylgisjóðsins og höfuðsjóðs hans.“</w:t>
      </w:r>
    </w:p>
    <w:p w14:paraId="2488A60B" w14:textId="77777777" w:rsidR="002F5113" w:rsidRDefault="00322F12">
      <w:pPr>
        <w:pStyle w:val="NumberedText"/>
        <w:ind w:left="677" w:hanging="293"/>
      </w:pPr>
      <w:r>
        <w:t>c)</w:t>
      </w:r>
      <w:r>
        <w:tab/>
        <w:t>Eftirfarandi undirgrein bætist við 5. mgr.:</w:t>
      </w:r>
    </w:p>
    <w:p w14:paraId="2956B45C" w14:textId="77777777" w:rsidR="002F5113" w:rsidRDefault="00322F12">
      <w:pPr>
        <w:pStyle w:val="Para"/>
        <w:ind w:left="677"/>
      </w:pPr>
      <w:r>
        <w:t>„Ef evrópski langtímafjárfestingarsjóðurinn er markaðssettur fyrir almennra fjárfesta skal rekstraraðili evrópska langtímafjárfestingarsjóðsins hafa með í ársskýrslu fylgisjóðsins yfirlýsingu um samanlögð gjöld ELTIF-fylgisjóðsins og ELTIF-höfuðsjóðsins. Í ársskýrslu ELTIF-fylgisjóðsins skal tilgreina hvernig hægt er að nálgast ársskýrslu ELTIF-höfuðsjóðsins.“</w:t>
      </w:r>
    </w:p>
    <w:p w14:paraId="7E520862" w14:textId="77777777" w:rsidR="002F5113" w:rsidRDefault="00322F12">
      <w:pPr>
        <w:pStyle w:val="NumberedText"/>
        <w:tabs>
          <w:tab w:val="right" w:pos="239"/>
        </w:tabs>
        <w:ind w:left="383" w:hanging="383"/>
      </w:pPr>
      <w:r>
        <w:tab/>
        <w:t>15)</w:t>
      </w:r>
      <w:r>
        <w:tab/>
        <w:t>Eftirfarandi kemur í stað 2. mgr. 25. gr.:</w:t>
      </w:r>
    </w:p>
    <w:p w14:paraId="2C188513" w14:textId="77777777" w:rsidR="002F5113" w:rsidRDefault="00322F12">
      <w:pPr>
        <w:pStyle w:val="AlineaWithParag"/>
        <w:tabs>
          <w:tab w:val="left" w:pos="783"/>
        </w:tabs>
        <w:ind w:left="383"/>
      </w:pPr>
      <w:r>
        <w:t>„2.</w:t>
      </w:r>
      <w:r>
        <w:tab/>
        <w:t>Í lýsingunni skal birta heildarhlutfall kostnaðar evrópska langtímafjárfestingarsjóðsins.“</w:t>
      </w:r>
    </w:p>
    <w:p w14:paraId="43B5EBEA" w14:textId="77777777" w:rsidR="002F5113" w:rsidRDefault="00322F12">
      <w:pPr>
        <w:pStyle w:val="NumberedText"/>
        <w:tabs>
          <w:tab w:val="right" w:pos="239"/>
        </w:tabs>
        <w:ind w:left="383" w:hanging="383"/>
      </w:pPr>
      <w:r>
        <w:tab/>
        <w:t>16)</w:t>
      </w:r>
      <w:r>
        <w:tab/>
        <w:t>Ákvæði 26. gr. fellur brott.</w:t>
      </w:r>
    </w:p>
    <w:p w14:paraId="35284AD2" w14:textId="77777777" w:rsidR="002F5113" w:rsidRDefault="00322F12">
      <w:pPr>
        <w:pStyle w:val="NumberedText"/>
        <w:tabs>
          <w:tab w:val="right" w:pos="239"/>
        </w:tabs>
        <w:ind w:left="383" w:hanging="383"/>
      </w:pPr>
      <w:r>
        <w:tab/>
        <w:t>17)</w:t>
      </w:r>
      <w:r>
        <w:tab/>
        <w:t>Í stað 27. gr. kemur eftirfarandi:</w:t>
      </w:r>
    </w:p>
    <w:p w14:paraId="65CB39D2" w14:textId="77777777" w:rsidR="002F5113" w:rsidRDefault="00322F12">
      <w:pPr>
        <w:pStyle w:val="TIARTquoted"/>
        <w:ind w:left="383"/>
      </w:pPr>
      <w:r>
        <w:t>„27. gr.</w:t>
      </w:r>
    </w:p>
    <w:p w14:paraId="40761DD5" w14:textId="77777777" w:rsidR="002F5113" w:rsidRDefault="00322F12">
      <w:pPr>
        <w:pStyle w:val="STIARTquoted"/>
        <w:ind w:left="383"/>
      </w:pPr>
      <w:r>
        <w:t>Innra matsferli evrópskra langtímafjárfestingarsjóða sem hægt er að markaðssetja fyrir almenna fjárfesta</w:t>
      </w:r>
    </w:p>
    <w:p w14:paraId="0E63477A" w14:textId="77777777" w:rsidR="002F5113" w:rsidRDefault="00322F12">
      <w:pPr>
        <w:pStyle w:val="Alinea"/>
        <w:ind w:left="383"/>
      </w:pPr>
      <w:r>
        <w:t>Rekstraraðili evrópsks langtímafjárfestingarsjóðs, sem hægt er að markaðssetja hlutdeildarskírteini eða hlutabréf í til almennra fjárfesta, skal lúta kröfunum sem mælt er fyrir um í annarri til fimmtu og sjöundu undirgrein 3. mgr. 16. gr. tilskipunar 2014/65/ESB og í 2. mgr. 24. gr. þeirrar tilskipunar.“</w:t>
      </w:r>
    </w:p>
    <w:p w14:paraId="11B9D7A8" w14:textId="77777777" w:rsidR="002F5113" w:rsidRDefault="00322F12">
      <w:pPr>
        <w:pStyle w:val="NumberedText"/>
        <w:tabs>
          <w:tab w:val="right" w:pos="239"/>
        </w:tabs>
        <w:ind w:left="383" w:hanging="383"/>
      </w:pPr>
      <w:r>
        <w:tab/>
        <w:t>18)</w:t>
      </w:r>
      <w:r>
        <w:tab/>
        <w:t>Ákvæði 28. gr. fellur brott.</w:t>
      </w:r>
    </w:p>
    <w:p w14:paraId="219314AF" w14:textId="77777777" w:rsidR="002F5113" w:rsidRDefault="00322F12">
      <w:pPr>
        <w:pStyle w:val="NumberedText"/>
        <w:tabs>
          <w:tab w:val="right" w:pos="239"/>
        </w:tabs>
        <w:ind w:left="383" w:hanging="383"/>
      </w:pPr>
      <w:r>
        <w:tab/>
        <w:t>19)</w:t>
      </w:r>
      <w:r>
        <w:tab/>
        <w:t>Eftirfarandi málsgreinar bætast við 29. gr.:</w:t>
      </w:r>
    </w:p>
    <w:p w14:paraId="228D5072" w14:textId="77777777" w:rsidR="002F5113" w:rsidRDefault="00322F12">
      <w:pPr>
        <w:pStyle w:val="AlineaWithParag"/>
        <w:tabs>
          <w:tab w:val="left" w:pos="783"/>
        </w:tabs>
        <w:ind w:left="383"/>
      </w:pPr>
      <w:r>
        <w:t>„6.</w:t>
      </w:r>
      <w:r>
        <w:tab/>
        <w:t>Ef um er að ræða skipan höfuðsjóða og fylgisjóða skal ELTIF-höfuðsjóðurinn veita ELTIF-fylgisjóðnum öll nauðsynleg skjöl og upplýsingar til að sá síðarnefndi uppfylli kröfur þessarar reglugerðar. Í því skyni skal ELTIF-fylgisjóðurinn gera samkomulag við ELTIF-höfuðsjóðinn.</w:t>
      </w:r>
    </w:p>
    <w:p w14:paraId="2253FB36" w14:textId="77777777" w:rsidR="002F5113" w:rsidRDefault="00322F12">
      <w:pPr>
        <w:pStyle w:val="Alinea"/>
        <w:ind w:left="383"/>
      </w:pPr>
      <w:r>
        <w:t>Samkomulagið sem um getur í fyrstu undirgrein skal gert aðgengilegt öllum handhöfum hlutdeildarskírteina og hluthöfum án endurgjalds, sé þess óskað. Ef ELTIF-höfuðsjóðurinn og ELTIF-fylgisjóðurinn eru báðir undir stjórn sama rekstraraðila er hægt að skipta samkomulaginu út fyrir innri reglur um viðskiptahætti, sem tryggir að farið sé að kröfum þessarar málsgreinar.</w:t>
      </w:r>
    </w:p>
    <w:p w14:paraId="0AD8F946" w14:textId="77777777" w:rsidR="002F5113" w:rsidRDefault="00322F12">
      <w:pPr>
        <w:pStyle w:val="AlineaWithParag"/>
        <w:tabs>
          <w:tab w:val="left" w:pos="783"/>
        </w:tabs>
        <w:ind w:left="383"/>
      </w:pPr>
      <w:r>
        <w:t>7.</w:t>
      </w:r>
      <w:r>
        <w:tab/>
        <w:t>Ef ELTIF-höfuðsjóðurinn og ELTIF-fylgisjóðurinn eru með mismunandi vörsluaðila skulu vörsluaðilarnir gera með sér samning um upplýsingaskipti til að tryggja að báðir vörsluaðilar standi við skuldbindingar sínar. ELTIF-fylgisjóðurinn skal ekki fjárfesta í hlutdeildarskírteinum eða hlutabréfum ELTIF-höfuðsjóðsins fyrr en samkomulag um slíkt hefur tekið gildi.</w:t>
      </w:r>
    </w:p>
    <w:p w14:paraId="40DF9DD0" w14:textId="77777777" w:rsidR="002F5113" w:rsidRDefault="00322F12">
      <w:pPr>
        <w:pStyle w:val="Alinea"/>
        <w:spacing w:after="0"/>
        <w:ind w:left="383"/>
      </w:pPr>
      <w:r>
        <w:t xml:space="preserve">Ef vörsluaðili ELTIF-höfuðsjóðsins og vörsluaðili ELTIF-fylgisjóðsins uppfylla kröfur þessarar málsgreinar skal hvorugur þeirra teljast hafa brotið neinar reglur sem takmarka upplýsingagjöf eða tengjast gagnavernd ef kveðið er á um slíkar reglur í samningi eða lögum, reglugerð eða stjórnsýsluákvæði. Slík </w:t>
      </w:r>
      <w:proofErr w:type="spellStart"/>
      <w:r>
        <w:t>hlítni</w:t>
      </w:r>
      <w:proofErr w:type="spellEnd"/>
      <w:r>
        <w:t xml:space="preserve"> skal ekki leggja neina bótaábyrgð á herðar vörsluaðila eða neins einstaklings sem kemur fram fyrir hans hönd.</w:t>
      </w:r>
      <w:r>
        <w:br w:type="page"/>
      </w:r>
    </w:p>
    <w:p w14:paraId="5DB614EB" w14:textId="77777777" w:rsidR="002F5113" w:rsidRDefault="00322F12">
      <w:pPr>
        <w:pStyle w:val="Alinea"/>
        <w:ind w:left="383"/>
      </w:pPr>
      <w:r>
        <w:lastRenderedPageBreak/>
        <w:t xml:space="preserve">ELTIF-fylgisjóður eða, eftir atvikum, rekstraraðili fylgisjóðsins, skal bera ábyrgð á því að miðla öllum þeim upplýsingum um ELTIF-höfuðsjóðinn til vörsluaðila fylgisjóðsins sem nauðsynlegar eru til að vörsluaðili fylgisjóðsins geti sinnt skyldum sínum. Vörsluaðili ELTIF-höfuðsjóðsins skal tafarlaust tilkynna </w:t>
      </w:r>
      <w:proofErr w:type="spellStart"/>
      <w:r>
        <w:t>lögbærum</w:t>
      </w:r>
      <w:proofErr w:type="spellEnd"/>
      <w:r>
        <w:t xml:space="preserve"> yfirvöldum í heimaaðildarríki höfuðsjóðsins um ELTIF-höfuðsjóðinn, ELTIF-fylgisjóðinn eða, eftir atvikum, rekstraraðila og vörsluaðila fylgisjóðsins um hvers kyns frávik sem hann greinir að því er varðar ELTIF-höfuðsjóðinn sem teljast hafa neikvæð áhrif á ELTIF-fylgisjóðinn.“</w:t>
      </w:r>
    </w:p>
    <w:p w14:paraId="2D4D6BD7" w14:textId="77777777" w:rsidR="002F5113" w:rsidRDefault="00322F12">
      <w:pPr>
        <w:pStyle w:val="NumberedText"/>
        <w:tabs>
          <w:tab w:val="right" w:pos="239"/>
        </w:tabs>
        <w:ind w:left="383" w:hanging="383"/>
      </w:pPr>
      <w:r>
        <w:tab/>
        <w:t>20)</w:t>
      </w:r>
      <w:r>
        <w:tab/>
        <w:t>Í stað 30. gr. kemur eftirfarandi:</w:t>
      </w:r>
    </w:p>
    <w:p w14:paraId="0E2EE33C" w14:textId="77777777" w:rsidR="002F5113" w:rsidRDefault="00322F12">
      <w:pPr>
        <w:pStyle w:val="TIARTquoted"/>
        <w:ind w:left="383"/>
      </w:pPr>
      <w:r>
        <w:t>„30. gr.</w:t>
      </w:r>
    </w:p>
    <w:p w14:paraId="37D03D41" w14:textId="77777777" w:rsidR="002F5113" w:rsidRDefault="00322F12">
      <w:pPr>
        <w:pStyle w:val="STIARTquoted"/>
        <w:ind w:left="383"/>
      </w:pPr>
      <w:r>
        <w:t>Sértækar kröfur að því er varðar dreifingu og markaðssetningu evrópskra langtímafjárfestingarsjóða til almennra fjárfesta</w:t>
      </w:r>
    </w:p>
    <w:p w14:paraId="4ACAB2E4" w14:textId="77777777" w:rsidR="002F5113" w:rsidRDefault="00322F12">
      <w:pPr>
        <w:pStyle w:val="AlineaWithParag"/>
        <w:tabs>
          <w:tab w:val="left" w:pos="783"/>
        </w:tabs>
        <w:ind w:left="383"/>
      </w:pPr>
      <w:r>
        <w:t>1.</w:t>
      </w:r>
      <w:r>
        <w:tab/>
        <w:t>Eingöngu er hægt að markaðssetja hlutdeildarskírteini eða hlutabréf evrópsks langtímafjárfestingarsjóðs til almenns fjárfestis ef gert hefur verið hæfismat í samræmi við 2. mgr. 25. gr. tilskipunar 2014/65/ESB og almenna fjárfestinum veitt yfirlýsing um hæfi í samræmi við aðra og þriðju undirgrein 6. mgr. 25. gr. þeirrar tilskipunar.</w:t>
      </w:r>
    </w:p>
    <w:p w14:paraId="5D3DAB38" w14:textId="77777777" w:rsidR="002F5113" w:rsidRDefault="00322F12">
      <w:pPr>
        <w:pStyle w:val="Alinea"/>
        <w:ind w:left="383"/>
      </w:pPr>
      <w:r>
        <w:t xml:space="preserve">Hæfismatið sem um getur í fyrstu undirgrein þessarar málsgreinar skal framkvæmt án tillits til þess hvort almennur fjárfestir kaupir hlutdeildarskírteini eða hlutabréf evrópsks langtímafjárfestingarsjóðs frá dreifingaraðila eða rekstraraðila sjóðsins eða á </w:t>
      </w:r>
      <w:proofErr w:type="spellStart"/>
      <w:r>
        <w:t>eftirmarkaði</w:t>
      </w:r>
      <w:proofErr w:type="spellEnd"/>
      <w:r>
        <w:t xml:space="preserve"> í samræmi við 19. gr. þessarar reglugerðar.</w:t>
      </w:r>
    </w:p>
    <w:p w14:paraId="21DE6DBE" w14:textId="77777777" w:rsidR="002F5113" w:rsidRDefault="00322F12">
      <w:pPr>
        <w:pStyle w:val="Alinea"/>
        <w:ind w:left="383"/>
      </w:pPr>
      <w:r>
        <w:t>Skýrt samþykki almenns fjárfestis um að viðkomandi skilji þá áhættu sem fylgir fjárfestingu í evrópskum langtímafjárfestingarsjóði þarf að liggja fyrir, að öllum eftirfarandi skilyrðum uppfylltum:</w:t>
      </w:r>
    </w:p>
    <w:p w14:paraId="6D24E92A" w14:textId="77777777" w:rsidR="002F5113" w:rsidRDefault="00322F12">
      <w:pPr>
        <w:pStyle w:val="NumberedText"/>
        <w:ind w:left="677" w:hanging="293"/>
      </w:pPr>
      <w:r>
        <w:t>a)</w:t>
      </w:r>
      <w:r>
        <w:tab/>
        <w:t>hæfismatið er ekki lagt fram í tengslum við fjárfestingarráðgjöf,</w:t>
      </w:r>
    </w:p>
    <w:p w14:paraId="3C11D39D" w14:textId="77777777" w:rsidR="002F5113" w:rsidRDefault="00322F12">
      <w:pPr>
        <w:pStyle w:val="NumberedText"/>
        <w:ind w:left="677" w:hanging="293"/>
      </w:pPr>
      <w:r>
        <w:t>b)</w:t>
      </w:r>
      <w:r>
        <w:tab/>
        <w:t>evrópskur langtímafjárfestingarsjóður er ekki talinn henta almennum fjárfesti á grundvelli þess hæfismats sem gert var samkvæmt fyrstu undirgrein,</w:t>
      </w:r>
    </w:p>
    <w:p w14:paraId="12F0027B" w14:textId="77777777" w:rsidR="002F5113" w:rsidRDefault="00322F12">
      <w:pPr>
        <w:pStyle w:val="NumberedText"/>
        <w:ind w:left="677" w:hanging="293"/>
      </w:pPr>
      <w:r>
        <w:t>c)</w:t>
      </w:r>
      <w:r>
        <w:tab/>
        <w:t>almennur fjárfestir vill halda áfram með viðskiptin þrátt fyrir að litið sé svo á að evrópskur langtímafjárfestingarsjóður henti honum ekki.</w:t>
      </w:r>
    </w:p>
    <w:p w14:paraId="1C9BF75C" w14:textId="77777777" w:rsidR="002F5113" w:rsidRDefault="00322F12">
      <w:pPr>
        <w:pStyle w:val="Alinea"/>
        <w:ind w:left="383"/>
      </w:pPr>
      <w:r>
        <w:t>Dreifingaraðili eða, þegar hlutdeildarskírteini eða hlutabréf evrópsks langtímafjárfestingarsjóðs eru boðin út eða sett á markað beint til almenns fjárfestis, rekstraraðili evrópsks langtímafjárfestingarsjóðs skal koma á fót skráahaldi eins og um getur í 5. mgr. 25. gr. tilskipunar 2014/65/ESB.</w:t>
      </w:r>
    </w:p>
    <w:p w14:paraId="266D539F" w14:textId="77777777" w:rsidR="002F5113" w:rsidRDefault="00322F12">
      <w:pPr>
        <w:pStyle w:val="AlineaWithParag"/>
        <w:tabs>
          <w:tab w:val="left" w:pos="783"/>
        </w:tabs>
        <w:ind w:left="383"/>
      </w:pPr>
      <w:r>
        <w:t>2.</w:t>
      </w:r>
      <w:r>
        <w:tab/>
        <w:t>Dreifingaraðili eða, þegar hlutdeildarskírteini eða hlutabréf evrópsks langtímafjárfestingarsjóðs eru boðin eða sett á markað beint til almenns fjárfestis, rekstraraðili evrópsks langtímafjárfestingarsjóðs skal gefa út skýra skriflega viðvörun sem upplýsir almennan fjárfesti um eftirfarandi:</w:t>
      </w:r>
    </w:p>
    <w:p w14:paraId="4B2DD460" w14:textId="77777777" w:rsidR="002F5113" w:rsidRDefault="00322F12">
      <w:pPr>
        <w:pStyle w:val="NumberedText"/>
        <w:ind w:left="677" w:hanging="293"/>
      </w:pPr>
      <w:r>
        <w:t>a)</w:t>
      </w:r>
      <w:r>
        <w:tab/>
        <w:t>sé líftími evrópska langtímafjárfestingarsjóðsins sem er boðinn eða settur á markað til almennra fjárfesta lengri en 10 ár, að ekki sé víst að þessi vara henti almennum fjárfestum sem geta ekki viðhaldið skuldbindingu sem er til svona langs tíma og svona illseljanleg,</w:t>
      </w:r>
    </w:p>
    <w:p w14:paraId="38394A02" w14:textId="77777777" w:rsidR="002F5113" w:rsidRDefault="00322F12">
      <w:pPr>
        <w:pStyle w:val="NumberedText"/>
        <w:ind w:left="677" w:hanging="293"/>
      </w:pPr>
      <w:r>
        <w:t>b)</w:t>
      </w:r>
      <w:r>
        <w:tab/>
        <w:t>kveði reglur eða stofnsamningar evrópsks langtímafjárfestingarsjóðs á um að hægt sé að para hlutdeildarskírteini eða hlutabréf evrópsks langtímafjárfestingarsjóðs, eins og um getur í 2. mgr. a 19. gr., að slíkur möguleiki tryggi hvorki né veiti almennum fjárfesti rétt til útgöngu eða innlausnar á hlutdeildarskírteinum eða hlutabréfum viðkomandi evrópsks langtímafjárfestingarsjóðs.</w:t>
      </w:r>
    </w:p>
    <w:p w14:paraId="08D8EE1F" w14:textId="77777777" w:rsidR="002F5113" w:rsidRDefault="00322F12">
      <w:pPr>
        <w:pStyle w:val="AlineaWithParag"/>
        <w:tabs>
          <w:tab w:val="left" w:pos="783"/>
        </w:tabs>
        <w:ind w:left="383"/>
      </w:pPr>
      <w:r>
        <w:t>3.</w:t>
      </w:r>
      <w:r>
        <w:tab/>
        <w:t>Ákvæði 1. og 2. mgr. gilda ekki ef almennur fjárfestir er háttsettur starfsmaður eða eignasafnsstjóri, stjórnarmaður, umboðsaðili eða fulltrúi eða starfsmaður rekstraraðila evrópska langtímafjárfestingarsjóðsins, eða hlutdeildarfélags rekstraraðila evrópska langtímafjárfestingarsjóðsins og hefur fullnægjandi þekkingu á sjóðnum.</w:t>
      </w:r>
    </w:p>
    <w:p w14:paraId="0533C201" w14:textId="77777777" w:rsidR="002F5113" w:rsidRDefault="00322F12">
      <w:pPr>
        <w:pStyle w:val="AlineaWithParag"/>
        <w:tabs>
          <w:tab w:val="left" w:pos="783"/>
        </w:tabs>
        <w:ind w:left="383"/>
      </w:pPr>
      <w:r>
        <w:t>4.</w:t>
      </w:r>
      <w:r>
        <w:tab/>
        <w:t>ELTIF-fylgisjóður skal birta í markaðsefni sínu að hann fjárfesti varanlega 85% eða meira af eignum sínum í hlutdeildarskírteinum eða hlutabréfum í ELTIF-höfuðsjóðnum.</w:t>
      </w:r>
    </w:p>
    <w:p w14:paraId="2DA65052" w14:textId="77777777" w:rsidR="002F5113" w:rsidRDefault="00322F12">
      <w:pPr>
        <w:pStyle w:val="AlineaWithParag"/>
        <w:tabs>
          <w:tab w:val="left" w:pos="783"/>
        </w:tabs>
        <w:spacing w:after="0"/>
        <w:ind w:left="383"/>
      </w:pPr>
      <w:r>
        <w:t>5.</w:t>
      </w:r>
      <w:r>
        <w:tab/>
        <w:t xml:space="preserve">Reglur eða stofnsamningar evrópsks langtímafjárfestingarsjóðs, sem markaðssettur er til almennra fjárfesta í viðeigandi flokki hlutdeildarskírteina eða hlutabréfa, skulu kveða á um að allir fjárfestar njóti jafnrar meðferðar og engin </w:t>
      </w:r>
      <w:proofErr w:type="spellStart"/>
      <w:r>
        <w:t>ívilnandi</w:t>
      </w:r>
      <w:proofErr w:type="spellEnd"/>
      <w:r>
        <w:t xml:space="preserve"> meðferð eða sértækur fjárhagslegur ávinningur sé veittur einstökum fjárfesti eða hópum fjárfesta innan viðeigandi flokks eða flokka.</w:t>
      </w:r>
      <w:r>
        <w:br w:type="page"/>
      </w:r>
    </w:p>
    <w:p w14:paraId="606416DB" w14:textId="77777777" w:rsidR="002F5113" w:rsidRDefault="00322F12">
      <w:pPr>
        <w:pStyle w:val="AlineaWithParag"/>
        <w:tabs>
          <w:tab w:val="left" w:pos="783"/>
        </w:tabs>
        <w:ind w:left="383"/>
      </w:pPr>
      <w:r>
        <w:lastRenderedPageBreak/>
        <w:t>6.</w:t>
      </w:r>
      <w:r>
        <w:tab/>
        <w:t>Félagsform evrópsks langtímafjárfestingarsjóðs sem markaðssettur er til almennra fjárfesta skal ekki leiða til neinnar frekari ábyrgðar fyrir almenna fjárfestinn eða útheimta neina viðbótarskuldbindingu af hálfu slíks fjárfestis, að undanskildum upphaflegum fjármagnsskuldbindingum.</w:t>
      </w:r>
    </w:p>
    <w:p w14:paraId="7ACDAAD1" w14:textId="77777777" w:rsidR="002F5113" w:rsidRDefault="00322F12">
      <w:pPr>
        <w:pStyle w:val="AlineaWithParag"/>
        <w:tabs>
          <w:tab w:val="left" w:pos="783"/>
        </w:tabs>
        <w:ind w:left="383"/>
      </w:pPr>
      <w:r>
        <w:t>7.</w:t>
      </w:r>
      <w:r>
        <w:tab/>
        <w:t>Almennir fjárfestar skulu, á áskriftartímabilinu og innan tveggja vikna eftir undirritun upprunalegrar skuldbindingar eða áskriftarsamnings að hlutdeildarskírteinum eða hlutabréfum í evrópska langtímafjárfestingarsjóðnum, geta sagt upp áskriftinni og fengið peningana endurgreidda án refsingar.</w:t>
      </w:r>
    </w:p>
    <w:p w14:paraId="3F1F1D45" w14:textId="77777777" w:rsidR="002F5113" w:rsidRDefault="00322F12">
      <w:pPr>
        <w:pStyle w:val="AlineaWithParag"/>
        <w:tabs>
          <w:tab w:val="left" w:pos="783"/>
        </w:tabs>
        <w:ind w:left="383"/>
      </w:pPr>
      <w:r>
        <w:t>8.</w:t>
      </w:r>
      <w:r>
        <w:tab/>
        <w:t>Rekstraraðili evrópsks langtímafjárfestingarsjóðs, sem er markaðssettur til almennra fjárfesta, skal koma á viðeigandi verklagi og fyrirkomulagi til að bregðast við kvörtunum almennra fjárfesta sem skal gera almennum fjárfestum kleift að leggja fram kvartanir á opinberu tungumáli eða einu af opinberum tungumálum aðildarríkis síns.“</w:t>
      </w:r>
    </w:p>
    <w:p w14:paraId="27B2B7F6" w14:textId="77777777" w:rsidR="002F5113" w:rsidRDefault="00322F12">
      <w:pPr>
        <w:pStyle w:val="NumberedText"/>
        <w:tabs>
          <w:tab w:val="right" w:pos="239"/>
        </w:tabs>
        <w:ind w:left="383" w:hanging="383"/>
      </w:pPr>
      <w:r>
        <w:tab/>
        <w:t>21)</w:t>
      </w:r>
      <w:r>
        <w:tab/>
        <w:t>Ákvæðum 4. mgr. 31. gr. er breytt sem hér segir:</w:t>
      </w:r>
    </w:p>
    <w:p w14:paraId="0E480E52" w14:textId="77777777" w:rsidR="002F5113" w:rsidRDefault="00322F12">
      <w:pPr>
        <w:pStyle w:val="NumberedText"/>
        <w:ind w:left="677" w:hanging="293"/>
      </w:pPr>
      <w:r>
        <w:t>a)</w:t>
      </w:r>
      <w:r>
        <w:tab/>
        <w:t xml:space="preserve">Í stað a- og </w:t>
      </w:r>
      <w:proofErr w:type="spellStart"/>
      <w:r>
        <w:t>b-liðar</w:t>
      </w:r>
      <w:proofErr w:type="spellEnd"/>
      <w:r>
        <w:t xml:space="preserve"> kemur eftirfarandi:</w:t>
      </w:r>
    </w:p>
    <w:p w14:paraId="7D5A0ADF" w14:textId="77777777" w:rsidR="002F5113" w:rsidRDefault="00322F12">
      <w:pPr>
        <w:pStyle w:val="NumberedText"/>
        <w:ind w:left="1081" w:hanging="403"/>
      </w:pPr>
      <w:r>
        <w:t>„a)</w:t>
      </w:r>
      <w:r>
        <w:tab/>
        <w:t>lýsingu evrópska langtímafjárfestingarsjóðsins og</w:t>
      </w:r>
    </w:p>
    <w:p w14:paraId="025FF7DD" w14:textId="77777777" w:rsidR="002F5113" w:rsidRDefault="00322F12">
      <w:pPr>
        <w:pStyle w:val="NumberedText"/>
        <w:ind w:left="1081" w:hanging="403"/>
      </w:pPr>
      <w:r>
        <w:t>b)</w:t>
      </w:r>
      <w:r>
        <w:tab/>
        <w:t>lykilupplýsingaskjal evrópska langtímafjárfestingarsjóðsins ef hann er markaðssettur til almennra fjárfesta.“</w:t>
      </w:r>
    </w:p>
    <w:p w14:paraId="36B48DA9" w14:textId="77777777" w:rsidR="002F5113" w:rsidRDefault="00322F12">
      <w:pPr>
        <w:pStyle w:val="NumberedText"/>
        <w:ind w:left="677" w:hanging="293"/>
      </w:pPr>
      <w:r>
        <w:t>b)</w:t>
      </w:r>
      <w:r>
        <w:tab/>
        <w:t xml:space="preserve">Ákvæði </w:t>
      </w:r>
      <w:proofErr w:type="spellStart"/>
      <w:r>
        <w:t>c-liðar</w:t>
      </w:r>
      <w:proofErr w:type="spellEnd"/>
      <w:r>
        <w:t xml:space="preserve"> falla brott.</w:t>
      </w:r>
    </w:p>
    <w:p w14:paraId="47AB64F6" w14:textId="77777777" w:rsidR="002F5113" w:rsidRDefault="00322F12">
      <w:pPr>
        <w:pStyle w:val="NumberedText"/>
        <w:tabs>
          <w:tab w:val="right" w:pos="239"/>
        </w:tabs>
        <w:ind w:left="383" w:hanging="383"/>
      </w:pPr>
      <w:r>
        <w:tab/>
        <w:t>22)</w:t>
      </w:r>
      <w:r>
        <w:tab/>
        <w:t>Eftirfarandi kemur í stað 2. mgr. 34. gr.:</w:t>
      </w:r>
    </w:p>
    <w:p w14:paraId="154D16AC" w14:textId="77777777" w:rsidR="002F5113" w:rsidRDefault="00322F12">
      <w:pPr>
        <w:pStyle w:val="AlineaWithParag"/>
        <w:tabs>
          <w:tab w:val="left" w:pos="783"/>
        </w:tabs>
        <w:ind w:left="383"/>
      </w:pPr>
      <w:r>
        <w:t>„2.</w:t>
      </w:r>
      <w:r>
        <w:tab/>
        <w:t>Valdheimildum evrópsku verðbréfamarkaðseftirlitsstofnunarinnar samkvæmt tilskipun 2011/61/ESB skal einnig beitt að því er varðar þessa reglugerð og í samræmi við reglugerð Evrópuþingsins og ráðsins (ESB) 2018/1725 (</w:t>
      </w:r>
      <w:r>
        <w:fldChar w:fldCharType="begin"/>
      </w:r>
      <w:r>
        <w:instrText xml:space="preserve"> REF NOTE_19 \h  \* MERGEFORMAT </w:instrText>
      </w:r>
      <w:r>
        <w:fldChar w:fldCharType="separate"/>
      </w:r>
      <w:r>
        <w:t>*</w:t>
      </w:r>
      <w:r>
        <w:fldChar w:fldCharType="end"/>
      </w:r>
      <w:r>
        <w:t>).</w:t>
      </w:r>
    </w:p>
    <w:p w14:paraId="496B8E23" w14:textId="77777777" w:rsidR="002F5113" w:rsidRDefault="002F5113">
      <w:pPr>
        <w:pStyle w:val="QuoteFootnoteRule"/>
        <w:ind w:left="383" w:right="7842"/>
      </w:pPr>
    </w:p>
    <w:p w14:paraId="3E38C3C2" w14:textId="77777777" w:rsidR="002F5113" w:rsidRDefault="00322F12">
      <w:pPr>
        <w:pStyle w:val="NumberedText"/>
        <w:ind w:left="744" w:hanging="360"/>
      </w:pPr>
      <w:r>
        <w:t>(</w:t>
      </w:r>
      <w:bookmarkStart w:id="18" w:name="NOTE_19"/>
      <w:r>
        <w:t>*</w:t>
      </w:r>
      <w:bookmarkEnd w:id="18"/>
      <w:r>
        <w:t>)</w:t>
      </w:r>
      <w:r>
        <w:tab/>
        <w:t>Reglugerð Evrópuþingsins og ráðsins (ESB) 2018/1725 frá 23. október 2018 um vernd einstaklinga í tengslum við vinnslu meginstofnana, stofnana, skrifstofa og fagstofnana Sambandsins á persónuupplýsingum og um frjálsa miðlun slíkra upplýsinga og um niðurfellingu reglugerðar (EB) nr. 45/2001 og ákvörðunar nr. 1247/2002/EB (</w:t>
      </w:r>
      <w:proofErr w:type="spellStart"/>
      <w:r>
        <w:t>Stjtíð</w:t>
      </w:r>
      <w:proofErr w:type="spellEnd"/>
      <w:r>
        <w:t>. ESB L 295, 21.11. 2018, bls. 39).“</w:t>
      </w:r>
    </w:p>
    <w:p w14:paraId="22BACAA9" w14:textId="77777777" w:rsidR="002F5113" w:rsidRDefault="00322F12">
      <w:pPr>
        <w:pStyle w:val="NumberedText"/>
        <w:tabs>
          <w:tab w:val="right" w:pos="239"/>
        </w:tabs>
        <w:ind w:left="383" w:hanging="383"/>
      </w:pPr>
      <w:r>
        <w:tab/>
        <w:t>23)</w:t>
      </w:r>
      <w:r>
        <w:tab/>
        <w:t>Í stað 37. gr. kemur eftirfarandi:</w:t>
      </w:r>
    </w:p>
    <w:p w14:paraId="72FD7F6C" w14:textId="77777777" w:rsidR="002F5113" w:rsidRDefault="00322F12">
      <w:pPr>
        <w:pStyle w:val="TIARTquoted"/>
        <w:ind w:left="383"/>
      </w:pPr>
      <w:r>
        <w:t>„37. gr.</w:t>
      </w:r>
    </w:p>
    <w:p w14:paraId="020E3DC3" w14:textId="77777777" w:rsidR="002F5113" w:rsidRDefault="00322F12">
      <w:pPr>
        <w:pStyle w:val="STIARTquoted"/>
        <w:ind w:left="383"/>
      </w:pPr>
      <w:r>
        <w:t>Endurskoðun</w:t>
      </w:r>
    </w:p>
    <w:p w14:paraId="77640820" w14:textId="77777777" w:rsidR="002F5113" w:rsidRDefault="00322F12">
      <w:pPr>
        <w:pStyle w:val="AlineaWithParag"/>
        <w:tabs>
          <w:tab w:val="left" w:pos="783"/>
        </w:tabs>
        <w:ind w:left="383"/>
      </w:pPr>
      <w:r>
        <w:t>1.</w:t>
      </w:r>
      <w:r>
        <w:tab/>
        <w:t>Framkvæmdastjórnin skal endurskoða beitingu þessarar reglugerðar og greina a.m.k. eftirfarandi þætti:</w:t>
      </w:r>
    </w:p>
    <w:p w14:paraId="5398ACDC" w14:textId="77777777" w:rsidR="002F5113" w:rsidRDefault="00322F12">
      <w:pPr>
        <w:pStyle w:val="NumberedText"/>
        <w:ind w:left="677" w:hanging="293"/>
      </w:pPr>
      <w:r>
        <w:t>a)</w:t>
      </w:r>
      <w:r>
        <w:tab/>
        <w:t>að hvaða marki evrópskir langtímafjárfestingarsjóðir eru markaðssettir í Sambandinu, þ.m.t. hvort rekstraraðilar sérhæfðra sjóða, sem um getur í 2. mgr. 3. gr. tilskipunar 2011/61/ESB, gætu haft hag af því að markaðssetja evrópska langtímafjárfestingarsjóði,</w:t>
      </w:r>
    </w:p>
    <w:p w14:paraId="232C60CB" w14:textId="77777777" w:rsidR="002F5113" w:rsidRDefault="00322F12">
      <w:pPr>
        <w:pStyle w:val="NumberedText"/>
        <w:ind w:left="677" w:hanging="293"/>
      </w:pPr>
      <w:r>
        <w:t>b)</w:t>
      </w:r>
      <w:r>
        <w:tab/>
        <w:t>beitingu ákvæða um starfsleyfi evrópskra langtímafjárfestingarsjóða, eins og sett er fram í 3.–6. gr.,</w:t>
      </w:r>
    </w:p>
    <w:p w14:paraId="788A22A9" w14:textId="77777777" w:rsidR="002F5113" w:rsidRDefault="00322F12">
      <w:pPr>
        <w:pStyle w:val="NumberedText"/>
        <w:ind w:left="677" w:hanging="293"/>
      </w:pPr>
      <w:r>
        <w:t>c)</w:t>
      </w:r>
      <w:r>
        <w:tab/>
        <w:t>hvort uppfæra eigi ákvæði um miðlæga opinbera skrá yfir evrópska langtímafjárfestingarsjóði, eins og mælt er fyrir um í 3. gr.,</w:t>
      </w:r>
    </w:p>
    <w:p w14:paraId="6660A235" w14:textId="77777777" w:rsidR="002F5113" w:rsidRDefault="00322F12">
      <w:pPr>
        <w:pStyle w:val="NumberedText"/>
        <w:ind w:left="677" w:hanging="293"/>
      </w:pPr>
      <w:r>
        <w:t>d)</w:t>
      </w:r>
      <w:r>
        <w:tab/>
        <w:t>hvort uppfæra skuli lista yfir hæfar eignir og fjárfestingar, kröfur um samsetningu og fjölbreytileika eignasafns, samþjöppunarreglur og takmarkanir að því er varðar lántöku í reiðufé,</w:t>
      </w:r>
    </w:p>
    <w:p w14:paraId="243BABFD" w14:textId="77777777" w:rsidR="002F5113" w:rsidRDefault="00322F12">
      <w:pPr>
        <w:pStyle w:val="NumberedText"/>
        <w:ind w:left="677" w:hanging="293"/>
      </w:pPr>
      <w:r>
        <w:t>e)</w:t>
      </w:r>
      <w:r>
        <w:tab/>
        <w:t>áhrif beitingar fjárfestingartakmarkananna á hæfar fjárfestingareignir sem mælt er fyrir um í 1. mgr. 13. gr. um fjölbreytileika eigna,</w:t>
      </w:r>
    </w:p>
    <w:p w14:paraId="2041CF7F" w14:textId="77777777" w:rsidR="002F5113" w:rsidRDefault="00322F12">
      <w:pPr>
        <w:pStyle w:val="NumberedText"/>
        <w:ind w:left="677" w:hanging="293"/>
      </w:pPr>
      <w:r>
        <w:t>f)</w:t>
      </w:r>
      <w:r>
        <w:tab/>
        <w:t>hvort uppfæra eigi ákvæði varðandi hagsmunaárekstra, sem mælt er fyrir um í 12. gr.,</w:t>
      </w:r>
    </w:p>
    <w:p w14:paraId="17C1F2A9" w14:textId="77777777" w:rsidR="002F5113" w:rsidRDefault="00322F12">
      <w:pPr>
        <w:pStyle w:val="NumberedText"/>
        <w:ind w:left="677" w:hanging="293"/>
      </w:pPr>
      <w:r>
        <w:t>g)</w:t>
      </w:r>
      <w:r>
        <w:tab/>
        <w:t>beitingu 18. gr. og áhrif þeirrar beitingar á innlausnarstefnu og líftíma evrópskra langtímafjárfestingarsjóða,</w:t>
      </w:r>
    </w:p>
    <w:p w14:paraId="068707BA" w14:textId="77777777" w:rsidR="002F5113" w:rsidRDefault="00322F12">
      <w:pPr>
        <w:pStyle w:val="NumberedText"/>
        <w:ind w:left="677" w:hanging="293"/>
      </w:pPr>
      <w:r>
        <w:t>h)</w:t>
      </w:r>
      <w:r>
        <w:tab/>
        <w:t>hvort þær kröfur um gagnsæi sem mælt er fyrir um í IV. kafla séu viðeigandi,</w:t>
      </w:r>
    </w:p>
    <w:p w14:paraId="0540253E" w14:textId="77777777" w:rsidR="002F5113" w:rsidRDefault="00322F12">
      <w:pPr>
        <w:pStyle w:val="NumberedText"/>
        <w:spacing w:after="0"/>
        <w:ind w:left="677" w:hanging="293"/>
      </w:pPr>
      <w:r>
        <w:lastRenderedPageBreak/>
        <w:t>i)</w:t>
      </w:r>
      <w:r>
        <w:tab/>
        <w:t>hvort ákvæði varðandi markaðssetningu hlutdeildarskírteina eða hlutabréfa evrópskra langtímafjárfestingarsjóða sem mælt er fyrir um í V. kafla séu viðeigandi og tryggi skilvirka fjárfestavernd, þ.m.t. fyrir almenna fjárfesta,</w:t>
      </w:r>
      <w:r>
        <w:br w:type="page"/>
      </w:r>
    </w:p>
    <w:p w14:paraId="08E1779F" w14:textId="77777777" w:rsidR="002F5113" w:rsidRDefault="00322F12">
      <w:pPr>
        <w:pStyle w:val="NumberedText"/>
        <w:ind w:left="677" w:hanging="293"/>
      </w:pPr>
      <w:r>
        <w:lastRenderedPageBreak/>
        <w:t>j)</w:t>
      </w:r>
      <w:r>
        <w:tab/>
        <w:t>hvort evrópskir langtímafjárfestingarsjóðir hafi lagt mikið af mörkum til að ná markmiðum Sambandsins, eins og þeim sem sett eru fram í Grænu samkomulagi í Evrópu og á öðrum forgangssviðum.</w:t>
      </w:r>
    </w:p>
    <w:p w14:paraId="4CB6B5CD" w14:textId="77777777" w:rsidR="002F5113" w:rsidRDefault="00322F12">
      <w:pPr>
        <w:pStyle w:val="AlineaWithParag"/>
        <w:tabs>
          <w:tab w:val="left" w:pos="783"/>
        </w:tabs>
        <w:ind w:left="383"/>
      </w:pPr>
      <w:r>
        <w:t>2.</w:t>
      </w:r>
      <w:r>
        <w:tab/>
        <w:t>Fyrir 10. apríl 2030 skal framkvæmdastjórnin, á grundvelli endurskoðunarinnar sem um getur í 1. mgr. þessarar greinar og að höfðu samráði við evrópsku verðbréfamarkaðseftirlitsstofnunina, leggja skýrslu fyrir Evrópuþingið og ráðið með mati á framlagi þessarar reglugerðar og evrópskra langtímafjárfestingarsjóða til lokagerðar sambands fjármagnsmarkaða og hvernig gengið hafi að ná þeim markmiðum sem sett eru fram í 2. mgr. 1. gr. Skýrslunni skal fylgja tillaga að nýrri löggjöf, eftir því sem við á.“</w:t>
      </w:r>
    </w:p>
    <w:p w14:paraId="1869454E" w14:textId="77777777" w:rsidR="002F5113" w:rsidRDefault="00322F12">
      <w:pPr>
        <w:pStyle w:val="NumberedText"/>
        <w:tabs>
          <w:tab w:val="right" w:pos="239"/>
        </w:tabs>
        <w:ind w:left="383" w:hanging="383"/>
      </w:pPr>
      <w:r>
        <w:tab/>
        <w:t>24)</w:t>
      </w:r>
      <w:r>
        <w:tab/>
        <w:t>Eftirfarandi grein bætist við:</w:t>
      </w:r>
    </w:p>
    <w:p w14:paraId="19946DEC" w14:textId="77777777" w:rsidR="002F5113" w:rsidRDefault="00322F12">
      <w:pPr>
        <w:pStyle w:val="TIARTquoted"/>
        <w:ind w:left="383"/>
      </w:pPr>
      <w:r>
        <w:t>„37. gr. a</w:t>
      </w:r>
    </w:p>
    <w:p w14:paraId="6E49AD21" w14:textId="77777777" w:rsidR="002F5113" w:rsidRDefault="00322F12">
      <w:pPr>
        <w:pStyle w:val="STIARTquoted"/>
        <w:ind w:left="383"/>
      </w:pPr>
      <w:r>
        <w:t>Endurskoðun á sjálfbærniþáttum evrópskra langtímafjárfestingarsjóða</w:t>
      </w:r>
    </w:p>
    <w:p w14:paraId="1B83C63F" w14:textId="77777777" w:rsidR="002F5113" w:rsidRDefault="00322F12">
      <w:pPr>
        <w:pStyle w:val="Alinea"/>
        <w:ind w:left="383"/>
      </w:pPr>
      <w:r>
        <w:t>Fyrir 11. janúar 2026 skal framkvæmdastjórnin láta fara fram mat og leggja skýrslu fyrir Evrópuþingið og ráðið, ásamt tillögum að nýrri löggjöf, ef við á, um a.m.k. eftirfarandi:</w:t>
      </w:r>
    </w:p>
    <w:p w14:paraId="29593116" w14:textId="77777777" w:rsidR="002F5113" w:rsidRDefault="00322F12">
      <w:pPr>
        <w:pStyle w:val="NumberedText"/>
        <w:ind w:left="677" w:hanging="293"/>
      </w:pPr>
      <w:r>
        <w:t>a)</w:t>
      </w:r>
      <w:r>
        <w:tab/>
        <w:t>hvort ákjósanlegt sé að taka upp valkvæða auðkenningu á „evrópskum langtímafjárfestingarsjóði sem er markaðssettur sem umhverfissjálfbær“ eða „grænum evrópskum langtímafjárfestingarsjóði“ og þá einkum:</w:t>
      </w:r>
    </w:p>
    <w:p w14:paraId="5DBCD66F" w14:textId="77777777" w:rsidR="002F5113" w:rsidRDefault="00322F12">
      <w:pPr>
        <w:pStyle w:val="NumberedText"/>
        <w:tabs>
          <w:tab w:val="clear" w:pos="2047"/>
        </w:tabs>
        <w:ind w:left="1031" w:hanging="353"/>
      </w:pPr>
      <w:r>
        <w:t>i.</w:t>
      </w:r>
      <w:r>
        <w:tab/>
        <w:t>hvort slík auðkenning eigi að einskorðast við evrópska langtímafjárfestingarsjóði sem eru fjármálaafurðir sem hafa sjálfbæra fjárfestingu að markmiði, eins og um getur í 9. gr. reglugerðar Evrópuþingsins og ráðsins (ESB) 2019/2088 (</w:t>
      </w:r>
      <w:r>
        <w:fldChar w:fldCharType="begin"/>
      </w:r>
      <w:r>
        <w:instrText xml:space="preserve"> REF NOTE_20 \h  \* MERGEFORMAT </w:instrText>
      </w:r>
      <w:r>
        <w:fldChar w:fldCharType="separate"/>
      </w:r>
      <w:r>
        <w:t>*</w:t>
      </w:r>
      <w:r>
        <w:fldChar w:fldCharType="end"/>
      </w:r>
      <w:r>
        <w:t>),</w:t>
      </w:r>
    </w:p>
    <w:p w14:paraId="307B3811" w14:textId="77777777" w:rsidR="002F5113" w:rsidRDefault="00322F12">
      <w:pPr>
        <w:pStyle w:val="NumberedText"/>
        <w:tabs>
          <w:tab w:val="clear" w:pos="2047"/>
        </w:tabs>
        <w:ind w:left="1031" w:hanging="353"/>
      </w:pPr>
      <w:r>
        <w:t>ii.</w:t>
      </w:r>
      <w:r>
        <w:tab/>
        <w:t xml:space="preserve">hvort slík </w:t>
      </w:r>
      <w:proofErr w:type="spellStart"/>
      <w:r>
        <w:t>tilgreining</w:t>
      </w:r>
      <w:proofErr w:type="spellEnd"/>
      <w:r>
        <w:t xml:space="preserve"> eigi að einskorðast við evrópska langtímafjárfestingarsjóði sem fjárfesta allan eða umtalsverðan hluta hæfra eigna eða heildareigna sinna í sjálfbærri starfsemi og, ef svo er, hvernig skilgreina skuli þennan umtalsverða hluta,</w:t>
      </w:r>
    </w:p>
    <w:p w14:paraId="0222B28E" w14:textId="77777777" w:rsidR="002F5113" w:rsidRDefault="00322F12">
      <w:pPr>
        <w:pStyle w:val="NumberedText"/>
        <w:tabs>
          <w:tab w:val="clear" w:pos="2047"/>
        </w:tabs>
        <w:ind w:left="1031" w:hanging="353"/>
      </w:pPr>
      <w:r>
        <w:t>iii.</w:t>
      </w:r>
      <w:r>
        <w:tab/>
        <w:t>hvort tengja megi sjálfbæra starfsemi þeim viðmiðunum um sjálfbærni sem sett eru fram í framseldum gerðum sem samþykktar eru skv. 10. gr. (3. mgr.), 11. gr. (3. mgr.), 12. gr. (2. mgr.), 13. gr. (2. mgr.), 14. gr. (2. mgr.) og 15. gr. (2. mgr.) reglugerðar Evrópuþingsins og ráðsins (ESB) 2020/852 (</w:t>
      </w:r>
      <w:r>
        <w:fldChar w:fldCharType="begin"/>
      </w:r>
      <w:r>
        <w:instrText xml:space="preserve"> REF NOTE_21 \h  \* MERGEFORMAT </w:instrText>
      </w:r>
      <w:r>
        <w:fldChar w:fldCharType="separate"/>
      </w:r>
      <w:r>
        <w:t>**</w:t>
      </w:r>
      <w:r>
        <w:fldChar w:fldCharType="end"/>
      </w:r>
      <w:r>
        <w:t>),</w:t>
      </w:r>
    </w:p>
    <w:p w14:paraId="0828A4EA" w14:textId="77777777" w:rsidR="002F5113" w:rsidRDefault="00322F12">
      <w:pPr>
        <w:pStyle w:val="NumberedText"/>
        <w:ind w:left="677" w:hanging="293"/>
      </w:pPr>
      <w:r>
        <w:t>b)</w:t>
      </w:r>
      <w:r>
        <w:tab/>
        <w:t xml:space="preserve">hvort evrópskum langtímafjárfestingarsjóðum ætti almennt að vera skylt að uppfylla með fjárfestingarákvörðunum sínum meginregluna um að „valda ekki verulegu tjóni“ í skilningi 2. gr. a reglugerðar (ESB) 2019/2088, eða hvort takmarka eigi þá skyldu við evrópska langtímafjárfestingarsjóði sem markaðssettir eru sem umhverfissjálfbærir eða grænir evrópskir langtímafjárfestingarsjóðir, ef til þess kemur að slík </w:t>
      </w:r>
      <w:proofErr w:type="spellStart"/>
      <w:r>
        <w:t>valkvæð</w:t>
      </w:r>
      <w:proofErr w:type="spellEnd"/>
      <w:r>
        <w:t xml:space="preserve"> auðkenning teljist ákjósanleg,</w:t>
      </w:r>
    </w:p>
    <w:p w14:paraId="1A4B68BF" w14:textId="77777777" w:rsidR="002F5113" w:rsidRDefault="00322F12">
      <w:pPr>
        <w:pStyle w:val="NumberedText"/>
        <w:ind w:left="677" w:hanging="293"/>
      </w:pPr>
      <w:r>
        <w:t>c)</w:t>
      </w:r>
      <w:r>
        <w:tab/>
        <w:t>hvort hægt sé að bæta rammann utan um evrópska langtímafjárfestingarsjóði með því að leggja marktækt meira af mörkum til markmiða um grænt samkomulag í Evrópu án þess að grafa undan eðli evrópskra langtímafjárfestingarsjóða.</w:t>
      </w:r>
    </w:p>
    <w:p w14:paraId="59FE39A6" w14:textId="77777777" w:rsidR="002F5113" w:rsidRDefault="002F5113">
      <w:pPr>
        <w:pStyle w:val="QuoteFootnoteRule"/>
        <w:ind w:left="383" w:right="7842"/>
      </w:pPr>
    </w:p>
    <w:p w14:paraId="08F670D5" w14:textId="77777777" w:rsidR="002F5113" w:rsidRDefault="00322F12">
      <w:pPr>
        <w:pStyle w:val="NumberedText"/>
        <w:tabs>
          <w:tab w:val="clear" w:pos="2047"/>
        </w:tabs>
        <w:spacing w:after="0"/>
        <w:ind w:left="784" w:hanging="400"/>
      </w:pPr>
      <w:r>
        <w:t>(</w:t>
      </w:r>
      <w:bookmarkStart w:id="19" w:name="NOTE_20"/>
      <w:r>
        <w:t>*</w:t>
      </w:r>
      <w:bookmarkEnd w:id="19"/>
      <w:r>
        <w:t>)</w:t>
      </w:r>
      <w:r>
        <w:tab/>
        <w:t>Reglugerð Evrópuþingsins og ráðsins (ESB) 2019/2088 frá 27. nóvember 2019 um upplýsingagjöf tengda sjálfbærni á sviði fjármálaþjónustu (</w:t>
      </w:r>
      <w:proofErr w:type="spellStart"/>
      <w:r>
        <w:t>Stjtíð</w:t>
      </w:r>
      <w:proofErr w:type="spellEnd"/>
      <w:r>
        <w:t>. ESB L 317, 9.12.2019, bls. 1).</w:t>
      </w:r>
    </w:p>
    <w:p w14:paraId="71535D2A" w14:textId="77777777" w:rsidR="002F5113" w:rsidRDefault="00322F12">
      <w:pPr>
        <w:pStyle w:val="NumberedText"/>
        <w:tabs>
          <w:tab w:val="clear" w:pos="2047"/>
        </w:tabs>
        <w:ind w:left="784" w:hanging="400"/>
      </w:pPr>
      <w:r>
        <w:t>(</w:t>
      </w:r>
      <w:bookmarkStart w:id="20" w:name="NOTE_21"/>
      <w:r>
        <w:t>**</w:t>
      </w:r>
      <w:bookmarkEnd w:id="20"/>
      <w:r>
        <w:t>)</w:t>
      </w:r>
      <w:r>
        <w:tab/>
        <w:t>Reglugerð Evrópuþingsins og ráðsins (ESB) 2020/852 frá 18. júní 2020 um að koma á fót ramma til að greiða fyrir sjálfbærri fjárfestingu og um breytingu á reglugerð (ESB) 2019/2088 (</w:t>
      </w:r>
      <w:proofErr w:type="spellStart"/>
      <w:r>
        <w:t>Stjtíð</w:t>
      </w:r>
      <w:proofErr w:type="spellEnd"/>
      <w:r>
        <w:t>. ESB L 198, 22.6.2020, bls. 13).“</w:t>
      </w:r>
    </w:p>
    <w:p w14:paraId="262A0088" w14:textId="77777777" w:rsidR="002F5113" w:rsidRDefault="00322F12">
      <w:pPr>
        <w:pStyle w:val="TIART"/>
      </w:pPr>
      <w:r>
        <w:t>2. gr.</w:t>
      </w:r>
    </w:p>
    <w:p w14:paraId="34632704" w14:textId="77777777" w:rsidR="002F5113" w:rsidRDefault="00322F12">
      <w:pPr>
        <w:pStyle w:val="STIART"/>
      </w:pPr>
      <w:r>
        <w:t>Gildistaka og framkvæmd</w:t>
      </w:r>
    </w:p>
    <w:p w14:paraId="5ADC947A" w14:textId="77777777" w:rsidR="002F5113" w:rsidRDefault="00322F12">
      <w:pPr>
        <w:pStyle w:val="Alinea"/>
      </w:pPr>
      <w:r>
        <w:t>Reglugerð þessi öðlast gildi á tuttugasta degi eftir að hún birtist í Stjórnartíðindum Evrópusambandsins.</w:t>
      </w:r>
    </w:p>
    <w:p w14:paraId="5B38E5DC" w14:textId="77777777" w:rsidR="002F5113" w:rsidRDefault="00322F12">
      <w:pPr>
        <w:pStyle w:val="Alinea"/>
        <w:spacing w:after="0"/>
      </w:pPr>
      <w:r>
        <w:t>Hún kemur til framkvæmda frá og með 10. janúar 2024.</w:t>
      </w:r>
      <w:r>
        <w:br w:type="page"/>
      </w:r>
    </w:p>
    <w:p w14:paraId="30D70516" w14:textId="77777777" w:rsidR="002F5113" w:rsidRDefault="00322F12">
      <w:pPr>
        <w:pStyle w:val="Alinea"/>
      </w:pPr>
      <w:r>
        <w:lastRenderedPageBreak/>
        <w:t>Evrópskir langtímafjárfestingarsjóðir með starfsleyfi í samræmi við, og sem uppfylla, ákvæði reglugerðar (ESB) 2015/760 sem giltu fyrir 10. janúar 2024 skulu teljast uppfylla þessa reglugerð fram til 11. janúar 2029. Evrópskir langtímafjárfestingarsjóðir með starfsleyfi í samræmi við, og sem uppfylla, ákvæði reglugerðar (ESB) 2015/760 sem giltu fyrir 10. janúar 2024, sem afla ekki viðbótarfjármagns, skulu teljast uppfylla þessa reglugerð.</w:t>
      </w:r>
    </w:p>
    <w:p w14:paraId="43EAE081" w14:textId="77777777" w:rsidR="002F5113" w:rsidRDefault="00322F12">
      <w:pPr>
        <w:pStyle w:val="Alinea"/>
      </w:pPr>
      <w:r>
        <w:t xml:space="preserve">Þrátt fyrir þriðju undirgrein getur evrópskur langtímafjárfestingarsjóður sem fékk starfsleyfi fyrir 10. janúar 2024 valið að falla undir þessa reglugerð, að því tilskildu að </w:t>
      </w:r>
      <w:proofErr w:type="spellStart"/>
      <w:r>
        <w:t>lögbæru</w:t>
      </w:r>
      <w:proofErr w:type="spellEnd"/>
      <w:r>
        <w:t xml:space="preserve"> yfirvaldi evrópska langtímafjárfestingarsjóðsins sé tilkynnt þar um.</w:t>
      </w:r>
    </w:p>
    <w:p w14:paraId="24B38198" w14:textId="77777777" w:rsidR="002F5113" w:rsidRDefault="00322F12">
      <w:pPr>
        <w:pStyle w:val="Final"/>
        <w:spacing w:before="600" w:after="300"/>
        <w:ind w:left="1020"/>
      </w:pPr>
      <w:r>
        <w:t>Reglugerð þessi er bindandi í heild sinni og gildir í öllum aðildarríkjunum án frekari lögfestingar.</w:t>
      </w:r>
    </w:p>
    <w:p w14:paraId="157F57B3" w14:textId="77777777" w:rsidR="002F5113" w:rsidRDefault="00322F12">
      <w:pPr>
        <w:pStyle w:val="Final"/>
        <w:spacing w:after="300"/>
        <w:ind w:left="1020"/>
      </w:pPr>
      <w:r>
        <w:t xml:space="preserve">Gjört í </w:t>
      </w:r>
      <w:proofErr w:type="spellStart"/>
      <w:r>
        <w:t>Strassborg</w:t>
      </w:r>
      <w:proofErr w:type="spellEnd"/>
      <w:r>
        <w:t xml:space="preserve"> 15. mars 2023.</w:t>
      </w:r>
    </w:p>
    <w:tbl>
      <w:tblPr>
        <w:tblW w:w="7908" w:type="dxa"/>
        <w:tblInd w:w="670" w:type="dxa"/>
        <w:tblLook w:val="04A0" w:firstRow="1" w:lastRow="0" w:firstColumn="1" w:lastColumn="0" w:noHBand="0" w:noVBand="1"/>
      </w:tblPr>
      <w:tblGrid>
        <w:gridCol w:w="3954"/>
        <w:gridCol w:w="3954"/>
      </w:tblGrid>
      <w:tr w:rsidR="002F5113" w14:paraId="44724D02" w14:textId="77777777">
        <w:trPr>
          <w:trHeight w:val="360"/>
        </w:trPr>
        <w:tc>
          <w:tcPr>
            <w:tcW w:w="3954" w:type="dxa"/>
            <w:vMerge w:val="restart"/>
          </w:tcPr>
          <w:p w14:paraId="51541956" w14:textId="77777777" w:rsidR="002F5113" w:rsidRDefault="00322F12">
            <w:pPr>
              <w:pStyle w:val="Signatory"/>
              <w:spacing w:after="120"/>
            </w:pPr>
            <w:r>
              <w:rPr>
                <w:i/>
              </w:rPr>
              <w:t>Fyrir hönd Evrópuþingsins,</w:t>
            </w:r>
          </w:p>
          <w:p w14:paraId="225CD1A2" w14:textId="77777777" w:rsidR="002F5113" w:rsidRDefault="00322F12">
            <w:pPr>
              <w:pStyle w:val="SignatorySmall"/>
              <w:spacing w:after="120"/>
              <w:rPr>
                <w:caps/>
              </w:rPr>
            </w:pPr>
            <w:r>
              <w:t xml:space="preserve">R. </w:t>
            </w:r>
            <w:proofErr w:type="spellStart"/>
            <w:r>
              <w:t>Metsola</w:t>
            </w:r>
            <w:proofErr w:type="spellEnd"/>
          </w:p>
          <w:p w14:paraId="5DE30213" w14:textId="77777777" w:rsidR="002F5113" w:rsidRDefault="00322F12">
            <w:pPr>
              <w:pStyle w:val="Signatory"/>
              <w:spacing w:after="0"/>
            </w:pPr>
            <w:r>
              <w:rPr>
                <w:i/>
              </w:rPr>
              <w:t>forseti.</w:t>
            </w:r>
          </w:p>
        </w:tc>
        <w:tc>
          <w:tcPr>
            <w:tcW w:w="3954" w:type="dxa"/>
            <w:vMerge w:val="restart"/>
          </w:tcPr>
          <w:p w14:paraId="68D38504" w14:textId="77777777" w:rsidR="002F5113" w:rsidRDefault="00322F12">
            <w:pPr>
              <w:pStyle w:val="Signatory"/>
              <w:spacing w:after="120"/>
            </w:pPr>
            <w:r>
              <w:rPr>
                <w:i/>
              </w:rPr>
              <w:t>Fyrir hönd ráðsins,</w:t>
            </w:r>
          </w:p>
          <w:p w14:paraId="15A2DCCC" w14:textId="77777777" w:rsidR="002F5113" w:rsidRDefault="00322F12">
            <w:pPr>
              <w:pStyle w:val="SignatorySmall"/>
              <w:spacing w:after="120"/>
              <w:rPr>
                <w:caps/>
              </w:rPr>
            </w:pPr>
            <w:r>
              <w:t xml:space="preserve">J. </w:t>
            </w:r>
            <w:proofErr w:type="spellStart"/>
            <w:r>
              <w:t>Roswall</w:t>
            </w:r>
            <w:proofErr w:type="spellEnd"/>
          </w:p>
          <w:p w14:paraId="23FD38A1" w14:textId="77777777" w:rsidR="002F5113" w:rsidRDefault="00322F12">
            <w:pPr>
              <w:pStyle w:val="Signatory"/>
              <w:spacing w:after="0"/>
            </w:pPr>
            <w:r>
              <w:rPr>
                <w:i/>
              </w:rPr>
              <w:t>forseti.</w:t>
            </w:r>
          </w:p>
        </w:tc>
      </w:tr>
    </w:tbl>
    <w:p w14:paraId="70011B5E" w14:textId="77777777" w:rsidR="002F5113" w:rsidRDefault="00322F12">
      <w:pPr>
        <w:pStyle w:val="line4"/>
        <w:pBdr>
          <w:bottom w:val="none" w:sz="0" w:space="0" w:color="auto"/>
        </w:pBdr>
        <w:tabs>
          <w:tab w:val="left" w:pos="1020"/>
        </w:tabs>
        <w:spacing w:before="200" w:after="20000"/>
        <w:ind w:left="0" w:right="0"/>
        <w:rPr>
          <w:u w:val="single"/>
        </w:rPr>
      </w:pPr>
      <w:r>
        <w:rPr>
          <w:u w:val="single"/>
        </w:rPr>
        <w:tab/>
      </w:r>
    </w:p>
    <w:sectPr w:rsidR="002F5113">
      <w:headerReference w:type="default" r:id="rId8"/>
      <w:footnotePr>
        <w:pos w:val="beneathText"/>
      </w:footnotePr>
      <w:type w:val="continuous"/>
      <w:pgSz w:w="11906" w:h="16838" w:code="9"/>
      <w:pgMar w:top="1680" w:right="1333" w:bottom="840" w:left="1333" w:header="920" w:footer="280"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A1158F" w14:textId="77777777" w:rsidR="002F5113" w:rsidRDefault="00322F12">
      <w:pPr>
        <w:spacing w:after="0" w:line="240" w:lineRule="auto"/>
      </w:pPr>
      <w:r>
        <w:separator/>
      </w:r>
    </w:p>
  </w:endnote>
  <w:endnote w:type="continuationSeparator" w:id="0">
    <w:p w14:paraId="3C82664C" w14:textId="77777777" w:rsidR="002F5113" w:rsidRDefault="00322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CC38FE" w14:textId="77777777" w:rsidR="002F5113" w:rsidRDefault="00322F12">
      <w:pPr>
        <w:pStyle w:val="FooterRule"/>
        <w:rPr>
          <w:lang w:val="de-DE"/>
        </w:rPr>
      </w:pPr>
      <w:r>
        <w:rPr>
          <w:lang w:val="de-DE"/>
        </w:rPr>
        <w:tab/>
      </w:r>
    </w:p>
  </w:footnote>
  <w:footnote w:type="continuationSeparator" w:id="0">
    <w:p w14:paraId="40F30211" w14:textId="77777777" w:rsidR="002F5113" w:rsidRDefault="00322F12">
      <w:pPr>
        <w:spacing w:after="0" w:line="240" w:lineRule="auto"/>
      </w:pPr>
      <w:r>
        <w:continuationSeparator/>
      </w:r>
    </w:p>
  </w:footnote>
  <w:footnote w:type="continuationNotice" w:id="1">
    <w:p w14:paraId="1BF3A371" w14:textId="77777777" w:rsidR="002F5113" w:rsidRDefault="002F5113">
      <w:pPr>
        <w:spacing w:after="0" w:line="240" w:lineRule="auto"/>
      </w:pPr>
    </w:p>
  </w:footnote>
  <w:footnote w:id="2">
    <w:p w14:paraId="589CBB31" w14:textId="77777777" w:rsidR="002F5113" w:rsidRDefault="00322F12">
      <w:pPr>
        <w:pStyle w:val="FootnoteText"/>
      </w:pPr>
      <w:r>
        <w:t>(</w:t>
      </w:r>
      <w:r>
        <w:rPr>
          <w:rStyle w:val="FootnoteReference"/>
        </w:rPr>
        <w:footnoteRef/>
      </w:r>
      <w:r>
        <w:t>)</w:t>
      </w:r>
      <w:r>
        <w:tab/>
      </w:r>
      <w:proofErr w:type="spellStart"/>
      <w:r>
        <w:t>Stjtíð</w:t>
      </w:r>
      <w:proofErr w:type="spellEnd"/>
      <w:r>
        <w:t>. ESB C 290, 29.7.2022, bls. 64.</w:t>
      </w:r>
    </w:p>
  </w:footnote>
  <w:footnote w:id="3">
    <w:p w14:paraId="0FC63253" w14:textId="77777777" w:rsidR="002F5113" w:rsidRDefault="00322F12">
      <w:pPr>
        <w:pStyle w:val="FootnoteText"/>
      </w:pPr>
      <w:r>
        <w:t>(</w:t>
      </w:r>
      <w:r>
        <w:rPr>
          <w:rStyle w:val="FootnoteReference"/>
        </w:rPr>
        <w:footnoteRef/>
      </w:r>
      <w:r>
        <w:t>)</w:t>
      </w:r>
      <w:r>
        <w:tab/>
        <w:t>Afstaða Evrópuþingsins frá 15. febrúar 2023 (hefur enn ekki verið birt í Stjórnartíðindunum) og ákvörðun ráðsins frá 7. mars 2023.</w:t>
      </w:r>
    </w:p>
  </w:footnote>
  <w:footnote w:id="4">
    <w:p w14:paraId="418566BB" w14:textId="77777777" w:rsidR="002F5113" w:rsidRDefault="00322F12">
      <w:pPr>
        <w:pStyle w:val="FootnoteText"/>
      </w:pPr>
      <w:r>
        <w:t>(</w:t>
      </w:r>
      <w:r>
        <w:rPr>
          <w:rStyle w:val="FootnoteReference"/>
        </w:rPr>
        <w:footnoteRef/>
      </w:r>
      <w:r>
        <w:t>)</w:t>
      </w:r>
      <w:r>
        <w:tab/>
        <w:t>Reglugerð Evrópuþingsins og ráðsins (ESB) 2015/760 frá 29. apríl 2015 um evrópska langtímafjárfestingarsjóði (</w:t>
      </w:r>
      <w:proofErr w:type="spellStart"/>
      <w:r>
        <w:t>Stjtíð</w:t>
      </w:r>
      <w:proofErr w:type="spellEnd"/>
      <w:r>
        <w:t>. ESB L 123, 19.5.2015, bls. 98).</w:t>
      </w:r>
    </w:p>
  </w:footnote>
  <w:footnote w:id="5">
    <w:p w14:paraId="35C2DFD6" w14:textId="77777777" w:rsidR="002F5113" w:rsidRDefault="00322F12">
      <w:pPr>
        <w:pStyle w:val="FootnoteText"/>
      </w:pPr>
      <w:r>
        <w:t>(</w:t>
      </w:r>
      <w:r>
        <w:rPr>
          <w:rStyle w:val="FootnoteReference"/>
        </w:rPr>
        <w:footnoteRef/>
      </w:r>
      <w:r>
        <w:t>)</w:t>
      </w:r>
      <w:r>
        <w:tab/>
        <w:t>Reglugerð Evrópuþingsins og ráðsins (ESB) 2019/2088 frá 27. nóvember 2019 um upplýsingagjöf tengda sjálfbærni á sviði fjármálaþjónustu (</w:t>
      </w:r>
      <w:proofErr w:type="spellStart"/>
      <w:r>
        <w:t>Stjtíð</w:t>
      </w:r>
      <w:proofErr w:type="spellEnd"/>
      <w:r>
        <w:t>. ESB L 317, 9.12.2019, bls. 1).</w:t>
      </w:r>
    </w:p>
  </w:footnote>
  <w:footnote w:id="6">
    <w:p w14:paraId="1011EEA9" w14:textId="77777777" w:rsidR="002F5113" w:rsidRDefault="00322F12">
      <w:pPr>
        <w:pStyle w:val="FootnoteText"/>
      </w:pPr>
      <w:r>
        <w:t>(</w:t>
      </w:r>
      <w:r>
        <w:rPr>
          <w:rStyle w:val="FootnoteReference"/>
        </w:rPr>
        <w:footnoteRef/>
      </w:r>
      <w:r>
        <w:t>)</w:t>
      </w:r>
      <w:r>
        <w:tab/>
        <w:t>Reglugerð Evrópuþingsins og ráðsins (ESB) 2020/852 frá 18. júní 2020 um að koma á fót ramma til að greiða fyrir sjálfbærri fjárfestingu og um breytingu á reglugerð (ESB) 2019/2088 (</w:t>
      </w:r>
      <w:proofErr w:type="spellStart"/>
      <w:r>
        <w:t>Stjtíð</w:t>
      </w:r>
      <w:proofErr w:type="spellEnd"/>
      <w:r>
        <w:t>. ESB L 198, 22.6.2020, bls. 13).</w:t>
      </w:r>
    </w:p>
  </w:footnote>
  <w:footnote w:id="7">
    <w:p w14:paraId="1AFD7BAD" w14:textId="77777777" w:rsidR="002F5113" w:rsidRDefault="00322F12">
      <w:pPr>
        <w:pStyle w:val="FootnoteText"/>
      </w:pPr>
      <w:r>
        <w:t>(</w:t>
      </w:r>
      <w:r>
        <w:rPr>
          <w:rStyle w:val="FootnoteReference"/>
        </w:rPr>
        <w:footnoteRef/>
      </w:r>
      <w:r>
        <w:t>)</w:t>
      </w:r>
      <w:r>
        <w:tab/>
        <w:t>Reglugerð Evrópuþingsins og ráðsins (ESB) 2017/2402 frá 12. desember 2017 um almennan ramma fyrir verðbréfun og gerð sértæks ramma fyrir einfalda, gagnsæja og staðlaða verðbréfun og um breytingu á tilskipunum 2009/65/EB, 2009/138/EB og 2011/61/ESB og reglugerðum (EB) nr. 1060/2009 og (ESB) nr. 648/2012 (</w:t>
      </w:r>
      <w:proofErr w:type="spellStart"/>
      <w:r>
        <w:t>Stjtíð</w:t>
      </w:r>
      <w:proofErr w:type="spellEnd"/>
      <w:r>
        <w:t>. ESB L 347, 28.12.2017, bls. 35).</w:t>
      </w:r>
    </w:p>
  </w:footnote>
  <w:footnote w:id="8">
    <w:p w14:paraId="097E4AC2" w14:textId="77777777" w:rsidR="002F5113" w:rsidRDefault="00322F12">
      <w:pPr>
        <w:pStyle w:val="FootnoteText"/>
      </w:pPr>
      <w:r>
        <w:t>(</w:t>
      </w:r>
      <w:r>
        <w:rPr>
          <w:rStyle w:val="FootnoteReference"/>
        </w:rPr>
        <w:footnoteRef/>
      </w:r>
      <w:r>
        <w:t>)</w:t>
      </w:r>
      <w:r>
        <w:tab/>
        <w:t>Tilskipun Evrópuþingsins og ráðsins (ESB) 2015/849 frá 20. maí 2015 um ráðstafanir gegn því að fjármálakerfið sé notað til peningaþvættis eða til fjármögnunar hryðjuverka, um breytingu á reglugerð Evrópuþingsins og ráðsins ESB nr. 648/2012, og um niðurfellingu á tilskipun Evrópuþingsins og ráðsins 2005/60/EB og tilskipun framkvæmdastjórnarinnar 2006/70/EB (</w:t>
      </w:r>
      <w:proofErr w:type="spellStart"/>
      <w:r>
        <w:t>Stjtíð</w:t>
      </w:r>
      <w:proofErr w:type="spellEnd"/>
      <w:r>
        <w:t>. ESB L 141, 5.6.2015, bls. 73).</w:t>
      </w:r>
    </w:p>
  </w:footnote>
  <w:footnote w:id="9">
    <w:p w14:paraId="4D069CB6" w14:textId="77777777" w:rsidR="002F5113" w:rsidRDefault="00322F12">
      <w:pPr>
        <w:pStyle w:val="FootnoteText"/>
      </w:pPr>
      <w:r>
        <w:t>(</w:t>
      </w:r>
      <w:r>
        <w:rPr>
          <w:rStyle w:val="FootnoteReference"/>
        </w:rPr>
        <w:footnoteRef/>
      </w:r>
      <w:r>
        <w:t>)</w:t>
      </w:r>
      <w:r>
        <w:tab/>
        <w:t>Tilskipun Evrópuþingsins og ráðsins 2011/61/ESB frá 8. júní 2011 um rekstraraðila sérhæfðra sjóða og um breytingu á tilskipunum 2003/41/EB og 2009/65/EB og reglugerðum (EB) nr. 1060/2009 og (ESB) nr. 1095/2010 (</w:t>
      </w:r>
      <w:proofErr w:type="spellStart"/>
      <w:r>
        <w:t>Stjtíð</w:t>
      </w:r>
      <w:proofErr w:type="spellEnd"/>
      <w:r>
        <w:t>. ESB L 174, 1.7.2011, bls. 1).</w:t>
      </w:r>
    </w:p>
  </w:footnote>
  <w:footnote w:id="10">
    <w:p w14:paraId="11B6E0B7" w14:textId="77777777" w:rsidR="002F5113" w:rsidRDefault="00322F12">
      <w:pPr>
        <w:pStyle w:val="FootnoteText"/>
      </w:pPr>
      <w:r>
        <w:t>(</w:t>
      </w:r>
      <w:r>
        <w:rPr>
          <w:rStyle w:val="FootnoteReference"/>
        </w:rPr>
        <w:footnoteRef/>
      </w:r>
      <w:r>
        <w:t>)</w:t>
      </w:r>
      <w:r>
        <w:tab/>
        <w:t xml:space="preserve">Reglugerð Evrópuþingsins og ráðsins (ESB) nr. 1286/2014 frá 26. nóvember 2014 um lykilupplýsingaskjöl fyrir pakkaðar og </w:t>
      </w:r>
      <w:proofErr w:type="spellStart"/>
      <w:r>
        <w:t>vátryggingatengdar</w:t>
      </w:r>
      <w:proofErr w:type="spellEnd"/>
      <w:r>
        <w:t xml:space="preserve"> fjárfestingarafurðir fyrir almenna fjárfesta (PRIIP) (</w:t>
      </w:r>
      <w:proofErr w:type="spellStart"/>
      <w:r>
        <w:t>Stjtíð</w:t>
      </w:r>
      <w:proofErr w:type="spellEnd"/>
      <w:r>
        <w:t>. ESB L 352, 9.12.2014, bls. 1).</w:t>
      </w:r>
    </w:p>
  </w:footnote>
  <w:footnote w:id="11">
    <w:p w14:paraId="2FD783DB" w14:textId="77777777" w:rsidR="002F5113" w:rsidRDefault="00322F12">
      <w:pPr>
        <w:pStyle w:val="FootnoteText"/>
      </w:pPr>
      <w:r>
        <w:t>(</w:t>
      </w:r>
      <w:r>
        <w:rPr>
          <w:rStyle w:val="FootnoteReference"/>
        </w:rPr>
        <w:footnoteRef/>
      </w:r>
      <w:r>
        <w:t>)</w:t>
      </w:r>
      <w:r>
        <w:tab/>
        <w:t>Tilskipun Evrópuþingsins og ráðsins (ESB) 2019/1160 frá 20. júní 2019 um breytingu á tilskipunum 2009/65/EB og 2011/61/ESB að því er varðar dreifingu sjóða um sameiginlega fjárfestingu yfir landamæri (</w:t>
      </w:r>
      <w:proofErr w:type="spellStart"/>
      <w:r>
        <w:t>Stjtíð</w:t>
      </w:r>
      <w:proofErr w:type="spellEnd"/>
      <w:r>
        <w:t>. ESB L 188, 12.7.2019, bls. 106).</w:t>
      </w:r>
    </w:p>
  </w:footnote>
  <w:footnote w:id="12">
    <w:p w14:paraId="79EA24F3" w14:textId="77777777" w:rsidR="002F5113" w:rsidRDefault="00322F12">
      <w:pPr>
        <w:pStyle w:val="FootnoteText"/>
      </w:pPr>
      <w:r>
        <w:t>(</w:t>
      </w:r>
      <w:r>
        <w:rPr>
          <w:rStyle w:val="FootnoteReference"/>
        </w:rPr>
        <w:footnoteRef/>
      </w:r>
      <w:r>
        <w:t>)</w:t>
      </w:r>
      <w:r>
        <w:tab/>
        <w:t xml:space="preserve">Tilskipun Evrópuþingsins og ráðsins 2014/65/ESB frá 15. maí 2014 um markaði fyrir </w:t>
      </w:r>
      <w:proofErr w:type="spellStart"/>
      <w:r>
        <w:t>fjármálagerninga</w:t>
      </w:r>
      <w:proofErr w:type="spellEnd"/>
      <w:r>
        <w:t xml:space="preserve"> og um breytingu á tilskipun 2002/92/EB og tilskipun 2011/61/ESB (</w:t>
      </w:r>
      <w:proofErr w:type="spellStart"/>
      <w:r>
        <w:t>Stjtíð</w:t>
      </w:r>
      <w:proofErr w:type="spellEnd"/>
      <w:r>
        <w:t>. ESB L 173, 12.6.2014, bls. 349).</w:t>
      </w:r>
    </w:p>
  </w:footnote>
  <w:footnote w:id="13">
    <w:p w14:paraId="2698678E" w14:textId="77777777" w:rsidR="002F5113" w:rsidRDefault="00322F12">
      <w:pPr>
        <w:pStyle w:val="FootnoteText"/>
      </w:pPr>
      <w:r>
        <w:t>(</w:t>
      </w:r>
      <w:r>
        <w:rPr>
          <w:rStyle w:val="FootnoteReference"/>
        </w:rPr>
        <w:footnoteRef/>
      </w:r>
      <w:r>
        <w:t>)</w:t>
      </w:r>
      <w:r>
        <w:tab/>
        <w:t>Tilskipun Evrópuþingsins og ráðsins 2014/59/ESB frá 15. maí 2014 sem kemur á ramma um endurreisn og skilameðferð lánastofnana og verðbréfafyrirtækja og um breytingu á tilskipun ráðsins 82/891/EBE, og tilskipunum 2001/24/EB, 2002/47/EB, 2004/25/EB, 2005/56/EB, 2007/36/EB, 2011/35/ESB, 2012/30/ESB og 2013/36/ESB og reglugerðum Evrópuþingsins og ráðsins (ESB) nr. 1093/2010 og (ESB) nr. 648/2012 (</w:t>
      </w:r>
      <w:proofErr w:type="spellStart"/>
      <w:r>
        <w:t>Stjtíð</w:t>
      </w:r>
      <w:proofErr w:type="spellEnd"/>
      <w:r>
        <w:t>. ESB L 173, 12.6.2014, bls. 190).</w:t>
      </w:r>
    </w:p>
  </w:footnote>
  <w:footnote w:id="14">
    <w:p w14:paraId="3FC96E01" w14:textId="77777777" w:rsidR="002F5113" w:rsidRDefault="00322F12">
      <w:pPr>
        <w:pStyle w:val="FootnoteText"/>
      </w:pPr>
      <w:r>
        <w:t>(</w:t>
      </w:r>
      <w:r>
        <w:rPr>
          <w:rStyle w:val="FootnoteReference"/>
        </w:rPr>
        <w:footnoteRef/>
      </w:r>
      <w:r>
        <w:t>)</w:t>
      </w:r>
      <w:r>
        <w:tab/>
        <w:t xml:space="preserve">Reglugerð Evrópuþingsins og ráðsins (ESB) nr. 600/2014 frá 15. maí 2014 um markaði fyrir </w:t>
      </w:r>
      <w:proofErr w:type="spellStart"/>
      <w:r>
        <w:t>fjármálagerninga</w:t>
      </w:r>
      <w:proofErr w:type="spellEnd"/>
      <w:r>
        <w:t xml:space="preserve"> og um breytingu á reglugerð ráðsins (ESB) nr. 648/2012 (</w:t>
      </w:r>
      <w:proofErr w:type="spellStart"/>
      <w:r>
        <w:t>Stjtíð</w:t>
      </w:r>
      <w:proofErr w:type="spellEnd"/>
      <w:r>
        <w:t>. ESB L 173, 12.6.2014, bls. 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00C30" w14:textId="77777777" w:rsidR="002F5113" w:rsidRDefault="00322F12">
    <w:pPr>
      <w:pStyle w:val="Header"/>
      <w:jc w:val="right"/>
    </w:pPr>
    <w:r>
      <w:fldChar w:fldCharType="begin"/>
    </w:r>
    <w:r>
      <w:instrText xml:space="preserve"> PAGE   \* MERGEFORMAT </w:instrText>
    </w:r>
    <w:r>
      <w:fldChar w:fldCharType="separate"/>
    </w:r>
    <w:r>
      <w:t>2</w:t>
    </w:r>
    <w: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3D19D3"/>
    <w:multiLevelType w:val="hybridMultilevel"/>
    <w:tmpl w:val="C8CE26D2"/>
    <w:lvl w:ilvl="0" w:tplc="CD48D4A2">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64A12FEB"/>
    <w:multiLevelType w:val="hybridMultilevel"/>
    <w:tmpl w:val="5ED6C5BA"/>
    <w:lvl w:ilvl="0" w:tplc="57724CBC">
      <w:start w:val="1"/>
      <w:numFmt w:val="upp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6CAF3640"/>
    <w:multiLevelType w:val="hybridMultilevel"/>
    <w:tmpl w:val="185CD1C6"/>
    <w:lvl w:ilvl="0" w:tplc="4300D4B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autoHyphenation/>
  <w:consecutiveHyphenLimit w:val="2"/>
  <w:hyphenationZone w:val="357"/>
  <w:doNotHyphenateCaps/>
  <w:defaultTableStyle w:val="EFTATable"/>
  <w:characterSpacingControl w:val="doNotCompress"/>
  <w:hdrShapeDefaults>
    <o:shapedefaults v:ext="edit" spidmax="10241"/>
  </w:hdrShapeDefaults>
  <w:footnotePr>
    <w:pos w:val="beneathText"/>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113"/>
    <w:rsid w:val="002A337E"/>
    <w:rsid w:val="002F5113"/>
    <w:rsid w:val="00322F12"/>
    <w:rsid w:val="00561E6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9A1EF68"/>
  <w15:docId w15:val="{E766FB4B-8B39-4370-BBC0-F7F2D53D4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200" w:line="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hd w:val="clear" w:color="auto" w:fill="FF0000"/>
      <w:spacing w:line="240" w:lineRule="exact"/>
      <w:jc w:val="both"/>
    </w:pPr>
    <w:rPr>
      <w:rFonts w:ascii="Times New Roman" w:hAnsi="Times New Roman"/>
      <w:color w:val="00B05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4">
    <w:name w:val="line4"/>
    <w:next w:val="Para"/>
    <w:qFormat/>
    <w:pPr>
      <w:widowControl w:val="0"/>
      <w:pBdr>
        <w:bottom w:val="single" w:sz="4" w:space="1" w:color="auto"/>
      </w:pBdr>
      <w:suppressAutoHyphens/>
      <w:spacing w:after="257" w:line="240" w:lineRule="exact"/>
      <w:ind w:left="4162" w:right="4162"/>
      <w:jc w:val="center"/>
    </w:pPr>
    <w:rPr>
      <w:rFonts w:ascii="Times New Roman" w:hAnsi="Times New Roman"/>
      <w:sz w:val="18"/>
    </w:rPr>
  </w:style>
  <w:style w:type="paragraph" w:customStyle="1" w:styleId="line2">
    <w:name w:val="line2"/>
    <w:basedOn w:val="line4"/>
    <w:next w:val="Para"/>
    <w:qFormat/>
    <w:pPr>
      <w:ind w:left="4282" w:right="4282"/>
    </w:pPr>
  </w:style>
  <w:style w:type="paragraph" w:customStyle="1" w:styleId="line8">
    <w:name w:val="line8"/>
    <w:basedOn w:val="line2"/>
    <w:next w:val="Para"/>
    <w:qFormat/>
    <w:pPr>
      <w:ind w:left="4126" w:right="4126"/>
    </w:pPr>
  </w:style>
  <w:style w:type="paragraph" w:customStyle="1" w:styleId="line12">
    <w:name w:val="line12"/>
    <w:basedOn w:val="line2"/>
    <w:next w:val="Para"/>
    <w:qFormat/>
    <w:pPr>
      <w:ind w:left="3614" w:right="3614"/>
    </w:pPr>
  </w:style>
  <w:style w:type="paragraph" w:styleId="Header">
    <w:name w:val="header"/>
    <w:basedOn w:val="Para"/>
    <w:link w:val="HeaderChar"/>
    <w:uiPriority w:val="99"/>
    <w:unhideWhenUsed/>
    <w:pPr>
      <w:spacing w:after="100" w:line="200" w:lineRule="exact"/>
    </w:pPr>
  </w:style>
  <w:style w:type="character" w:customStyle="1" w:styleId="HeaderChar">
    <w:name w:val="Header Char"/>
    <w:basedOn w:val="DefaultParagraphFont"/>
    <w:link w:val="Header"/>
    <w:uiPriority w:val="99"/>
    <w:rPr>
      <w:rFonts w:ascii="Times New Roman" w:hAnsi="Times New Roman"/>
      <w:sz w:val="18"/>
      <w14:ligatures w14:val="standard"/>
    </w:rPr>
  </w:style>
  <w:style w:type="paragraph" w:styleId="Footer">
    <w:name w:val="footer"/>
    <w:basedOn w:val="Para"/>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sz w:val="18"/>
      <w14:ligatures w14:val="standard"/>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Title"/>
    <w:basedOn w:val="Para"/>
    <w:next w:val="SectionSubTitle"/>
    <w:qFormat/>
    <w:pPr>
      <w:keepNext/>
      <w:keepLines/>
      <w:suppressAutoHyphens/>
      <w:spacing w:line="680" w:lineRule="exact"/>
      <w:jc w:val="center"/>
      <w:outlineLvl w:val="0"/>
    </w:pPr>
    <w:rPr>
      <w:b/>
      <w:caps/>
      <w:color w:val="666666"/>
      <w:sz w:val="72"/>
    </w:rPr>
  </w:style>
  <w:style w:type="paragraph" w:customStyle="1" w:styleId="SectionSubTitle">
    <w:name w:val="SectionSubTitle"/>
    <w:basedOn w:val="Para"/>
    <w:next w:val="MainTitle"/>
    <w:qFormat/>
    <w:pPr>
      <w:keepNext/>
      <w:keepLines/>
      <w:suppressAutoHyphens/>
      <w:spacing w:after="500" w:line="400" w:lineRule="exact"/>
      <w:jc w:val="center"/>
      <w:outlineLvl w:val="1"/>
    </w:pPr>
    <w:rPr>
      <w:b/>
      <w:caps/>
      <w:color w:val="666666"/>
      <w:sz w:val="36"/>
    </w:rPr>
  </w:style>
  <w:style w:type="paragraph" w:customStyle="1" w:styleId="MainTitle">
    <w:name w:val="MainTitle"/>
    <w:basedOn w:val="Para"/>
    <w:qFormat/>
    <w:pPr>
      <w:keepNext/>
      <w:suppressAutoHyphens/>
      <w:spacing w:after="120"/>
      <w:jc w:val="center"/>
      <w:outlineLvl w:val="2"/>
    </w:pPr>
    <w:rPr>
      <w:b/>
    </w:rPr>
  </w:style>
  <w:style w:type="paragraph" w:customStyle="1" w:styleId="MainTitleItalic">
    <w:name w:val="MainTitleItalic"/>
    <w:basedOn w:val="MainTitle"/>
    <w:next w:val="Normal"/>
    <w:qFormat/>
    <w:pPr>
      <w:spacing w:after="240"/>
    </w:pPr>
    <w:rPr>
      <w:b w:val="0"/>
      <w:i/>
    </w:rPr>
  </w:style>
  <w:style w:type="paragraph" w:customStyle="1" w:styleId="PreambleInit">
    <w:name w:val="PreambleInit"/>
    <w:basedOn w:val="ParaSmall"/>
    <w:qFormat/>
    <w:pPr>
      <w:spacing w:before="240" w:after="240"/>
    </w:pPr>
  </w:style>
  <w:style w:type="paragraph" w:customStyle="1" w:styleId="Pa8">
    <w:name w:val="Pa8"/>
    <w:basedOn w:val="Normal"/>
    <w:next w:val="Normal"/>
    <w:uiPriority w:val="99"/>
    <w:pPr>
      <w:autoSpaceDE w:val="0"/>
      <w:autoSpaceDN w:val="0"/>
      <w:adjustRightInd w:val="0"/>
      <w:spacing w:after="0" w:line="241" w:lineRule="atLeast"/>
    </w:pPr>
    <w:rPr>
      <w:rFonts w:cs="Times New Roman"/>
      <w:sz w:val="24"/>
      <w:szCs w:val="24"/>
    </w:rPr>
  </w:style>
  <w:style w:type="paragraph" w:customStyle="1" w:styleId="GrSeq1">
    <w:name w:val="GrSeq1"/>
    <w:basedOn w:val="Para"/>
    <w:qFormat/>
    <w:pPr>
      <w:keepNext/>
      <w:keepLines/>
      <w:tabs>
        <w:tab w:val="left" w:pos="2027"/>
      </w:tabs>
      <w:suppressAutoHyphens/>
      <w:ind w:left="1020" w:hanging="1020"/>
    </w:pPr>
    <w:rPr>
      <w:rFonts w:eastAsia="Times New Roman" w:cs="Times New Roman"/>
      <w:b/>
      <w:bCs/>
      <w:szCs w:val="18"/>
    </w:rPr>
  </w:style>
  <w:style w:type="paragraph" w:customStyle="1" w:styleId="NumberedText">
    <w:name w:val="NumberedText"/>
    <w:basedOn w:val="Para"/>
    <w:qFormat/>
    <w:pPr>
      <w:tabs>
        <w:tab w:val="left" w:pos="2047"/>
      </w:tabs>
      <w:ind w:left="1020" w:hanging="1020"/>
    </w:pPr>
    <w:rPr>
      <w:rFonts w:eastAsia="Times New Roman" w:cs="Times New Roman"/>
      <w:szCs w:val="18"/>
    </w:rPr>
  </w:style>
  <w:style w:type="paragraph" w:styleId="FootnoteText">
    <w:name w:val="footnote text"/>
    <w:basedOn w:val="ParaSmall"/>
    <w:link w:val="FootnoteTextChar"/>
    <w:uiPriority w:val="99"/>
    <w:semiHidden/>
    <w:unhideWhenUsed/>
    <w:pPr>
      <w:spacing w:after="0"/>
      <w:ind w:left="300" w:hanging="300"/>
    </w:pPr>
    <w:rPr>
      <w:szCs w:val="20"/>
    </w:rPr>
  </w:style>
  <w:style w:type="character" w:customStyle="1" w:styleId="FootnoteTextChar">
    <w:name w:val="Footnote Text Char"/>
    <w:basedOn w:val="DefaultParagraphFont"/>
    <w:link w:val="FootnoteText"/>
    <w:uiPriority w:val="99"/>
    <w:semiHidden/>
    <w:rPr>
      <w:rFonts w:ascii="Times New Roman" w:hAnsi="Times New Roman"/>
      <w:sz w:val="16"/>
      <w:szCs w:val="20"/>
      <w14:ligatures w14:val="standard"/>
    </w:rPr>
  </w:style>
  <w:style w:type="character" w:styleId="FootnoteReference">
    <w:name w:val="footnote reference"/>
    <w:basedOn w:val="DefaultParagraphFont"/>
    <w:uiPriority w:val="99"/>
    <w:semiHidden/>
    <w:unhideWhenUsed/>
    <w:rPr>
      <w:rFonts w:ascii="Times New Roman" w:hAnsi="Times New Roman"/>
      <w:b w:val="0"/>
      <w:i w:val="0"/>
      <w:color w:val="auto"/>
      <w:position w:val="-2"/>
      <w:sz w:val="16"/>
      <w:vertAlign w:val="superscript"/>
    </w:rPr>
  </w:style>
  <w:style w:type="paragraph" w:customStyle="1" w:styleId="Footnote">
    <w:name w:val="Footnote"/>
    <w:basedOn w:val="FootnoteText"/>
    <w:qFormat/>
    <w:pPr>
      <w:spacing w:line="180" w:lineRule="exact"/>
    </w:pPr>
    <w:rPr>
      <w:rFonts w:eastAsia="Times New Roman" w:cs="Times New Roman"/>
      <w:sz w:val="14"/>
      <w:szCs w:val="14"/>
    </w:rPr>
  </w:style>
  <w:style w:type="paragraph" w:customStyle="1" w:styleId="FooterRule">
    <w:name w:val="FooterRule"/>
    <w:basedOn w:val="Para"/>
    <w:next w:val="Para"/>
    <w:qFormat/>
    <w:pPr>
      <w:tabs>
        <w:tab w:val="left" w:pos="2041"/>
      </w:tabs>
      <w:adjustRightInd w:val="0"/>
      <w:snapToGrid w:val="0"/>
      <w:spacing w:after="20" w:line="200" w:lineRule="exact"/>
      <w:ind w:right="-57"/>
    </w:pPr>
    <w:rPr>
      <w:u w:val="single"/>
    </w:rPr>
  </w:style>
  <w:style w:type="paragraph" w:customStyle="1" w:styleId="PreambleFinal">
    <w:name w:val="PreambleFinal"/>
    <w:basedOn w:val="PreambleInit"/>
    <w:qFormat/>
    <w:pPr>
      <w:spacing w:before="480" w:after="480" w:line="240" w:lineRule="exact"/>
      <w:jc w:val="left"/>
    </w:pPr>
  </w:style>
  <w:style w:type="paragraph" w:customStyle="1" w:styleId="Visas">
    <w:name w:val="Visas"/>
    <w:basedOn w:val="PreambleInit"/>
    <w:qFormat/>
    <w:pPr>
      <w:spacing w:line="240" w:lineRule="exact"/>
    </w:pPr>
    <w:rPr>
      <w:sz w:val="18"/>
    </w:rPr>
  </w:style>
  <w:style w:type="paragraph" w:customStyle="1" w:styleId="GrSeq2">
    <w:name w:val="GrSeq2"/>
    <w:basedOn w:val="GrSeq1"/>
    <w:qFormat/>
    <w:rPr>
      <w:i/>
    </w:rPr>
  </w:style>
  <w:style w:type="paragraph" w:customStyle="1" w:styleId="GrSeq3">
    <w:name w:val="GrSeq3"/>
    <w:basedOn w:val="GrSeq2"/>
    <w:next w:val="Para"/>
    <w:qFormat/>
    <w:rPr>
      <w:b w:val="0"/>
    </w:rPr>
  </w:style>
  <w:style w:type="paragraph" w:customStyle="1" w:styleId="GrSeq4">
    <w:name w:val="GrSeq4"/>
    <w:basedOn w:val="GrSeq3"/>
    <w:next w:val="Para"/>
    <w:qFormat/>
    <w:rPr>
      <w:i w:val="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0">
    <w:name w:val="Pa10"/>
    <w:basedOn w:val="Default"/>
    <w:next w:val="Default"/>
    <w:uiPriority w:val="99"/>
    <w:pPr>
      <w:spacing w:line="241" w:lineRule="atLeast"/>
    </w:pPr>
    <w:rPr>
      <w:color w:val="auto"/>
    </w:rPr>
  </w:style>
  <w:style w:type="paragraph" w:customStyle="1" w:styleId="TableTitle">
    <w:name w:val="TableTitle"/>
    <w:basedOn w:val="Para"/>
    <w:next w:val="Para"/>
    <w:qFormat/>
    <w:pPr>
      <w:keepNext/>
      <w:spacing w:after="120"/>
    </w:pPr>
  </w:style>
  <w:style w:type="paragraph" w:customStyle="1" w:styleId="Pa4">
    <w:name w:val="Pa4"/>
    <w:basedOn w:val="Default"/>
    <w:next w:val="Default"/>
    <w:uiPriority w:val="99"/>
    <w:pPr>
      <w:spacing w:line="241" w:lineRule="atLeast"/>
    </w:pPr>
    <w:rPr>
      <w:color w:val="auto"/>
    </w:rPr>
  </w:style>
  <w:style w:type="paragraph" w:customStyle="1" w:styleId="TableHeader">
    <w:name w:val="TableHeader"/>
    <w:basedOn w:val="Para"/>
    <w:qFormat/>
    <w:pPr>
      <w:spacing w:after="100" w:afterAutospacing="1" w:line="200" w:lineRule="exact"/>
      <w:jc w:val="center"/>
    </w:pPr>
    <w:rPr>
      <w:bCs/>
      <w:sz w:val="16"/>
    </w:rPr>
  </w:style>
  <w:style w:type="paragraph" w:customStyle="1" w:styleId="Pa15">
    <w:name w:val="Pa15"/>
    <w:basedOn w:val="Default"/>
    <w:next w:val="Default"/>
    <w:uiPriority w:val="99"/>
    <w:pPr>
      <w:spacing w:line="221" w:lineRule="atLeast"/>
    </w:pPr>
    <w:rPr>
      <w:color w:val="auto"/>
    </w:rPr>
  </w:style>
  <w:style w:type="paragraph" w:customStyle="1" w:styleId="Pa2">
    <w:name w:val="Pa2"/>
    <w:basedOn w:val="Default"/>
    <w:next w:val="Default"/>
    <w:uiPriority w:val="99"/>
    <w:pPr>
      <w:spacing w:line="241" w:lineRule="atLeast"/>
    </w:pPr>
    <w:rPr>
      <w:color w:val="auto"/>
    </w:rPr>
  </w:style>
  <w:style w:type="paragraph" w:customStyle="1" w:styleId="TableCell">
    <w:name w:val="TableCell"/>
    <w:basedOn w:val="TableHeader"/>
    <w:qFormat/>
    <w:rPr>
      <w:sz w:val="18"/>
    </w:rPr>
  </w:style>
  <w:style w:type="paragraph" w:customStyle="1" w:styleId="Pa16">
    <w:name w:val="Pa16"/>
    <w:basedOn w:val="Default"/>
    <w:next w:val="Default"/>
    <w:uiPriority w:val="99"/>
    <w:pPr>
      <w:spacing w:line="221" w:lineRule="atLeast"/>
    </w:pPr>
    <w:rPr>
      <w:color w:val="auto"/>
    </w:rPr>
  </w:style>
  <w:style w:type="paragraph" w:customStyle="1" w:styleId="TableCellRight">
    <w:name w:val="TableCellRight"/>
    <w:basedOn w:val="TableCell"/>
    <w:qFormat/>
    <w:pPr>
      <w:jc w:val="right"/>
    </w:pPr>
  </w:style>
  <w:style w:type="paragraph" w:customStyle="1" w:styleId="TableCellLeft">
    <w:name w:val="TableCellLeft"/>
    <w:basedOn w:val="TableCell"/>
    <w:qFormat/>
    <w:pPr>
      <w:jc w:val="left"/>
    </w:pPr>
  </w:style>
  <w:style w:type="paragraph" w:customStyle="1" w:styleId="TableGrNotes">
    <w:name w:val="TableGrNotes"/>
    <w:basedOn w:val="Para"/>
    <w:qFormat/>
    <w:pPr>
      <w:spacing w:after="0" w:line="180" w:lineRule="exact"/>
      <w:ind w:left="280" w:hanging="280"/>
    </w:pPr>
    <w:rPr>
      <w:sz w:val="16"/>
    </w:rPr>
  </w:style>
  <w:style w:type="paragraph" w:customStyle="1" w:styleId="NormalSmall">
    <w:name w:val="NormalSmall"/>
    <w:basedOn w:val="Normal"/>
    <w:qFormat/>
    <w:pPr>
      <w:spacing w:after="120" w:line="200" w:lineRule="exact"/>
    </w:pPr>
    <w:rPr>
      <w:sz w:val="16"/>
    </w:rPr>
  </w:style>
  <w:style w:type="paragraph" w:customStyle="1" w:styleId="TIART">
    <w:name w:val="TIART"/>
    <w:basedOn w:val="Para"/>
    <w:qFormat/>
    <w:pPr>
      <w:keepNext/>
      <w:keepLines/>
      <w:suppressAutoHyphens/>
      <w:jc w:val="center"/>
    </w:pPr>
    <w:rPr>
      <w:i/>
    </w:rPr>
  </w:style>
  <w:style w:type="paragraph" w:customStyle="1" w:styleId="STIART">
    <w:name w:val="STIART"/>
    <w:basedOn w:val="Para"/>
    <w:qFormat/>
    <w:pPr>
      <w:keepNext/>
      <w:keepLines/>
      <w:suppressAutoHyphens/>
      <w:jc w:val="center"/>
    </w:pPr>
    <w:rPr>
      <w:b/>
    </w:rPr>
  </w:style>
  <w:style w:type="paragraph" w:customStyle="1" w:styleId="Final">
    <w:name w:val="Final"/>
    <w:basedOn w:val="Para"/>
    <w:qFormat/>
    <w:pPr>
      <w:ind w:left="547" w:right="547"/>
    </w:pPr>
  </w:style>
  <w:style w:type="paragraph" w:customStyle="1" w:styleId="AnnexTI">
    <w:name w:val="AnnexTI"/>
    <w:basedOn w:val="ParaSmall"/>
    <w:qFormat/>
    <w:pPr>
      <w:keepNext/>
      <w:keepLines/>
      <w:suppressAutoHyphens/>
      <w:jc w:val="center"/>
    </w:pPr>
    <w:rPr>
      <w:i/>
    </w:rPr>
  </w:style>
  <w:style w:type="paragraph" w:customStyle="1" w:styleId="AnnexSTI">
    <w:name w:val="AnnexSTI"/>
    <w:basedOn w:val="Para"/>
    <w:qFormat/>
    <w:pPr>
      <w:keepNext/>
      <w:keepLines/>
      <w:suppressAutoHyphens/>
      <w:spacing w:after="400"/>
      <w:jc w:val="center"/>
    </w:pPr>
    <w:rPr>
      <w:b/>
    </w:rPr>
  </w:style>
  <w:style w:type="paragraph" w:customStyle="1" w:styleId="SmallNumberedText">
    <w:name w:val="SmallNumberedText"/>
    <w:basedOn w:val="ParaSmall"/>
    <w:qFormat/>
    <w:pPr>
      <w:ind w:left="280" w:hanging="280"/>
    </w:pPr>
  </w:style>
  <w:style w:type="paragraph" w:customStyle="1" w:styleId="QuoteStart">
    <w:name w:val="QuoteStart"/>
    <w:basedOn w:val="NumberedText"/>
    <w:qFormat/>
    <w:pPr>
      <w:spacing w:after="100" w:afterAutospacing="1"/>
      <w:ind w:left="0" w:firstLine="0"/>
    </w:pPr>
    <w:rPr>
      <w:i/>
    </w:rPr>
  </w:style>
  <w:style w:type="character" w:styleId="Hyperlink">
    <w:name w:val="Hyperlink"/>
    <w:basedOn w:val="DefaultParagraphFont"/>
    <w:uiPriority w:val="99"/>
    <w:unhideWhenUsed/>
    <w:rPr>
      <w:color w:val="0000FF" w:themeColor="hyperlink"/>
      <w:u w:val="none"/>
    </w:rPr>
  </w:style>
  <w:style w:type="paragraph" w:customStyle="1" w:styleId="SNF">
    <w:name w:val="SNF"/>
    <w:basedOn w:val="Para"/>
    <w:qFormat/>
    <w:rPr>
      <w:color w:val="FF0000"/>
    </w:rPr>
  </w:style>
  <w:style w:type="paragraph" w:customStyle="1" w:styleId="QuoteFootnoteRule">
    <w:name w:val="QuoteFootnoteRule"/>
    <w:basedOn w:val="Para"/>
    <w:qFormat/>
    <w:pPr>
      <w:keepNext/>
      <w:keepLines/>
      <w:pBdr>
        <w:bottom w:val="single" w:sz="4" w:space="1" w:color="auto"/>
      </w:pBdr>
      <w:spacing w:after="0" w:line="180" w:lineRule="exact"/>
      <w:ind w:right="8226"/>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Revision">
    <w:name w:val="Revision"/>
    <w:hidden/>
    <w:uiPriority w:val="99"/>
    <w:semiHidden/>
    <w:pPr>
      <w:spacing w:after="0" w:line="240" w:lineRule="auto"/>
    </w:pPr>
    <w:rPr>
      <w:rFonts w:ascii="Times New Roman" w:hAnsi="Times New Roman"/>
      <w:sz w:val="18"/>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Consid">
    <w:name w:val="Consid"/>
    <w:basedOn w:val="Para"/>
    <w:qFormat/>
    <w:pPr>
      <w:ind w:left="540" w:hanging="540"/>
    </w:pPr>
  </w:style>
  <w:style w:type="paragraph" w:customStyle="1" w:styleId="ConsidWithoutNumber">
    <w:name w:val="ConsidWithoutNumber"/>
    <w:basedOn w:val="Consid"/>
    <w:qFormat/>
    <w:pPr>
      <w:ind w:left="0" w:firstLine="0"/>
    </w:pPr>
  </w:style>
  <w:style w:type="paragraph" w:customStyle="1" w:styleId="Alinea">
    <w:name w:val="Alinea"/>
    <w:basedOn w:val="Para"/>
    <w:qFormat/>
  </w:style>
  <w:style w:type="paragraph" w:customStyle="1" w:styleId="AlineaWithParag">
    <w:name w:val="AlineaWithParag"/>
    <w:basedOn w:val="Para"/>
    <w:qFormat/>
    <w:pPr>
      <w:tabs>
        <w:tab w:val="left" w:pos="400"/>
      </w:tabs>
    </w:pPr>
  </w:style>
  <w:style w:type="paragraph" w:customStyle="1" w:styleId="SignatoryItalic">
    <w:name w:val="SignatoryItalic"/>
    <w:basedOn w:val="Para"/>
    <w:qFormat/>
    <w:pPr>
      <w:spacing w:after="60"/>
      <w:jc w:val="center"/>
    </w:pPr>
    <w:rPr>
      <w:i/>
    </w:rPr>
  </w:style>
  <w:style w:type="paragraph" w:customStyle="1" w:styleId="Signatory">
    <w:name w:val="Signatory"/>
    <w:basedOn w:val="Para"/>
    <w:qFormat/>
    <w:pPr>
      <w:keepNext/>
      <w:keepLines/>
      <w:suppressAutoHyphens/>
      <w:spacing w:after="60"/>
      <w:jc w:val="center"/>
    </w:pPr>
  </w:style>
  <w:style w:type="paragraph" w:customStyle="1" w:styleId="TIARTquoted">
    <w:name w:val="TIART_quoted"/>
    <w:basedOn w:val="TIART"/>
    <w:qFormat/>
    <w:pPr>
      <w:jc w:val="left"/>
    </w:pPr>
  </w:style>
  <w:style w:type="paragraph" w:customStyle="1" w:styleId="STIARTquoted">
    <w:name w:val="STIART_quoted"/>
    <w:basedOn w:val="STIART"/>
    <w:qFormat/>
    <w:pPr>
      <w:jc w:val="left"/>
    </w:pPr>
  </w:style>
  <w:style w:type="paragraph" w:customStyle="1" w:styleId="MainTitleRoman">
    <w:name w:val="MainTitleRoman"/>
    <w:basedOn w:val="MainTitle"/>
    <w:qFormat/>
    <w:rPr>
      <w:b w:val="0"/>
    </w:rPr>
  </w:style>
  <w:style w:type="paragraph" w:customStyle="1" w:styleId="MainTitleSmall">
    <w:name w:val="MainTitleSmall"/>
    <w:basedOn w:val="MainTitle"/>
    <w:qFormat/>
    <w:pPr>
      <w:spacing w:line="200" w:lineRule="exact"/>
    </w:pPr>
    <w:rPr>
      <w:sz w:val="16"/>
    </w:rPr>
  </w:style>
  <w:style w:type="paragraph" w:customStyle="1" w:styleId="MainTitleRomanSmall">
    <w:name w:val="MainTitleRomanSmall"/>
    <w:basedOn w:val="MainTitleSmall"/>
    <w:qFormat/>
    <w:rPr>
      <w:b w:val="0"/>
    </w:rPr>
  </w:style>
  <w:style w:type="paragraph" w:customStyle="1" w:styleId="Formula">
    <w:name w:val="Formula"/>
    <w:basedOn w:val="Para"/>
    <w:qFormat/>
    <w:pPr>
      <w:spacing w:line="240" w:lineRule="auto"/>
    </w:pPr>
    <w:rPr>
      <w:rFonts w:ascii="Cambria Math" w:hAnsi="Cambria Math"/>
    </w:rPr>
  </w:style>
  <w:style w:type="paragraph" w:customStyle="1" w:styleId="FormulaSmall">
    <w:name w:val="FormulaSmall"/>
    <w:basedOn w:val="Formula"/>
    <w:qFormat/>
    <w:rPr>
      <w:rFonts w:eastAsiaTheme="minorEastAsia"/>
      <w:sz w:val="16"/>
    </w:rPr>
  </w:style>
  <w:style w:type="table" w:customStyle="1" w:styleId="EFTATable">
    <w:name w:val="EFTATable"/>
    <w:basedOn w:val="TableNormal"/>
    <w:uiPriority w:val="99"/>
    <w:pPr>
      <w:spacing w:after="0" w:line="200" w:lineRule="exact"/>
    </w:pPr>
    <w:rPr>
      <w:rFonts w:ascii="Times New Roman" w:hAnsi="Times New Roman"/>
      <w:sz w:val="16"/>
    </w:rPr>
    <w:tblPr>
      <w:tblBorders>
        <w:top w:val="single" w:sz="4" w:space="0" w:color="auto"/>
        <w:bottom w:val="single" w:sz="4" w:space="0" w:color="auto"/>
        <w:insideH w:val="single" w:sz="4" w:space="0" w:color="auto"/>
        <w:insideV w:val="single" w:sz="4" w:space="0" w:color="auto"/>
      </w:tblBorders>
      <w:tblCellMar>
        <w:top w:w="20" w:type="dxa"/>
        <w:left w:w="40" w:type="dxa"/>
        <w:bottom w:w="20" w:type="dxa"/>
        <w:right w:w="40" w:type="dxa"/>
      </w:tblCellMar>
    </w:tblPr>
  </w:style>
  <w:style w:type="paragraph" w:customStyle="1" w:styleId="TableTIGrNotes">
    <w:name w:val="TableTIGrNotes"/>
    <w:basedOn w:val="TableGrNotes"/>
    <w:qFormat/>
    <w:pPr>
      <w:spacing w:after="120"/>
    </w:pPr>
  </w:style>
  <w:style w:type="paragraph" w:customStyle="1" w:styleId="TableGrAnnotations">
    <w:name w:val="TableGrAnnotations"/>
    <w:basedOn w:val="ParaSmall"/>
    <w:qFormat/>
    <w:pPr>
      <w:spacing w:after="0" w:line="180" w:lineRule="exact"/>
    </w:pPr>
    <w:rPr>
      <w:sz w:val="14"/>
    </w:rPr>
  </w:style>
  <w:style w:type="paragraph" w:customStyle="1" w:styleId="FigureTI">
    <w:name w:val="FigureTI"/>
    <w:basedOn w:val="Para"/>
    <w:qFormat/>
    <w:pPr>
      <w:keepNext/>
      <w:keepLines/>
      <w:suppressAutoHyphens/>
      <w:jc w:val="center"/>
    </w:pPr>
    <w:rPr>
      <w:i/>
    </w:rPr>
  </w:style>
  <w:style w:type="paragraph" w:customStyle="1" w:styleId="FigureSTI">
    <w:name w:val="FigureSTI"/>
    <w:basedOn w:val="Para"/>
    <w:qFormat/>
    <w:pPr>
      <w:keepNext/>
      <w:keepLines/>
      <w:suppressAutoHyphens/>
      <w:jc w:val="center"/>
    </w:pPr>
    <w:rPr>
      <w:b/>
    </w:rPr>
  </w:style>
  <w:style w:type="paragraph" w:customStyle="1" w:styleId="FigureTISmall">
    <w:name w:val="FigureTISmall"/>
    <w:basedOn w:val="ParaSmall"/>
    <w:qFormat/>
    <w:pPr>
      <w:keepNext/>
      <w:keepLines/>
      <w:suppressAutoHyphens/>
      <w:jc w:val="center"/>
    </w:pPr>
    <w:rPr>
      <w:i/>
    </w:rPr>
  </w:style>
  <w:style w:type="paragraph" w:customStyle="1" w:styleId="FigureSTISmall">
    <w:name w:val="FigureSTISmall"/>
    <w:basedOn w:val="ParaSmall"/>
    <w:qFormat/>
    <w:pPr>
      <w:keepNext/>
      <w:keepLines/>
      <w:suppressAutoHyphens/>
      <w:jc w:val="center"/>
    </w:pPr>
    <w:rPr>
      <w:b/>
    </w:rPr>
  </w:style>
  <w:style w:type="paragraph" w:customStyle="1" w:styleId="AnnexNumberedText">
    <w:name w:val="AnnexNumberedText"/>
    <w:basedOn w:val="AnnexNormal"/>
    <w:qFormat/>
    <w:pPr>
      <w:spacing w:after="120"/>
      <w:ind w:left="280" w:hanging="280"/>
    </w:pPr>
  </w:style>
  <w:style w:type="paragraph" w:customStyle="1" w:styleId="AnnexNormal">
    <w:name w:val="AnnexNormal"/>
    <w:basedOn w:val="Para"/>
    <w:qFormat/>
  </w:style>
  <w:style w:type="paragraph" w:customStyle="1" w:styleId="AnnexGrSeq4">
    <w:name w:val="AnnexGrSeq4"/>
    <w:basedOn w:val="ParaSmall"/>
    <w:qFormat/>
    <w:pPr>
      <w:keepNext/>
      <w:keepLines/>
      <w:suppressAutoHyphens/>
      <w:jc w:val="center"/>
    </w:pPr>
  </w:style>
  <w:style w:type="paragraph" w:customStyle="1" w:styleId="AnnexTableCellLeft">
    <w:name w:val="AnnexTableCellLeft"/>
    <w:basedOn w:val="Para"/>
    <w:qFormat/>
    <w:pPr>
      <w:spacing w:after="0"/>
    </w:pPr>
  </w:style>
  <w:style w:type="paragraph" w:customStyle="1" w:styleId="AnnexTableHeader">
    <w:name w:val="AnnexTableHeader"/>
    <w:basedOn w:val="Para"/>
    <w:qFormat/>
    <w:pPr>
      <w:spacing w:after="0"/>
      <w:jc w:val="center"/>
    </w:pPr>
    <w:rPr>
      <w:sz w:val="16"/>
    </w:rPr>
  </w:style>
  <w:style w:type="paragraph" w:customStyle="1" w:styleId="AnnexTableGrNotes">
    <w:name w:val="AnnexTableGrNotes"/>
    <w:basedOn w:val="Para"/>
    <w:qFormat/>
    <w:pPr>
      <w:spacing w:after="0" w:line="220" w:lineRule="exact"/>
      <w:ind w:left="280" w:hanging="280"/>
    </w:pPr>
    <w:rPr>
      <w:sz w:val="16"/>
    </w:rPr>
  </w:style>
  <w:style w:type="paragraph" w:customStyle="1" w:styleId="AnnexTableGrAnnotations">
    <w:name w:val="AnnexTableGrAnnotations"/>
    <w:basedOn w:val="AnnexTableGrNotes"/>
    <w:qFormat/>
    <w:pPr>
      <w:ind w:left="0" w:firstLine="0"/>
    </w:pPr>
  </w:style>
  <w:style w:type="paragraph" w:customStyle="1" w:styleId="AnnexTableCell">
    <w:name w:val="AnnexTableCell"/>
    <w:basedOn w:val="Para"/>
    <w:qFormat/>
    <w:pPr>
      <w:spacing w:after="0"/>
      <w:jc w:val="center"/>
    </w:pPr>
  </w:style>
  <w:style w:type="paragraph" w:customStyle="1" w:styleId="Style1">
    <w:name w:val="Style1"/>
    <w:basedOn w:val="AnnexTableCell"/>
    <w:qFormat/>
  </w:style>
  <w:style w:type="paragraph" w:customStyle="1" w:styleId="AnnexTableCellRight">
    <w:name w:val="AnnexTableCellRight"/>
    <w:basedOn w:val="AnnexTableCell"/>
    <w:qFormat/>
    <w:pPr>
      <w:jc w:val="right"/>
    </w:pPr>
  </w:style>
  <w:style w:type="paragraph" w:customStyle="1" w:styleId="AnnexGrSeq1">
    <w:name w:val="AnnexGrSeq1"/>
    <w:basedOn w:val="ParaSmall"/>
    <w:qFormat/>
    <w:pPr>
      <w:keepNext/>
      <w:keepLines/>
      <w:suppressAutoHyphens/>
      <w:jc w:val="center"/>
    </w:pPr>
  </w:style>
  <w:style w:type="paragraph" w:customStyle="1" w:styleId="AnnexGrSeq2">
    <w:name w:val="AnnexGrSeq2"/>
    <w:basedOn w:val="AnnexGrSeq1"/>
    <w:qFormat/>
    <w:pPr>
      <w:spacing w:line="240" w:lineRule="exact"/>
    </w:pPr>
    <w:rPr>
      <w:sz w:val="18"/>
    </w:rPr>
  </w:style>
  <w:style w:type="paragraph" w:customStyle="1" w:styleId="AnnexGrSeq3">
    <w:name w:val="AnnexGrSeq3"/>
    <w:basedOn w:val="AnnexGrSeq2"/>
    <w:qFormat/>
  </w:style>
  <w:style w:type="paragraph" w:customStyle="1" w:styleId="AnnexAlinea">
    <w:name w:val="AnnexAlinea"/>
    <w:basedOn w:val="ParaSmall"/>
    <w:qFormat/>
  </w:style>
  <w:style w:type="paragraph" w:customStyle="1" w:styleId="AnnexAlineaWithParag">
    <w:name w:val="AnnexAlineaWithParag"/>
    <w:basedOn w:val="AnnexNormal"/>
    <w:qFormat/>
    <w:pPr>
      <w:tabs>
        <w:tab w:val="left" w:pos="400"/>
      </w:tabs>
    </w:pPr>
  </w:style>
  <w:style w:type="paragraph" w:customStyle="1" w:styleId="AnnexTIART">
    <w:name w:val="AnnexTIART"/>
    <w:basedOn w:val="ParaSmall"/>
    <w:qFormat/>
    <w:pPr>
      <w:keepNext/>
      <w:keepLines/>
      <w:suppressAutoHyphens/>
      <w:jc w:val="center"/>
    </w:pPr>
    <w:rPr>
      <w:i/>
    </w:rPr>
  </w:style>
  <w:style w:type="paragraph" w:customStyle="1" w:styleId="AnnexSTIART">
    <w:name w:val="AnnexSTIART"/>
    <w:basedOn w:val="AnnexTIART"/>
    <w:qFormat/>
    <w:rPr>
      <w:b/>
      <w:i w:val="0"/>
    </w:rPr>
  </w:style>
  <w:style w:type="paragraph" w:customStyle="1" w:styleId="AnnexDivisionTI">
    <w:name w:val="AnnexDivisionTI"/>
    <w:basedOn w:val="ParaSmall"/>
    <w:qFormat/>
    <w:pPr>
      <w:keepNext/>
      <w:keepLines/>
      <w:suppressAutoHyphens/>
      <w:jc w:val="center"/>
    </w:pPr>
  </w:style>
  <w:style w:type="paragraph" w:customStyle="1" w:styleId="AnnexDivisionSTI">
    <w:name w:val="AnnexDivisionSTI"/>
    <w:basedOn w:val="ParaSmall"/>
    <w:qFormat/>
    <w:pPr>
      <w:keepNext/>
      <w:keepLines/>
      <w:suppressAutoHyphens/>
      <w:jc w:val="center"/>
    </w:pPr>
  </w:style>
  <w:style w:type="paragraph" w:customStyle="1" w:styleId="DivConsidTIlt51">
    <w:name w:val="DivConsidTIlt51"/>
    <w:basedOn w:val="Para"/>
    <w:qFormat/>
    <w:pPr>
      <w:keepNext/>
      <w:keepLines/>
      <w:suppressAutoHyphens/>
      <w:jc w:val="center"/>
    </w:pPr>
    <w:rPr>
      <w:caps/>
      <w:sz w:val="16"/>
    </w:rPr>
  </w:style>
  <w:style w:type="paragraph" w:customStyle="1" w:styleId="DivConsidSTIlt51">
    <w:name w:val="DivConsidSTIlt51"/>
    <w:basedOn w:val="Para"/>
    <w:qFormat/>
    <w:pPr>
      <w:keepNext/>
      <w:keepLines/>
      <w:suppressAutoHyphens/>
      <w:jc w:val="center"/>
    </w:pPr>
    <w:rPr>
      <w:b/>
    </w:rPr>
  </w:style>
  <w:style w:type="paragraph" w:customStyle="1" w:styleId="AnnexFigureSTI">
    <w:name w:val="AnnexFigureSTI"/>
    <w:basedOn w:val="ParaSmall"/>
    <w:qFormat/>
    <w:pPr>
      <w:keepNext/>
      <w:keepLines/>
      <w:suppressAutoHyphens/>
      <w:jc w:val="center"/>
    </w:pPr>
    <w:rPr>
      <w:b/>
    </w:rPr>
  </w:style>
  <w:style w:type="paragraph" w:customStyle="1" w:styleId="AnnexFigureTI">
    <w:name w:val="AnnexFigureTI"/>
    <w:basedOn w:val="ParaSmall"/>
    <w:qFormat/>
    <w:pPr>
      <w:keepNext/>
      <w:keepLines/>
      <w:suppressAutoHyphens/>
      <w:jc w:val="center"/>
    </w:pPr>
    <w:rPr>
      <w:i/>
    </w:rPr>
  </w:style>
  <w:style w:type="paragraph" w:customStyle="1" w:styleId="Para">
    <w:name w:val="Para"/>
    <w:qFormat/>
    <w:pPr>
      <w:spacing w:line="240" w:lineRule="exact"/>
      <w:jc w:val="both"/>
    </w:pPr>
    <w:rPr>
      <w:rFonts w:ascii="Times New Roman" w:hAnsi="Times New Roman"/>
      <w:sz w:val="18"/>
      <w14:ligatures w14:val="standard"/>
    </w:rPr>
  </w:style>
  <w:style w:type="paragraph" w:customStyle="1" w:styleId="ParaSmall">
    <w:name w:val="ParaSmall"/>
    <w:basedOn w:val="Para"/>
    <w:qFormat/>
    <w:pPr>
      <w:spacing w:line="200" w:lineRule="exact"/>
    </w:pPr>
    <w:rPr>
      <w:sz w:val="16"/>
    </w:rPr>
  </w:style>
  <w:style w:type="paragraph" w:styleId="Quote">
    <w:name w:val="Quote"/>
    <w:basedOn w:val="Para"/>
    <w:next w:val="Para"/>
    <w:link w:val="QuoteChar"/>
    <w:uiPriority w:val="29"/>
    <w:qFormat/>
    <w:rPr>
      <w:i/>
      <w:iCs/>
      <w:color w:val="000000" w:themeColor="text1"/>
    </w:rPr>
  </w:style>
  <w:style w:type="character" w:customStyle="1" w:styleId="QuoteChar">
    <w:name w:val="Quote Char"/>
    <w:basedOn w:val="DefaultParagraphFont"/>
    <w:link w:val="Quote"/>
    <w:uiPriority w:val="29"/>
    <w:rPr>
      <w:rFonts w:ascii="Times New Roman" w:hAnsi="Times New Roman"/>
      <w:i/>
      <w:iCs/>
      <w:color w:val="000000" w:themeColor="text1"/>
      <w:sz w:val="18"/>
      <w14:ligatures w14:val="standard"/>
    </w:rPr>
  </w:style>
  <w:style w:type="paragraph" w:customStyle="1" w:styleId="SequenceNumber">
    <w:name w:val="SequenceNumber"/>
    <w:basedOn w:val="Para"/>
    <w:qFormat/>
    <w:pPr>
      <w:jc w:val="right"/>
    </w:pPr>
    <w:rPr>
      <w:b/>
    </w:rPr>
  </w:style>
  <w:style w:type="paragraph" w:customStyle="1" w:styleId="SignatorySmall">
    <w:name w:val="SignatorySmall"/>
    <w:basedOn w:val="ParaSmall"/>
    <w:qFormat/>
    <w:pPr>
      <w:spacing w:after="60"/>
      <w:jc w:val="center"/>
    </w:pPr>
  </w:style>
  <w:style w:type="paragraph" w:customStyle="1" w:styleId="SignatoryItalicSmall">
    <w:name w:val="SignatoryItalicSmall"/>
    <w:basedOn w:val="SignatorySmall"/>
    <w:qFormat/>
    <w:rPr>
      <w:i/>
    </w:rPr>
  </w:style>
  <w:style w:type="paragraph" w:customStyle="1" w:styleId="GrSeq5">
    <w:name w:val="GrSeq5"/>
    <w:basedOn w:val="GrSeq1"/>
    <w:qFormat/>
    <w:rPr>
      <w:b w:val="0"/>
    </w:rPr>
  </w:style>
  <w:style w:type="paragraph" w:customStyle="1" w:styleId="GrSeq6">
    <w:name w:val="GrSeq6"/>
    <w:basedOn w:val="GrSeq5"/>
    <w:qFormat/>
  </w:style>
  <w:style w:type="paragraph" w:customStyle="1" w:styleId="GrSeq7">
    <w:name w:val="GrSeq7"/>
    <w:basedOn w:val="GrSeq6"/>
    <w:qFormat/>
  </w:style>
  <w:style w:type="paragraph" w:customStyle="1" w:styleId="AnnexGrSeq5">
    <w:name w:val="AnnexGrSeq5"/>
    <w:basedOn w:val="AnnexGrSeq4"/>
    <w:qFormat/>
    <w:pPr>
      <w:spacing w:line="240" w:lineRule="exact"/>
    </w:pPr>
    <w:rPr>
      <w:sz w:val="18"/>
    </w:rPr>
  </w:style>
  <w:style w:type="paragraph" w:customStyle="1" w:styleId="AnnexGrSeq6">
    <w:name w:val="AnnexGrSeq6"/>
    <w:basedOn w:val="AnnexGrSeq5"/>
    <w:qFormat/>
  </w:style>
  <w:style w:type="paragraph" w:customStyle="1" w:styleId="AnnexGrSeq7">
    <w:name w:val="AnnexGrSeq7"/>
    <w:basedOn w:val="AnnexGrSeq6"/>
    <w:qFormat/>
  </w:style>
  <w:style w:type="paragraph" w:customStyle="1" w:styleId="AnnexQuoteFootnoteRule">
    <w:name w:val="AnnexQuoteFootnoteRule"/>
    <w:basedOn w:val="AnnexNormal"/>
    <w:qFormat/>
    <w:pPr>
      <w:pBdr>
        <w:bottom w:val="single" w:sz="4" w:space="1" w:color="auto"/>
      </w:pBdr>
      <w:spacing w:after="0"/>
      <w:ind w:right="7500"/>
    </w:pPr>
  </w:style>
  <w:style w:type="paragraph" w:customStyle="1" w:styleId="RotatedHeader">
    <w:name w:val="RotatedHeader"/>
    <w:basedOn w:val="Header"/>
    <w:qFormat/>
    <w:pPr>
      <w:pBdr>
        <w:bottom w:val="single" w:sz="4" w:space="6" w:color="auto"/>
      </w:pBdr>
      <w:tabs>
        <w:tab w:val="center" w:pos="4848"/>
        <w:tab w:val="right" w:pos="9611"/>
      </w:tabs>
      <w:spacing w:after="120"/>
    </w:pPr>
  </w:style>
  <w:style w:type="paragraph" w:customStyle="1" w:styleId="DivConsidTIlt52">
    <w:name w:val="DivConsidTIlt52"/>
    <w:basedOn w:val="Para"/>
    <w:qFormat/>
    <w:pPr>
      <w:keepNext/>
      <w:keepLines/>
      <w:suppressAutoHyphens/>
      <w:jc w:val="center"/>
    </w:pPr>
    <w:rPr>
      <w:caps/>
      <w:sz w:val="16"/>
    </w:rPr>
  </w:style>
  <w:style w:type="paragraph" w:customStyle="1" w:styleId="DivConsidSTIlt52">
    <w:name w:val="DivConsidSTIlt52"/>
    <w:basedOn w:val="Para"/>
    <w:qFormat/>
    <w:pPr>
      <w:keepNext/>
      <w:suppressAutoHyphens/>
      <w:jc w:val="center"/>
    </w:pPr>
    <w:rPr>
      <w:b/>
    </w:rPr>
  </w:style>
  <w:style w:type="paragraph" w:customStyle="1" w:styleId="DivConsidTIlt53">
    <w:name w:val="DivConsidTIlt53"/>
    <w:basedOn w:val="Para"/>
    <w:qFormat/>
    <w:pPr>
      <w:keepNext/>
      <w:keepLines/>
      <w:suppressAutoHyphens/>
      <w:jc w:val="left"/>
    </w:pPr>
  </w:style>
  <w:style w:type="paragraph" w:customStyle="1" w:styleId="DivConsidSTIlt53">
    <w:name w:val="DivConsidSTIlt53"/>
    <w:basedOn w:val="Para"/>
    <w:qFormat/>
    <w:pPr>
      <w:keepNext/>
      <w:keepLines/>
      <w:suppressAutoHyphens/>
      <w:jc w:val="left"/>
    </w:pPr>
  </w:style>
  <w:style w:type="paragraph" w:customStyle="1" w:styleId="DivConsidTIlt54">
    <w:name w:val="DivConsidTIlt54"/>
    <w:basedOn w:val="Para"/>
    <w:qFormat/>
    <w:pPr>
      <w:keepNext/>
      <w:keepLines/>
      <w:suppressAutoHyphens/>
      <w:jc w:val="left"/>
    </w:pPr>
  </w:style>
  <w:style w:type="paragraph" w:customStyle="1" w:styleId="DivConsidSTIlt54">
    <w:name w:val="DivConsidSTIlt54"/>
    <w:basedOn w:val="Para"/>
    <w:qFormat/>
    <w:pPr>
      <w:keepNext/>
      <w:keepLines/>
      <w:suppressAutoHyphens/>
      <w:jc w:val="left"/>
    </w:pPr>
  </w:style>
  <w:style w:type="paragraph" w:customStyle="1" w:styleId="DivConsidTIgt51">
    <w:name w:val="DivConsidTIgt51"/>
    <w:basedOn w:val="Para"/>
    <w:qFormat/>
    <w:pPr>
      <w:jc w:val="center"/>
    </w:pPr>
    <w:rPr>
      <w:caps/>
      <w:sz w:val="16"/>
    </w:rPr>
  </w:style>
  <w:style w:type="paragraph" w:customStyle="1" w:styleId="DivConsidSTIgt55">
    <w:name w:val="DivConsidSTIgt55"/>
    <w:basedOn w:val="Para"/>
    <w:qFormat/>
    <w:pPr>
      <w:jc w:val="left"/>
    </w:pPr>
  </w:style>
  <w:style w:type="paragraph" w:customStyle="1" w:styleId="DivConsidTIgt56">
    <w:name w:val="DivConsidTIgt56"/>
    <w:basedOn w:val="Para"/>
    <w:qFormat/>
    <w:pPr>
      <w:keepNext/>
      <w:keepLines/>
      <w:suppressAutoHyphens/>
      <w:jc w:val="left"/>
    </w:pPr>
  </w:style>
  <w:style w:type="paragraph" w:customStyle="1" w:styleId="DivConsidSTIgt56">
    <w:name w:val="DivConsidSTIgt56"/>
    <w:basedOn w:val="Para"/>
    <w:qFormat/>
    <w:pPr>
      <w:jc w:val="left"/>
    </w:pPr>
  </w:style>
  <w:style w:type="paragraph" w:customStyle="1" w:styleId="DivConsidTIgt57">
    <w:name w:val="DivConsidTIgt57"/>
    <w:basedOn w:val="DivConsidTIgt56"/>
    <w:qFormat/>
  </w:style>
  <w:style w:type="paragraph" w:customStyle="1" w:styleId="DivConsidSTIgt57">
    <w:name w:val="DivConsidSTIgt57"/>
    <w:basedOn w:val="DivConsidSTIgt56"/>
    <w:qFormat/>
  </w:style>
  <w:style w:type="paragraph" w:customStyle="1" w:styleId="DivConsidTIgt58">
    <w:name w:val="DivConsidTIgt58"/>
    <w:basedOn w:val="DivConsidTIgt57"/>
    <w:qFormat/>
  </w:style>
  <w:style w:type="paragraph" w:customStyle="1" w:styleId="DivConsidSTIgt58">
    <w:name w:val="DivConsidSTIgt58"/>
    <w:basedOn w:val="DivConsidSTIgt57"/>
    <w:qFormat/>
  </w:style>
  <w:style w:type="paragraph" w:customStyle="1" w:styleId="DivisionTI1">
    <w:name w:val="DivisionTI1"/>
    <w:basedOn w:val="Para"/>
    <w:qFormat/>
    <w:pPr>
      <w:keepNext/>
      <w:keepLines/>
      <w:suppressAutoHyphens/>
      <w:jc w:val="center"/>
    </w:pPr>
    <w:rPr>
      <w:caps/>
      <w:sz w:val="16"/>
    </w:rPr>
  </w:style>
  <w:style w:type="paragraph" w:customStyle="1" w:styleId="DivisionSTI1">
    <w:name w:val="DivisionSTI1"/>
    <w:basedOn w:val="Para"/>
    <w:qFormat/>
    <w:pPr>
      <w:keepNext/>
      <w:keepLines/>
      <w:suppressAutoHyphens/>
      <w:jc w:val="center"/>
    </w:pPr>
  </w:style>
  <w:style w:type="paragraph" w:customStyle="1" w:styleId="DivisionTI2">
    <w:name w:val="DivisionTI2"/>
    <w:basedOn w:val="Para"/>
    <w:qFormat/>
    <w:pPr>
      <w:keepNext/>
      <w:keepLines/>
      <w:suppressAutoHyphens/>
      <w:jc w:val="center"/>
    </w:pPr>
  </w:style>
  <w:style w:type="paragraph" w:customStyle="1" w:styleId="DivisionSTI2">
    <w:name w:val="DivisionSTI2"/>
    <w:basedOn w:val="Para"/>
    <w:qFormat/>
    <w:pPr>
      <w:keepNext/>
      <w:keepLines/>
      <w:suppressAutoHyphens/>
      <w:jc w:val="center"/>
    </w:pPr>
  </w:style>
  <w:style w:type="paragraph" w:customStyle="1" w:styleId="DivisionTI3">
    <w:name w:val="DivisionTI3"/>
    <w:basedOn w:val="Para"/>
    <w:qFormat/>
    <w:pPr>
      <w:keepNext/>
      <w:keepLines/>
      <w:suppressAutoHyphens/>
      <w:jc w:val="left"/>
    </w:pPr>
  </w:style>
  <w:style w:type="paragraph" w:customStyle="1" w:styleId="DivisionSTI3">
    <w:name w:val="DivisionSTI3"/>
    <w:basedOn w:val="Para"/>
    <w:qFormat/>
    <w:pPr>
      <w:keepNext/>
      <w:keepLines/>
      <w:suppressAutoHyphens/>
      <w:jc w:val="left"/>
    </w:pPr>
  </w:style>
  <w:style w:type="paragraph" w:customStyle="1" w:styleId="DivisionTI4">
    <w:name w:val="DivisionTI4"/>
    <w:basedOn w:val="DivisionTI3"/>
    <w:qFormat/>
  </w:style>
  <w:style w:type="paragraph" w:customStyle="1" w:styleId="DivisionSTI4">
    <w:name w:val="DivisionSTI4"/>
    <w:basedOn w:val="DivisionSTI3"/>
    <w:qFormat/>
  </w:style>
  <w:style w:type="paragraph" w:customStyle="1" w:styleId="DivisionTI5">
    <w:name w:val="DivisionTI5"/>
    <w:basedOn w:val="DivisionTI4"/>
    <w:qFormat/>
  </w:style>
  <w:style w:type="paragraph" w:customStyle="1" w:styleId="DivisionSTI5">
    <w:name w:val="DivisionSTI5"/>
    <w:basedOn w:val="DivisionSTI4"/>
    <w:qFormat/>
  </w:style>
  <w:style w:type="paragraph" w:customStyle="1" w:styleId="DivisionTI6">
    <w:name w:val="DivisionTI6"/>
    <w:basedOn w:val="DivisionTI5"/>
    <w:qFormat/>
  </w:style>
  <w:style w:type="paragraph" w:customStyle="1" w:styleId="DivisionSTI6">
    <w:name w:val="DivisionSTI6"/>
    <w:basedOn w:val="DivisionSTI5"/>
    <w:qFormat/>
  </w:style>
  <w:style w:type="paragraph" w:customStyle="1" w:styleId="DivisionTI7">
    <w:name w:val="DivisionTI7"/>
    <w:basedOn w:val="DivisionTI6"/>
    <w:qFormat/>
  </w:style>
  <w:style w:type="paragraph" w:customStyle="1" w:styleId="DivisionSTI7">
    <w:name w:val="DivisionSTI7"/>
    <w:basedOn w:val="DivisionSTI6"/>
    <w:qFormat/>
  </w:style>
  <w:style w:type="paragraph" w:customStyle="1" w:styleId="DivisionTI8">
    <w:name w:val="DivisionTI8"/>
    <w:basedOn w:val="DivisionTI7"/>
    <w:qFormat/>
  </w:style>
  <w:style w:type="paragraph" w:customStyle="1" w:styleId="DivisionSTI8">
    <w:name w:val="DivisionSTI8"/>
    <w:basedOn w:val="DivisionSTI7"/>
    <w:qFormat/>
  </w:style>
  <w:style w:type="paragraph" w:customStyle="1" w:styleId="DivConsidSTIgt51">
    <w:name w:val="DivConsidSTIgt51"/>
    <w:basedOn w:val="DivConsidSTIgt55"/>
    <w:qFormat/>
    <w:pPr>
      <w:jc w:val="center"/>
    </w:pPr>
    <w:rPr>
      <w:sz w:val="16"/>
    </w:rPr>
  </w:style>
  <w:style w:type="paragraph" w:customStyle="1" w:styleId="DivConsidTIgt52">
    <w:name w:val="DivConsidTIgt52"/>
    <w:basedOn w:val="DivConsidTIgt51"/>
    <w:qFormat/>
  </w:style>
  <w:style w:type="paragraph" w:customStyle="1" w:styleId="DivConsidSTIgt52">
    <w:name w:val="DivConsidSTIgt52"/>
    <w:basedOn w:val="DivConsidSTIgt51"/>
    <w:qFormat/>
  </w:style>
  <w:style w:type="paragraph" w:customStyle="1" w:styleId="DivConsidTIgt53">
    <w:name w:val="DivConsidTIgt53"/>
    <w:basedOn w:val="DivConsidTIgt51"/>
    <w:qFormat/>
    <w:pPr>
      <w:jc w:val="left"/>
    </w:pPr>
  </w:style>
  <w:style w:type="paragraph" w:customStyle="1" w:styleId="DivConsidSTIgt53">
    <w:name w:val="DivConsidSTIgt53"/>
    <w:basedOn w:val="DivConsidSTIgt55"/>
    <w:qFormat/>
  </w:style>
  <w:style w:type="paragraph" w:customStyle="1" w:styleId="DivConsidTIgt54">
    <w:name w:val="DivConsidTIgt54"/>
    <w:basedOn w:val="DivConsidTIgt51"/>
    <w:qFormat/>
    <w:pPr>
      <w:jc w:val="left"/>
    </w:pPr>
    <w:rPr>
      <w:sz w:val="18"/>
    </w:rPr>
  </w:style>
  <w:style w:type="paragraph" w:customStyle="1" w:styleId="DivConsidSTIgt54">
    <w:name w:val="DivConsidSTIgt54"/>
    <w:basedOn w:val="DivConsidSTIgt55"/>
    <w:qFormat/>
  </w:style>
  <w:style w:type="paragraph" w:customStyle="1" w:styleId="DivConsidTIgt55">
    <w:name w:val="DivConsidTIgt55"/>
    <w:basedOn w:val="DivConsidTIgt51"/>
    <w:qFormat/>
    <w:pPr>
      <w:jc w:val="left"/>
    </w:pPr>
  </w:style>
  <w:style w:type="paragraph" w:customStyle="1" w:styleId="DivisionChapterTI1">
    <w:name w:val="DivisionChapterTI1"/>
    <w:basedOn w:val="Para"/>
    <w:qFormat/>
    <w:pPr>
      <w:keepNext/>
      <w:keepLines/>
      <w:suppressAutoHyphens/>
      <w:jc w:val="center"/>
    </w:pPr>
    <w:rPr>
      <w:caps/>
      <w:sz w:val="16"/>
    </w:rPr>
  </w:style>
  <w:style w:type="paragraph" w:customStyle="1" w:styleId="DivisionChapterSTI1">
    <w:name w:val="DivisionChapterSTI1"/>
    <w:basedOn w:val="Para"/>
    <w:qFormat/>
    <w:pPr>
      <w:keepNext/>
      <w:keepLines/>
      <w:suppressAutoHyphens/>
      <w:jc w:val="center"/>
    </w:pPr>
    <w:rPr>
      <w:b/>
      <w:caps/>
      <w:sz w:val="16"/>
    </w:rPr>
  </w:style>
  <w:style w:type="paragraph" w:customStyle="1" w:styleId="DivisionSectionTI1">
    <w:name w:val="DivisionSectionTI1"/>
    <w:basedOn w:val="Para"/>
    <w:qFormat/>
    <w:pPr>
      <w:keepNext/>
      <w:keepLines/>
      <w:suppressAutoHyphens/>
      <w:jc w:val="center"/>
    </w:pPr>
    <w:rPr>
      <w:caps/>
      <w:sz w:val="16"/>
    </w:rPr>
  </w:style>
  <w:style w:type="paragraph" w:customStyle="1" w:styleId="DivisionSectionSTI1">
    <w:name w:val="DivisionSectionSTI1"/>
    <w:basedOn w:val="Para"/>
    <w:qFormat/>
    <w:pPr>
      <w:jc w:val="center"/>
    </w:pPr>
    <w:rPr>
      <w:b/>
      <w:caps/>
      <w:sz w:val="16"/>
    </w:rPr>
  </w:style>
  <w:style w:type="character" w:styleId="FollowedHyperlink">
    <w:name w:val="FollowedHyperlink"/>
    <w:basedOn w:val="DefaultParagraphFont"/>
    <w:uiPriority w:val="99"/>
    <w:semiHidden/>
    <w:unhideWhenUsed/>
    <w:rPr>
      <w:color w:val="0000FF"/>
      <w:u w:val="none"/>
    </w:rPr>
  </w:style>
  <w:style w:type="character" w:customStyle="1" w:styleId="Footnote8pt">
    <w:name w:val="Footnote8pt"/>
    <w:basedOn w:val="DefaultParagraphFont"/>
    <w:uiPriority w:val="1"/>
    <w:qFormat/>
    <w:rPr>
      <w:rFonts w:ascii="Times New Roman" w:hAnsi="Times New Roman"/>
      <w:color w:val="auto"/>
      <w:sz w:val="16"/>
      <w:lang w:val="is-IS"/>
    </w:rPr>
  </w:style>
  <w:style w:type="character" w:customStyle="1" w:styleId="Footnote7pt">
    <w:name w:val="Footnote7pt"/>
    <w:basedOn w:val="DefaultParagraphFont"/>
    <w:uiPriority w:val="1"/>
    <w:qFormat/>
    <w:rPr>
      <w:rFonts w:ascii="Times New Roman" w:hAnsi="Times New Roman"/>
      <w:color w:val="aut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F8264-502E-4E6B-AA81-626118817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14202</Words>
  <Characters>80956</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amplexor</Company>
  <LinksUpToDate>false</LinksUpToDate>
  <CharactersWithSpaces>94969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EFTA</dc:creator>
  <cp:lastModifiedBy>Elísabet Júlíusdóttir</cp:lastModifiedBy>
  <cp:revision>2</cp:revision>
  <cp:lastPrinted>2023-03-27T12:19:00Z</cp:lastPrinted>
  <dcterms:created xsi:type="dcterms:W3CDTF">2025-04-25T09:44:00Z</dcterms:created>
  <dcterms:modified xsi:type="dcterms:W3CDTF">2025-04-25T09:44:00Z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sue_date">
    <vt:lpwstr>27.10.2016</vt:lpwstr>
  </property>
  <property fmtid="{D5CDD505-2E9C-101B-9397-08002B2CF9AE}" pid="3" name="volume">
    <vt:lpwstr>56</vt:lpwstr>
  </property>
  <property fmtid="{D5CDD505-2E9C-101B-9397-08002B2CF9AE}" pid="4" name="rhead">
    <vt:lpwstr>EØS-tillegget til Den europeiske unions tidende</vt:lpwstr>
  </property>
  <property fmtid="{D5CDD505-2E9C-101B-9397-08002B2CF9AE}" pid="5" name="producer">
    <vt:lpwstr>amplexor</vt:lpwstr>
  </property>
  <property fmtid="{D5CDD505-2E9C-101B-9397-08002B2CF9AE}" pid="6" name="issue_nr">
    <vt:lpwstr>23</vt:lpwstr>
  </property>
</Properties>
</file>