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6C2EA5BE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0355B">
                  <w:rPr>
                    <w:rFonts w:ascii="Times New Roman" w:hAnsi="Times New Roman" w:cs="Times New Roman"/>
                    <w:lang w:val="is-IS"/>
                  </w:rPr>
                  <w:t>Frumvarp til laga um breytingu á lögum um heilbrigðisþjónustu nr. 40/2007 (aðkoma sveitarfélaga í uppbyggingu hjúkrunarheimila)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074E3643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0355B">
                  <w:rPr>
                    <w:rFonts w:ascii="Times New Roman" w:hAnsi="Times New Roman" w:cs="Times New Roman"/>
                    <w:lang w:val="is-IS"/>
                  </w:rPr>
                  <w:t>Heilbrigðisráðuneyti</w:t>
                </w:r>
              </w:p>
            </w:tc>
          </w:sdtContent>
        </w:sdt>
      </w:tr>
      <w:tr w:rsidR="00135B40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22A6DA7D" w:rsidR="00135B40" w:rsidRPr="004E0E11" w:rsidRDefault="00D0066D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5B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D0066D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11C6C5C5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558D8">
                  <w:rPr>
                    <w:rFonts w:ascii="Times New Roman" w:hAnsi="Times New Roman" w:cs="Times New Roman"/>
                    <w:lang w:val="is-IS"/>
                  </w:rPr>
                  <w:t>4</w:t>
                </w:r>
                <w:r w:rsidR="008C75A6">
                  <w:rPr>
                    <w:rFonts w:ascii="Times New Roman" w:hAnsi="Times New Roman" w:cs="Times New Roman"/>
                    <w:lang w:val="is-IS"/>
                  </w:rPr>
                  <w:t>. júní 2024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46181C7F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67609">
                  <w:rPr>
                    <w:rFonts w:ascii="Times New Roman" w:hAnsi="Times New Roman" w:cs="Times New Roman"/>
                    <w:lang w:val="is-IS"/>
                  </w:rPr>
                  <w:t>Í sameiginlegri skýrslu fjármála- og efnahagsráðuneytisins og heilbrigðisráðuneytisins um breytt fyrirkomulag fasteigna vegna hjúkrunarheimila</w:t>
                </w:r>
                <w:r w:rsidR="00952097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C67609">
                  <w:rPr>
                    <w:rFonts w:ascii="Times New Roman" w:hAnsi="Times New Roman" w:cs="Times New Roman"/>
                    <w:lang w:val="is-IS"/>
                  </w:rPr>
                  <w:t xml:space="preserve"> þar sem </w:t>
                </w:r>
                <w:r w:rsidR="00952097">
                  <w:rPr>
                    <w:rFonts w:ascii="Times New Roman" w:hAnsi="Times New Roman" w:cs="Times New Roman"/>
                    <w:lang w:val="is-IS"/>
                  </w:rPr>
                  <w:t xml:space="preserve">lagt er til að </w:t>
                </w:r>
                <w:r w:rsidR="00C67609">
                  <w:rPr>
                    <w:rFonts w:ascii="Times New Roman" w:hAnsi="Times New Roman" w:cs="Times New Roman"/>
                    <w:lang w:val="is-IS"/>
                  </w:rPr>
                  <w:t>taka upp leiguleið</w:t>
                </w:r>
                <w:r w:rsidR="00952097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C6760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52097">
                  <w:rPr>
                    <w:rFonts w:ascii="Times New Roman" w:hAnsi="Times New Roman" w:cs="Times New Roman"/>
                    <w:lang w:val="is-IS"/>
                  </w:rPr>
                  <w:t xml:space="preserve">kemur fram að samhliða þeim breytingum verði samstarfi ríkis og sveitarfélaga hætt og ríkissjóður beri einn ábyrgð á fjármögnun vegna reksturs rýma undir </w:t>
                </w:r>
                <w:proofErr w:type="spellStart"/>
                <w:r w:rsidR="00952097">
                  <w:rPr>
                    <w:rFonts w:ascii="Times New Roman" w:hAnsi="Times New Roman" w:cs="Times New Roman"/>
                    <w:lang w:val="is-IS"/>
                  </w:rPr>
                  <w:t>hjúkrunarþjónustu</w:t>
                </w:r>
                <w:proofErr w:type="spellEnd"/>
                <w:r w:rsidR="00952097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DC0F9E">
                  <w:rPr>
                    <w:rFonts w:ascii="Times New Roman" w:hAnsi="Times New Roman" w:cs="Times New Roman"/>
                    <w:lang w:val="is-IS"/>
                  </w:rPr>
                  <w:t xml:space="preserve"> Í dag greiða sveitarfélög 15% af byggingarkostnaði hjúkrunarheimila og ríkissjóður 85%.</w:t>
                </w:r>
                <w:r w:rsidR="00952097">
                  <w:rPr>
                    <w:rFonts w:ascii="Times New Roman" w:hAnsi="Times New Roman" w:cs="Times New Roman"/>
                    <w:lang w:val="is-IS"/>
                  </w:rPr>
                  <w:t xml:space="preserve"> Gegn því að létta þessum kostnaði af sveitarfélögum verði gerðar breytingar á tekjustofnum þeirra. Áhrifin á ríkissjóð ættu því að vera hverfandi.  </w:t>
                </w:r>
                <w:r w:rsidR="00C6760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642DB6C9" w14:textId="5B37DB13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4808874D" w14:textId="23290004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52097">
                  <w:rPr>
                    <w:rFonts w:ascii="Times New Roman" w:hAnsi="Times New Roman" w:cs="Times New Roman"/>
                    <w:lang w:val="is-IS"/>
                  </w:rPr>
                  <w:t>Varanleg</w:t>
                </w:r>
              </w:p>
              <w:p w14:paraId="75DB58A8" w14:textId="5C13047C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4C00391" w14:textId="559F3438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F22D0A">
                  <w:rPr>
                    <w:rFonts w:ascii="Times New Roman" w:hAnsi="Times New Roman" w:cs="Times New Roman"/>
                    <w:lang w:val="is-IS"/>
                  </w:rPr>
                  <w:t>Við þá breytingu að sveitarfélögin greiði ekki lengur 15% af byggingarkostnaði hjúkrunarheimila og ríkið greiði eitt leigu fyrir húsnæði hjúkrunarheimila þá fellur meiri kostnaður á ríkið. Ef</w:t>
                </w:r>
                <w:r w:rsidR="00B9190E">
                  <w:rPr>
                    <w:rFonts w:ascii="Times New Roman" w:hAnsi="Times New Roman" w:cs="Times New Roman"/>
                    <w:lang w:val="is-IS"/>
                  </w:rPr>
                  <w:t xml:space="preserve"> á sama tíma fjármála- og efnahagsráðuneytið</w:t>
                </w:r>
                <w:r w:rsidR="00F22D0A">
                  <w:rPr>
                    <w:rFonts w:ascii="Times New Roman" w:hAnsi="Times New Roman" w:cs="Times New Roman"/>
                    <w:lang w:val="is-IS"/>
                  </w:rPr>
                  <w:t xml:space="preserve"> ge</w:t>
                </w:r>
                <w:r w:rsidR="00B9190E">
                  <w:rPr>
                    <w:rFonts w:ascii="Times New Roman" w:hAnsi="Times New Roman" w:cs="Times New Roman"/>
                    <w:lang w:val="is-IS"/>
                  </w:rPr>
                  <w:t>rir</w:t>
                </w:r>
                <w:r w:rsidR="00F22D0A">
                  <w:rPr>
                    <w:rFonts w:ascii="Times New Roman" w:hAnsi="Times New Roman" w:cs="Times New Roman"/>
                    <w:lang w:val="is-IS"/>
                  </w:rPr>
                  <w:t xml:space="preserve"> breytingar á tekjustofni sveitarfélaga sem skilar sér í</w:t>
                </w:r>
                <w:r w:rsidR="00B9190E">
                  <w:rPr>
                    <w:rFonts w:ascii="Times New Roman" w:hAnsi="Times New Roman" w:cs="Times New Roman"/>
                    <w:lang w:val="is-IS"/>
                  </w:rPr>
                  <w:t xml:space="preserve"> sambærilegum jákvæðum áhrifum á tekjuhlið ríkissjóðs þá verða nettóáhrifin hlutlaus á afkomu ríkissjóðs. </w:t>
                </w:r>
              </w:p>
              <w:p w14:paraId="3EF314C9" w14:textId="5667D6C5" w:rsidR="00FD2097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1472FF3E" w:rsidR="00D96089" w:rsidRDefault="002F5A2D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BB7CC88" w14:textId="689847FC" w:rsidR="00BD03E4" w:rsidRPr="00A72ECC" w:rsidRDefault="0098661F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11C60D4" w14:textId="68A73561" w:rsidR="000212D2" w:rsidRPr="00EE7DC8" w:rsidRDefault="00AD6D06" w:rsidP="00EE7DC8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0D02020F" w:rsidR="00BD03E4" w:rsidRPr="00A72ECC" w:rsidRDefault="00683AF0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Gert er ráð fyrir nýju fjármagni í leigu á húsnæði hjúkrunarheimila í stað</w:t>
                </w:r>
                <w:r w:rsidR="00160929">
                  <w:rPr>
                    <w:rFonts w:ascii="Times New Roman" w:hAnsi="Times New Roman" w:cs="Times New Roman"/>
                    <w:lang w:val="is-IS"/>
                  </w:rPr>
                  <w:t xml:space="preserve"> þess fellur niður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fjármagn í fjárfestingu til byggingar hjúkrunarheimila. </w:t>
                </w:r>
              </w:p>
              <w:p w14:paraId="3AECE235" w14:textId="71B7C711" w:rsid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57968093" w:rsidR="00D96089" w:rsidRDefault="002F5A2D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Sjá sérstakan 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CF6A88" w14:textId="09D733D7" w:rsidR="00BD03E4" w:rsidRPr="00A72ECC" w:rsidRDefault="0098661F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lastRenderedPageBreak/>
                  <w:t>Á ekki við</w:t>
                </w:r>
              </w:p>
              <w:p w14:paraId="4286C444" w14:textId="325CC88B" w:rsidR="00813003" w:rsidRDefault="00AD6D06" w:rsidP="00813003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76868BA8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5D6883BD" w14:textId="76858133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F32AA89" w14:textId="7F512D5E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D090F52" w14:textId="31233402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F03EC8D" w14:textId="0A8E396E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4105743" w14:textId="29C1CFA8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D34DCD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3E248B52" w14:textId="11449EBB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D34DCD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5609FB39" w14:textId="735F96F8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D34DCD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A5DE4B8" w14:textId="616055EC" w:rsidR="00CA3381" w:rsidRPr="00E648AA" w:rsidRDefault="00813003" w:rsidP="00BD69E0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D34DCD">
                  <w:rPr>
                    <w:lang w:val="is-IS"/>
                  </w:rPr>
                  <w:t>Á ekki við</w:t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0805CEBE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75572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91F1F9C" w14:textId="087BCFCE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75572">
                  <w:rPr>
                    <w:rFonts w:ascii="Times New Roman" w:hAnsi="Times New Roman" w:cs="Times New Roman"/>
                    <w:lang w:val="is-IS"/>
                  </w:rPr>
                  <w:t>Já</w:t>
                </w:r>
              </w:p>
              <w:p w14:paraId="3514BF9B" w14:textId="76983D97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75572">
                  <w:rPr>
                    <w:rFonts w:ascii="Times New Roman" w:hAnsi="Times New Roman" w:cs="Times New Roman"/>
                    <w:lang w:val="is-IS"/>
                  </w:rPr>
                  <w:t>Já</w:t>
                </w:r>
              </w:p>
              <w:p w14:paraId="71F700FB" w14:textId="51D50A38" w:rsidR="00FD2097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77777777" w:rsidR="00BD03E4" w:rsidRPr="00BD03E4" w:rsidRDefault="00BD03E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59743E5F" w14:textId="77777777" w:rsidR="00BD03E4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169EE776" w:rsidR="00CA3381" w:rsidRPr="00BD03E4" w:rsidRDefault="00E54F40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7D29FB0F" w:rsidR="00FD2097" w:rsidRPr="00BD03E4" w:rsidRDefault="00E54F40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Þegar aðilum sem sérhæfa sig í fasteignauppbyggingu verður veitt leyfi til að taka við af hinu opinbera við að byggja hjúkrunarheimili og reka fasteignina má gera ráð fyrir jákvæðum áhrifum á þann markað.</w:t>
                </w:r>
                <w:r w:rsidR="00A02CB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Einnig ætti uppbygging hjúkrunarheimila að verða hraðari sem eykur lífsgæði þeirra sem bíða eftir hjúkrunarheimili og aðstandenda þeirra. Þá ætti líka að vera jákvæð áhrif á sjúkrahús þar sem einstaklingum fækkar sem liggja þar inni þrátt fyrir að hafa lokið meðferð.</w:t>
                </w:r>
              </w:p>
              <w:p w14:paraId="40049170" w14:textId="715A97DA" w:rsidR="001B69DD" w:rsidRPr="004E0E1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7BB4AAF2" w:rsidR="00FD2097" w:rsidRPr="00BD03E4" w:rsidRDefault="001B69DD" w:rsidP="001B69D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8661F"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28431DFF" w14:textId="3EE44640" w:rsidR="00A410EA" w:rsidRPr="004433F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1A56FD94" w:rsidR="00A410EA" w:rsidRPr="004433F4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02CBD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5C73860" w14:textId="0206187A" w:rsidR="00301FF8" w:rsidRPr="00A72EC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02CBD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11012B77" w14:textId="3B6B2B95" w:rsid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02CBD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23A35C1E" w14:textId="6EFFF628" w:rsidR="00CA3381" w:rsidRP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02CBD">
                  <w:rPr>
                    <w:lang w:val="is-IS"/>
                  </w:rPr>
                  <w:t>Á ekki við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00E54D67" w:rsidR="00C16C66" w:rsidRPr="004E0E11" w:rsidRDefault="00D821C5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Gert er ráð fyrir að áhrifin á fjárhag sveitarfélaga verði hlutlaus þar sem útgjöld lækka og tekjur samsvarandi.</w:t>
                </w:r>
              </w:p>
              <w:p w14:paraId="1145B43A" w14:textId="62EF2A18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14768176" w:rsidR="00AC19E3" w:rsidRPr="004E0E11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650C1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A402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650C10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F933ABF" w14:textId="76A0C5D1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DCCF32C" w14:textId="0E24606B" w:rsidR="00C16C66" w:rsidRPr="00BA4024" w:rsidRDefault="00CE06FC" w:rsidP="00BA4024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650C1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A402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650C10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2D0533F4" w14:textId="059FA65B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462B5F2E" w:rsidR="00C16C66" w:rsidRPr="00C16C66" w:rsidRDefault="00650C10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3CFDCD51" w14:textId="13CC5C4F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0518EFAE" w:rsidR="00C16C66" w:rsidRPr="00C16C66" w:rsidRDefault="00650C10" w:rsidP="00C16C66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3E1BBD6F" w14:textId="6550E521" w:rsidR="003C66CA" w:rsidRPr="004E0E11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C75A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A4024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8C75A6" w:rsidRPr="00BA4024"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7705CC14" w14:textId="33336316" w:rsidR="00AC19E3" w:rsidRDefault="00886857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77777777" w:rsidR="00C16C66" w:rsidRPr="004E0E11" w:rsidRDefault="00C16C66" w:rsidP="003C66CA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88DA598" w14:textId="4E866A8E" w:rsidR="00346619" w:rsidRPr="00BA4024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BA4024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8C75A6" w:rsidRPr="00BA4024">
                  <w:rPr>
                    <w:rFonts w:ascii="Times New Roman" w:hAnsi="Times New Roman" w:cs="Times New Roman"/>
                    <w:bCs/>
                    <w:lang w:val="is-IS"/>
                  </w:rPr>
                  <w:t>Þau áhrif voru ekki metin.</w:t>
                </w:r>
              </w:p>
              <w:p w14:paraId="256A3D5F" w14:textId="77777777" w:rsidR="00193979" w:rsidRPr="00193979" w:rsidRDefault="00193979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73EEEED3" w14:textId="2FEF3FF0" w:rsidR="00193979" w:rsidRPr="00BA4024" w:rsidRDefault="00346619" w:rsidP="00BA402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C75A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A4024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8C75A6" w:rsidRPr="00BA4024"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54C04B54" w14:textId="6D1E1AAE" w:rsidR="00193979" w:rsidRPr="00BA4024" w:rsidRDefault="00346619" w:rsidP="00BA402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C75A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A4024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8C75A6" w:rsidRPr="00BA4024"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50575E74" w14:textId="34BD1765" w:rsidR="00193979" w:rsidRPr="00BA4024" w:rsidRDefault="00346619" w:rsidP="00BA402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C75A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BA4024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8C75A6" w:rsidRPr="00BA4024"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2F324F82" w14:textId="54C53AAA" w:rsidR="00193979" w:rsidRPr="00BA4024" w:rsidRDefault="00346619" w:rsidP="00BA402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C75A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C861A2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8C75A6" w:rsidRPr="00C861A2">
                  <w:rPr>
                    <w:rFonts w:ascii="Times New Roman" w:hAnsi="Times New Roman" w:cs="Times New Roman"/>
                    <w:bCs/>
                    <w:lang w:val="is-IS"/>
                  </w:rPr>
                  <w:t>Með hraðari uppbyggingu hjúkrunarheimila er öldruðum betur tryggt húsnæði eftir þörfum.</w:t>
                </w:r>
              </w:p>
              <w:p w14:paraId="10635864" w14:textId="77777777" w:rsidR="00193979" w:rsidRDefault="00346619" w:rsidP="008831B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7D1EA7FD" w:rsidR="000D6E33" w:rsidRPr="00193979" w:rsidRDefault="00346619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C7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ekki við.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2E85BDBF" w:rsidR="00193979" w:rsidRPr="00193979" w:rsidRDefault="00E90CD7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Með því að undanskilja sveitarfélög að taka þátt í uppbyggingu hjúkrunarheimila með greiðslu 15% af byggingarkostnaði þeirra </w:t>
                </w:r>
                <w:r w:rsidR="00B768B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og á sama tíma </w:t>
                </w:r>
                <w:r w:rsidR="00B768BC">
                  <w:rPr>
                    <w:rFonts w:ascii="Times New Roman" w:hAnsi="Times New Roman" w:cs="Times New Roman"/>
                    <w:lang w:val="is-IS"/>
                  </w:rPr>
                  <w:t xml:space="preserve">taki þau ekki þátt í greiðslu leigu á húsnæði hjúkrunarheimila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þá fellur meiri kostnaður á ríkið. Á móti kemur ef gerðar verða breytingar á tekjustofni sveitarfélaga </w:t>
                </w:r>
                <w:r w:rsidR="00EA252D">
                  <w:rPr>
                    <w:rFonts w:ascii="Times New Roman" w:hAnsi="Times New Roman" w:cs="Times New Roman"/>
                    <w:lang w:val="is-IS"/>
                  </w:rPr>
                  <w:t>sem skilar sér í sambærilegum jákvæðum áhrifum á tekjuhlið ríkissjóðs</w:t>
                </w:r>
                <w:r w:rsidR="00EA252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þá ættu engin áhrif að verða á fjárhag ríkissjóð</w:t>
                </w:r>
                <w:r w:rsidR="00B768B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heild sinni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r w:rsidR="00EA252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6C7C3DC8" w14:textId="040E1813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77777777" w:rsidR="00193979" w:rsidRPr="00193979" w:rsidRDefault="0019397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1E13C3C2" w:rsidR="00193979" w:rsidRDefault="00346619" w:rsidP="00F33A33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B0B232D" w14:textId="79D1564A" w:rsidR="00032C44" w:rsidRDefault="00845D59" w:rsidP="00032C44">
                <w:pPr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Talsverðar tafir hafa orðið á byggingu hjúkrunarheimila og uppbygging hjúkrunarrýma því verið hægari en áætlað var í framkvæmdaáætlun um byggingu hjúkrunarheimila. Þetta hefur leitt til mikils skorts á hjúkrunarrýmum sem nauðsynlegt er að bregðast við. Í sumum tilfellum </w:t>
                </w:r>
                <w:r w:rsidR="00EA252D">
                  <w:rPr>
                    <w:rFonts w:ascii="Times New Roman" w:hAnsi="Times New Roman" w:cs="Times New Roman"/>
                    <w:lang w:val="is-IS"/>
                  </w:rPr>
                  <w:t>bíða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einstaklingar</w:t>
                </w:r>
                <w:r w:rsidR="00EA252D">
                  <w:rPr>
                    <w:rFonts w:ascii="Times New Roman" w:hAnsi="Times New Roman" w:cs="Times New Roman"/>
                    <w:lang w:val="is-IS"/>
                  </w:rPr>
                  <w:t xml:space="preserve"> eftir hjúkrunarrýmum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í dýrara úrræð</w:t>
                </w:r>
                <w:r w:rsidR="00EA252D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eins og sjúkrarýmum. </w:t>
                </w:r>
              </w:p>
              <w:p w14:paraId="04621481" w14:textId="5ACB79C3" w:rsidR="00032C44" w:rsidRPr="00032C44" w:rsidRDefault="00032C44" w:rsidP="00032C44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032C44">
                  <w:rPr>
                    <w:rFonts w:ascii="Times New Roman" w:hAnsi="Times New Roman" w:cs="Times New Roman"/>
                    <w:lang w:val="is-IS"/>
                  </w:rPr>
                  <w:t xml:space="preserve">Meginmarkmið með nýju fasteignafyrirkomulagi hjúkrunarheimila er að: </w:t>
                </w:r>
              </w:p>
              <w:p w14:paraId="41B95422" w14:textId="77777777" w:rsidR="00032C44" w:rsidRPr="00032C44" w:rsidRDefault="00032C44" w:rsidP="00032C44">
                <w:pPr>
                  <w:pStyle w:val="ListBullet"/>
                  <w:numPr>
                    <w:ilvl w:val="0"/>
                    <w:numId w:val="31"/>
                  </w:numPr>
                  <w:ind w:left="272" w:hanging="27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032C44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Auka hagkvæmni og framkvæmdahraða vegna fjárfestinga í hjúkrunarheimilum þannig að aðstaða sé til staðar í samræmi við þjónustuþörf hverju sinni. </w:t>
                </w:r>
              </w:p>
              <w:p w14:paraId="7DDD69D3" w14:textId="77777777" w:rsidR="00032C44" w:rsidRPr="00032C44" w:rsidRDefault="00032C44" w:rsidP="00032C44">
                <w:pPr>
                  <w:pStyle w:val="ListBullet"/>
                  <w:numPr>
                    <w:ilvl w:val="0"/>
                    <w:numId w:val="31"/>
                  </w:numPr>
                  <w:ind w:left="272" w:hanging="27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032C44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Auka sveigjanleika og sérhæfingu við byggingu og rekstur hjúkrunarheimila. </w:t>
                </w:r>
              </w:p>
              <w:p w14:paraId="3231BCD0" w14:textId="77777777" w:rsidR="00032C44" w:rsidRPr="00032C44" w:rsidRDefault="00032C44" w:rsidP="00032C44">
                <w:pPr>
                  <w:pStyle w:val="ListBullet"/>
                  <w:numPr>
                    <w:ilvl w:val="0"/>
                    <w:numId w:val="31"/>
                  </w:numPr>
                  <w:ind w:left="272" w:hanging="272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032C44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Tryggja að fjármunir séu til staðar til að hægt sé að ráðast í nauðsynlegt viðhald og endurbætur til að koma í veg fyrir að viðhaldsskuld myndist yfir lengri tíma með tilheyrandi kostnaði. </w:t>
                </w:r>
              </w:p>
              <w:p w14:paraId="6B09DAA3" w14:textId="63FEF8B4" w:rsidR="00CA3381" w:rsidRPr="00193979" w:rsidRDefault="00D0066D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964699272" w:displacedByCustomXml="next"/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45438163" w14:textId="3F3C599C" w:rsidR="00193979" w:rsidRPr="008C75A6" w:rsidRDefault="00D64A3D" w:rsidP="00193979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1DDEB959" w:rsidR="00193979" w:rsidRPr="008C75A6" w:rsidRDefault="00D64A3D" w:rsidP="008C75A6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74B4539E" w14:textId="269C23F2" w:rsidR="00EB6651" w:rsidRPr="008C75A6" w:rsidRDefault="00D64A3D" w:rsidP="00193979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B6651" w:rsidRPr="008C7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BE3" w14:textId="77777777" w:rsidR="00002CD4" w:rsidRDefault="00002CD4" w:rsidP="007478E0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02CD4" w:rsidRDefault="00002CD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D3EC" w14:textId="77777777" w:rsidR="00002CD4" w:rsidRDefault="00002CD4" w:rsidP="007478E0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02CD4" w:rsidRDefault="00002CD4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FBF"/>
    <w:multiLevelType w:val="hybridMultilevel"/>
    <w:tmpl w:val="EDC8B64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354B8"/>
    <w:multiLevelType w:val="multilevel"/>
    <w:tmpl w:val="400220A6"/>
    <w:lvl w:ilvl="0">
      <w:start w:val="1"/>
      <w:numFmt w:val="bullet"/>
      <w:pStyle w:val="ListBullet"/>
      <w:lvlText w:val=""/>
      <w:lvlJc w:val="left"/>
      <w:pPr>
        <w:ind w:left="272" w:hanging="272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28"/>
  </w:num>
  <w:num w:numId="5">
    <w:abstractNumId w:val="19"/>
  </w:num>
  <w:num w:numId="6">
    <w:abstractNumId w:val="13"/>
  </w:num>
  <w:num w:numId="7">
    <w:abstractNumId w:val="9"/>
  </w:num>
  <w:num w:numId="8">
    <w:abstractNumId w:val="7"/>
  </w:num>
  <w:num w:numId="9">
    <w:abstractNumId w:val="15"/>
  </w:num>
  <w:num w:numId="10">
    <w:abstractNumId w:val="16"/>
  </w:num>
  <w:num w:numId="11">
    <w:abstractNumId w:val="25"/>
  </w:num>
  <w:num w:numId="12">
    <w:abstractNumId w:val="27"/>
  </w:num>
  <w:num w:numId="13">
    <w:abstractNumId w:val="2"/>
  </w:num>
  <w:num w:numId="14">
    <w:abstractNumId w:val="3"/>
  </w:num>
  <w:num w:numId="15">
    <w:abstractNumId w:val="30"/>
  </w:num>
  <w:num w:numId="16">
    <w:abstractNumId w:val="0"/>
  </w:num>
  <w:num w:numId="17">
    <w:abstractNumId w:val="14"/>
  </w:num>
  <w:num w:numId="18">
    <w:abstractNumId w:val="23"/>
  </w:num>
  <w:num w:numId="19">
    <w:abstractNumId w:val="24"/>
  </w:num>
  <w:num w:numId="20">
    <w:abstractNumId w:val="21"/>
  </w:num>
  <w:num w:numId="21">
    <w:abstractNumId w:val="11"/>
  </w:num>
  <w:num w:numId="22">
    <w:abstractNumId w:val="22"/>
  </w:num>
  <w:num w:numId="23">
    <w:abstractNumId w:val="17"/>
  </w:num>
  <w:num w:numId="24">
    <w:abstractNumId w:val="4"/>
  </w:num>
  <w:num w:numId="25">
    <w:abstractNumId w:val="10"/>
  </w:num>
  <w:num w:numId="26">
    <w:abstractNumId w:val="8"/>
  </w:num>
  <w:num w:numId="27">
    <w:abstractNumId w:val="26"/>
  </w:num>
  <w:num w:numId="28">
    <w:abstractNumId w:val="5"/>
  </w:num>
  <w:num w:numId="29">
    <w:abstractNumId w:val="12"/>
  </w:num>
  <w:num w:numId="30">
    <w:abstractNumId w:val="2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32C44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60929"/>
    <w:rsid w:val="00176943"/>
    <w:rsid w:val="00187E36"/>
    <w:rsid w:val="00193979"/>
    <w:rsid w:val="001972B9"/>
    <w:rsid w:val="001B41BB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33F4"/>
    <w:rsid w:val="00450029"/>
    <w:rsid w:val="0045124C"/>
    <w:rsid w:val="004558D8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92E19"/>
    <w:rsid w:val="005A2A30"/>
    <w:rsid w:val="005B46C8"/>
    <w:rsid w:val="005C123A"/>
    <w:rsid w:val="005C1678"/>
    <w:rsid w:val="005E44E3"/>
    <w:rsid w:val="00613815"/>
    <w:rsid w:val="00614FAD"/>
    <w:rsid w:val="00650C10"/>
    <w:rsid w:val="00676A80"/>
    <w:rsid w:val="00683AF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291E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45D59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C75A6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2097"/>
    <w:rsid w:val="00956B33"/>
    <w:rsid w:val="009602BA"/>
    <w:rsid w:val="00960D10"/>
    <w:rsid w:val="00975572"/>
    <w:rsid w:val="0098661F"/>
    <w:rsid w:val="00986DC2"/>
    <w:rsid w:val="00993115"/>
    <w:rsid w:val="00994012"/>
    <w:rsid w:val="009941D2"/>
    <w:rsid w:val="009B7A52"/>
    <w:rsid w:val="009C2DA3"/>
    <w:rsid w:val="009C3565"/>
    <w:rsid w:val="009F43E8"/>
    <w:rsid w:val="009F64EA"/>
    <w:rsid w:val="00A01DD4"/>
    <w:rsid w:val="00A02CBD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768BC"/>
    <w:rsid w:val="00B863E2"/>
    <w:rsid w:val="00B9190E"/>
    <w:rsid w:val="00BA4024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609"/>
    <w:rsid w:val="00C67F5E"/>
    <w:rsid w:val="00C7397C"/>
    <w:rsid w:val="00C861A2"/>
    <w:rsid w:val="00CA3381"/>
    <w:rsid w:val="00CC343A"/>
    <w:rsid w:val="00CC774F"/>
    <w:rsid w:val="00CD60E4"/>
    <w:rsid w:val="00CE06FC"/>
    <w:rsid w:val="00CE190D"/>
    <w:rsid w:val="00CF477F"/>
    <w:rsid w:val="00D0066D"/>
    <w:rsid w:val="00D0355B"/>
    <w:rsid w:val="00D03E7A"/>
    <w:rsid w:val="00D0424B"/>
    <w:rsid w:val="00D121DE"/>
    <w:rsid w:val="00D148DB"/>
    <w:rsid w:val="00D23EAD"/>
    <w:rsid w:val="00D34DCD"/>
    <w:rsid w:val="00D36884"/>
    <w:rsid w:val="00D503AC"/>
    <w:rsid w:val="00D53AA7"/>
    <w:rsid w:val="00D62AAC"/>
    <w:rsid w:val="00D62CC3"/>
    <w:rsid w:val="00D64A3D"/>
    <w:rsid w:val="00D74D0E"/>
    <w:rsid w:val="00D821C5"/>
    <w:rsid w:val="00D87B33"/>
    <w:rsid w:val="00D913A8"/>
    <w:rsid w:val="00D96089"/>
    <w:rsid w:val="00DC0F9E"/>
    <w:rsid w:val="00DD7EA1"/>
    <w:rsid w:val="00DF2AA7"/>
    <w:rsid w:val="00E02D04"/>
    <w:rsid w:val="00E231B6"/>
    <w:rsid w:val="00E31C26"/>
    <w:rsid w:val="00E40F87"/>
    <w:rsid w:val="00E54F40"/>
    <w:rsid w:val="00E568F6"/>
    <w:rsid w:val="00E57920"/>
    <w:rsid w:val="00E648AA"/>
    <w:rsid w:val="00E664C8"/>
    <w:rsid w:val="00E67F09"/>
    <w:rsid w:val="00E71099"/>
    <w:rsid w:val="00E832C9"/>
    <w:rsid w:val="00E8379D"/>
    <w:rsid w:val="00E90CD7"/>
    <w:rsid w:val="00EA252D"/>
    <w:rsid w:val="00EB6651"/>
    <w:rsid w:val="00EE7DC8"/>
    <w:rsid w:val="00EF25FE"/>
    <w:rsid w:val="00F22D0A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3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3F7"/>
    <w:rPr>
      <w:vertAlign w:val="superscript"/>
    </w:rPr>
  </w:style>
  <w:style w:type="paragraph" w:styleId="ListBullet">
    <w:name w:val="List Bullet"/>
    <w:basedOn w:val="Normal"/>
    <w:uiPriority w:val="2"/>
    <w:qFormat/>
    <w:rsid w:val="00032C44"/>
    <w:pPr>
      <w:numPr>
        <w:numId w:val="30"/>
      </w:numPr>
      <w:spacing w:after="60" w:line="305" w:lineRule="atLeast"/>
      <w:ind w:left="612"/>
    </w:pPr>
    <w:rPr>
      <w:rFonts w:ascii="FiraGO Light" w:hAnsi="FiraGO Light" w:cs="Verdana"/>
      <w:sz w:val="19"/>
      <w:szCs w:val="19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Angela G. Eggertsdóttir</cp:lastModifiedBy>
  <cp:revision>3</cp:revision>
  <cp:lastPrinted>2024-06-04T12:54:00Z</cp:lastPrinted>
  <dcterms:created xsi:type="dcterms:W3CDTF">2024-06-04T11:10:00Z</dcterms:created>
  <dcterms:modified xsi:type="dcterms:W3CDTF">2024-06-04T13:17:00Z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