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28E5" w14:textId="77777777" w:rsidR="00E71F27" w:rsidRDefault="00E71F27" w:rsidP="00E71F27">
      <w:pPr>
        <w:pStyle w:val="Nmeringsskjalsmls"/>
      </w:pPr>
      <w:bookmarkStart w:id="0" w:name="_Toc303616026"/>
      <w:bookmarkStart w:id="1" w:name="_Toc303616027"/>
      <w:r>
        <w:t>14</w:t>
      </w:r>
      <w:r w:rsidR="009B63C3">
        <w:t>9</w:t>
      </w:r>
      <w:r>
        <w:t>. löggjafarþing 201</w:t>
      </w:r>
      <w:bookmarkEnd w:id="0"/>
      <w:r w:rsidR="009B63C3">
        <w:t>8</w:t>
      </w:r>
      <w:r>
        <w:t>–201</w:t>
      </w:r>
      <w:r w:rsidR="009B63C3">
        <w:t>9</w:t>
      </w:r>
      <w:r>
        <w:t xml:space="preserve">. </w:t>
      </w:r>
    </w:p>
    <w:p w14:paraId="71C4DE90" w14:textId="77777777" w:rsidR="00E71F27" w:rsidRDefault="00E71F27" w:rsidP="00E71F27">
      <w:pPr>
        <w:pStyle w:val="Nmeringsskjalsmls"/>
      </w:pPr>
      <w:r>
        <w:t>Þingskjal x — x. mál</w:t>
      </w:r>
      <w:bookmarkEnd w:id="1"/>
      <w:r>
        <w:t>.</w:t>
      </w:r>
    </w:p>
    <w:p w14:paraId="289B2071" w14:textId="77777777" w:rsidR="00E71F27" w:rsidRDefault="00E71F27" w:rsidP="00E71F27">
      <w:pPr>
        <w:pStyle w:val="Nmeringsskjalsmls"/>
      </w:pPr>
      <w:r>
        <w:t xml:space="preserve">Stjórnarfrumvarp. </w:t>
      </w:r>
    </w:p>
    <w:p w14:paraId="623858B4" w14:textId="77777777" w:rsidR="00E71F27" w:rsidRPr="002675EE" w:rsidRDefault="00E71F27" w:rsidP="002675EE">
      <w:pPr>
        <w:pStyle w:val="Fyrirsgn-skjalategund"/>
      </w:pPr>
      <w:r w:rsidRPr="002675EE">
        <w:t>Frumvarp til laga</w:t>
      </w:r>
    </w:p>
    <w:p w14:paraId="26AFE070" w14:textId="4A61E763" w:rsidR="00E71F27" w:rsidRPr="002675EE" w:rsidRDefault="00E71F27" w:rsidP="002675EE">
      <w:pPr>
        <w:pStyle w:val="Fyrirsgn-undirfyrirsgn"/>
      </w:pPr>
      <w:r w:rsidRPr="002675EE">
        <w:t xml:space="preserve">um </w:t>
      </w:r>
      <w:r w:rsidR="0087254D">
        <w:t>breyting á tollalögum, nr. 88/2005, með síðari breytingum</w:t>
      </w:r>
      <w:r w:rsidR="009C2EC1">
        <w:t xml:space="preserve"> (Flutningur fjármuna, VRA-vottun)</w:t>
      </w:r>
      <w:r w:rsidR="0087254D">
        <w:t>.</w:t>
      </w:r>
    </w:p>
    <w:p w14:paraId="4441E382" w14:textId="77777777" w:rsidR="005D5AEE" w:rsidRPr="005D5AEE" w:rsidRDefault="005D5AEE" w:rsidP="005D5AEE"/>
    <w:p w14:paraId="2EC1BC42" w14:textId="77777777" w:rsidR="00E71F27" w:rsidRDefault="00E71F27" w:rsidP="00E71F27">
      <w:pPr>
        <w:pStyle w:val="Frrherra"/>
      </w:pPr>
      <w:r>
        <w:t xml:space="preserve">Frá </w:t>
      </w:r>
      <w:r w:rsidR="0087254D">
        <w:t>fjármála- og efnahags</w:t>
      </w:r>
      <w:r>
        <w:t xml:space="preserve">ráðherra. </w:t>
      </w:r>
    </w:p>
    <w:p w14:paraId="595FF522" w14:textId="77777777" w:rsidR="00E71F27" w:rsidRPr="005B08E3" w:rsidRDefault="00E71F27" w:rsidP="00E71F27"/>
    <w:p w14:paraId="514C0C4A" w14:textId="77777777" w:rsidR="00105FFF" w:rsidRDefault="00105FFF" w:rsidP="00943B67">
      <w:pPr>
        <w:pStyle w:val="Greinarnmer"/>
      </w:pPr>
      <w:r>
        <w:t>1. gr.</w:t>
      </w:r>
    </w:p>
    <w:p w14:paraId="6D806525" w14:textId="77777777" w:rsidR="00105FFF" w:rsidRDefault="00105FFF" w:rsidP="00105FFF">
      <w:r>
        <w:t>2. mgr. 27. gr. laganna fellur brott.</w:t>
      </w:r>
    </w:p>
    <w:p w14:paraId="71B53CB7" w14:textId="77777777" w:rsidR="00105FFF" w:rsidRDefault="00105FFF" w:rsidP="00105FFF"/>
    <w:p w14:paraId="50E7377C" w14:textId="77777777" w:rsidR="00105FFF" w:rsidRDefault="00105FFF" w:rsidP="00105FFF">
      <w:pPr>
        <w:pStyle w:val="Greinarnmer"/>
      </w:pPr>
      <w:r>
        <w:t>2. gr.</w:t>
      </w:r>
    </w:p>
    <w:p w14:paraId="51486564" w14:textId="77777777" w:rsidR="008D271A" w:rsidRDefault="00105FFF" w:rsidP="00105FFF">
      <w:r>
        <w:t>Á eftir 27. gr. laganna kemur ný grein</w:t>
      </w:r>
      <w:r w:rsidR="008D271A">
        <w:t xml:space="preserve"> er verður</w:t>
      </w:r>
      <w:r>
        <w:t xml:space="preserve"> 27. gr. a, ásamt </w:t>
      </w:r>
      <w:r w:rsidR="008D271A">
        <w:t>fyrirsögn, svohljóðandi:</w:t>
      </w:r>
    </w:p>
    <w:p w14:paraId="616682E5" w14:textId="77777777" w:rsidR="008D271A" w:rsidRDefault="008D271A" w:rsidP="008D271A">
      <w:pPr>
        <w:pStyle w:val="Greinarfyrirsgn"/>
      </w:pPr>
      <w:r w:rsidRPr="008D271A">
        <w:t>Skýrslugjöf um flutning fjármuna</w:t>
      </w:r>
      <w:r>
        <w:t>.</w:t>
      </w:r>
    </w:p>
    <w:p w14:paraId="34B875AA" w14:textId="77330FB8" w:rsidR="008D271A" w:rsidRDefault="008D271A" w:rsidP="00105FFF">
      <w:r w:rsidRPr="008D271A">
        <w:t>Innflytjendum, útflytjendum, og eftir atvikum tollmiðlurum, ferðamönnum og farmönnum er skylt að gera tollstjóra sérstaklega grein fyrir fjármunum</w:t>
      </w:r>
      <w:r w:rsidR="00FA44BB">
        <w:t xml:space="preserve">, </w:t>
      </w:r>
      <w:r w:rsidR="00FA44BB" w:rsidRPr="008D271A">
        <w:t>í reiðufé eða handhafabréfum, þ.m.t. ferðatékkum</w:t>
      </w:r>
      <w:r w:rsidR="00FA44BB">
        <w:t>,</w:t>
      </w:r>
      <w:r w:rsidRPr="008D271A">
        <w:t xml:space="preserve"> </w:t>
      </w:r>
      <w:r>
        <w:t xml:space="preserve">sem </w:t>
      </w:r>
      <w:r w:rsidRPr="008D271A">
        <w:t>fluttir eru til</w:t>
      </w:r>
      <w:r w:rsidR="009D2DC6">
        <w:t xml:space="preserve"> landsins frá útlöndum</w:t>
      </w:r>
      <w:r w:rsidRPr="008D271A">
        <w:t xml:space="preserve"> og frá landinu</w:t>
      </w:r>
      <w:r w:rsidR="009D2DC6">
        <w:t xml:space="preserve"> til útlanda</w:t>
      </w:r>
      <w:r w:rsidRPr="008D271A">
        <w:t xml:space="preserve"> að hærri fjárhæð en sem nemur 10.000 evrum, miðað við opinbert viðmiðunargengi, eins og það er skráð hverju sinni. </w:t>
      </w:r>
    </w:p>
    <w:p w14:paraId="2386D8DF" w14:textId="77777777" w:rsidR="008D271A" w:rsidRDefault="008D271A" w:rsidP="00105FFF">
      <w:r w:rsidRPr="008D271A">
        <w:t>Upplýsingarnar sk</w:t>
      </w:r>
      <w:r>
        <w:t>al</w:t>
      </w:r>
      <w:r w:rsidRPr="008D271A">
        <w:t xml:space="preserve"> veita í því formi sem tollstjóri ákveður. </w:t>
      </w:r>
    </w:p>
    <w:p w14:paraId="073A9BE3" w14:textId="77777777" w:rsidR="00222519" w:rsidRDefault="008D271A" w:rsidP="00105FFF">
      <w:r w:rsidRPr="008D271A">
        <w:t xml:space="preserve">Upplýsingaskyldan nær til fjármuna sem ferðamenn og farmenn hafa meðferðis til landsins frá útlöndum eða frá landinu til útlanda. </w:t>
      </w:r>
    </w:p>
    <w:p w14:paraId="6E7B01C5" w14:textId="77777777" w:rsidR="00105FFF" w:rsidRDefault="008D271A" w:rsidP="00105FFF">
      <w:r w:rsidRPr="008D271A">
        <w:t>Upplýsingaskylda innflytjenda, útflytjanda og tollmiðlara nær til sendinga sem berast til landsins frá útlöndum og sendinga frá landinu til útlanda.</w:t>
      </w:r>
      <w:r>
        <w:t xml:space="preserve"> </w:t>
      </w:r>
    </w:p>
    <w:p w14:paraId="7FFFC624" w14:textId="77777777" w:rsidR="00B0057F" w:rsidRDefault="00B0057F" w:rsidP="00105FFF"/>
    <w:p w14:paraId="126162B8" w14:textId="77777777" w:rsidR="00105FFF" w:rsidRDefault="00B0057F" w:rsidP="00487E30">
      <w:pPr>
        <w:pStyle w:val="Greinarnmer"/>
      </w:pPr>
      <w:r>
        <w:t>3. gr.</w:t>
      </w:r>
    </w:p>
    <w:p w14:paraId="3D14E843" w14:textId="2DD9FAE3" w:rsidR="007D7E9D" w:rsidRDefault="00487E30" w:rsidP="00487E30">
      <w:r>
        <w:t xml:space="preserve">1. tölul. 2. mgr. 145. gr. a. laganna </w:t>
      </w:r>
      <w:r w:rsidR="00F60FB5">
        <w:t>orðast svo</w:t>
      </w:r>
      <w:r>
        <w:t xml:space="preserve">: </w:t>
      </w:r>
      <w:bookmarkStart w:id="2" w:name="_Hlk526776003"/>
      <w:r w:rsidR="009D2DC6">
        <w:t>U</w:t>
      </w:r>
      <w:r w:rsidR="00F60FB5" w:rsidRPr="00F60FB5">
        <w:t xml:space="preserve">msækjandi, stjórnendur, stjórnarmenn, starfsmenn sem bera ábyrgð á tollamálum umsækjanda eða umboðsmenn hafi ekki </w:t>
      </w:r>
      <w:r w:rsidR="007D7E9D" w:rsidRPr="007D7E9D">
        <w:t xml:space="preserve">á síðastliðnum þremur árum áður en umsókn er lögð fram </w:t>
      </w:r>
      <w:r w:rsidR="00F60FB5" w:rsidRPr="00F60FB5">
        <w:t>gerst sekir um</w:t>
      </w:r>
      <w:r w:rsidR="007D7E9D">
        <w:t xml:space="preserve"> alvarleg eða ítrekuð </w:t>
      </w:r>
      <w:r w:rsidR="00690006">
        <w:t xml:space="preserve">eftirfarandi </w:t>
      </w:r>
      <w:r w:rsidR="007D7E9D">
        <w:t>brot gegn ákvæðum laga eða stjórnvaldsfyrirmæla</w:t>
      </w:r>
      <w:bookmarkEnd w:id="2"/>
      <w:r w:rsidR="00BD55CF">
        <w:t>, hvort sem máli</w:t>
      </w:r>
      <w:r w:rsidR="00BC2FA9">
        <w:t>nu</w:t>
      </w:r>
      <w:r w:rsidR="00BD55CF">
        <w:t xml:space="preserve"> hefur verið lokið með </w:t>
      </w:r>
      <w:r w:rsidR="00397EF8">
        <w:t>sakfelli fyrir dómi,</w:t>
      </w:r>
      <w:r w:rsidR="00062AF4">
        <w:t xml:space="preserve"> </w:t>
      </w:r>
      <w:r w:rsidR="00397EF8">
        <w:t>annarri ákvörðun um sekt, beitingu stjórnsýsluviðurlaga</w:t>
      </w:r>
      <w:r w:rsidR="00BC2FA9">
        <w:t xml:space="preserve"> eða á grundvelli sáttar</w:t>
      </w:r>
      <w:r w:rsidR="007D7E9D">
        <w:t>:</w:t>
      </w:r>
    </w:p>
    <w:p w14:paraId="661F2DC0" w14:textId="77777777" w:rsidR="007D7E9D" w:rsidRDefault="00043406" w:rsidP="009E0296">
      <w:pPr>
        <w:pStyle w:val="Mlsgreinlista"/>
        <w:numPr>
          <w:ilvl w:val="0"/>
          <w:numId w:val="18"/>
        </w:numPr>
      </w:pPr>
      <w:r>
        <w:t xml:space="preserve">brot </w:t>
      </w:r>
      <w:r w:rsidR="00CD0C54">
        <w:t xml:space="preserve">gegn ákvæðum </w:t>
      </w:r>
      <w:r w:rsidR="00F60FB5" w:rsidRPr="00F60FB5">
        <w:t>laga þessara</w:t>
      </w:r>
      <w:r w:rsidR="003B6479">
        <w:t xml:space="preserve">, </w:t>
      </w:r>
    </w:p>
    <w:p w14:paraId="552B0FAA" w14:textId="77777777" w:rsidR="007D7E9D" w:rsidRDefault="00043406" w:rsidP="009E0296">
      <w:pPr>
        <w:pStyle w:val="Mlsgreinlista"/>
        <w:numPr>
          <w:ilvl w:val="0"/>
          <w:numId w:val="18"/>
        </w:numPr>
      </w:pPr>
      <w:r>
        <w:t xml:space="preserve">brot </w:t>
      </w:r>
      <w:r w:rsidR="00CD0C54">
        <w:t xml:space="preserve">gegn ákvæðum </w:t>
      </w:r>
      <w:r w:rsidR="00F60FB5" w:rsidRPr="00F60FB5">
        <w:t>annarra laga sem tollstjóra ber að framfylgja</w:t>
      </w:r>
      <w:r w:rsidR="003B61B8">
        <w:t>,</w:t>
      </w:r>
      <w:r w:rsidR="00F60FB5" w:rsidRPr="00F60FB5">
        <w:t xml:space="preserve"> </w:t>
      </w:r>
    </w:p>
    <w:p w14:paraId="7004E2B1" w14:textId="77777777" w:rsidR="006756F0" w:rsidRDefault="00043406" w:rsidP="009E0296">
      <w:pPr>
        <w:pStyle w:val="Mlsgreinlista"/>
        <w:numPr>
          <w:ilvl w:val="0"/>
          <w:numId w:val="18"/>
        </w:numPr>
      </w:pPr>
      <w:r>
        <w:t xml:space="preserve">brot gegn ákvæðum skattalaga, </w:t>
      </w:r>
    </w:p>
    <w:p w14:paraId="027F8D15" w14:textId="6D71DF3B" w:rsidR="00CD0C54" w:rsidRDefault="00CD0C54" w:rsidP="00062A6E">
      <w:pPr>
        <w:pStyle w:val="Mlsgreinlista"/>
        <w:numPr>
          <w:ilvl w:val="0"/>
          <w:numId w:val="18"/>
        </w:numPr>
      </w:pPr>
      <w:r>
        <w:t>önnur</w:t>
      </w:r>
      <w:r w:rsidR="00F60FB5" w:rsidRPr="00F60FB5">
        <w:t xml:space="preserve"> brot sem tengjast atvinnustarfsemi umsækjanda</w:t>
      </w:r>
      <w:r w:rsidR="005E17C3">
        <w:t xml:space="preserve">. </w:t>
      </w:r>
    </w:p>
    <w:p w14:paraId="7254007E" w14:textId="77777777" w:rsidR="00F60FB5" w:rsidRDefault="00F60FB5" w:rsidP="00487E30"/>
    <w:p w14:paraId="1BA3E5E0" w14:textId="77777777" w:rsidR="00F60FB5" w:rsidRDefault="00F60FB5" w:rsidP="00F60FB5">
      <w:pPr>
        <w:pStyle w:val="Greinarnmer"/>
      </w:pPr>
      <w:r>
        <w:t>4. gr.</w:t>
      </w:r>
    </w:p>
    <w:p w14:paraId="79B695C4" w14:textId="678C2B04" w:rsidR="00F60FB5" w:rsidRDefault="00F60FB5" w:rsidP="00487E30">
      <w:r>
        <w:t xml:space="preserve">2. tölul. 1. mgr. 145. gr. b. orðast svo: </w:t>
      </w:r>
      <w:r w:rsidRPr="00F60FB5">
        <w:t>Þegar rökstuddur grunur leikur á að viðurkenndur rekstraraðili, stjórnendur, stjórnarmenn, starfsmenn</w:t>
      </w:r>
      <w:r w:rsidR="00860355">
        <w:t xml:space="preserve"> </w:t>
      </w:r>
      <w:r w:rsidR="00860355" w:rsidRPr="00F60FB5">
        <w:t>sem bera ábyrgð á tollamálum umsækjanda</w:t>
      </w:r>
      <w:r w:rsidRPr="00F60FB5">
        <w:t xml:space="preserve"> eða umboðsmenn hafi framið brot </w:t>
      </w:r>
      <w:r>
        <w:t>s</w:t>
      </w:r>
      <w:r w:rsidR="002E4C51">
        <w:t>em fellur undir ákvæði</w:t>
      </w:r>
      <w:r>
        <w:t xml:space="preserve"> 1. tölul. 2. mgr. 145. </w:t>
      </w:r>
      <w:r>
        <w:lastRenderedPageBreak/>
        <w:t>gr.</w:t>
      </w:r>
      <w:r w:rsidR="00904CDB">
        <w:t xml:space="preserve"> a.</w:t>
      </w:r>
      <w:r w:rsidR="008F405E">
        <w:t xml:space="preserve"> og</w:t>
      </w:r>
      <w:r w:rsidRPr="00F60FB5">
        <w:t xml:space="preserve"> líklegt þykir að mati tollstjóra að viðkomandi muni verða sóttur til sakar</w:t>
      </w:r>
      <w:r w:rsidR="00DD5C5A">
        <w:t xml:space="preserve"> eða</w:t>
      </w:r>
      <w:r w:rsidR="001B4487">
        <w:t xml:space="preserve"> hafin sé rannsókn og meiri líkur en minni </w:t>
      </w:r>
      <w:r w:rsidR="009E0296">
        <w:t>þyki</w:t>
      </w:r>
      <w:r w:rsidR="001B4487">
        <w:t xml:space="preserve"> til þess að hann verði</w:t>
      </w:r>
      <w:r w:rsidR="00DD5C5A">
        <w:t xml:space="preserve"> beittur stjórnsýsluviðurlögum</w:t>
      </w:r>
      <w:r w:rsidRPr="00F60FB5">
        <w:t>.</w:t>
      </w:r>
    </w:p>
    <w:p w14:paraId="6C9C86C6" w14:textId="77777777" w:rsidR="009D6395" w:rsidRDefault="009D6395" w:rsidP="00487E30"/>
    <w:p w14:paraId="4BEB3C76" w14:textId="77777777" w:rsidR="00FE2979" w:rsidRDefault="00FE2979" w:rsidP="00C9539A">
      <w:pPr>
        <w:pStyle w:val="Greinarnmer"/>
      </w:pPr>
      <w:r>
        <w:t>5. gr.</w:t>
      </w:r>
    </w:p>
    <w:p w14:paraId="1A7B4F50" w14:textId="29D328DA" w:rsidR="00FE2979" w:rsidRDefault="00FE2979" w:rsidP="00FE2979">
      <w:r>
        <w:t>1</w:t>
      </w:r>
      <w:r w:rsidRPr="00FE2979">
        <w:t xml:space="preserve">. tölul. 1. mgr. 145. gr. </w:t>
      </w:r>
      <w:r>
        <w:t>c</w:t>
      </w:r>
      <w:r w:rsidRPr="00FE2979">
        <w:t>. orðast svo: Þegar viðurkenndur rekstraraðili, stjórnendur, stjórnarmenn, starfsmenn</w:t>
      </w:r>
      <w:r w:rsidR="00860355">
        <w:t xml:space="preserve"> </w:t>
      </w:r>
      <w:r w:rsidR="00860355" w:rsidRPr="00F60FB5">
        <w:t>sem bera ábyrgð á tollamálum umsækjanda</w:t>
      </w:r>
      <w:r w:rsidRPr="00FE2979">
        <w:t xml:space="preserve"> eða umboðsmenn haf</w:t>
      </w:r>
      <w:r>
        <w:t>a</w:t>
      </w:r>
      <w:r w:rsidRPr="00FE2979">
        <w:t xml:space="preserve"> </w:t>
      </w:r>
      <w:r>
        <w:t>gerst sekir</w:t>
      </w:r>
      <w:r w:rsidRPr="00FE2979">
        <w:t xml:space="preserve"> brot sem fellur undir ákvæði 1. tölul. 2. mgr. 145. gr. </w:t>
      </w:r>
      <w:r w:rsidR="00904CDB">
        <w:t>a.</w:t>
      </w:r>
    </w:p>
    <w:p w14:paraId="079E7EBE" w14:textId="77777777" w:rsidR="00FE2979" w:rsidRPr="00FE2979" w:rsidRDefault="00FE2979" w:rsidP="00FE2979"/>
    <w:p w14:paraId="6670E7DB" w14:textId="77777777" w:rsidR="00C9539A" w:rsidRDefault="00FE2979" w:rsidP="00C9539A">
      <w:pPr>
        <w:pStyle w:val="Greinarnmer"/>
      </w:pPr>
      <w:r>
        <w:t>6</w:t>
      </w:r>
      <w:r w:rsidR="00C9539A">
        <w:t>. gr.</w:t>
      </w:r>
    </w:p>
    <w:p w14:paraId="147BBC8A" w14:textId="77777777" w:rsidR="00C9539A" w:rsidRDefault="00C9539A" w:rsidP="00C9539A">
      <w:r>
        <w:t>Við XX. kafla laganna bætist nýtt ákvæði, er verður 145. gr. f., ásamt svohljóðandi fyrirsögn:</w:t>
      </w:r>
    </w:p>
    <w:p w14:paraId="69FCB6E6" w14:textId="77777777" w:rsidR="00C9539A" w:rsidRDefault="00C9539A" w:rsidP="00C9539A">
      <w:pPr>
        <w:pStyle w:val="Greinarfyrirsgn"/>
      </w:pPr>
      <w:r>
        <w:t>Vinnsla upplýsinga.</w:t>
      </w:r>
    </w:p>
    <w:p w14:paraId="1F017B4F" w14:textId="050C37D2" w:rsidR="00F2093A" w:rsidRDefault="00F2093A" w:rsidP="004F4925">
      <w:r>
        <w:t>Til</w:t>
      </w:r>
      <w:r w:rsidR="005840E4">
        <w:t xml:space="preserve"> að unnt </w:t>
      </w:r>
      <w:r w:rsidR="007D76BE">
        <w:t>verði</w:t>
      </w:r>
      <w:r w:rsidR="005840E4">
        <w:t xml:space="preserve"> að sannreyna </w:t>
      </w:r>
      <w:r w:rsidR="007974BE">
        <w:t>að</w:t>
      </w:r>
      <w:r w:rsidR="005840E4">
        <w:t xml:space="preserve"> viðurkenndur rekstraraðili</w:t>
      </w:r>
      <w:r w:rsidR="007974BE">
        <w:t xml:space="preserve"> eða</w:t>
      </w:r>
      <w:r w:rsidR="005840E4">
        <w:t xml:space="preserve"> </w:t>
      </w:r>
      <w:r w:rsidR="005840E4" w:rsidRPr="005840E4">
        <w:t>umsækjandi</w:t>
      </w:r>
      <w:r w:rsidR="007D76BE">
        <w:t xml:space="preserve"> um VRA-vottun</w:t>
      </w:r>
      <w:r w:rsidR="007974BE">
        <w:t xml:space="preserve"> uppfylli skilyrði 145. gr. a.</w:t>
      </w:r>
      <w:r w:rsidR="00CB09DE">
        <w:t>,</w:t>
      </w:r>
      <w:r w:rsidR="007974BE">
        <w:t xml:space="preserve"> 145. gr. b.</w:t>
      </w:r>
      <w:r w:rsidR="00CB09DE">
        <w:t xml:space="preserve"> eða 145. gr. c.</w:t>
      </w:r>
      <w:r w:rsidR="00EB2DE6">
        <w:t xml:space="preserve"> er tollstjóra heimil</w:t>
      </w:r>
      <w:r w:rsidR="00BA26EC">
        <w:t>t að</w:t>
      </w:r>
      <w:r w:rsidR="00EB2DE6">
        <w:t xml:space="preserve"> </w:t>
      </w:r>
      <w:r w:rsidR="00BA26EC">
        <w:t>afla</w:t>
      </w:r>
      <w:r w:rsidR="006978E8">
        <w:t xml:space="preserve"> og </w:t>
      </w:r>
      <w:r w:rsidR="00EB2DE6">
        <w:t>vinn</w:t>
      </w:r>
      <w:r w:rsidR="00BA26EC">
        <w:t>a</w:t>
      </w:r>
      <w:r w:rsidR="007B2D36">
        <w:t xml:space="preserve"> </w:t>
      </w:r>
      <w:r w:rsidR="004F4925" w:rsidRPr="004F4925">
        <w:t>upplýsinga</w:t>
      </w:r>
      <w:r w:rsidR="00BA26EC">
        <w:t>r frá opinberum aðilum</w:t>
      </w:r>
      <w:r w:rsidR="00062A6E">
        <w:t>, innlendum sem erlendum,</w:t>
      </w:r>
      <w:r w:rsidR="004F4925">
        <w:t xml:space="preserve"> </w:t>
      </w:r>
      <w:r w:rsidR="004F4925" w:rsidRPr="004F4925">
        <w:t>um</w:t>
      </w:r>
      <w:r>
        <w:t xml:space="preserve"> hvort</w:t>
      </w:r>
      <w:r w:rsidR="004F4925">
        <w:t xml:space="preserve"> </w:t>
      </w:r>
      <w:r w:rsidR="004F4925" w:rsidRPr="004F4925">
        <w:t>stjórnend</w:t>
      </w:r>
      <w:r>
        <w:t>ur</w:t>
      </w:r>
      <w:r w:rsidR="004F4925" w:rsidRPr="004F4925">
        <w:t>, stjórnarm</w:t>
      </w:r>
      <w:r>
        <w:t>enn</w:t>
      </w:r>
      <w:r w:rsidR="004F4925" w:rsidRPr="004F4925">
        <w:t>, starfsm</w:t>
      </w:r>
      <w:r>
        <w:t>enn</w:t>
      </w:r>
      <w:r w:rsidR="004F4925" w:rsidRPr="004F4925">
        <w:t xml:space="preserve"> </w:t>
      </w:r>
      <w:r>
        <w:t>eða</w:t>
      </w:r>
      <w:r w:rsidR="004F4925">
        <w:t xml:space="preserve"> </w:t>
      </w:r>
      <w:r w:rsidR="004F4925" w:rsidRPr="004F4925">
        <w:t>umboðsm</w:t>
      </w:r>
      <w:r>
        <w:t xml:space="preserve">enn hafi gerst sekir um brot skv. </w:t>
      </w:r>
      <w:r w:rsidRPr="00F2093A">
        <w:t>1. tölul. 2. mgr. 145. gr. a.</w:t>
      </w:r>
      <w:r>
        <w:t xml:space="preserve"> eða hafi verið ákærðir eða sæti rannsókn </w:t>
      </w:r>
      <w:r w:rsidR="009E0296">
        <w:t>skv. 2. tölul. 1. mgr. 145. gr. b</w:t>
      </w:r>
      <w:r>
        <w:t>.</w:t>
      </w:r>
      <w:r w:rsidR="003D05C6">
        <w:t xml:space="preserve"> Opinberu aðilunum, </w:t>
      </w:r>
      <w:r w:rsidR="003D05C6" w:rsidRPr="003D05C6">
        <w:t>þ.</w:t>
      </w:r>
      <w:r w:rsidR="008831B2">
        <w:t xml:space="preserve"> á m.</w:t>
      </w:r>
      <w:r w:rsidR="003D05C6" w:rsidRPr="003D05C6">
        <w:t xml:space="preserve"> dómstólum, sýslumönnum, lögreglu, handhöfum ákæruvalds, </w:t>
      </w:r>
      <w:r w:rsidR="003D05C6">
        <w:t xml:space="preserve">ríkisskattstjóra, </w:t>
      </w:r>
      <w:r w:rsidR="003D05C6" w:rsidRPr="003D05C6">
        <w:t>skattrannsóknarstjóra og stjórnsýslustofnunum sem hafa heimildir til að beita stjórnsýsluviðurlögum,</w:t>
      </w:r>
      <w:r w:rsidR="003D05C6">
        <w:t xml:space="preserve"> er skylt að veita tollstjóra upplýsingarnar</w:t>
      </w:r>
      <w:r w:rsidR="003D05C6" w:rsidRPr="00457D9C">
        <w:t>.</w:t>
      </w:r>
      <w:r w:rsidRPr="00457D9C">
        <w:t xml:space="preserve"> </w:t>
      </w:r>
      <w:r w:rsidR="008B1D76" w:rsidRPr="00457D9C">
        <w:t>Lagaákvæði um þagnarskyldu takmarka ekki skyldu</w:t>
      </w:r>
      <w:r w:rsidR="00457D9C">
        <w:t>na</w:t>
      </w:r>
      <w:r w:rsidR="008B1D76" w:rsidRPr="00457D9C">
        <w:t xml:space="preserve"> til þess að veita aðgang að </w:t>
      </w:r>
      <w:r w:rsidR="00457D9C">
        <w:t>upplýsingum</w:t>
      </w:r>
      <w:r w:rsidR="008B1D76" w:rsidRPr="00457D9C">
        <w:t>.</w:t>
      </w:r>
    </w:p>
    <w:p w14:paraId="79979FA9" w14:textId="141B3BDB" w:rsidR="00C044C1" w:rsidRDefault="008B1D76" w:rsidP="004F4925">
      <w:r>
        <w:t>Leiði upplýsingarnar í ljós að umsækjandi um VRA-vottun eða viðurkenndur rekstraraðili uppfyllir ekki skilyrði VRA-vottun</w:t>
      </w:r>
      <w:r w:rsidR="00F735B8">
        <w:t>ar</w:t>
      </w:r>
      <w:r>
        <w:t xml:space="preserve"> eða tilefni þykir til afturköllunar vottunarinnar er tollstjóra heimilt að upplýsa </w:t>
      </w:r>
      <w:r w:rsidR="008831B2">
        <w:t>aðilann</w:t>
      </w:r>
      <w:r>
        <w:t xml:space="preserve"> um </w:t>
      </w:r>
      <w:r w:rsidR="003552A6">
        <w:t xml:space="preserve">nánar tilgreindar </w:t>
      </w:r>
      <w:r>
        <w:t>ástæður</w:t>
      </w:r>
      <w:r w:rsidR="001227D9">
        <w:t xml:space="preserve"> þess</w:t>
      </w:r>
      <w:r>
        <w:t xml:space="preserve"> </w:t>
      </w:r>
      <w:r w:rsidR="00043BED">
        <w:t>ef</w:t>
      </w:r>
      <w:r w:rsidR="00F735B8">
        <w:t xml:space="preserve"> ótvírætt ligg</w:t>
      </w:r>
      <w:r w:rsidR="00043BED">
        <w:t>ur</w:t>
      </w:r>
      <w:r w:rsidR="00F735B8">
        <w:t xml:space="preserve"> fyrir að </w:t>
      </w:r>
      <w:r>
        <w:t xml:space="preserve">rannsóknarhagsmunir standi því ekki í vegi. </w:t>
      </w:r>
    </w:p>
    <w:p w14:paraId="504958CA" w14:textId="77777777" w:rsidR="002F79F5" w:rsidRDefault="002F79F5" w:rsidP="004F4925">
      <w:r>
        <w:t xml:space="preserve">Listi með heitum og kennitölu </w:t>
      </w:r>
      <w:r w:rsidR="003715D0">
        <w:t>viðurkenndra rekstraraðila skal vera öllum aðgengilegur á vefsvæði tollstjóra.</w:t>
      </w:r>
    </w:p>
    <w:p w14:paraId="28E020D0" w14:textId="1FD34BA2" w:rsidR="003D05C6" w:rsidRDefault="003715D0" w:rsidP="004F4925">
      <w:r>
        <w:t xml:space="preserve">Að uppfylltum skilyrðum 16. gr. laga </w:t>
      </w:r>
      <w:r w:rsidRPr="003715D0">
        <w:t>um persónuvernd og vinnslu persónuupplýsinga</w:t>
      </w:r>
      <w:r>
        <w:t xml:space="preserve"> er t</w:t>
      </w:r>
      <w:r w:rsidR="00C8333F">
        <w:t>ollstjóra heimilt að miðla upplýsingum um</w:t>
      </w:r>
      <w:r w:rsidR="009D6395">
        <w:t xml:space="preserve"> aðila sem </w:t>
      </w:r>
      <w:r w:rsidR="00AE5CED">
        <w:t xml:space="preserve">hlotið </w:t>
      </w:r>
      <w:r w:rsidR="009D6395">
        <w:t xml:space="preserve">hafa VRA-vottun til viðeigandi stjórnvalda í öðrum ríkjum í </w:t>
      </w:r>
      <w:r w:rsidR="00FB462F">
        <w:t>samræmi við ákvæði</w:t>
      </w:r>
      <w:r w:rsidR="009D6395">
        <w:t xml:space="preserve"> gagnkvæmra samninga um</w:t>
      </w:r>
      <w:r w:rsidR="00AE5CED">
        <w:t xml:space="preserve"> viðurkenningu rekstraraðila</w:t>
      </w:r>
      <w:r>
        <w:t>, þ.m.t. upplýsingum skv. 1. mgr.</w:t>
      </w:r>
      <w:r w:rsidR="009D6395">
        <w:t xml:space="preserve">  </w:t>
      </w:r>
    </w:p>
    <w:p w14:paraId="3957A6D3" w14:textId="77777777" w:rsidR="00487E30" w:rsidRPr="00487E30" w:rsidRDefault="00487E30" w:rsidP="00487E30"/>
    <w:p w14:paraId="72A7CFA1" w14:textId="6CF90410" w:rsidR="00DE1D50" w:rsidRDefault="00DE6DD5" w:rsidP="00943B67">
      <w:pPr>
        <w:pStyle w:val="Greinarnmer"/>
      </w:pPr>
      <w:r>
        <w:t>7</w:t>
      </w:r>
      <w:r w:rsidR="00DE1D50">
        <w:t>. gr.</w:t>
      </w:r>
    </w:p>
    <w:p w14:paraId="2AD551AB" w14:textId="77777777" w:rsidR="008D271A" w:rsidRDefault="008D271A" w:rsidP="00943B67">
      <w:r>
        <w:t>1</w:t>
      </w:r>
      <w:r w:rsidR="00C94EDB">
        <w:t xml:space="preserve">. mgr. </w:t>
      </w:r>
      <w:r w:rsidR="00886C84">
        <w:t>162. gr.</w:t>
      </w:r>
      <w:r>
        <w:t xml:space="preserve"> laganna orðast svo:</w:t>
      </w:r>
    </w:p>
    <w:p w14:paraId="54AAE277" w14:textId="6144DDFC" w:rsidR="00886C84" w:rsidRDefault="008D271A" w:rsidP="00943B67">
      <w:r w:rsidRPr="008D271A">
        <w:t>Flytji innflytjandi, útflytjandi, tollmiðlari, ferðamaður eða farmaður fjármuni skv. 27. gr. a. til landsins</w:t>
      </w:r>
      <w:r w:rsidR="00904CDB">
        <w:t xml:space="preserve"> </w:t>
      </w:r>
      <w:r w:rsidR="00611F70">
        <w:t xml:space="preserve">frá útlöndum </w:t>
      </w:r>
      <w:r w:rsidR="00904CDB">
        <w:t>eða frá landinu til útlanda</w:t>
      </w:r>
      <w:r>
        <w:t xml:space="preserve"> </w:t>
      </w:r>
      <w:r w:rsidRPr="008D271A">
        <w:t>er handhöfum tollgæsluvalds heimilt að leggja hald á fjármunina ef grunur leikur á um að þeir verði notaðir við framkvæmd brots gegn refsiákvæðum almennra hegningarlaga.</w:t>
      </w:r>
    </w:p>
    <w:p w14:paraId="3ABEC4CD" w14:textId="77777777" w:rsidR="003526E2" w:rsidRDefault="003526E2" w:rsidP="00943B67"/>
    <w:p w14:paraId="4390B095" w14:textId="12123EAA" w:rsidR="00FA44BB" w:rsidRDefault="00DE6DD5" w:rsidP="003526E2">
      <w:pPr>
        <w:pStyle w:val="Greinarnmer"/>
      </w:pPr>
      <w:r>
        <w:t>8</w:t>
      </w:r>
      <w:r w:rsidR="00FA44BB">
        <w:t>. gr.</w:t>
      </w:r>
    </w:p>
    <w:p w14:paraId="20D3223E" w14:textId="77777777" w:rsidR="00FA44BB" w:rsidRDefault="00FA44BB" w:rsidP="00FA44BB">
      <w:r>
        <w:t>Eftirfarandi breytingar verða á 172. gr. laganna:</w:t>
      </w:r>
    </w:p>
    <w:p w14:paraId="5ED55D64" w14:textId="77777777" w:rsidR="00FA44BB" w:rsidRDefault="00FA44BB" w:rsidP="00FA44BB">
      <w:pPr>
        <w:pStyle w:val="Mlsgreinlista"/>
        <w:numPr>
          <w:ilvl w:val="0"/>
          <w:numId w:val="14"/>
        </w:numPr>
      </w:pPr>
      <w:r>
        <w:t xml:space="preserve">Á eftir 3. mgr. kemur ný málsgrein er verður 4. mgr., svohljóðandi: </w:t>
      </w:r>
    </w:p>
    <w:p w14:paraId="3A6CC05C" w14:textId="5B01312F" w:rsidR="00FA44BB" w:rsidRDefault="00FA44BB" w:rsidP="00FA44BB">
      <w:pPr>
        <w:pStyle w:val="Mlsgreinlista"/>
        <w:ind w:left="425" w:firstLine="0"/>
      </w:pPr>
      <w:r w:rsidRPr="00FA44BB">
        <w:t xml:space="preserve">Innflytjandi, útflytjandi, tollmiðlari, ferðamaður eða farmaður sem </w:t>
      </w:r>
      <w:bookmarkStart w:id="3" w:name="_Hlk526423230"/>
      <w:r w:rsidR="0017744F">
        <w:t>af ásetningi</w:t>
      </w:r>
      <w:r w:rsidR="003E3CE0">
        <w:t xml:space="preserve"> eða stórkostlegu gáleysi</w:t>
      </w:r>
      <w:r w:rsidR="0017744F">
        <w:t xml:space="preserve"> </w:t>
      </w:r>
      <w:r w:rsidRPr="00FA44BB">
        <w:t>lætur hjá líða að gera grein fyrir fjármunaflutningum skv. 27. gr. a</w:t>
      </w:r>
      <w:r w:rsidR="000E401B">
        <w:t>,</w:t>
      </w:r>
      <w:r w:rsidRPr="00FA44BB">
        <w:t xml:space="preserve"> ellegar veitir rangar eða villandi upplýsingar um slíka flutninga</w:t>
      </w:r>
      <w:bookmarkEnd w:id="3"/>
      <w:r w:rsidR="000E401B">
        <w:t>,</w:t>
      </w:r>
      <w:r w:rsidRPr="00FA44BB">
        <w:t xml:space="preserve"> skal sæta sektum</w:t>
      </w:r>
      <w:r w:rsidR="00015870">
        <w:t>.</w:t>
      </w:r>
    </w:p>
    <w:p w14:paraId="791C6D00" w14:textId="77777777" w:rsidR="00FA44BB" w:rsidRPr="00FA44BB" w:rsidRDefault="00FA44BB" w:rsidP="00FA44BB">
      <w:pPr>
        <w:pStyle w:val="Mlsgreinlista"/>
        <w:numPr>
          <w:ilvl w:val="0"/>
          <w:numId w:val="14"/>
        </w:numPr>
      </w:pPr>
      <w:r>
        <w:t xml:space="preserve">Í stað orðanna „1. eða 3. mgr.“ í 4. mgr. kemur: 1., 3. eða 4. mgr.  </w:t>
      </w:r>
    </w:p>
    <w:p w14:paraId="528E8233" w14:textId="77777777" w:rsidR="00B17596" w:rsidRDefault="00B17596" w:rsidP="00FB0B6D"/>
    <w:p w14:paraId="4025B944" w14:textId="7F5FCF71" w:rsidR="00FB0B6D" w:rsidRDefault="00DE6DD5" w:rsidP="000532EF">
      <w:pPr>
        <w:pStyle w:val="Greinarnmer"/>
      </w:pPr>
      <w:r>
        <w:lastRenderedPageBreak/>
        <w:t>9</w:t>
      </w:r>
      <w:r w:rsidR="000532EF">
        <w:t>. gr.</w:t>
      </w:r>
    </w:p>
    <w:p w14:paraId="02413E46" w14:textId="77777777" w:rsidR="004A2638" w:rsidRDefault="004A2638" w:rsidP="00943B67">
      <w:r w:rsidRPr="004A2638">
        <w:t xml:space="preserve">Lög þessi öðlast þegar gildi. </w:t>
      </w:r>
    </w:p>
    <w:p w14:paraId="1BFEAB5E" w14:textId="0C81420D" w:rsidR="001B3BC3" w:rsidRDefault="004A2638" w:rsidP="00943B67">
      <w:r>
        <w:t xml:space="preserve">Ákvæði </w:t>
      </w:r>
      <w:r w:rsidR="001B3BC3">
        <w:t>1.</w:t>
      </w:r>
      <w:r w:rsidR="002E4C51">
        <w:t xml:space="preserve">, 2., </w:t>
      </w:r>
      <w:r w:rsidR="008831B2">
        <w:t>7</w:t>
      </w:r>
      <w:r w:rsidR="002E4C51">
        <w:t>.</w:t>
      </w:r>
      <w:r w:rsidR="001B3BC3">
        <w:t xml:space="preserve"> </w:t>
      </w:r>
      <w:r w:rsidR="002E4C51">
        <w:t xml:space="preserve">og </w:t>
      </w:r>
      <w:r w:rsidR="008831B2">
        <w:t>8</w:t>
      </w:r>
      <w:r w:rsidR="002E4C51">
        <w:t xml:space="preserve">. </w:t>
      </w:r>
      <w:r w:rsidR="001B3BC3">
        <w:t>gr. tak</w:t>
      </w:r>
      <w:r>
        <w:t>a þó</w:t>
      </w:r>
      <w:r w:rsidR="001B3BC3">
        <w:t xml:space="preserve"> gildi 1. maí 2019.</w:t>
      </w:r>
    </w:p>
    <w:p w14:paraId="140107E0" w14:textId="77777777" w:rsidR="00C35574" w:rsidRDefault="00C35574" w:rsidP="00943B67"/>
    <w:p w14:paraId="0697D4E0" w14:textId="77777777" w:rsidR="00E71F27" w:rsidRDefault="00E71F27" w:rsidP="00E71F27">
      <w:pPr>
        <w:pStyle w:val="Fyrirsgn-greinarger"/>
      </w:pPr>
      <w:r w:rsidRPr="001B6AC6">
        <w:t>Greinargerð</w:t>
      </w:r>
      <w:r>
        <w:t>.</w:t>
      </w:r>
    </w:p>
    <w:p w14:paraId="09CE4735" w14:textId="77777777" w:rsidR="00C35574" w:rsidRDefault="00C35574" w:rsidP="00943B67"/>
    <w:p w14:paraId="498E67B6" w14:textId="77777777" w:rsidR="00D0740D" w:rsidRDefault="00E71F27" w:rsidP="00D0740D">
      <w:pPr>
        <w:pStyle w:val="Millifyrirsgn1"/>
      </w:pPr>
      <w:r>
        <w:t>1</w:t>
      </w:r>
      <w:r w:rsidR="00D0740D">
        <w:t xml:space="preserve">. Inngangur. </w:t>
      </w:r>
    </w:p>
    <w:p w14:paraId="7A965E33" w14:textId="442F3527" w:rsidR="00457D9C" w:rsidRDefault="00364ED6" w:rsidP="00D0740D">
      <w:r w:rsidRPr="00364ED6">
        <w:t>Frumvarp þetta er samið í fjármála- og efnahagsráðuneytinu</w:t>
      </w:r>
      <w:r>
        <w:t xml:space="preserve"> að höfðu samráði við embætti tollstjóra</w:t>
      </w:r>
      <w:r w:rsidRPr="00364ED6">
        <w:t xml:space="preserve">. Í því eru annars vegar lagðar til breytingar á ákvæðum </w:t>
      </w:r>
      <w:r w:rsidR="008831B2">
        <w:t xml:space="preserve">tollalaga </w:t>
      </w:r>
      <w:r w:rsidRPr="00364ED6">
        <w:t xml:space="preserve">um upplýsingagjöf um flutning fjármuna milli landa og hins vegar breytingar sem snúa að svokallaðri VRA-vottun. </w:t>
      </w:r>
    </w:p>
    <w:p w14:paraId="772D9871" w14:textId="381510CD" w:rsidR="00D0740D" w:rsidRDefault="00457D9C" w:rsidP="00D0740D">
      <w:r>
        <w:t xml:space="preserve">Upplýsingaskyldu um flutning fjármuna milli landa er ætlað að gera stjórnvöldum fært að </w:t>
      </w:r>
      <w:r w:rsidRPr="00457D9C">
        <w:t>koma í veg fyrir peningaþvætti og fjármögnun hryðjuverka</w:t>
      </w:r>
      <w:r>
        <w:t xml:space="preserve">. </w:t>
      </w:r>
      <w:r w:rsidR="00364ED6" w:rsidRPr="00364ED6">
        <w:t>Vottun viðurkenndra rekstraraðila</w:t>
      </w:r>
      <w:r w:rsidR="005F3D62">
        <w:t xml:space="preserve"> (VRA)</w:t>
      </w:r>
      <w:r w:rsidR="00364ED6" w:rsidRPr="00364ED6">
        <w:t xml:space="preserve"> er ætlað að stuðla að aukinni skilvirkni og hraðari för vara til og frá landinu.</w:t>
      </w:r>
    </w:p>
    <w:p w14:paraId="2B3E1366" w14:textId="77777777" w:rsidR="00364ED6" w:rsidRDefault="00364ED6" w:rsidP="00D0740D"/>
    <w:p w14:paraId="077AFCB6" w14:textId="77777777" w:rsidR="00D0740D" w:rsidRDefault="00E71F27" w:rsidP="00D0740D">
      <w:pPr>
        <w:pStyle w:val="Millifyrirsgn1"/>
      </w:pPr>
      <w:r>
        <w:t>2</w:t>
      </w:r>
      <w:r w:rsidR="00D0740D">
        <w:t xml:space="preserve">. Tilefni og nauðsyn lagasetningar. </w:t>
      </w:r>
    </w:p>
    <w:p w14:paraId="143D7EA1" w14:textId="77777777" w:rsidR="009B63C3" w:rsidRDefault="00364ED6" w:rsidP="00D0740D">
      <w:r>
        <w:t xml:space="preserve">Markmið frumvarpsins er að </w:t>
      </w:r>
      <w:r w:rsidR="009B63C3">
        <w:t>gera úrbætur á</w:t>
      </w:r>
      <w:r>
        <w:t xml:space="preserve"> ákvæð</w:t>
      </w:r>
      <w:r w:rsidR="009B63C3">
        <w:t>um</w:t>
      </w:r>
      <w:r>
        <w:t xml:space="preserve"> tollalaga um</w:t>
      </w:r>
      <w:r w:rsidRPr="00364ED6">
        <w:t xml:space="preserve"> upplýsingagjöf um flutning fjármuna milli landa</w:t>
      </w:r>
      <w:r>
        <w:t xml:space="preserve"> og </w:t>
      </w:r>
      <w:r w:rsidR="005F3D62">
        <w:t xml:space="preserve">um </w:t>
      </w:r>
      <w:r>
        <w:t>veitingu</w:t>
      </w:r>
      <w:r w:rsidR="005F3D62">
        <w:t xml:space="preserve"> og afturköllun VRA-vottunar. </w:t>
      </w:r>
    </w:p>
    <w:p w14:paraId="162F95EC" w14:textId="2D07A97D" w:rsidR="005F3D62" w:rsidRDefault="009B63C3" w:rsidP="00D0740D">
      <w:r>
        <w:t>S</w:t>
      </w:r>
      <w:r w:rsidR="00871B63">
        <w:t>kylda</w:t>
      </w:r>
      <w:r>
        <w:t>n til að tilkynna</w:t>
      </w:r>
      <w:r w:rsidR="00871B63">
        <w:t xml:space="preserve"> um flutning fjármuna</w:t>
      </w:r>
      <w:r>
        <w:t xml:space="preserve"> milli landa</w:t>
      </w:r>
      <w:r w:rsidR="00871B63">
        <w:t xml:space="preserve"> og </w:t>
      </w:r>
      <w:r>
        <w:t xml:space="preserve">þau </w:t>
      </w:r>
      <w:r w:rsidR="001E4E9B">
        <w:t>skilyrði</w:t>
      </w:r>
      <w:r>
        <w:t xml:space="preserve"> sem sett eru</w:t>
      </w:r>
      <w:r w:rsidR="001E4E9B">
        <w:t xml:space="preserve"> fyrir veitingu og afturköllun VRA-vottunar </w:t>
      </w:r>
      <w:r>
        <w:t>geta verið nokkuð</w:t>
      </w:r>
      <w:r w:rsidR="001E4E9B">
        <w:t xml:space="preserve"> íþyngjandi</w:t>
      </w:r>
      <w:r>
        <w:t>. Af þeim sökum</w:t>
      </w:r>
      <w:r w:rsidR="001E4E9B">
        <w:t xml:space="preserve"> </w:t>
      </w:r>
      <w:r>
        <w:t xml:space="preserve">þykir við hæfi að skylduna og skilyrðin megi með skýrum hætti leiða af settum lögum. </w:t>
      </w:r>
      <w:r w:rsidR="00D90209">
        <w:t xml:space="preserve"> </w:t>
      </w:r>
    </w:p>
    <w:p w14:paraId="3A973163" w14:textId="77777777" w:rsidR="005F3D62" w:rsidRDefault="005F3D62" w:rsidP="00D0740D"/>
    <w:p w14:paraId="554E74B6" w14:textId="77777777" w:rsidR="00364ED6" w:rsidRDefault="00364ED6" w:rsidP="005F3D62">
      <w:pPr>
        <w:pStyle w:val="Millifyrirsgn2"/>
      </w:pPr>
      <w:r>
        <w:t xml:space="preserve"> </w:t>
      </w:r>
      <w:r w:rsidR="005F3D62">
        <w:t>U</w:t>
      </w:r>
      <w:r w:rsidR="005F3D62" w:rsidRPr="005F3D62">
        <w:t xml:space="preserve">pplýsingagjöf um flutning </w:t>
      </w:r>
      <w:r w:rsidR="0017744F">
        <w:t>reiðufjár og handhafabréfa til og frá Íslandi</w:t>
      </w:r>
      <w:r w:rsidR="00177D41">
        <w:t>.</w:t>
      </w:r>
      <w:r>
        <w:t xml:space="preserve">  </w:t>
      </w:r>
    </w:p>
    <w:p w14:paraId="6095F46C" w14:textId="48B14F32" w:rsidR="009B654E" w:rsidRDefault="00465C80" w:rsidP="008831B2">
      <w:r>
        <w:t xml:space="preserve">Fjármálaaðgerðahópurinn </w:t>
      </w:r>
      <w:r w:rsidR="00015797">
        <w:t xml:space="preserve">(e. </w:t>
      </w:r>
      <w:r w:rsidR="00015797" w:rsidRPr="00015797">
        <w:t>Financial Action Task Force on Money Laundering</w:t>
      </w:r>
      <w:r w:rsidR="00015797">
        <w:t xml:space="preserve">/FATF) </w:t>
      </w:r>
      <w:r>
        <w:t xml:space="preserve">er sjálfstæð milliríkjastofnun sem hefur það hlutverk að þróa og </w:t>
      </w:r>
      <w:r w:rsidR="00457D9C">
        <w:t>vinna að</w:t>
      </w:r>
      <w:r w:rsidR="00FC3A4F">
        <w:t xml:space="preserve"> vernd hins alþjóðlega fjármálakerfis gegn peningaþvætti, fjármögnun hryðjuverka og útbreiðslu gereyðingarvopna. Ísland hefur verið aðili að </w:t>
      </w:r>
      <w:r w:rsidR="00015797">
        <w:t>aðgerðarhópnum</w:t>
      </w:r>
      <w:r w:rsidR="00FC3A4F">
        <w:t xml:space="preserve"> frá </w:t>
      </w:r>
      <w:r w:rsidR="00015797">
        <w:t>september</w:t>
      </w:r>
      <w:r w:rsidR="00FC3A4F">
        <w:t xml:space="preserve"> 199</w:t>
      </w:r>
      <w:r w:rsidR="00015797">
        <w:t>1</w:t>
      </w:r>
      <w:r w:rsidR="00FC3A4F">
        <w:t xml:space="preserve"> en dómsmálaráðuneytið fer með þau málefni sem undir hana heyra. </w:t>
      </w:r>
      <w:r w:rsidR="008831B2">
        <w:t xml:space="preserve"> </w:t>
      </w:r>
      <w:r w:rsidR="00E651B2">
        <w:t xml:space="preserve">Árið 2012 gaf </w:t>
      </w:r>
      <w:r w:rsidR="00015797">
        <w:t>Fjármálaaðgerða</w:t>
      </w:r>
      <w:r w:rsidR="00E651B2">
        <w:t>hópurinn út 40 til</w:t>
      </w:r>
      <w:r w:rsidR="009B654E">
        <w:t>mæli</w:t>
      </w:r>
      <w:r w:rsidR="00E651B2">
        <w:rPr>
          <w:rStyle w:val="Tilvsunneanmlsgrein"/>
        </w:rPr>
        <w:footnoteReference w:id="1"/>
      </w:r>
      <w:r w:rsidR="00E651B2">
        <w:t xml:space="preserve"> sem </w:t>
      </w:r>
      <w:r w:rsidR="00646DFF">
        <w:t>ætlað</w:t>
      </w:r>
      <w:r w:rsidR="00775D91">
        <w:t xml:space="preserve"> að stuðla að því að markmiðum hópsins verði náð</w:t>
      </w:r>
      <w:r w:rsidR="00646DFF">
        <w:t xml:space="preserve"> á samræmdan </w:t>
      </w:r>
      <w:r w:rsidR="00457D9C">
        <w:t>hátt</w:t>
      </w:r>
      <w:r w:rsidR="00775D91">
        <w:t>.</w:t>
      </w:r>
      <w:r w:rsidR="00646DFF">
        <w:t xml:space="preserve"> Til</w:t>
      </w:r>
      <w:r w:rsidR="009B654E">
        <w:t>mælin</w:t>
      </w:r>
      <w:r w:rsidR="00646DFF">
        <w:t xml:space="preserve"> hafa verið uppfærð reglulega frá þeim tíma. </w:t>
      </w:r>
      <w:r w:rsidR="009B654E">
        <w:t>Tilmæli</w:t>
      </w:r>
      <w:r w:rsidR="00646DFF">
        <w:t xml:space="preserve"> </w:t>
      </w:r>
      <w:r w:rsidR="00457D9C">
        <w:t xml:space="preserve">nr. </w:t>
      </w:r>
      <w:r w:rsidR="00646DFF">
        <w:t>32 sn</w:t>
      </w:r>
      <w:r w:rsidR="009B654E">
        <w:t>úa</w:t>
      </w:r>
      <w:r w:rsidR="00646DFF">
        <w:t xml:space="preserve"> að flutningi fjármuna. </w:t>
      </w:r>
      <w:r w:rsidR="00457D9C">
        <w:t>Þeim er ætlað að tryggja að</w:t>
      </w:r>
      <w:r w:rsidR="00312624">
        <w:t xml:space="preserve"> aðildarríki</w:t>
      </w:r>
      <w:r w:rsidR="00457D9C">
        <w:t xml:space="preserve"> FATF</w:t>
      </w:r>
      <w:r w:rsidR="00312624">
        <w:t xml:space="preserve"> hafi fullnægjandi tök á því að koma auga á flutning reiðufjár og handhafabréfa </w:t>
      </w:r>
      <w:r w:rsidR="00457D9C">
        <w:t>milli ríkja fyrir tilstuðlan</w:t>
      </w:r>
      <w:r w:rsidR="00312624">
        <w:t xml:space="preserve"> tilkynninga- eða upplýsingakerfi</w:t>
      </w:r>
      <w:r w:rsidR="00457D9C">
        <w:t>s</w:t>
      </w:r>
      <w:r w:rsidR="00312624">
        <w:t xml:space="preserve">. Gert er ráð fyrir því að ríkin tryggi eftirlitsstjórnvöldum </w:t>
      </w:r>
      <w:r w:rsidR="009B654E">
        <w:t>viðeigandi</w:t>
      </w:r>
      <w:r w:rsidR="00312624">
        <w:t xml:space="preserve"> </w:t>
      </w:r>
      <w:r w:rsidR="009B654E">
        <w:t>heimildir</w:t>
      </w:r>
      <w:r w:rsidR="00312624">
        <w:t xml:space="preserve"> til að stöðva eða hindra flutning fjármuna sem grunur leikur á að tengist fjármögnun hryðjuverka eða peningaþvætti eða </w:t>
      </w:r>
      <w:r w:rsidR="009B654E">
        <w:t>fjármunaflutning sem fer</w:t>
      </w:r>
      <w:r w:rsidR="00312624">
        <w:t xml:space="preserve"> að öðru leyti </w:t>
      </w:r>
      <w:r w:rsidR="009B654E">
        <w:t>fram</w:t>
      </w:r>
      <w:r w:rsidR="00312624">
        <w:t xml:space="preserve"> án þess að </w:t>
      </w:r>
      <w:r w:rsidR="009B654E">
        <w:t>réttileg</w:t>
      </w:r>
      <w:r w:rsidR="008831B2">
        <w:t>a</w:t>
      </w:r>
      <w:r w:rsidR="009B654E">
        <w:t xml:space="preserve"> sé </w:t>
      </w:r>
      <w:r w:rsidR="00312624">
        <w:t xml:space="preserve">gerð grein fyrir </w:t>
      </w:r>
      <w:r w:rsidR="009B654E">
        <w:t>honum</w:t>
      </w:r>
      <w:r w:rsidR="00312624">
        <w:t>. Í til</w:t>
      </w:r>
      <w:r w:rsidR="009B654E">
        <w:t>mælunum</w:t>
      </w:r>
      <w:r w:rsidR="00312624">
        <w:t xml:space="preserve"> er tekið fram að aðildarrí</w:t>
      </w:r>
      <w:r w:rsidR="009B654E">
        <w:t>kin</w:t>
      </w:r>
      <w:r w:rsidR="00312624">
        <w:t xml:space="preserve"> </w:t>
      </w:r>
      <w:r w:rsidR="009B654E">
        <w:t>eigi</w:t>
      </w:r>
      <w:r w:rsidR="00312624">
        <w:t xml:space="preserve"> að tryggja að til staðar séu skilvirk og hæfileg </w:t>
      </w:r>
      <w:r w:rsidR="009B654E">
        <w:t>viðurlög</w:t>
      </w:r>
      <w:r w:rsidR="00312624">
        <w:t xml:space="preserve"> </w:t>
      </w:r>
      <w:r w:rsidR="009B654E">
        <w:t>til að f</w:t>
      </w:r>
      <w:r w:rsidR="00312624">
        <w:t>ást við ófullnægjandi eða ranga upplýsingagjöf</w:t>
      </w:r>
      <w:r w:rsidR="009B654E">
        <w:t xml:space="preserve"> og </w:t>
      </w:r>
      <w:r w:rsidR="00312624">
        <w:t>þegar fyrir ligg</w:t>
      </w:r>
      <w:r w:rsidR="009B654E">
        <w:t>i</w:t>
      </w:r>
      <w:r w:rsidR="00312624">
        <w:t xml:space="preserve"> að fjármunaflutningar tengist </w:t>
      </w:r>
      <w:r w:rsidR="00603635">
        <w:t xml:space="preserve">fjármögnun hryðjuverka, peningaþvætti eða skyldum brotum </w:t>
      </w:r>
      <w:r w:rsidR="009B654E">
        <w:t>þurfi viðeigandi úrræði að vera til staðar, m.a. heimildir til að leggja hald á fjármunina</w:t>
      </w:r>
      <w:r w:rsidR="00603635">
        <w:t xml:space="preserve">. </w:t>
      </w:r>
      <w:r w:rsidR="00015797">
        <w:t>Með aðild sinni að Fjármálaaðgerðahópnum</w:t>
      </w:r>
      <w:r w:rsidR="00015797" w:rsidRPr="00015797">
        <w:t xml:space="preserve"> skuldbatt Ísland sig til að samræma löggjöf og starfsreglur til</w:t>
      </w:r>
      <w:r w:rsidR="00EC3BCC">
        <w:t>mælu</w:t>
      </w:r>
      <w:r w:rsidR="008831B2">
        <w:t>m hópsins</w:t>
      </w:r>
      <w:r w:rsidR="00EC3BCC">
        <w:t>.</w:t>
      </w:r>
      <w:r w:rsidR="00312624">
        <w:t xml:space="preserve">  </w:t>
      </w:r>
    </w:p>
    <w:p w14:paraId="73CEC5B9" w14:textId="0094C5A3" w:rsidR="00974107" w:rsidRDefault="009B654E" w:rsidP="009B654E">
      <w:r>
        <w:lastRenderedPageBreak/>
        <w:t xml:space="preserve">Í apríl 2018 gaf </w:t>
      </w:r>
      <w:r w:rsidRPr="00465C80">
        <w:t>fjármálaaðgerðahóp</w:t>
      </w:r>
      <w:r>
        <w:t>urinn út skýrslu um mat á aðgerðum Íslands gegn peningaþvætti og fjármögnun hryðjuverka.</w:t>
      </w:r>
      <w:r>
        <w:rPr>
          <w:rStyle w:val="Tilvsunneanmlsgrein"/>
        </w:rPr>
        <w:footnoteReference w:id="2"/>
      </w:r>
      <w:r>
        <w:t xml:space="preserve"> Í skýrslunni eru settar fram ýmsar athugasemdir við fyrirkomulag mála hér á landi og jafnframt bent á hvernig úr megi bæta. Í umfjöllun um hvernig Íslandi hefur tekist til við að fást við tilmæli</w:t>
      </w:r>
      <w:r w:rsidR="00A56B9C">
        <w:t xml:space="preserve"> nr.</w:t>
      </w:r>
      <w:r>
        <w:t xml:space="preserve"> 32 er bent á að Ísland hafi komið á fót tilkynningakerfi vegna fjármunaflutninga</w:t>
      </w:r>
      <w:r w:rsidR="00935DD9">
        <w:t xml:space="preserve">, sbr. 27. gr. tollalaga, en tilkynningaskyldan nái hins vegar einungis fjármuna í farangri ferðamanna og farmanna en ekki til fjármuna </w:t>
      </w:r>
      <w:r w:rsidR="00974107">
        <w:t>í formi</w:t>
      </w:r>
      <w:r w:rsidR="00935DD9">
        <w:t xml:space="preserve"> vara eða sendinga í hefðbundnum farmflutningi. Bent er á að samkvæmt ákvæðum 30. sbr. 144. gr. tollalaga hvíli rík upplýsingaskylda á inn- og útflytjendum en </w:t>
      </w:r>
      <w:r w:rsidR="00974107">
        <w:t xml:space="preserve">við ákvörðun </w:t>
      </w:r>
      <w:r w:rsidR="00935DD9">
        <w:t>viðurl</w:t>
      </w:r>
      <w:r w:rsidR="00974107">
        <w:t>aga</w:t>
      </w:r>
      <w:r w:rsidR="00935DD9">
        <w:t xml:space="preserve"> skv. 172. gr. laganna </w:t>
      </w:r>
      <w:r w:rsidR="00974107">
        <w:t>sé</w:t>
      </w:r>
      <w:r w:rsidR="00935DD9">
        <w:t xml:space="preserve"> aðeins </w:t>
      </w:r>
      <w:r w:rsidR="00A56B9C">
        <w:t xml:space="preserve">tekið </w:t>
      </w:r>
      <w:r w:rsidR="00935DD9">
        <w:t xml:space="preserve">mið af </w:t>
      </w:r>
      <w:r w:rsidR="00974107">
        <w:t>aðflutningsgjöldum</w:t>
      </w:r>
      <w:r w:rsidR="00A56B9C">
        <w:t xml:space="preserve"> sem leggja ber á vörur</w:t>
      </w:r>
      <w:r w:rsidR="00935DD9">
        <w:t xml:space="preserve">. Í ljósi þess að aðflutningsgjöld séu almennt ekki lögð á fjármuni við tollafgreiðslu </w:t>
      </w:r>
      <w:r w:rsidR="00974107">
        <w:t xml:space="preserve">séu viðurlög 172. gr. laganna bitlaus þegar að ólögmætum fjármunaflutningum kemur. Bent er á að upptökuheimild 181. gr. tollalaga verði að teljast óhófleg í þessum tilvikum og </w:t>
      </w:r>
      <w:r w:rsidR="00EC3BCC">
        <w:t>henni</w:t>
      </w:r>
      <w:r w:rsidR="00974107">
        <w:t xml:space="preserve"> verði því vart beitt í tilviki ólögmætra fjármunaflutninga. Þá heimili ákvæði 162. gr. tollalaga aðeins að hald sé lagt á reiðufé en ekki handhafabréf.</w:t>
      </w:r>
    </w:p>
    <w:p w14:paraId="5E843906" w14:textId="77777777" w:rsidR="00974107" w:rsidRDefault="00974107" w:rsidP="009B654E"/>
    <w:p w14:paraId="118C8DE6" w14:textId="77777777" w:rsidR="00974107" w:rsidRDefault="00974107" w:rsidP="00974107">
      <w:pPr>
        <w:pStyle w:val="Millifyrirsgn2"/>
      </w:pPr>
      <w:r>
        <w:t>VRA-vottun.</w:t>
      </w:r>
    </w:p>
    <w:p w14:paraId="7FC10363" w14:textId="4492AE73" w:rsidR="00FB462F" w:rsidRDefault="00FB462F" w:rsidP="009B654E">
      <w:r>
        <w:t>Fyrirkomulag VRA-vottunar viðurkenndra rekstraraðila</w:t>
      </w:r>
      <w:r w:rsidR="005007D2">
        <w:t xml:space="preserve"> (e. Authorized Economic Operator)</w:t>
      </w:r>
      <w:r>
        <w:t xml:space="preserve"> á rót sína að rekja til </w:t>
      </w:r>
      <w:r w:rsidR="005007D2">
        <w:t xml:space="preserve">alþjóðlegs samstarfs á vettvangi </w:t>
      </w:r>
      <w:r w:rsidR="00B6436F">
        <w:t xml:space="preserve">Alþjóðaviðskiptastofnunarinnar og </w:t>
      </w:r>
      <w:r w:rsidR="005007D2">
        <w:t>Alþjóða</w:t>
      </w:r>
      <w:r w:rsidR="00203655">
        <w:t>tolla</w:t>
      </w:r>
      <w:r w:rsidR="005007D2">
        <w:t xml:space="preserve">stofnunarinnar. </w:t>
      </w:r>
      <w:r w:rsidR="002D7A08">
        <w:t xml:space="preserve">Fyrirkomulagið er hluti af </w:t>
      </w:r>
      <w:r w:rsidR="00203655" w:rsidRPr="00203655">
        <w:t>SAFE-rammaregluverk</w:t>
      </w:r>
      <w:r w:rsidR="002D7A08">
        <w:t>i</w:t>
      </w:r>
      <w:r w:rsidR="00203655" w:rsidRPr="00203655">
        <w:t xml:space="preserve"> </w:t>
      </w:r>
      <w:r w:rsidR="00B6436F">
        <w:t xml:space="preserve">síðarnefndu </w:t>
      </w:r>
      <w:r w:rsidR="00203655" w:rsidRPr="00203655">
        <w:t>stofnunarinnar</w:t>
      </w:r>
      <w:r w:rsidR="002D7A08">
        <w:t xml:space="preserve"> </w:t>
      </w:r>
      <w:r w:rsidR="00B6436F">
        <w:t>sem ætlað er að hrinda í framkvæmd</w:t>
      </w:r>
      <w:r w:rsidR="002D7A08">
        <w:t xml:space="preserve"> framtíðarsýn um fyrirkomulag tollamála á alþjóðavísu. SAFE-rammaregluverkið hefur fjóra kjarnaþætti: 1) Samræmda rafræna upplýsing</w:t>
      </w:r>
      <w:r w:rsidR="00B6436F">
        <w:t>a</w:t>
      </w:r>
      <w:r w:rsidR="002D7A08">
        <w:t>gjöf um vörur í flutningi, 2) skuldbindingu ríkja til að beita aðferðum áhættustjórnunar við að tryggja öryggi vörusendinga, 3) aukið samstarf þegar að tolleftirlit kemur og 4) viðvarandi greiningu á möguleikum tollyfirvalda til að draga úr stjórnsýsluhömlum við tollframkvæmd. Meginmarkmiði</w:t>
      </w:r>
      <w:r w:rsidR="00B6436F">
        <w:t>n</w:t>
      </w:r>
      <w:r w:rsidR="002D7A08">
        <w:t xml:space="preserve"> er</w:t>
      </w:r>
      <w:r w:rsidR="00B6436F">
        <w:t>u</w:t>
      </w:r>
      <w:r w:rsidR="002D7A08">
        <w:t xml:space="preserve"> að </w:t>
      </w:r>
      <w:r w:rsidR="002D7A08" w:rsidRPr="002D7A08">
        <w:t>tryggja öryggi alþjóðlegu aðfangakeðjunnar og greiða fyrir viðskiptum</w:t>
      </w:r>
      <w:r w:rsidR="002D7A08">
        <w:t>.</w:t>
      </w:r>
      <w:r w:rsidR="00FE441C">
        <w:t xml:space="preserve"> SAFE-rammaregluverkið er til fyllingar 7. </w:t>
      </w:r>
      <w:r w:rsidR="00B6436F">
        <w:t>tölul.</w:t>
      </w:r>
      <w:r w:rsidR="00FE441C">
        <w:t xml:space="preserve"> </w:t>
      </w:r>
      <w:r w:rsidR="00B6436F">
        <w:t>7</w:t>
      </w:r>
      <w:r w:rsidR="00FE441C">
        <w:t>. gr. samnings Alþjóðaviðskiptastofnunarinnar um viðskiptaliprun (e. WTO Agreement on Trade Facilitation)</w:t>
      </w:r>
      <w:r w:rsidR="00B6436F">
        <w:t>. Sá samningur</w:t>
      </w:r>
      <w:r w:rsidR="00FE441C">
        <w:t xml:space="preserve"> tók gildi hinn 22. febrúar 2017</w:t>
      </w:r>
      <w:r w:rsidR="00B6436F">
        <w:t xml:space="preserve"> en</w:t>
      </w:r>
      <w:r w:rsidR="00FE441C">
        <w:t xml:space="preserve"> Ísland gerðist aðili að samningnum </w:t>
      </w:r>
      <w:r w:rsidR="00B6436F">
        <w:t xml:space="preserve">hinn 31. október 2016. Í 1. mgr. töluliðarins er kveðið á um að hvert aðildarríki skuli koma á laggirnar sérstökum tilhliðrunum í tengslum við inn-, út- og umflutning og málsmeðferð sem gagnast getur viðurkenndum rekstraraðilum. Í i-lið a-liðar 2. mgr. töluliðarins er tekið fram að þeir einir eigi að fá að njóta viðurkenningar sem hafa fylgt lögum og reglum á sviði tollamála og öðrum tengdum sviðum með fullnægjandi hætti. </w:t>
      </w:r>
      <w:r w:rsidR="002D7A08">
        <w:t xml:space="preserve"> </w:t>
      </w:r>
      <w:r>
        <w:t xml:space="preserve"> </w:t>
      </w:r>
    </w:p>
    <w:p w14:paraId="3A8D7280" w14:textId="337E225A" w:rsidR="00627E7E" w:rsidRDefault="00E0432B" w:rsidP="00B6436F">
      <w:r>
        <w:t>Í XX. kafla tollalaga</w:t>
      </w:r>
      <w:r w:rsidR="002E446C">
        <w:t xml:space="preserve"> er fjallað um VRA-vottun, þ.e. v</w:t>
      </w:r>
      <w:r w:rsidR="002E446C" w:rsidRPr="002E446C">
        <w:t>ottun útgefin</w:t>
      </w:r>
      <w:r w:rsidR="002E446C">
        <w:t>ni</w:t>
      </w:r>
      <w:r w:rsidR="002E446C" w:rsidRPr="002E446C">
        <w:t xml:space="preserve"> af tollstjóra á því að tiltekinn lögaðili teljist viðurkenndur rekstraraðili</w:t>
      </w:r>
      <w:r w:rsidR="002E446C">
        <w:t xml:space="preserve"> og</w:t>
      </w:r>
      <w:r w:rsidR="002E446C" w:rsidRPr="002E446C">
        <w:t xml:space="preserve"> </w:t>
      </w:r>
      <w:r w:rsidR="002E446C">
        <w:t xml:space="preserve">hann </w:t>
      </w:r>
      <w:r w:rsidR="002E446C" w:rsidRPr="002E446C">
        <w:t>get</w:t>
      </w:r>
      <w:r w:rsidR="002E446C">
        <w:t xml:space="preserve">i </w:t>
      </w:r>
      <w:r w:rsidR="00291F5A">
        <w:t>sem slíkur</w:t>
      </w:r>
      <w:r w:rsidR="002E446C" w:rsidRPr="002E446C">
        <w:t xml:space="preserve"> notið sérstakrar meðferðar við tollframkvæmd</w:t>
      </w:r>
      <w:r w:rsidR="002E446C">
        <w:t xml:space="preserve">. </w:t>
      </w:r>
      <w:r w:rsidR="00C85E58">
        <w:t xml:space="preserve">Eins og áður segir </w:t>
      </w:r>
      <w:r w:rsidR="002162BB">
        <w:t>er tilgangur VRA-vottunar að auka skilvirkni tollframkvæmdar og flýta fyrir tollafgreiðslu, m.a. með breyt</w:t>
      </w:r>
      <w:r w:rsidR="00291F5A">
        <w:t>tri</w:t>
      </w:r>
      <w:r w:rsidR="002162BB">
        <w:t xml:space="preserve"> tíðni vöru- og skjalaskoðana í tilviki vottaðra aðila.</w:t>
      </w:r>
      <w:r w:rsidR="00B6436F">
        <w:t xml:space="preserve"> </w:t>
      </w:r>
      <w:r w:rsidR="002162BB">
        <w:t xml:space="preserve">Skilyrði þess að lögaðila verði veitt VRA-vottun eru ítarlega tíunduð í 145. gr. a. tollalaga. Þau eiga það sammerkt að þeim er ætlað að tryggja að þeim einum verði veitt slík vottun sem á að </w:t>
      </w:r>
      <w:r w:rsidR="00DE6DD5">
        <w:t xml:space="preserve">óflekkaðan </w:t>
      </w:r>
      <w:r w:rsidR="002162BB">
        <w:t>feril</w:t>
      </w:r>
      <w:r w:rsidR="00DE6DD5">
        <w:t xml:space="preserve"> að baki</w:t>
      </w:r>
      <w:r w:rsidR="002162BB">
        <w:t xml:space="preserve"> og þykir traustsins verður í efnahagslegu samhengi og </w:t>
      </w:r>
      <w:r w:rsidR="00291F5A">
        <w:t>hvað</w:t>
      </w:r>
      <w:r w:rsidR="002162BB">
        <w:t xml:space="preserve"> öryggismál</w:t>
      </w:r>
      <w:r w:rsidR="00291F5A">
        <w:t xml:space="preserve"> varðar</w:t>
      </w:r>
      <w:r w:rsidR="002162BB">
        <w:t>.</w:t>
      </w:r>
      <w:r w:rsidR="00627E7E">
        <w:t xml:space="preserve"> Þá er</w:t>
      </w:r>
      <w:r w:rsidR="00291F5A">
        <w:t>u</w:t>
      </w:r>
      <w:r w:rsidR="00627E7E">
        <w:t xml:space="preserve"> skilyrði afturköllunar VRA-vottunar einnig tíunduð með ítarlegum hætti í 145. gr. b. og </w:t>
      </w:r>
      <w:r w:rsidR="005E5038">
        <w:t xml:space="preserve">145. gr. </w:t>
      </w:r>
      <w:r w:rsidR="00627E7E">
        <w:t xml:space="preserve">c. </w:t>
      </w:r>
    </w:p>
    <w:p w14:paraId="5F6E7004" w14:textId="77777777" w:rsidR="008E2BB2" w:rsidRDefault="00627E7E" w:rsidP="009B654E">
      <w:r>
        <w:lastRenderedPageBreak/>
        <w:t xml:space="preserve">Eitt þeirra skilyrða sem uppfyllt þurfa að vera til að lögaðili hljóti VRA-vottun er að hann sjálfur, </w:t>
      </w:r>
      <w:r w:rsidRPr="00627E7E">
        <w:t>stjórnendur</w:t>
      </w:r>
      <w:r>
        <w:t xml:space="preserve"> hans</w:t>
      </w:r>
      <w:r w:rsidRPr="00627E7E">
        <w:t xml:space="preserve">, stjórnarmenn, starfsmenn sem bera ábyrgð á tollamálum </w:t>
      </w:r>
      <w:r>
        <w:t>í starfsemi hans</w:t>
      </w:r>
      <w:r w:rsidRPr="00627E7E">
        <w:t xml:space="preserve"> eða umboðsmenn hafi ekki gerst sekir um alvarleg eða ítrekuð brot gegn ákvæðum </w:t>
      </w:r>
      <w:r>
        <w:t>tollalaga</w:t>
      </w:r>
      <w:r w:rsidRPr="00627E7E">
        <w:t>, annarra laga sem tollstjóra ber að framfylgja eða annarra skattalaga eða stjórnvaldsfyrirmæla sem sett eru á grundvelli þeirra</w:t>
      </w:r>
      <w:r>
        <w:t>. Er gerð krafa um að engin slík brot hafi komið upp á</w:t>
      </w:r>
      <w:r w:rsidRPr="00627E7E">
        <w:t xml:space="preserve"> síðastliðnum þremur árum áður en umsókn </w:t>
      </w:r>
      <w:r>
        <w:t xml:space="preserve">um vottunina </w:t>
      </w:r>
      <w:r w:rsidRPr="00627E7E">
        <w:t>er lögð fram</w:t>
      </w:r>
      <w:r>
        <w:t>. Þá mega framangreindir aðilar</w:t>
      </w:r>
      <w:r w:rsidRPr="00627E7E">
        <w:t xml:space="preserve"> </w:t>
      </w:r>
      <w:r>
        <w:t>ekki</w:t>
      </w:r>
      <w:r w:rsidRPr="00627E7E">
        <w:t xml:space="preserve"> hafa gerst sekir um önnur alvarleg brot sem tengjast atvinnustarfsemi umsækjanda</w:t>
      </w:r>
      <w:r>
        <w:t xml:space="preserve"> s</w:t>
      </w:r>
      <w:r w:rsidR="00291F5A">
        <w:t>í</w:t>
      </w:r>
      <w:r>
        <w:t xml:space="preserve">ðustu þrjú ár áður en umsókn um VRA-vottun er lögð fram hjá tollstjóra. </w:t>
      </w:r>
    </w:p>
    <w:p w14:paraId="2ACC294A" w14:textId="49F45EF9" w:rsidR="00AF5F8A" w:rsidRDefault="00627E7E" w:rsidP="009B654E">
      <w:r>
        <w:t xml:space="preserve">Eins og fram hefur komið er helsti ávinningur lögaðila af því að hljóta VRA-vottun sá að þeir njóta hagræðis þegar að tollframkvæmd kemur. Á það við um tollframkvæmd íslenskra stjórnvalda þegar að innflutningi kemur en </w:t>
      </w:r>
      <w:r w:rsidR="00291F5A">
        <w:t xml:space="preserve">mögulega </w:t>
      </w:r>
      <w:r>
        <w:t>einnig tollframkvæmd erlendra tollyfirvalda þegar að útflutningi kemur. Ástæða þess</w:t>
      </w:r>
      <w:r w:rsidR="003E3CE0">
        <w:t>a</w:t>
      </w:r>
      <w:r>
        <w:t xml:space="preserve"> er sú að gert er ráð fyrir að með tíð og tíma verði gerðir gagnkvæmir viðurkenningarsamningar milli íslenskra og erlendra stjórnvalda þar sem kveðið verði efnislega á um að aðilar sem hlotið hafa VRA-vottun á Íslandi njóti hagræðis </w:t>
      </w:r>
      <w:r w:rsidR="00162E36">
        <w:t xml:space="preserve">við tollframkvæmd erlendis og </w:t>
      </w:r>
      <w:r w:rsidR="00B97F78">
        <w:t xml:space="preserve">þá </w:t>
      </w:r>
      <w:r w:rsidR="00162E36">
        <w:t xml:space="preserve">í samræmi við reglur </w:t>
      </w:r>
      <w:r w:rsidR="003E3CE0">
        <w:t>innflutnings</w:t>
      </w:r>
      <w:r w:rsidR="00291F5A">
        <w:t>ríkis</w:t>
      </w:r>
      <w:r w:rsidR="00162E36">
        <w:t xml:space="preserve">. </w:t>
      </w:r>
      <w:r w:rsidR="00AF5F8A">
        <w:t>Eftir því sem löggjöf ríkja er s</w:t>
      </w:r>
      <w:r w:rsidR="00B97F78">
        <w:t>amræm</w:t>
      </w:r>
      <w:r w:rsidR="00AF5F8A">
        <w:t>dari</w:t>
      </w:r>
      <w:r w:rsidR="00B97F78">
        <w:t xml:space="preserve"> auka</w:t>
      </w:r>
      <w:r w:rsidR="00AF5F8A">
        <w:t>st</w:t>
      </w:r>
      <w:r w:rsidR="00B97F78">
        <w:t xml:space="preserve"> líkur þess að íslenskum stjórnvöldum takist að </w:t>
      </w:r>
      <w:r w:rsidR="00291F5A">
        <w:t>gera</w:t>
      </w:r>
      <w:r w:rsidR="00B97F78">
        <w:t xml:space="preserve"> gagnkvæm</w:t>
      </w:r>
      <w:r w:rsidR="00291F5A">
        <w:t>a</w:t>
      </w:r>
      <w:r w:rsidR="00B97F78">
        <w:t xml:space="preserve"> viðurkenningarsamning</w:t>
      </w:r>
      <w:r w:rsidR="00291F5A">
        <w:t>a</w:t>
      </w:r>
      <w:r w:rsidR="00B97F78">
        <w:t>.</w:t>
      </w:r>
      <w:r w:rsidR="00AF5F8A">
        <w:t xml:space="preserve"> Þá er ljóst að tryggja verður að ákvæði tollalaga um VRA-vottun séu virk og framkvæmanleg. </w:t>
      </w:r>
    </w:p>
    <w:p w14:paraId="7558BB92" w14:textId="2D9206FC" w:rsidR="00D90209" w:rsidRDefault="00AF5F8A" w:rsidP="00D90209">
      <w:r>
        <w:t xml:space="preserve">Embætti tollstjóra hefur sett af stað sex mánaða prufuverkefni í því skyni að yfirfara virkni og framkvæmd VRA-vottunar. Ekki hafa enn verið gerðir gagnkvæmir viðurkenningarsamningar við önnur ríki en vilyrði um viðræður liggja þó fyrir. Komið hefur á daginn að ákvæði XX. kafla tollalaga eru haldin tveimur annmörkum sem vinna þarf bug á áður en til </w:t>
      </w:r>
      <w:r w:rsidR="00291F5A">
        <w:t xml:space="preserve">formlegra </w:t>
      </w:r>
      <w:r>
        <w:t>samningaviðræðna kemur. Báðir annmarkarnir tengjast skilyrð</w:t>
      </w:r>
      <w:r w:rsidR="00B31AD0">
        <w:t>um 1. tölul. 2. mgr. 145. a., 2. tölul. 1. mgr. 145. b. og 1. tölul. 1. mgr. 145. c.</w:t>
      </w:r>
      <w:r>
        <w:t xml:space="preserve"> </w:t>
      </w:r>
      <w:r w:rsidR="00291F5A">
        <w:t>er snúa</w:t>
      </w:r>
      <w:r w:rsidR="00B31AD0">
        <w:t xml:space="preserve"> að</w:t>
      </w:r>
      <w:r w:rsidR="00291F5A">
        <w:t xml:space="preserve"> því</w:t>
      </w:r>
      <w:r w:rsidR="00B31AD0">
        <w:t xml:space="preserve"> </w:t>
      </w:r>
      <w:r w:rsidR="00291F5A">
        <w:t xml:space="preserve">að </w:t>
      </w:r>
      <w:r w:rsidR="00B31AD0">
        <w:t xml:space="preserve">umsækjandi um VRA-vottun, </w:t>
      </w:r>
      <w:r w:rsidR="00B31AD0" w:rsidRPr="00B31AD0">
        <w:t>stjórnendur</w:t>
      </w:r>
      <w:r w:rsidR="00B31AD0">
        <w:t xml:space="preserve"> hans</w:t>
      </w:r>
      <w:r w:rsidR="00B31AD0" w:rsidRPr="00B31AD0">
        <w:t>, stjórnarmenn</w:t>
      </w:r>
      <w:r w:rsidR="00B31AD0">
        <w:t>,</w:t>
      </w:r>
      <w:r w:rsidR="00B31AD0" w:rsidRPr="00B31AD0">
        <w:t xml:space="preserve"> </w:t>
      </w:r>
      <w:r w:rsidR="00B31AD0">
        <w:t xml:space="preserve">tilteknir </w:t>
      </w:r>
      <w:r w:rsidR="00B31AD0" w:rsidRPr="00B31AD0">
        <w:t xml:space="preserve">starfsmenn eða umboðsmenn </w:t>
      </w:r>
      <w:r w:rsidR="00B31AD0">
        <w:t xml:space="preserve">megi </w:t>
      </w:r>
      <w:r w:rsidR="00B31AD0" w:rsidRPr="00B31AD0">
        <w:t>ekki</w:t>
      </w:r>
      <w:r w:rsidR="00B31AD0">
        <w:t xml:space="preserve"> hafa</w:t>
      </w:r>
      <w:r w:rsidR="00B31AD0" w:rsidRPr="00B31AD0">
        <w:t xml:space="preserve"> gerst sekir um </w:t>
      </w:r>
      <w:r w:rsidR="00B31AD0">
        <w:t xml:space="preserve">þar tilgreind lögbrot. </w:t>
      </w:r>
      <w:r w:rsidR="0001585D">
        <w:t xml:space="preserve">Þannig hefur </w:t>
      </w:r>
      <w:r w:rsidR="009D3454">
        <w:t>komið á daginn að tilgreining á þeim brotum sem komið geta í veg fyrir að VRA-vottun verði veitt</w:t>
      </w:r>
      <w:r w:rsidR="00291F5A">
        <w:t xml:space="preserve"> er ekki í fullu samræmi við reglur okkar helstu samanburðarríkja</w:t>
      </w:r>
      <w:r w:rsidR="009D3454">
        <w:t xml:space="preserve">. Í </w:t>
      </w:r>
      <w:r w:rsidR="00291F5A">
        <w:t>kjölfar innleiðingar Evrópugerða á sviði persónuverndar er einnig</w:t>
      </w:r>
      <w:r w:rsidR="009D3454">
        <w:t xml:space="preserve"> vafamál hvort embætti tollstjóra hafi nægilegar heimildir til </w:t>
      </w:r>
      <w:r w:rsidR="00291F5A">
        <w:t xml:space="preserve">að </w:t>
      </w:r>
      <w:r w:rsidR="003E3CE0">
        <w:t>vinna</w:t>
      </w:r>
      <w:r w:rsidR="00291F5A">
        <w:t xml:space="preserve"> </w:t>
      </w:r>
      <w:r w:rsidR="009D3454">
        <w:t>upplýsinga</w:t>
      </w:r>
      <w:r w:rsidR="003E3CE0">
        <w:t>r</w:t>
      </w:r>
      <w:r w:rsidR="00291F5A">
        <w:t xml:space="preserve"> um</w:t>
      </w:r>
      <w:r w:rsidR="009D3454">
        <w:t xml:space="preserve"> framangreind brot.</w:t>
      </w:r>
    </w:p>
    <w:p w14:paraId="6820B903" w14:textId="77777777" w:rsidR="00D0740D" w:rsidRDefault="00D0740D" w:rsidP="00D0740D"/>
    <w:p w14:paraId="4A66945C" w14:textId="77777777" w:rsidR="00D0740D" w:rsidRDefault="00E71F27" w:rsidP="00D0740D">
      <w:pPr>
        <w:pStyle w:val="Millifyrirsgn1"/>
      </w:pPr>
      <w:r>
        <w:t>3</w:t>
      </w:r>
      <w:r w:rsidR="00D0740D">
        <w:t xml:space="preserve">. Meginefni frumvarpsins. </w:t>
      </w:r>
    </w:p>
    <w:p w14:paraId="5C567951" w14:textId="77777777" w:rsidR="00EC3BCC" w:rsidRDefault="00C12A8B" w:rsidP="00D0740D">
      <w:r>
        <w:t>Í frumvarpinu eru</w:t>
      </w:r>
      <w:r w:rsidR="00F60359">
        <w:t xml:space="preserve"> </w:t>
      </w:r>
      <w:r w:rsidR="00A436FD">
        <w:t xml:space="preserve">lagðar til breytingar á tveimur </w:t>
      </w:r>
      <w:r w:rsidR="00C63E93">
        <w:t xml:space="preserve">efnisatriðum ákvæða tollalaga, þ.e. </w:t>
      </w:r>
      <w:r w:rsidR="0064709D">
        <w:t xml:space="preserve">um </w:t>
      </w:r>
      <w:r w:rsidR="00C63E93">
        <w:t xml:space="preserve">skyldu til að veita upplýsingar um flutning fjármuna milli landa og </w:t>
      </w:r>
      <w:r w:rsidR="0064709D">
        <w:t xml:space="preserve">um </w:t>
      </w:r>
      <w:r w:rsidR="00C63E93">
        <w:t>veitingu og afturköllun VRA-vottunar.</w:t>
      </w:r>
      <w:r w:rsidR="00253821">
        <w:t xml:space="preserve"> </w:t>
      </w:r>
    </w:p>
    <w:p w14:paraId="7C7907D7" w14:textId="77777777" w:rsidR="00C63E93" w:rsidRDefault="00253821" w:rsidP="00D0740D">
      <w:r>
        <w:t>Verði frumvarpið samþykkt mun</w:t>
      </w:r>
      <w:r w:rsidR="00EC3BCC">
        <w:t>u</w:t>
      </w:r>
      <w:r>
        <w:t xml:space="preserve"> </w:t>
      </w:r>
      <w:r w:rsidR="00EC3BCC">
        <w:t>íslensk stjórnvöld</w:t>
      </w:r>
      <w:r>
        <w:t xml:space="preserve"> hafa staðið við hluta þeirra skuldbindinga </w:t>
      </w:r>
      <w:r w:rsidR="00EC3BCC">
        <w:t xml:space="preserve">sem það hefur undirgengist með aðild sinni að Fjármálaaðgerðahópnum. Þá eykur samþykkt frumvarpsins líkur á að tollstjóra takist að koma á laggirnar virku kerfi viðurkenndra rekstraraðila og að unnt verði að gera gagnkvæma viðurkenningarsamninga um VRA-vottun við yfirvöld í öðrum ríkjum.  </w:t>
      </w:r>
    </w:p>
    <w:p w14:paraId="4A2EC721" w14:textId="77777777" w:rsidR="0017744F" w:rsidRDefault="0017744F" w:rsidP="00D0740D"/>
    <w:p w14:paraId="7F9A18EC" w14:textId="77777777" w:rsidR="0017744F" w:rsidRDefault="0017744F" w:rsidP="0017744F">
      <w:pPr>
        <w:pStyle w:val="Millifyrirsgn2"/>
      </w:pPr>
      <w:bookmarkStart w:id="4" w:name="_GoBack"/>
      <w:r>
        <w:t>U</w:t>
      </w:r>
      <w:r w:rsidRPr="005F3D62">
        <w:t>pplýsingagjöf um flutning fjármuna</w:t>
      </w:r>
      <w:r>
        <w:t>.</w:t>
      </w:r>
    </w:p>
    <w:p w14:paraId="55BB1111" w14:textId="057E5750" w:rsidR="0017744F" w:rsidRDefault="0017744F" w:rsidP="0017744F">
      <w:r>
        <w:t>Í 27. gr. tollalaga er fjallað um skýrslugjafir ferðamanna og farmanna. Í 2. mgr. lagagreinarinnar er kveðið á um að f</w:t>
      </w:r>
      <w:r w:rsidRPr="00B50BFA">
        <w:t>erðamenn og farmenn, sem koma til landsins frá útlöndum eða fara frá landinu til útlanda, skul</w:t>
      </w:r>
      <w:r>
        <w:t>i</w:t>
      </w:r>
      <w:r w:rsidRPr="00B50BFA">
        <w:t xml:space="preserve"> ótilkvaddir gera grein fyrir hærri fjárhæð en sem nemur 10.000 evrum, miðað við opinbert viðmiðunargengi eins og það er skráð hverju sinni, sem </w:t>
      </w:r>
      <w:r w:rsidRPr="00B50BFA">
        <w:lastRenderedPageBreak/>
        <w:t>þeir hafa meðferðis í reiðufé eða handhafabréfum, þ.m.t. ferðatékkum.</w:t>
      </w:r>
      <w:r>
        <w:t xml:space="preserve"> Í athugasemdum við 27. gr. frumvarps þess er varð að tollalögum</w:t>
      </w:r>
      <w:r w:rsidR="006E3222">
        <w:rPr>
          <w:rStyle w:val="Tilvsunneanmlsgrein"/>
        </w:rPr>
        <w:footnoteReference w:id="3"/>
      </w:r>
      <w:r w:rsidR="006E3222">
        <w:t xml:space="preserve"> </w:t>
      </w:r>
      <w:r>
        <w:t xml:space="preserve">var m.a. tekið fram að ákvæði 2. mgr. væru hluti af </w:t>
      </w:r>
      <w:r w:rsidRPr="009829B0">
        <w:t>aðgerð</w:t>
      </w:r>
      <w:r>
        <w:t>um</w:t>
      </w:r>
      <w:r w:rsidRPr="009829B0">
        <w:t xml:space="preserve"> stjórnvalda </w:t>
      </w:r>
      <w:r>
        <w:t>sem hefðu það markmið</w:t>
      </w:r>
      <w:r w:rsidRPr="009829B0">
        <w:t xml:space="preserve"> að efla baráttu gegn hryðjuverkum, ólöglegri verslun með fíkniefni og annarri ógn sem fer þvert á landamæri. </w:t>
      </w:r>
      <w:r>
        <w:t>Tekið var fram að ákvæðunum væri</w:t>
      </w:r>
      <w:r w:rsidRPr="009829B0">
        <w:t xml:space="preserve"> ætlað að gera tollgæslunni kleift að fylgjast með flæði fjármuna til og frá landinu. </w:t>
      </w:r>
      <w:r>
        <w:t xml:space="preserve">Í framhaldinu er bent á að ef </w:t>
      </w:r>
      <w:r w:rsidRPr="009829B0">
        <w:t>grunur</w:t>
      </w:r>
      <w:r>
        <w:t xml:space="preserve"> vaknaði</w:t>
      </w:r>
      <w:r w:rsidRPr="009829B0">
        <w:t xml:space="preserve"> um að fé </w:t>
      </w:r>
      <w:r>
        <w:t>væri</w:t>
      </w:r>
      <w:r w:rsidRPr="009829B0">
        <w:t xml:space="preserve"> ætlað til framkvæmdar refsiverðs verknaðar </w:t>
      </w:r>
      <w:r>
        <w:t>yrði</w:t>
      </w:r>
      <w:r w:rsidRPr="009829B0">
        <w:t xml:space="preserve"> tollstjóra heimil</w:t>
      </w:r>
      <w:r>
        <w:t>að</w:t>
      </w:r>
      <w:r w:rsidRPr="009829B0">
        <w:t xml:space="preserve"> </w:t>
      </w:r>
      <w:r>
        <w:t xml:space="preserve">í 162. gr. frumvarpsins </w:t>
      </w:r>
      <w:r w:rsidRPr="009829B0">
        <w:t xml:space="preserve">að gera féð upptækt. </w:t>
      </w:r>
      <w:r>
        <w:t>Tekið var fram að h</w:t>
      </w:r>
      <w:r w:rsidRPr="009829B0">
        <w:t>ugtakið reiðufé næ</w:t>
      </w:r>
      <w:r>
        <w:t>ði</w:t>
      </w:r>
      <w:r w:rsidRPr="009829B0">
        <w:t xml:space="preserve"> yfir peninga og handhafabréf, þ.m.t ferðatékka. </w:t>
      </w:r>
      <w:r>
        <w:t xml:space="preserve">Með samþykkt laga nr. 167/2008, sem m.a. breyttu tollalögum, urðu tvær breytingar á 2. mgr. 27. gr. tollalaga. Þannig voru fjárhæðarmörkin lækkuð úr 15.000 evrum í 10.000 evrur með vísan til </w:t>
      </w:r>
      <w:r w:rsidRPr="000D495E">
        <w:t xml:space="preserve">athugasemda sem komu fram í stjórnsýsluúttekt Ríkisendurskoðunar á ráðstöfunum gegn innflutningi ólöglegra fíkniefna frá nóvember 2007. </w:t>
      </w:r>
      <w:r>
        <w:t xml:space="preserve">Hins vegar var tilkynningaskyldan útfærð þannig að það leiddi með beinum hætti af lagatextanum að hún næði ekki aðeins til reiðufjár heldur einnig handhafabréfa. Tekið var fram að þeirri breytingu væri ætlað að koma </w:t>
      </w:r>
      <w:r w:rsidRPr="000D495E">
        <w:t>til móts við athugasemdir sem kom</w:t>
      </w:r>
      <w:r>
        <w:t>u fram</w:t>
      </w:r>
      <w:r w:rsidRPr="000D495E">
        <w:t xml:space="preserve"> í skýrslu</w:t>
      </w:r>
      <w:r>
        <w:t xml:space="preserve"> </w:t>
      </w:r>
      <w:r w:rsidR="003E3CE0">
        <w:t>F</w:t>
      </w:r>
      <w:r>
        <w:t>jármálaaðgerðahópsins</w:t>
      </w:r>
      <w:r w:rsidRPr="000D495E">
        <w:t xml:space="preserve"> um aðgerðir gegn peningaþvætti á Íslandi frá 13. október 2006.</w:t>
      </w:r>
      <w:r>
        <w:t xml:space="preserve"> </w:t>
      </w:r>
    </w:p>
    <w:p w14:paraId="048A926B" w14:textId="1118074B" w:rsidR="00C63E93" w:rsidRDefault="00C63E93" w:rsidP="00D0740D">
      <w:r>
        <w:t xml:space="preserve">Í þeim tilgangi að bregðast með tilhlýðilegum hætti við athugasemdum og ábendingum </w:t>
      </w:r>
      <w:r w:rsidR="003E3CE0">
        <w:t>F</w:t>
      </w:r>
      <w:r>
        <w:t>jármálaaðgerðarhópsins</w:t>
      </w:r>
      <w:r w:rsidR="003E3CE0">
        <w:t xml:space="preserve"> frá því í apríl 2018</w:t>
      </w:r>
      <w:r>
        <w:t xml:space="preserve"> eru lagðar til ýmsar breytingar á 27., 162. og 172. gr. tollalaga. Nánar tiltekið eru breytingar eftirfarandi:</w:t>
      </w:r>
    </w:p>
    <w:p w14:paraId="531FD329" w14:textId="7D8CD297" w:rsidR="00C63E93" w:rsidRDefault="00C63E93" w:rsidP="00C63E93">
      <w:pPr>
        <w:pStyle w:val="Mlsgreinlista"/>
        <w:numPr>
          <w:ilvl w:val="0"/>
          <w:numId w:val="19"/>
        </w:numPr>
      </w:pPr>
      <w:r>
        <w:t>Ákvæði 2. mgr. 27. gr. laganna</w:t>
      </w:r>
      <w:r w:rsidR="00A339F0">
        <w:t>,</w:t>
      </w:r>
      <w:r>
        <w:t xml:space="preserve"> um skyldu ferðamann og farmanna til að tilkynna um fjármuni</w:t>
      </w:r>
      <w:r w:rsidR="0017744F">
        <w:t>, þ.e. reiðufé og handhafabréf,</w:t>
      </w:r>
      <w:r>
        <w:t xml:space="preserve"> sem þeir hafa meðferðis við komu til landsins eða brottför</w:t>
      </w:r>
      <w:r w:rsidR="0095747A">
        <w:t xml:space="preserve"> frá því</w:t>
      </w:r>
      <w:r w:rsidR="00A339F0">
        <w:t>,</w:t>
      </w:r>
      <w:r>
        <w:t xml:space="preserve"> verði fær</w:t>
      </w:r>
      <w:r w:rsidR="003E3CE0">
        <w:t>ð</w:t>
      </w:r>
      <w:r>
        <w:t xml:space="preserve"> í nýja grein tollalaga, 27. gr. a, þar sem kveðið verði jöfnum höndum á um sambærilega skyldu </w:t>
      </w:r>
      <w:r w:rsidRPr="00C63E93">
        <w:t>innflytjenda, útflytjanda og tollmiðlara</w:t>
      </w:r>
      <w:r>
        <w:t xml:space="preserve">. </w:t>
      </w:r>
    </w:p>
    <w:p w14:paraId="06F49FE5" w14:textId="77777777" w:rsidR="00A339F0" w:rsidRDefault="00A339F0" w:rsidP="00A339F0">
      <w:pPr>
        <w:pStyle w:val="Mlsgreinlista"/>
        <w:numPr>
          <w:ilvl w:val="0"/>
          <w:numId w:val="19"/>
        </w:numPr>
      </w:pPr>
      <w:r>
        <w:t>Heimild 162. gr. laganna</w:t>
      </w:r>
      <w:r w:rsidR="0095747A">
        <w:t>,</w:t>
      </w:r>
      <w:r>
        <w:t xml:space="preserve"> til haldlagningar fjármuna sem ferðamenn eða farmenn hafa meðferðis</w:t>
      </w:r>
      <w:r w:rsidR="0095747A">
        <w:t xml:space="preserve"> til og frá landinu</w:t>
      </w:r>
      <w:r w:rsidR="0017744F">
        <w:t>,</w:t>
      </w:r>
      <w:r>
        <w:t xml:space="preserve"> leiki grunnur á að </w:t>
      </w:r>
      <w:r w:rsidRPr="00A339F0">
        <w:t>þeir verði notaðir við framkvæmd brots gegn refsiákvæðum almennra hegningarlaga</w:t>
      </w:r>
      <w:r w:rsidR="0017744F">
        <w:t>,</w:t>
      </w:r>
      <w:r>
        <w:t xml:space="preserve"> verði útvíkkuð þannig að hún nái einnig til fjármuna sem i</w:t>
      </w:r>
      <w:r w:rsidRPr="00A339F0">
        <w:t>nn</w:t>
      </w:r>
      <w:r>
        <w:t>- og</w:t>
      </w:r>
      <w:r w:rsidRPr="00A339F0">
        <w:t xml:space="preserve"> útflytj</w:t>
      </w:r>
      <w:r>
        <w:t>endur og</w:t>
      </w:r>
      <w:r w:rsidRPr="00A339F0">
        <w:t xml:space="preserve"> tollmiðlar</w:t>
      </w:r>
      <w:r>
        <w:t>ar flytja til eða frá landinu.</w:t>
      </w:r>
    </w:p>
    <w:p w14:paraId="71A6B90E" w14:textId="1D2D6DA8" w:rsidR="00A339F0" w:rsidRDefault="0017744F" w:rsidP="0017744F">
      <w:pPr>
        <w:pStyle w:val="Mlsgreinlista"/>
        <w:numPr>
          <w:ilvl w:val="0"/>
          <w:numId w:val="19"/>
        </w:numPr>
      </w:pPr>
      <w:r>
        <w:t xml:space="preserve">Við 172. gr. laganna, þar sem kveðið er á um refsingar vegna rangrar eða villandi upplýsingagjafar um inn- og útflutning, verði bætt ákvæði þar sem tekið verði af skarið um að það sé refsivert að </w:t>
      </w:r>
      <w:r w:rsidRPr="0017744F">
        <w:t>l</w:t>
      </w:r>
      <w:r>
        <w:t>áta</w:t>
      </w:r>
      <w:r w:rsidRPr="0017744F">
        <w:t xml:space="preserve"> </w:t>
      </w:r>
      <w:r>
        <w:t>af ásetningi</w:t>
      </w:r>
      <w:r w:rsidR="003E3CE0">
        <w:t xml:space="preserve"> eða stórkostlegu gáleysi</w:t>
      </w:r>
      <w:r>
        <w:t xml:space="preserve"> </w:t>
      </w:r>
      <w:r w:rsidRPr="0017744F">
        <w:t>hjá líða að gera grein fyrir fjármunaflutningum e</w:t>
      </w:r>
      <w:r>
        <w:t>ða</w:t>
      </w:r>
      <w:r w:rsidRPr="0017744F">
        <w:t xml:space="preserve"> veit</w:t>
      </w:r>
      <w:r>
        <w:t>a</w:t>
      </w:r>
      <w:r w:rsidRPr="0017744F">
        <w:t xml:space="preserve"> rangar eða villandi upplýsingar um slíka flutninga</w:t>
      </w:r>
      <w:r>
        <w:t>.</w:t>
      </w:r>
    </w:p>
    <w:p w14:paraId="24163603" w14:textId="77777777" w:rsidR="0017744F" w:rsidRDefault="0017744F" w:rsidP="0017744F">
      <w:pPr>
        <w:ind w:firstLine="0"/>
      </w:pPr>
    </w:p>
    <w:p w14:paraId="0322E889" w14:textId="77777777" w:rsidR="0017744F" w:rsidRDefault="0017744F" w:rsidP="0017744F">
      <w:pPr>
        <w:pStyle w:val="Millifyrirsgn2"/>
      </w:pPr>
      <w:r>
        <w:t>Veiting og afturköllun VRA-vottunar.</w:t>
      </w:r>
    </w:p>
    <w:p w14:paraId="38757B3E" w14:textId="507176B3" w:rsidR="00FE2979" w:rsidRDefault="0095747A" w:rsidP="005E5038">
      <w:r>
        <w:t xml:space="preserve">Í 2. mgr. 145. gr. a. tollalaga </w:t>
      </w:r>
      <w:r w:rsidR="00EA4BDA">
        <w:t xml:space="preserve">er kveðið á um ýmis skilyrði þess að lögaðila verði veitt VRA vottun. Í 1. tölulið málsgreinarinnar er kveðið á um það óundanþæga skilyrði að </w:t>
      </w:r>
      <w:r w:rsidR="00EA4BDA" w:rsidRPr="00EA4BDA">
        <w:t xml:space="preserve">umsækjandi, stjórnendur, stjórnarmenn, starfsmenn sem bera ábyrgð á tollamálum umsækjanda eða umboðsmenn hafi ekki gerst sekir um alvarleg eða ítrekuð brot gegn ákvæðum </w:t>
      </w:r>
      <w:r w:rsidR="005E5038">
        <w:t>tollalaga</w:t>
      </w:r>
      <w:r w:rsidR="00EA4BDA" w:rsidRPr="00EA4BDA">
        <w:t>, annarra laga sem tollstjóra ber að framfylgja eða annarra skattalaga eða stjórnvaldsfyrirmæla sem sett eru á grundvelli þeirra á síðastliðnum þremur árum áður en umsókn er lögð fram, né meg</w:t>
      </w:r>
      <w:r w:rsidR="00EA4BDA">
        <w:t>i</w:t>
      </w:r>
      <w:r w:rsidR="00EA4BDA" w:rsidRPr="00EA4BDA">
        <w:t xml:space="preserve"> sömu aðilar, á sama tímabili, hafa gerst sekir um önnur alvarleg brot sem tengjast atvinnustarfsemi umsækjanda</w:t>
      </w:r>
      <w:r w:rsidR="00EA4BDA">
        <w:t>. Í frumvarpinu er lagt til að skilyrð</w:t>
      </w:r>
      <w:r w:rsidR="002138C2">
        <w:t>inu</w:t>
      </w:r>
      <w:r w:rsidR="00EA4BDA">
        <w:t xml:space="preserve"> verði breytt. Í tillögunni felst í fyrsta lagi að kveðið verði með skýrum hætti á um að einu gildi hvort </w:t>
      </w:r>
      <w:r w:rsidR="00EA4BDA" w:rsidRPr="00EA4BDA">
        <w:t>málinu hefur verið lokið með sakfelli fyrir dómi, annarri ákvörðun um sekt, beitingu stjórnsýsluviðurlaga eða sátt</w:t>
      </w:r>
      <w:r w:rsidR="00EA4BDA">
        <w:t xml:space="preserve">. Í öðru lagi </w:t>
      </w:r>
      <w:r w:rsidR="002138C2">
        <w:t xml:space="preserve">felst í tillögunni </w:t>
      </w:r>
      <w:r w:rsidR="00EA4BDA">
        <w:t>að uppsetningu</w:t>
      </w:r>
      <w:r w:rsidR="00084A87">
        <w:t xml:space="preserve"> talningar</w:t>
      </w:r>
      <w:r w:rsidR="00EA4BDA">
        <w:t xml:space="preserve"> </w:t>
      </w:r>
      <w:r w:rsidR="00084A87">
        <w:t>þeirra</w:t>
      </w:r>
      <w:r w:rsidR="00EA4BDA">
        <w:t xml:space="preserve"> lögbrot</w:t>
      </w:r>
      <w:r w:rsidR="00084A87">
        <w:t>a</w:t>
      </w:r>
      <w:r w:rsidR="00EA4BDA">
        <w:t xml:space="preserve"> sem </w:t>
      </w:r>
      <w:r w:rsidR="00084A87">
        <w:t>geta</w:t>
      </w:r>
      <w:r w:rsidR="00EA4BDA">
        <w:t xml:space="preserve"> </w:t>
      </w:r>
      <w:r w:rsidR="00084A87">
        <w:t xml:space="preserve">komið í veg </w:t>
      </w:r>
      <w:r w:rsidR="00084A87">
        <w:lastRenderedPageBreak/>
        <w:t xml:space="preserve">fyrir veitingu VRA-vottunar verði breytt og sérstaklega tekið fram að </w:t>
      </w:r>
      <w:r w:rsidR="005E5038">
        <w:t xml:space="preserve">önnur </w:t>
      </w:r>
      <w:r w:rsidR="00E72965">
        <w:t xml:space="preserve">alvarleg eða ítrekuð </w:t>
      </w:r>
      <w:r w:rsidR="005E5038" w:rsidRPr="005E5038">
        <w:t>brot sem tengjast atvinnustarfsemi umsækjanda</w:t>
      </w:r>
      <w:r w:rsidR="00E72965">
        <w:t xml:space="preserve"> </w:t>
      </w:r>
      <w:r w:rsidR="00084A87">
        <w:t>komi í veg fyrir að unnt verði að veita lögaðila VRA-vottun</w:t>
      </w:r>
      <w:r w:rsidR="002138C2">
        <w:t xml:space="preserve"> svo fremi sem skemmri tími en þrjú ár séu liðin milli framlagningar umsóknar um vottun og fullframins brots. Til að tryggja fullt samræmi eru lagðar til sambærilegar breytingar á ákvæðum </w:t>
      </w:r>
      <w:r w:rsidR="002138C2" w:rsidRPr="002138C2">
        <w:t>2. tölul. 1. mgr. 145. gr. b.</w:t>
      </w:r>
      <w:r w:rsidR="00FE2979">
        <w:t xml:space="preserve"> og </w:t>
      </w:r>
      <w:r w:rsidR="00FE2979" w:rsidRPr="00FE2979">
        <w:t>1. tölul. 1. mgr. 145. gr. c.</w:t>
      </w:r>
      <w:r w:rsidR="002138C2">
        <w:t xml:space="preserve"> tollalaga, þar sem kveðið er efnislega á um að missir skilyrða fyrir að hljóta VRA-vottun hafi </w:t>
      </w:r>
      <w:r w:rsidR="00CA7066">
        <w:t>þær afleiðingar</w:t>
      </w:r>
      <w:r w:rsidR="00FE2979">
        <w:t xml:space="preserve"> að vottunin er afturkölluð tímabundið eða varanlega.</w:t>
      </w:r>
    </w:p>
    <w:p w14:paraId="0E05D2C4" w14:textId="4AD4CF83" w:rsidR="00253821" w:rsidRDefault="00FE2979" w:rsidP="0017744F">
      <w:r>
        <w:t xml:space="preserve">Þar sem á þykir skorta að </w:t>
      </w:r>
      <w:r w:rsidR="00253821">
        <w:t xml:space="preserve">tollstjóri hafi viðeigandi heimildir til öflunar upplýsinga til að sannreyna að skilyrði þess að hljóta VRA-vottun og halda henni er lagt til að nýrri grein verði bætt við XX. kafla tollalaga um vinnslu upplýsinga. Í nýju greininni verði kveðið með jákvæðum hætti á um heimild tollstjóra til að </w:t>
      </w:r>
      <w:r w:rsidR="00253821" w:rsidRPr="00253821">
        <w:t xml:space="preserve">afla </w:t>
      </w:r>
      <w:r w:rsidR="00253821">
        <w:t>slíkra upplýsinga</w:t>
      </w:r>
      <w:r w:rsidR="00253821" w:rsidRPr="00253821">
        <w:t xml:space="preserve"> frá opinberum aðilum</w:t>
      </w:r>
      <w:r w:rsidR="00253821">
        <w:t xml:space="preserve"> og vinna þær. Sérstaklega verði einnig tekið fram að o</w:t>
      </w:r>
      <w:r w:rsidR="00253821" w:rsidRPr="00253821">
        <w:t xml:space="preserve">pinberu aðilum, </w:t>
      </w:r>
      <w:r w:rsidR="005E5038">
        <w:t>þ. á m.</w:t>
      </w:r>
      <w:r w:rsidR="00253821" w:rsidRPr="00253821">
        <w:t xml:space="preserve"> dómstólum, sýslumönnum, lögreglu, handhöfum ákæruvalds, ríkisskattstjóra, skattrannsóknarstjóra og stjórnsýslustofnunum sem hafa heimildir til að beita stjórnsýsluviðurlögum, </w:t>
      </w:r>
      <w:r w:rsidR="00253821">
        <w:t>sé</w:t>
      </w:r>
      <w:r w:rsidR="00253821" w:rsidRPr="00253821">
        <w:t xml:space="preserve"> skylt að veita tollstjóra upplýsingarnar</w:t>
      </w:r>
      <w:r w:rsidR="00253821">
        <w:t xml:space="preserve"> að fenginni beiðni þar um</w:t>
      </w:r>
      <w:r w:rsidR="00253821" w:rsidRPr="00253821">
        <w:t>.</w:t>
      </w:r>
      <w:r w:rsidR="005E5038">
        <w:t xml:space="preserve"> Ekki er um tæmandi talningu að ræða.</w:t>
      </w:r>
      <w:r w:rsidR="00253821">
        <w:t xml:space="preserve"> </w:t>
      </w:r>
      <w:r w:rsidR="005E5038">
        <w:t xml:space="preserve">Þá verði kveðið á um heimild tollstjóra til að upplýsa umsækjanda um VRA-vottun og viðurkenndan rekstraraðila um ástæðu þess að hann uppfyllir ekki skilyrði vottunar. </w:t>
      </w:r>
      <w:r w:rsidR="00253821">
        <w:t>Svo upplýsingagjöf tollstjóra til viðeigandi yfirvalda í þeim ríkjum sem Ísland kann að gera við gagnkvæma viðurkenningarsamninga um VRA-vottun verði viðunandi er einnig lagt til að kveðið verði á um skyldu tollstjóra til að halda úti á vefsvæði sínu lista yfir þá lögaðila sem hafa VRA-vottun og heimild tollstjóra til að miðla upplýsingum öðrum upplýsingum um þá til stjórnvalda í samningsríkjum.</w:t>
      </w:r>
    </w:p>
    <w:p w14:paraId="50BA1B55" w14:textId="6F84589E" w:rsidR="003F0FF9" w:rsidRDefault="00C35933" w:rsidP="003F0FF9">
      <w:r>
        <w:t xml:space="preserve">Kveðið er á um skilyrði VRA-vottunar með nokkuð mismunandi hætti í helstu samanburðarríkjum Íslands. </w:t>
      </w:r>
      <w:r w:rsidR="003F0FF9">
        <w:t xml:space="preserve">Samkvæmt 21. gr. norsku tollareglugerðarinnar er það gert að skilyrði VRA-vottunar að umsækjandi hafi ekki gerst brotlegur við tollalög, skattalög og löggjöf um ýmiskonar </w:t>
      </w:r>
      <w:r>
        <w:t xml:space="preserve">opinber </w:t>
      </w:r>
      <w:r w:rsidR="003F0FF9">
        <w:t>gjöld. Danir og Svíar, sem eru aðilar að Evrópusambandinu, byggja VRA-vottun (nefnd AEO-vottun) á regluverki Evrópusambandsins.</w:t>
      </w:r>
      <w:r w:rsidR="003F0FF9">
        <w:rPr>
          <w:rStyle w:val="Tilvsunneanmlsgrein"/>
        </w:rPr>
        <w:footnoteReference w:id="4"/>
      </w:r>
      <w:r w:rsidR="003F0FF9">
        <w:t xml:space="preserve"> Í 39. gr. reglugerð</w:t>
      </w:r>
      <w:r w:rsidR="00D83BDC">
        <w:t xml:space="preserve"> ESB</w:t>
      </w:r>
      <w:r w:rsidR="003F0FF9">
        <w:t xml:space="preserve"> um tollabandalagið er kveðið á um að </w:t>
      </w:r>
      <w:r w:rsidR="00D83BDC">
        <w:t>vottun verði aðeins veitt þeim sem ekki hafa framið alvarleg eða ítrekuð brot gegn tollalögum og skattalögum eða hafa framið alvarleg brot sem tengjast efnahagslegri starfsemi umsækjanda. Svisslendingar gera</w:t>
      </w:r>
      <w:r>
        <w:t xml:space="preserve"> hins vegar einfaldlega</w:t>
      </w:r>
      <w:r w:rsidR="00D83BDC">
        <w:t xml:space="preserve"> þá kröfu að umsækjendur hafi ekki brotið gegn </w:t>
      </w:r>
      <w:r>
        <w:t>ákvæðum tolla</w:t>
      </w:r>
      <w:r w:rsidR="00D83BDC">
        <w:t>regl</w:t>
      </w:r>
      <w:r>
        <w:t>na</w:t>
      </w:r>
      <w:r w:rsidR="00D83BDC">
        <w:t>.</w:t>
      </w:r>
      <w:r w:rsidR="00D83BDC">
        <w:rPr>
          <w:rStyle w:val="Tilvsunneanmlsgrein"/>
        </w:rPr>
        <w:footnoteReference w:id="5"/>
      </w:r>
      <w:r>
        <w:t xml:space="preserve"> Hins vegar ber að hafa í huga að svigrúm annarra ríkja til túlkunar á gildissviði ákvæða laga og stjórnvaldsfyrirmæla er oft og tíðum annað en hér á landi</w:t>
      </w:r>
      <w:r w:rsidR="00C36C10">
        <w:t>.</w:t>
      </w:r>
    </w:p>
    <w:bookmarkEnd w:id="4"/>
    <w:p w14:paraId="08398DAD" w14:textId="77777777" w:rsidR="00D0740D" w:rsidRDefault="00D0740D" w:rsidP="00D0740D"/>
    <w:p w14:paraId="22FCD6DA" w14:textId="77777777" w:rsidR="00D0740D" w:rsidRDefault="00E71F27" w:rsidP="00D0740D">
      <w:pPr>
        <w:pStyle w:val="Millifyrirsgn1"/>
      </w:pPr>
      <w:r>
        <w:t>4</w:t>
      </w:r>
      <w:r w:rsidR="00D0740D">
        <w:t xml:space="preserve">. Samræmi við stjórnarskrá og alþjóðlegar skuldbindingar. </w:t>
      </w:r>
    </w:p>
    <w:p w14:paraId="47089A7E" w14:textId="77777777" w:rsidR="009A2780" w:rsidRDefault="009A2780" w:rsidP="00D0740D">
      <w:r>
        <w:t xml:space="preserve">Ákvæði 6. gr., um vinnslu upplýsinga, snerta hagsmuni sem njóta verndar friðhelgisákvæðis 71. gr. stjórnarskrár og ákvæða laga </w:t>
      </w:r>
      <w:r w:rsidRPr="009A2780">
        <w:t>um persónuvernd og vinnslu persónuupplýsinga</w:t>
      </w:r>
      <w:r>
        <w:t xml:space="preserve">, nr. 90/2018. Af 2. mgr. 71. gr. stjórnarskrár leiðir að á grundvelli </w:t>
      </w:r>
      <w:r w:rsidRPr="009A2780">
        <w:lastRenderedPageBreak/>
        <w:t>sérstakr</w:t>
      </w:r>
      <w:r>
        <w:t>ar</w:t>
      </w:r>
      <w:r w:rsidRPr="009A2780">
        <w:t xml:space="preserve"> lagaheimild</w:t>
      </w:r>
      <w:r>
        <w:t>ar megi</w:t>
      </w:r>
      <w:r w:rsidRPr="009A2780">
        <w:t xml:space="preserve"> takmarka friðhelgi einkalífs</w:t>
      </w:r>
      <w:r>
        <w:t xml:space="preserve"> manna</w:t>
      </w:r>
      <w:r w:rsidRPr="009A2780">
        <w:t xml:space="preserve"> </w:t>
      </w:r>
      <w:r>
        <w:t>beri</w:t>
      </w:r>
      <w:r w:rsidRPr="009A2780">
        <w:t xml:space="preserve"> brýna nauðsyn til vegna réttinda annarra.</w:t>
      </w:r>
      <w:r>
        <w:t xml:space="preserve"> </w:t>
      </w:r>
    </w:p>
    <w:p w14:paraId="56E62BD1" w14:textId="1C076F70" w:rsidR="00DE6DD5" w:rsidRDefault="009A2780" w:rsidP="00BB46F5">
      <w:r>
        <w:t xml:space="preserve">Af </w:t>
      </w:r>
      <w:r w:rsidR="003552A6">
        <w:t>3. tölul. 9. gr. laga nr. 90/2018 leiðir að v</w:t>
      </w:r>
      <w:r w:rsidR="003552A6" w:rsidRPr="003552A6">
        <w:t>innsla persónuupplýsinga er heimil</w:t>
      </w:r>
      <w:r w:rsidR="003552A6">
        <w:t xml:space="preserve"> að hún sé</w:t>
      </w:r>
      <w:r w:rsidR="003552A6" w:rsidRPr="003552A6">
        <w:t xml:space="preserve"> sé nauðsynleg til að fullnægja lagaskyldu sem hvílir á ábyrgðaraðila</w:t>
      </w:r>
      <w:r w:rsidR="003552A6">
        <w:t xml:space="preserve">. </w:t>
      </w:r>
      <w:r w:rsidR="006338C0">
        <w:t xml:space="preserve">Í 3. tölul. 2. mgr. 12. gr. laganna </w:t>
      </w:r>
      <w:r w:rsidR="00BB46F5">
        <w:t>er</w:t>
      </w:r>
      <w:r w:rsidR="006338C0">
        <w:t xml:space="preserve"> efnislega </w:t>
      </w:r>
      <w:r w:rsidR="00BB46F5">
        <w:t xml:space="preserve">kveðið á um </w:t>
      </w:r>
      <w:r w:rsidR="006338C0">
        <w:t>að upplýsing</w:t>
      </w:r>
      <w:r w:rsidR="00BB46F5">
        <w:t>um</w:t>
      </w:r>
      <w:r w:rsidR="006338C0">
        <w:t xml:space="preserve"> um refsiverða háttsemi megi stjórnvöld ekki </w:t>
      </w:r>
      <w:r w:rsidR="00FB462F">
        <w:t>miðla</w:t>
      </w:r>
      <w:r w:rsidR="006338C0">
        <w:t xml:space="preserve"> nema </w:t>
      </w:r>
      <w:r w:rsidR="00FB462F" w:rsidRPr="00FB462F">
        <w:t>miðlunin sé nauðsynleg í þágu lögbundinna verkefna viðkomandi stjórnvalds eða til að unnt sé að taka stjórnvaldsákvörðun</w:t>
      </w:r>
      <w:r w:rsidR="00FB462F">
        <w:t xml:space="preserve">. </w:t>
      </w:r>
      <w:r w:rsidR="00C36C10">
        <w:t>Þá er í 2. tölulið 2. mgr. sömu lagagreinar kveðið á um það skilyrði fyrir heimilli miðlun að hún verði að teljast</w:t>
      </w:r>
      <w:r w:rsidR="00C36C10" w:rsidRPr="00C36C10">
        <w:t xml:space="preserve"> nauðsynleg í þágu lögmætra hagsmuna hins opinbera eða einkaaðila sem auðsjáanlega vega þyngra en þeir hagsmunir sem eru af leynd um upplýsingarnar, þar á meðal hagsmunir hins skráða</w:t>
      </w:r>
      <w:r w:rsidR="00C36C10">
        <w:t>. Telja verður að framangreind skilyrði séu uppfyllt í ljósi efnis 6. gr.</w:t>
      </w:r>
    </w:p>
    <w:p w14:paraId="32435525" w14:textId="03B728D4" w:rsidR="00DE6DD5" w:rsidRDefault="00FB462F" w:rsidP="00C36C10">
      <w:r>
        <w:t xml:space="preserve">Með 6. gr. er ætlunin að tryggja tollstjóra </w:t>
      </w:r>
      <w:r w:rsidR="00BB46F5">
        <w:t>skýrar</w:t>
      </w:r>
      <w:r>
        <w:t xml:space="preserve"> heimildir til vinnslu upplýsinga</w:t>
      </w:r>
      <w:r w:rsidR="00BB46F5">
        <w:t xml:space="preserve">, þ.m.t. miðlunar, um hvort einstaklingar sem gegna tilteknum stöðum hjá umsækjanda um VRA-vottun eða viðurkenndum rekstraraðila </w:t>
      </w:r>
      <w:r w:rsidR="00BB46F5" w:rsidRPr="00BB46F5">
        <w:t>hafi gerst sekir um brot skv. 1. tölul. 2. mgr. 145. gr. a. eða hafi verið ákærðir eða sæti rannsókn</w:t>
      </w:r>
      <w:r w:rsidR="00BB46F5">
        <w:t xml:space="preserve">. Tilgangurinn er að gera tollstjóra annars vegar </w:t>
      </w:r>
      <w:r>
        <w:t xml:space="preserve">unnt að taka ákvörðun um veitingu eða afturköllun VRA-vottunar og hins vegar </w:t>
      </w:r>
      <w:r w:rsidR="00BB46F5">
        <w:t xml:space="preserve">svo unnt verði að </w:t>
      </w:r>
      <w:r>
        <w:t>uppfylla kröfur sem fyrirsjáanlegt er að leiða muni af ákvæðum gagnkvæmra samninga um viðurkenningu rekstraraðila.</w:t>
      </w:r>
      <w:r w:rsidR="00DE6DD5">
        <w:t xml:space="preserve"> </w:t>
      </w:r>
      <w:r w:rsidR="00BB46F5">
        <w:t xml:space="preserve">Tilgangur vinnslunnar er því skýr. Aðeins </w:t>
      </w:r>
      <w:r w:rsidR="002D7A08">
        <w:t>á grundvelli fyrirliggjandi</w:t>
      </w:r>
      <w:r w:rsidR="00BB46F5">
        <w:t xml:space="preserve"> upplýsinga</w:t>
      </w:r>
      <w:r w:rsidR="002D7A08">
        <w:t xml:space="preserve"> sem heimilt er</w:t>
      </w:r>
      <w:r w:rsidR="00BB46F5">
        <w:t xml:space="preserve"> að vinna er mögulegt að </w:t>
      </w:r>
      <w:r w:rsidR="002D7A08">
        <w:t>sannreyna að skilyrði VRA-vottunar séu uppfyllt.</w:t>
      </w:r>
      <w:r>
        <w:t xml:space="preserve"> </w:t>
      </w:r>
      <w:r w:rsidR="00DE6DD5">
        <w:t>Var þess gætt sérstaklega við gerð frumvarpsins að ákvæði 6. gr. væru skýr og efni þeirra endurspeglaði tilgang vinnslunnar. Eins og áður hefur komið er</w:t>
      </w:r>
      <w:r w:rsidR="004E185D">
        <w:t xml:space="preserve"> ætlunin að ákvæði tollalaga um </w:t>
      </w:r>
      <w:r w:rsidR="00DE6DD5">
        <w:t xml:space="preserve">VRA-vottun </w:t>
      </w:r>
      <w:r w:rsidR="004E185D">
        <w:t xml:space="preserve">verði í sem bestu samræmi við ákvæði sama efnis í helstu samanburðarríkjum Íslands. Tilgangur þessa er að auka möguleika Íslands á að gera gagnkvæma samninga um viðurkenningu rekstraraðila. Til þess að svo megi verða þurfa íslensk stjórnvöld að hafa möguleika á að afla þeirra upplýsinga sem nauðsynlegar eru til að unnt verði að sannreyna hvort skilyrði VRA-vottunar teljist uppfyllt. Þjóðhagslegur ávinningur Íslands og íslensks viðskiptalífs af </w:t>
      </w:r>
      <w:r w:rsidR="0051089A">
        <w:t xml:space="preserve">því að tryggja </w:t>
      </w:r>
      <w:r w:rsidR="004E185D">
        <w:t xml:space="preserve">virkni VRA-vottunar kemur einkum fram í minni viðskiptahindrunum </w:t>
      </w:r>
      <w:r w:rsidR="0051089A">
        <w:t>á</w:t>
      </w:r>
      <w:r w:rsidR="004E185D">
        <w:t xml:space="preserve"> landamær</w:t>
      </w:r>
      <w:r w:rsidR="0051089A">
        <w:t>um</w:t>
      </w:r>
      <w:r w:rsidR="004E185D">
        <w:t xml:space="preserve"> og bættri samkeppnisstöðu gagnvart erlendum ríkjum og fyrirtækjum.</w:t>
      </w:r>
      <w:r w:rsidR="0051089A">
        <w:t xml:space="preserve"> Hagsmunir </w:t>
      </w:r>
      <w:r w:rsidR="002A053E" w:rsidRPr="002A053E">
        <w:t>stjórnend</w:t>
      </w:r>
      <w:r w:rsidR="002A053E">
        <w:t>a umsækjanda um VRA-vottun eða þeirra sem slíka vottun hafa fengið</w:t>
      </w:r>
      <w:r w:rsidR="002A053E" w:rsidRPr="002A053E">
        <w:t>, stjórnarm</w:t>
      </w:r>
      <w:r w:rsidR="002A053E">
        <w:t>anna</w:t>
      </w:r>
      <w:r w:rsidR="002A053E" w:rsidRPr="002A053E">
        <w:t>, starfsm</w:t>
      </w:r>
      <w:r w:rsidR="002A053E">
        <w:t>anna</w:t>
      </w:r>
      <w:r w:rsidR="002A053E" w:rsidRPr="002A053E">
        <w:t xml:space="preserve"> </w:t>
      </w:r>
      <w:r w:rsidR="002A053E">
        <w:t>og</w:t>
      </w:r>
      <w:r w:rsidR="002A053E" w:rsidRPr="002A053E">
        <w:t xml:space="preserve"> umboðsm</w:t>
      </w:r>
      <w:r w:rsidR="002A053E">
        <w:t>anna eru hins vegar einstaklegir</w:t>
      </w:r>
      <w:r w:rsidR="00A91B06">
        <w:t xml:space="preserve"> og felast einkum í því að þeir þurfi ekki að gjalda þess að hafa gerst brotlegir við lög, t.d. með tilfærslum í starfi eða atvinnumissi. Ákvæði frumvarpsins tryggja hagsmununum þó nokkra vernd þar sem aðeins er gert ráð fyrir að brot sem eru þriggja ára og yngri komi til skoðunar.</w:t>
      </w:r>
      <w:r w:rsidR="00C36C10">
        <w:t xml:space="preserve"> Ljóst er að umsækjendur um VRA-vottun og viðurkenndir rekstraraðilar geta haft </w:t>
      </w:r>
      <w:r w:rsidR="00835439">
        <w:t>verulega</w:t>
      </w:r>
      <w:r w:rsidR="00C36C10">
        <w:t xml:space="preserve"> hagsmuni af því að hafa slíka vottun. Komi sú staða upp að einn eða fleiri þeirra einstaklinga sem taldir eru upp í </w:t>
      </w:r>
      <w:r w:rsidR="00C36C10" w:rsidRPr="00C36C10">
        <w:t xml:space="preserve">1. tölul. 2. mgr. 145. gr. a. </w:t>
      </w:r>
      <w:r w:rsidR="00C36C10">
        <w:t>hafi gerst sek</w:t>
      </w:r>
      <w:r w:rsidR="00835439">
        <w:t>i</w:t>
      </w:r>
      <w:r w:rsidR="00C36C10">
        <w:t>r um þar tilgreint brot og það kemur í veg fyrir að vottun verði veitt eða hún</w:t>
      </w:r>
      <w:r w:rsidR="00835439">
        <w:t xml:space="preserve"> verður</w:t>
      </w:r>
      <w:r w:rsidR="00C36C10">
        <w:t xml:space="preserve"> afturkölluð verður viðkomandi lögaðili að geta brugðist við og </w:t>
      </w:r>
      <w:r w:rsidR="00835439">
        <w:t>bætt úr og þannig komið í veg fyrir að óhagræði skapist</w:t>
      </w:r>
      <w:r w:rsidR="00C36C10">
        <w:t xml:space="preserve">. Af ákvæðum 3. mgr. 12. gr. laga um </w:t>
      </w:r>
      <w:r w:rsidR="00C36C10" w:rsidRPr="00C36C10">
        <w:t>persónuvernd og vinnslu persónuupplýsinga</w:t>
      </w:r>
      <w:r w:rsidR="00C36C10">
        <w:t xml:space="preserve"> leiðir hins vegar að lögaðilanum verður óheimilt að upplýsingar</w:t>
      </w:r>
      <w:r w:rsidR="00835439">
        <w:t xml:space="preserve"> um refsiverða háttsemi</w:t>
      </w:r>
      <w:r w:rsidR="00C36C10">
        <w:t xml:space="preserve"> nema samþykki viðkomandi einstaklings liggi fyrir. Þá eru verulegar takmarkanir settar við því að lögaðilinn miðli slíkum upplýsingum áfram í </w:t>
      </w:r>
      <w:r w:rsidR="00835439">
        <w:t>4. mgr. 12. gr. áðurnefndra laga.</w:t>
      </w:r>
      <w:r w:rsidR="00C36C10">
        <w:t xml:space="preserve">  </w:t>
      </w:r>
      <w:r w:rsidR="002A053E">
        <w:t xml:space="preserve"> </w:t>
      </w:r>
      <w:r w:rsidR="0051089A">
        <w:t xml:space="preserve">  </w:t>
      </w:r>
      <w:r w:rsidR="004E185D">
        <w:t xml:space="preserve">   </w:t>
      </w:r>
      <w:r w:rsidR="00DE6DD5">
        <w:t xml:space="preserve"> </w:t>
      </w:r>
    </w:p>
    <w:p w14:paraId="07A6CFA7" w14:textId="77777777" w:rsidR="00D0740D" w:rsidRDefault="00D0740D" w:rsidP="00D0740D"/>
    <w:p w14:paraId="2578FB88" w14:textId="77777777" w:rsidR="00D0740D" w:rsidRDefault="00E71F27" w:rsidP="00D0740D">
      <w:pPr>
        <w:pStyle w:val="Millifyrirsgn1"/>
      </w:pPr>
      <w:r>
        <w:t>5</w:t>
      </w:r>
      <w:r w:rsidR="00D0740D">
        <w:t xml:space="preserve">. Samráð. </w:t>
      </w:r>
    </w:p>
    <w:p w14:paraId="7338A382" w14:textId="452FF2F1" w:rsidR="007856AA" w:rsidRDefault="00A91B06" w:rsidP="00D0740D">
      <w:r>
        <w:t>Frumvarpið snertir fyrst og fremst</w:t>
      </w:r>
      <w:r w:rsidR="007856AA">
        <w:t xml:space="preserve"> embætti tollstjóra,</w:t>
      </w:r>
      <w:r>
        <w:t xml:space="preserve"> inn- og útflytjendur, </w:t>
      </w:r>
      <w:r w:rsidR="007856AA">
        <w:t>farmflytjendur, þ.á m. rekstraraðila flutningaskipa og flugrekendur, tollmiðlara, rekstraraðila póstþjónustu</w:t>
      </w:r>
      <w:r w:rsidR="00120199">
        <w:t xml:space="preserve"> og</w:t>
      </w:r>
      <w:r w:rsidR="007856AA">
        <w:t xml:space="preserve"> </w:t>
      </w:r>
      <w:r w:rsidR="007856AA">
        <w:lastRenderedPageBreak/>
        <w:t>rekstraraðila tollvörugeymsl</w:t>
      </w:r>
      <w:r w:rsidR="00120199">
        <w:t>n</w:t>
      </w:r>
      <w:r w:rsidR="007856AA">
        <w:t>a. Þá hefur frumvarpið snertiflöt við starfssvið ríkisskattstjóra, skattrannsóknarstjóra, dómstóla, handhafa ákæruvalds og þeirra stjórnvalda leggja stjórnvaldssektir á lögaðila og einstaklinga vegna efnhagstengdra brota.</w:t>
      </w:r>
    </w:p>
    <w:p w14:paraId="668C07C9" w14:textId="1175385B" w:rsidR="00406E48" w:rsidRDefault="007856AA" w:rsidP="00406E48">
      <w:r>
        <w:t xml:space="preserve">Frumvarpið er 12. mál fjármála- og efnahagsráðherra á þingmálaskrá ríkisstjórnarinnar fyrir </w:t>
      </w:r>
      <w:r w:rsidRPr="007856AA">
        <w:t>149. löggjafarþing 2018–2019</w:t>
      </w:r>
      <w:r>
        <w:t xml:space="preserve">. </w:t>
      </w:r>
      <w:r w:rsidR="00406E48">
        <w:t xml:space="preserve">Hinn </w:t>
      </w:r>
      <w:r w:rsidR="00FF745B">
        <w:t>[</w:t>
      </w:r>
      <w:r w:rsidR="00FF745B" w:rsidRPr="00FF745B">
        <w:rPr>
          <w:highlight w:val="yellow"/>
        </w:rPr>
        <w:t>dags.</w:t>
      </w:r>
      <w:r w:rsidR="00FF745B">
        <w:t>]</w:t>
      </w:r>
      <w:r w:rsidR="00406E48">
        <w:t xml:space="preserve"> voru á</w:t>
      </w:r>
      <w:r>
        <w:t xml:space="preserve">form um gerð lagafrumvarpsins lögð fram á fundi ráðuneytisstjóra allra ráðuneyta, sbr. 1. mgr. 1. gr. </w:t>
      </w:r>
      <w:r w:rsidR="00406E48">
        <w:t xml:space="preserve">samþykktar um undirbúning og frágang stjórnarfrumvarpa og stjórnartillagna, sbr. 10. gr. reglna um starfshætti ríkisstjórnar. Hinn </w:t>
      </w:r>
      <w:r w:rsidR="00FF745B">
        <w:t>[</w:t>
      </w:r>
      <w:r w:rsidR="00FF745B" w:rsidRPr="00FF745B">
        <w:rPr>
          <w:highlight w:val="yellow"/>
        </w:rPr>
        <w:t>dags.</w:t>
      </w:r>
      <w:r w:rsidR="00FF745B">
        <w:t>]</w:t>
      </w:r>
      <w:r w:rsidR="00406E48">
        <w:t xml:space="preserve"> voru drög að frumvarpinu birt á samráðsgátt stjórnvalda á vefsetrinu Ísland.is, sbr. 3. gr. samþykktarinnar. Samráðið stóð yfir til </w:t>
      </w:r>
      <w:r w:rsidR="00FF745B">
        <w:t>[</w:t>
      </w:r>
      <w:r w:rsidR="00FF745B" w:rsidRPr="00FF745B">
        <w:rPr>
          <w:highlight w:val="yellow"/>
        </w:rPr>
        <w:t>dags.</w:t>
      </w:r>
      <w:r w:rsidR="00FF745B">
        <w:t>]</w:t>
      </w:r>
      <w:r w:rsidR="00406E48">
        <w:t xml:space="preserve">. </w:t>
      </w:r>
      <w:r w:rsidR="00FF745B">
        <w:t>[</w:t>
      </w:r>
      <w:r w:rsidR="00FF745B" w:rsidRPr="00FF745B">
        <w:rPr>
          <w:highlight w:val="yellow"/>
        </w:rPr>
        <w:t>Fjöldi</w:t>
      </w:r>
      <w:r w:rsidR="00FF745B">
        <w:t>]</w:t>
      </w:r>
      <w:r w:rsidR="00406E48">
        <w:t xml:space="preserve"> athugasemdir bárust. [</w:t>
      </w:r>
      <w:r w:rsidR="00406E48" w:rsidRPr="00406E48">
        <w:rPr>
          <w:highlight w:val="yellow"/>
        </w:rPr>
        <w:t>Fjalla um viðbrögð við athugasemdum</w:t>
      </w:r>
      <w:r w:rsidR="00406E48">
        <w:t xml:space="preserve">]. Frumvarpið var lagt fyrir ríkisstjórn hinn </w:t>
      </w:r>
      <w:r w:rsidR="00FF745B">
        <w:t>[</w:t>
      </w:r>
      <w:r w:rsidR="00FF745B" w:rsidRPr="00FF745B">
        <w:rPr>
          <w:highlight w:val="yellow"/>
        </w:rPr>
        <w:t>dags.</w:t>
      </w:r>
      <w:r w:rsidR="00FF745B">
        <w:t>]</w:t>
      </w:r>
      <w:r w:rsidR="00406E48">
        <w:t xml:space="preserve"> [</w:t>
      </w:r>
      <w:r w:rsidR="00406E48" w:rsidRPr="00406E48">
        <w:rPr>
          <w:highlight w:val="yellow"/>
        </w:rPr>
        <w:t>Fjalla um afdrifin</w:t>
      </w:r>
      <w:r w:rsidR="00406E48">
        <w:t>].</w:t>
      </w:r>
    </w:p>
    <w:p w14:paraId="3D4EDA4C" w14:textId="77777777" w:rsidR="00D0740D" w:rsidRDefault="00D0740D" w:rsidP="00D0740D"/>
    <w:p w14:paraId="15195E84" w14:textId="77777777" w:rsidR="00D0740D" w:rsidRDefault="00E71F27" w:rsidP="00D0740D">
      <w:pPr>
        <w:pStyle w:val="Millifyrirsgn1"/>
      </w:pPr>
      <w:r>
        <w:t>6</w:t>
      </w:r>
      <w:r w:rsidR="00D0740D">
        <w:t xml:space="preserve">. Mat á áhrifum. </w:t>
      </w:r>
    </w:p>
    <w:p w14:paraId="7C537355" w14:textId="0F74C778" w:rsidR="00406E48" w:rsidRDefault="00406E48" w:rsidP="00D0740D">
      <w:r>
        <w:t xml:space="preserve">Verði þau ákvæði frumvarpsins sem snúa að </w:t>
      </w:r>
      <w:r w:rsidR="003007D0">
        <w:t xml:space="preserve">flutningi fjármuna </w:t>
      </w:r>
      <w:r>
        <w:t xml:space="preserve">ekki samþykkt hafa íslensk stjórnvöld ekki orðið við tillögum Fjármálaaðgerðahópsins (FATF). Gera má ráð fyrir að því fylgi álitshnekkir. Stjórnvöld hafa þá ekki staðið fyllilega við þær skuldbindingar sem felast í aðild Íslands að </w:t>
      </w:r>
      <w:r w:rsidRPr="00406E48">
        <w:t>hópnum</w:t>
      </w:r>
      <w:r>
        <w:t>. Áhrifin munu jafnframt koma fram í því að íslensk löggjöf verður ekki svo vel í stakk búin til að takast á við vörn gegn peningaþvætti og fjármögnun hryðjuverka eins og best verður á kosið.</w:t>
      </w:r>
    </w:p>
    <w:p w14:paraId="0E14F13B" w14:textId="6D9C73AB" w:rsidR="003007D0" w:rsidRDefault="00BC13A6" w:rsidP="00D0740D">
      <w:r w:rsidRPr="00BC13A6">
        <w:t>Verði þau ákvæði frumvarpsins sem snúa að</w:t>
      </w:r>
      <w:r>
        <w:t xml:space="preserve"> skilyrðum VRA-vottunar ekki samþykkt er hætta á að ósamræmi verði milli ákvæða íslenskra og erlendra reglna um slíka vottun. Afleiðingin getur orðið sú að erlend ríki hafni því að gera gagnkvæma viðurkenningarsamninga um VRA-vottun við íslensk stjórnvöld. Áhrif þessa munu komu fram í því að möguleikar tollyfirvalda til að draga úr stjórnsýsluhömlum við för vara um íslensk landamæri takmarkast. Að sama skapi skapast hætta á að með tíð og tíma muni samkeppnisstaða íslenskra fyrirtækja versna svo einhverju nemi.</w:t>
      </w:r>
    </w:p>
    <w:p w14:paraId="2425B6E5" w14:textId="27CB4A4C" w:rsidR="00BC13A6" w:rsidRDefault="00BC13A6" w:rsidP="00D0740D">
      <w:r w:rsidRPr="00BC13A6">
        <w:t xml:space="preserve">Verði þau ákvæði frumvarpsins sem snúa að </w:t>
      </w:r>
      <w:r>
        <w:t xml:space="preserve">heimild tollstjóra til vinnslu upplýsinga vegna </w:t>
      </w:r>
      <w:r w:rsidRPr="00BC13A6">
        <w:t xml:space="preserve"> VRA-vottunar ekki samþykkt</w:t>
      </w:r>
      <w:r>
        <w:t xml:space="preserve"> er veruleg hætta á að embættið geti ekki veitt slíka vottun. Áhrif þess yrðu þau sömu og ef </w:t>
      </w:r>
      <w:r w:rsidRPr="00BC13A6">
        <w:t xml:space="preserve">þau ákvæði frumvarpsins sem snúa að skilyrðum VRA-vottunar </w:t>
      </w:r>
      <w:r>
        <w:t xml:space="preserve">verða </w:t>
      </w:r>
      <w:r w:rsidRPr="00BC13A6">
        <w:t>ekki samþykkt</w:t>
      </w:r>
      <w:r>
        <w:t>.</w:t>
      </w:r>
    </w:p>
    <w:p w14:paraId="3CEE0AB2" w14:textId="1681504A" w:rsidR="00BC13A6" w:rsidRDefault="00BC13A6" w:rsidP="00D0740D">
      <w:r>
        <w:t xml:space="preserve">Allt frá árinu 2012 hefur embætti tollstjóra undirbúið upptöku starfrækslu kerfis VRA-vottunar. Áætlanagerð embættisins gerir þegar ráð fyrir slíkri starfsemi. Áhrif samþykktar frumvarpsins rúmast því innan þegar áætlaðra </w:t>
      </w:r>
      <w:r w:rsidR="00120199">
        <w:t>fjárheimilda</w:t>
      </w:r>
      <w:r>
        <w:t xml:space="preserve"> embættisins. </w:t>
      </w:r>
    </w:p>
    <w:p w14:paraId="1C04D83A" w14:textId="2D12D109" w:rsidR="00BC13A6" w:rsidRDefault="00BC13A6" w:rsidP="00D0740D">
      <w:r>
        <w:t>Upplýsingagjöf opinberra aðila til tollstjóra vegna skilyrð</w:t>
      </w:r>
      <w:r w:rsidR="00B5116D">
        <w:t>a</w:t>
      </w:r>
      <w:r>
        <w:t xml:space="preserve"> </w:t>
      </w:r>
      <w:r w:rsidR="00B26A95">
        <w:t xml:space="preserve">um að fyrir liggi að </w:t>
      </w:r>
      <w:r w:rsidR="00B26A95" w:rsidRPr="00B26A95">
        <w:t>umsækjandi</w:t>
      </w:r>
      <w:r w:rsidR="00B26A95">
        <w:t xml:space="preserve"> um VRA-vottun</w:t>
      </w:r>
      <w:r w:rsidR="00B5116D">
        <w:t>, viðurkenndur rekstraraðili</w:t>
      </w:r>
      <w:r w:rsidR="00B26A95" w:rsidRPr="00B26A95">
        <w:t>, stjórnendur</w:t>
      </w:r>
      <w:r w:rsidR="00B5116D">
        <w:t xml:space="preserve"> hans</w:t>
      </w:r>
      <w:r w:rsidR="00B26A95" w:rsidRPr="00B26A95">
        <w:t xml:space="preserve">, stjórnarmenn, starfsmenn eða umboðsmenn hafi ekki á síðastliðnum </w:t>
      </w:r>
      <w:r w:rsidR="00B5116D">
        <w:t>hafi ekki</w:t>
      </w:r>
      <w:r w:rsidR="00B26A95" w:rsidRPr="00B26A95">
        <w:t xml:space="preserve"> gerst sekir um brot gegn ákvæðum laga eða stjórnvaldsfyrirmæla</w:t>
      </w:r>
      <w:r w:rsidR="00B5116D">
        <w:t xml:space="preserve"> munu verða einhver. Hins vegar má gera ráð fyrir því að umfang slíkrar upplýsingaöflunar verði það takmarkað að áhrifin verði vart teljandi.  </w:t>
      </w:r>
    </w:p>
    <w:p w14:paraId="1CA385B1" w14:textId="6F8D08A5" w:rsidR="00D0740D" w:rsidRDefault="00B5116D" w:rsidP="00B5116D">
      <w:r w:rsidRPr="00B5116D">
        <w:t>Samþykkt frumvarpsins hefur ekki fjárhagsáhrif fyrir ríkissjóð.</w:t>
      </w:r>
      <w:r>
        <w:t xml:space="preserve"> Áhrif samþykktarinnar á þá lögaðila sem hljóta VRA-vottun verða jákvæð. </w:t>
      </w:r>
    </w:p>
    <w:p w14:paraId="38AAD213" w14:textId="77777777" w:rsidR="00B5116D" w:rsidRDefault="00B5116D" w:rsidP="00943B67"/>
    <w:p w14:paraId="484C9770" w14:textId="77777777" w:rsidR="00E71F27" w:rsidRDefault="00E71F27" w:rsidP="00E71F27">
      <w:pPr>
        <w:pStyle w:val="Greinarfyrirsgn"/>
      </w:pPr>
      <w:r w:rsidRPr="009627CF">
        <w:t>Um einstakar greinar frumvarpsins.</w:t>
      </w:r>
    </w:p>
    <w:p w14:paraId="3D5A901C" w14:textId="6150E34F" w:rsidR="003766D4" w:rsidRPr="003766D4" w:rsidRDefault="003766D4" w:rsidP="003766D4">
      <w:pPr>
        <w:pStyle w:val="Greinarnmer"/>
      </w:pPr>
      <w:r w:rsidRPr="003766D4">
        <w:t>Um 1.</w:t>
      </w:r>
      <w:r w:rsidR="0079299F">
        <w:t xml:space="preserve"> og 2.</w:t>
      </w:r>
      <w:r w:rsidRPr="003766D4">
        <w:t xml:space="preserve"> gr.</w:t>
      </w:r>
    </w:p>
    <w:p w14:paraId="52049867" w14:textId="56F38633" w:rsidR="00507398" w:rsidRDefault="005F0981" w:rsidP="003766D4">
      <w:r>
        <w:t>Fyrsta og önnur grein</w:t>
      </w:r>
      <w:r w:rsidR="0079299F">
        <w:t xml:space="preserve"> eru nátengdar. </w:t>
      </w:r>
      <w:r w:rsidR="00AD2667">
        <w:t>Með þeim er l</w:t>
      </w:r>
      <w:r w:rsidR="0079299F">
        <w:t xml:space="preserve">agt til að efni 2. mgr. 27. gr. </w:t>
      </w:r>
      <w:r w:rsidR="00CA2209">
        <w:t>laganna</w:t>
      </w:r>
      <w:r w:rsidR="0079299F">
        <w:t xml:space="preserve"> verði fært í nýja grein, 27. gr. a</w:t>
      </w:r>
      <w:r w:rsidR="003766D4">
        <w:t>.</w:t>
      </w:r>
      <w:r w:rsidR="00AD2667">
        <w:t xml:space="preserve"> og efnið útfært nánar</w:t>
      </w:r>
      <w:r w:rsidR="00CA2209">
        <w:t xml:space="preserve"> til samræmis við athugasemdir Fjármálaaðgerðahópsins (FATF).</w:t>
      </w:r>
    </w:p>
    <w:p w14:paraId="258E0739" w14:textId="47F2CDAC" w:rsidR="00507398" w:rsidRDefault="0079299F" w:rsidP="003766D4">
      <w:r>
        <w:lastRenderedPageBreak/>
        <w:t xml:space="preserve">Nýja greinin mun </w:t>
      </w:r>
      <w:r w:rsidR="005F0981">
        <w:t xml:space="preserve">innihalda </w:t>
      </w:r>
      <w:r w:rsidR="00507398">
        <w:t xml:space="preserve">í 1. mgr. </w:t>
      </w:r>
      <w:r>
        <w:t>ákvæði sem skyldar bæði i</w:t>
      </w:r>
      <w:r w:rsidRPr="0079299F">
        <w:t>nnflytjendu</w:t>
      </w:r>
      <w:r>
        <w:t>r</w:t>
      </w:r>
      <w:r w:rsidRPr="0079299F">
        <w:t>, útflytjendu</w:t>
      </w:r>
      <w:r>
        <w:t>r</w:t>
      </w:r>
      <w:r w:rsidRPr="0079299F">
        <w:t>, og eftir atvikum tollmiðl</w:t>
      </w:r>
      <w:r>
        <w:t>ara</w:t>
      </w:r>
      <w:r w:rsidRPr="0079299F">
        <w:t xml:space="preserve">, </w:t>
      </w:r>
      <w:r>
        <w:t xml:space="preserve">og </w:t>
      </w:r>
      <w:r w:rsidRPr="0079299F">
        <w:t>ferðam</w:t>
      </w:r>
      <w:r>
        <w:t>enn</w:t>
      </w:r>
      <w:r w:rsidRPr="0079299F">
        <w:t xml:space="preserve"> og farmönnum að gera </w:t>
      </w:r>
      <w:r>
        <w:t xml:space="preserve">embætti </w:t>
      </w:r>
      <w:r w:rsidRPr="0079299F">
        <w:t>tollstjóra grein fyrir fjármunum sem fluttir eru til og frá landinu</w:t>
      </w:r>
      <w:r>
        <w:t xml:space="preserve"> svo fremi sem </w:t>
      </w:r>
      <w:r w:rsidR="00507398">
        <w:t>þeir</w:t>
      </w:r>
      <w:r>
        <w:t xml:space="preserve"> nemi</w:t>
      </w:r>
      <w:r w:rsidRPr="0079299F">
        <w:t xml:space="preserve"> hærri fjárhæð en 10.000 evrum.</w:t>
      </w:r>
      <w:r>
        <w:t xml:space="preserve"> Með fjármunum er í þessu samhengi átt við reiðufé</w:t>
      </w:r>
      <w:r w:rsidR="00507398">
        <w:t>, þ.e. innlendan og erlendan gjaldeyri sbr. 1. gr. laga nr. 87/1992,</w:t>
      </w:r>
      <w:r>
        <w:t xml:space="preserve"> og handhafabréf</w:t>
      </w:r>
      <w:r w:rsidR="00507398">
        <w:t>, þ.m.t. ferðatékka</w:t>
      </w:r>
      <w:r>
        <w:t>.</w:t>
      </w:r>
      <w:r w:rsidR="00507398">
        <w:t xml:space="preserve"> </w:t>
      </w:r>
    </w:p>
    <w:p w14:paraId="34B4A963" w14:textId="1173CDC4" w:rsidR="00507398" w:rsidRDefault="00507398" w:rsidP="003766D4">
      <w:r>
        <w:t>Í 2. mgr. er gert ráð fyrir að tollstjóri hafi vald til að ákveða hvernig upplýsingagjöfinni skuli háttað, t.d. með innsendu bréfi, útfyllingu staðlaðs eyðublaðs eða með rafrænum hætti.</w:t>
      </w:r>
    </w:p>
    <w:p w14:paraId="22A97FB1" w14:textId="5E9B23D5" w:rsidR="00507398" w:rsidRDefault="00507398" w:rsidP="003766D4">
      <w:r>
        <w:t>Í 3. mgr. er kveðið á um umfang upplýsingaskyldunnar í tilviki ferðamanna og farmanna. Nær hún til fjármuna sem þeir hafa meðferðis til og frá landinu.</w:t>
      </w:r>
    </w:p>
    <w:p w14:paraId="00BA7F5E" w14:textId="5378A49A" w:rsidR="00507398" w:rsidRDefault="00507398" w:rsidP="003766D4">
      <w:r>
        <w:t xml:space="preserve">Í 4. mgr. er kveðið á um umfang upplýsingaskyldunnar í tilviki </w:t>
      </w:r>
      <w:r w:rsidRPr="00507398">
        <w:t>innflytjenda, útflytjanda og tollmiðlara</w:t>
      </w:r>
      <w:r>
        <w:t xml:space="preserve">. Nær hún til fjármuna sem eru í sendingum til og frá landinu. Þannig nær skyldan ekki til peningaseðla sem </w:t>
      </w:r>
      <w:r w:rsidRPr="00507398">
        <w:t xml:space="preserve">þegar þeir </w:t>
      </w:r>
      <w:r>
        <w:t>teljast</w:t>
      </w:r>
      <w:r w:rsidRPr="00507398">
        <w:t xml:space="preserve"> prentvarningur</w:t>
      </w:r>
      <w:r>
        <w:t xml:space="preserve"> enda er þá skylt að gera grein fyrir þeim á inn- eða útflutningsskýrslu, samkvæmt ákvæðum 22.–26. gr. tollalaga sbr. 144. gr. þeirra.</w:t>
      </w:r>
    </w:p>
    <w:p w14:paraId="68C8A768" w14:textId="1D417E6F" w:rsidR="003766D4" w:rsidRDefault="00507398" w:rsidP="003766D4">
      <w:r>
        <w:t xml:space="preserve">Að öðru leyti </w:t>
      </w:r>
      <w:r w:rsidR="000E01EB">
        <w:t>skal við skýringu á</w:t>
      </w:r>
      <w:r>
        <w:t xml:space="preserve"> efni greinarinnar </w:t>
      </w:r>
      <w:r w:rsidR="000E01EB">
        <w:t>litið til</w:t>
      </w:r>
      <w:r w:rsidR="00103F9F">
        <w:t xml:space="preserve"> </w:t>
      </w:r>
      <w:r w:rsidR="00AD2667">
        <w:t xml:space="preserve">almennra athugasemda frumvarpsins og </w:t>
      </w:r>
      <w:r w:rsidR="00103F9F">
        <w:t>athugasemda</w:t>
      </w:r>
      <w:r w:rsidR="00AD2667">
        <w:t xml:space="preserve"> við</w:t>
      </w:r>
      <w:r>
        <w:t xml:space="preserve"> frumvarp til tollalaga nr. 88/2005 og frumvarp til laga nr. 167/2008.</w:t>
      </w:r>
    </w:p>
    <w:p w14:paraId="0215B510" w14:textId="77777777" w:rsidR="00507398" w:rsidRDefault="00507398" w:rsidP="003766D4"/>
    <w:p w14:paraId="74CB3C2F" w14:textId="77777777" w:rsidR="003766D4" w:rsidRDefault="003766D4" w:rsidP="003766D4">
      <w:pPr>
        <w:pStyle w:val="Greinarnmer"/>
      </w:pPr>
      <w:r>
        <w:t>Um 3. gr.</w:t>
      </w:r>
    </w:p>
    <w:p w14:paraId="73D53F47" w14:textId="77777777" w:rsidR="00DE06F4" w:rsidRDefault="00CA2209" w:rsidP="003766D4">
      <w:r>
        <w:t xml:space="preserve">Í 3. gr. er lagðar til breytingar á því skilyrði fyrir veitingu VRA-vottunar sem kveðið er á um í </w:t>
      </w:r>
      <w:bookmarkStart w:id="5" w:name="_Hlk526778359"/>
      <w:r w:rsidRPr="00CA2209">
        <w:t>1. tölul. 2. mgr. 145. gr. a. laganna</w:t>
      </w:r>
      <w:bookmarkEnd w:id="5"/>
      <w:r w:rsidR="003766D4">
        <w:t>.</w:t>
      </w:r>
      <w:r>
        <w:t xml:space="preserve"> </w:t>
      </w:r>
      <w:r w:rsidR="00DE06F4">
        <w:t>Annars vegar er ætlunin að einfalda og skýra framsetningu á þeim brota sem slík réttaráhrif hafa og hins vegar að útvíkka gildissvið ákvæðisins þannig að ótvírætt sé að það nái til brota óháð formi viðurlaga. Þannig mun skilyrðið eiga við hvort sem máli hefur verið lokið fyrir dómstólum eða á stjórnsýslustigi.</w:t>
      </w:r>
    </w:p>
    <w:p w14:paraId="2BFC6C0C" w14:textId="5AC299E4" w:rsidR="00992B1B" w:rsidRDefault="00992B1B" w:rsidP="003766D4">
      <w:r>
        <w:t>Í meginatriðum er e</w:t>
      </w:r>
      <w:r w:rsidR="00DE06F4">
        <w:t xml:space="preserve">kki er lagt til að upptalningu þeirra brota sem varðað geta því að skilyrði </w:t>
      </w:r>
      <w:r w:rsidR="00DE06F4" w:rsidRPr="00DE06F4">
        <w:t>1. tölul. 2. mgr. 145. gr. a. laganna</w:t>
      </w:r>
      <w:r w:rsidR="00DE06F4">
        <w:t xml:space="preserve"> geti ekki talist uppfyllt verði breytt efnislega frá því sem fram kemur í ákvæðum </w:t>
      </w:r>
      <w:r w:rsidR="00270812">
        <w:t xml:space="preserve">18. gr. </w:t>
      </w:r>
      <w:r w:rsidR="00DE06F4">
        <w:t>laga nr. 112/2016</w:t>
      </w:r>
      <w:r w:rsidR="00270812">
        <w:t xml:space="preserve"> að teknu tilliti til skýringa sem settar eru fram í nefndaráliti efnahags- og viðskiptanefndar um frumvarp til þeirra laga</w:t>
      </w:r>
      <w:r w:rsidR="006F774B">
        <w:rPr>
          <w:rStyle w:val="Tilvsunneanmlsgrein"/>
        </w:rPr>
        <w:footnoteReference w:id="6"/>
      </w:r>
      <w:r w:rsidR="00270812">
        <w:t xml:space="preserve"> og fylgiskjal</w:t>
      </w:r>
      <w:r>
        <w:t>i</w:t>
      </w:r>
      <w:r w:rsidR="00270812">
        <w:t xml:space="preserve"> við nefndarálitið</w:t>
      </w:r>
      <w:r w:rsidR="00DE06F4">
        <w:t>.</w:t>
      </w:r>
      <w:r>
        <w:t xml:space="preserve"> </w:t>
      </w:r>
    </w:p>
    <w:p w14:paraId="4402EF29" w14:textId="77777777" w:rsidR="004B56AD" w:rsidRDefault="00992B1B" w:rsidP="003766D4">
      <w:r>
        <w:t xml:space="preserve">Í greininni er ekki kveðið á um refsingu við brotum heldur aðeins þau réttaráhrif sem brot kunna að hafa í tilviki lögaðila sem sækir um VRA-vottun. Af því leiðir að ekki eru gerðar sömu kröfur til tilgreiningar brota og jafnan tíðkast </w:t>
      </w:r>
      <w:r w:rsidR="00A33A0A">
        <w:t xml:space="preserve">í lagaákvæðum </w:t>
      </w:r>
      <w:r>
        <w:t>á sviði refsiréttar. Skýra verður orðin „</w:t>
      </w:r>
      <w:r w:rsidRPr="00992B1B">
        <w:t>önnur brot sem tengjast atvinnustarfsemi umsækjanda</w:t>
      </w:r>
      <w:r>
        <w:t>“</w:t>
      </w:r>
      <w:r w:rsidR="00DE06F4">
        <w:t xml:space="preserve"> </w:t>
      </w:r>
      <w:r>
        <w:t xml:space="preserve">í 4. tölul. 3. gr. með framangreint í huga. Orðalagið er rúmt og nær til óskilgreindra flokka brota. Hins vegar þurfa brotin annars vegar að vera alvarleg eða ítrekuð og hins vegar að tengjast atvinnustarfsemi umsækjanda um VRA-vottun. </w:t>
      </w:r>
    </w:p>
    <w:p w14:paraId="6BCBF117" w14:textId="348A9856" w:rsidR="004B56AD" w:rsidRDefault="00992B1B" w:rsidP="003766D4">
      <w:r>
        <w:t xml:space="preserve">Alvarleg brot sem undir töluliðinn falla </w:t>
      </w:r>
      <w:r w:rsidR="000F5E17">
        <w:t>eru t.d. þau sem varðað hafa fangelsi eða sektum, þ.m.t. stjórnvaldssektum, að hærri fjárhæð en 500.000 kr.</w:t>
      </w:r>
      <w:r w:rsidR="004B56AD">
        <w:t xml:space="preserve"> Þá verður einnig að líta til alvarleika brotanna með hliðsjón af virkni gagnkvæmra viðurkenningarsamninga og eðlis þeirra í samhengi farar vara um landamæri. Því getur komið til greina að 500.000 kr. sektamörkin teljist ekki viðeigandi.</w:t>
      </w:r>
      <w:r w:rsidR="000F5E17">
        <w:t xml:space="preserve"> </w:t>
      </w:r>
    </w:p>
    <w:p w14:paraId="75901349" w14:textId="7AD02AA1" w:rsidR="003766D4" w:rsidRDefault="000F5E17" w:rsidP="001A7147">
      <w:r>
        <w:t xml:space="preserve">Tengslin við </w:t>
      </w:r>
      <w:r w:rsidR="004B56AD">
        <w:t>„</w:t>
      </w:r>
      <w:r>
        <w:t>atvinnustarfsemi umsækjanda</w:t>
      </w:r>
      <w:r w:rsidR="004B56AD">
        <w:t>“</w:t>
      </w:r>
      <w:r>
        <w:t xml:space="preserve"> verða að vera slík að </w:t>
      </w:r>
      <w:r w:rsidR="004B56AD">
        <w:t>brotin teljist hafa verið framin á sviði sem</w:t>
      </w:r>
      <w:r>
        <w:t xml:space="preserve"> umsækjandi </w:t>
      </w:r>
      <w:r w:rsidR="004B56AD">
        <w:t xml:space="preserve">starfar á. Þannig mundi t.d. brot á samkeppnislögum teljast hafa tengsl við atvinnustarfsemi umsækjanda ef ætla má að áhrif þess hafi komið fram í </w:t>
      </w:r>
      <w:r w:rsidR="004B56AD">
        <w:lastRenderedPageBreak/>
        <w:t xml:space="preserve">starfsemi lögaðila sem hefði uppfyllt það skilyrði VRA-vottunar að hann hefði </w:t>
      </w:r>
      <w:r w:rsidR="004B56AD" w:rsidRPr="004B56AD">
        <w:t>hlutverki að gegna í keðju aðfanga sem flutt eru til og frá landinu</w:t>
      </w:r>
      <w:r w:rsidR="004B56AD">
        <w:t xml:space="preserve">. Starfsemin þarf því ekki að vera algerlega sambærileg. Að lokum er rétt að taka fram að ef starfsmaður umsækjanda hefur brotið af sér í starfi og áhrif brotsins hafa einvörðungu takmarkast við umsækjandann sjálfan, t.d. þegar starfsmaður hans hefur í starfi sínu dregið sér fé frá umsækjanda, þá er ekki um það að ræða að tengslin við atvinnustarfsemina séu slík að það varði því að skilyrði vottunar teljist ekki uppfyllt.  </w:t>
      </w:r>
      <w:r>
        <w:t xml:space="preserve"> </w:t>
      </w:r>
      <w:r w:rsidR="00992B1B">
        <w:t xml:space="preserve"> </w:t>
      </w:r>
      <w:r w:rsidR="00DE06F4">
        <w:t xml:space="preserve"> </w:t>
      </w:r>
      <w:r w:rsidR="00270812">
        <w:t xml:space="preserve"> </w:t>
      </w:r>
      <w:r w:rsidR="00DE06F4">
        <w:t xml:space="preserve">  </w:t>
      </w:r>
      <w:r w:rsidR="00CA2209">
        <w:t xml:space="preserve"> </w:t>
      </w:r>
    </w:p>
    <w:p w14:paraId="3340BCC0" w14:textId="77777777" w:rsidR="003766D4" w:rsidRDefault="003766D4" w:rsidP="003766D4"/>
    <w:p w14:paraId="5595D483" w14:textId="47A03EE0" w:rsidR="003766D4" w:rsidRDefault="003766D4" w:rsidP="003766D4">
      <w:pPr>
        <w:pStyle w:val="Greinarnmer"/>
      </w:pPr>
      <w:r>
        <w:t>Um 4.</w:t>
      </w:r>
      <w:r w:rsidR="001A7147">
        <w:t xml:space="preserve"> og 5.</w:t>
      </w:r>
      <w:r>
        <w:t xml:space="preserve"> gr.</w:t>
      </w:r>
    </w:p>
    <w:p w14:paraId="7006795B" w14:textId="6A9F157E" w:rsidR="003766D4" w:rsidRDefault="001A7147" w:rsidP="003766D4">
      <w:r>
        <w:t xml:space="preserve">Með þeim breytingum sem lagðar eru til í 4. og 5. gr. verða ákvæði 2. tölul. 1. mgr. 145. gr. b. og </w:t>
      </w:r>
      <w:r w:rsidRPr="001A7147">
        <w:t xml:space="preserve">1. tölul. 1. mgr. 145. gr. c. </w:t>
      </w:r>
      <w:r>
        <w:t xml:space="preserve">laganna samræmd skilyrðum </w:t>
      </w:r>
      <w:r w:rsidRPr="00CA2209">
        <w:t>1. tölul. 2. mgr. 145. gr. a</w:t>
      </w:r>
      <w:r w:rsidR="003766D4">
        <w:t>.</w:t>
      </w:r>
      <w:r>
        <w:t xml:space="preserve"> að teknu tilliti til 3. gr. frumvarpsins. Er að öðru leyti vísað til skýringa við 3. gr.</w:t>
      </w:r>
    </w:p>
    <w:p w14:paraId="74086F31" w14:textId="03132A15" w:rsidR="001A7147" w:rsidRDefault="001A7147" w:rsidP="003766D4"/>
    <w:p w14:paraId="11420FA5" w14:textId="4D2B4E8D" w:rsidR="001A7147" w:rsidRDefault="001A7147" w:rsidP="001A7147">
      <w:pPr>
        <w:pStyle w:val="Greinarnmer"/>
      </w:pPr>
      <w:r>
        <w:t>Um 6. gr.</w:t>
      </w:r>
    </w:p>
    <w:p w14:paraId="117160E0" w14:textId="755854D8" w:rsidR="001A7147" w:rsidRDefault="001A7147" w:rsidP="003766D4">
      <w:r>
        <w:t xml:space="preserve">Með 6. gr. er lagt til að nýrri grein verði bætt við </w:t>
      </w:r>
      <w:r w:rsidR="00CB09DE">
        <w:t>XX. kafla laganna og í henni verði kveðið á um heimildir tollstjóra til vinnslu upplýsinga er tengjast VRA-vottun.</w:t>
      </w:r>
    </w:p>
    <w:p w14:paraId="4A7E136A" w14:textId="77777777" w:rsidR="007F370D" w:rsidRDefault="00CB09DE" w:rsidP="003766D4">
      <w:r>
        <w:t xml:space="preserve">Fyrsta málsgrein 6. gr. hefur tengist skilyrðum 1. tölul. 2. mgr. 145. gr. a., 2. tölul. 1. mgr. 145. gr. og 1. tölul. 1. mgr. 145. gr. c. laganna að teknu tilliti til ákvæða 3.–5. gr. frumvarpsins. Til þess að tollstjóra verði fært að sannreyna hvort umsækjandi um VRA-vottun uppfyllir skilyrði slíkrar vottunar eða hvort rétt sé að afturkalla VRA-vottun lögaðila þarf að tryggja honum heimildir til þess að vinna persónuupplýsingar. Af ákvæðum nýrra laga um </w:t>
      </w:r>
      <w:r w:rsidRPr="00CB09DE">
        <w:t>persónuvernd og vinnslu persónuupplýsinga</w:t>
      </w:r>
      <w:r>
        <w:t xml:space="preserve">, nr. 90/2018, leiðir að styrka lagaheimild þarf til slíkrar vinnslu. </w:t>
      </w:r>
      <w:r w:rsidR="007F370D">
        <w:t xml:space="preserve">Í 1. mgr. 6. gr. er því lagt til að kveðið verði á um að </w:t>
      </w:r>
      <w:r w:rsidR="007F370D" w:rsidRPr="007F370D">
        <w:t xml:space="preserve">tollstjóra </w:t>
      </w:r>
      <w:r w:rsidR="007F370D">
        <w:t xml:space="preserve">sé </w:t>
      </w:r>
      <w:r w:rsidR="007F370D" w:rsidRPr="007F370D">
        <w:t>heimilt að afla og vinna upplýsingar frá opinberum aðilum, innlendum sem erlendum, um hvort stjórnendur, stjórnarmenn, starfsmenn eða umboðsmenn hafi gerst sekir um brot</w:t>
      </w:r>
      <w:r w:rsidR="007F370D">
        <w:t xml:space="preserve"> sem falla undir </w:t>
      </w:r>
      <w:r w:rsidR="007F370D" w:rsidRPr="007F370D">
        <w:t>1. tölul. 2. mgr. 145. gr. a., 2. tölul. 1. mgr. 145. gr. og 1. tölul. 1. mgr. 145. gr. c. laganna</w:t>
      </w:r>
      <w:r w:rsidR="007F370D">
        <w:t>. Svo ljóst sé að heimildin á að vera víðtæk eru tekin í henni dæmi um til hvaða opinberu aðila hún á að ná. Með hliðsjón af 5. mgr. 15. gr. stjórnsýslulaga er tekið fram að l</w:t>
      </w:r>
      <w:r w:rsidR="007F370D" w:rsidRPr="007F370D">
        <w:t>agaákvæði um þagnarskyldu takmarka ekki skylduna til þess að veita aðgang að upplýsingum.</w:t>
      </w:r>
    </w:p>
    <w:p w14:paraId="58BBD7CE" w14:textId="784CA91A" w:rsidR="00CB09DE" w:rsidRDefault="007F370D" w:rsidP="003766D4">
      <w:r>
        <w:t xml:space="preserve">Að jafnaði verður að gera ráð fyrir að tollstjóri hafi fullt frelsi til að upplýsa umsækjanda um VRA- vottun eða vottaðan aðila um ástæður þess að hann telst ekki uppfylla skilyrði þess að hljóta slíka vottun eða halda henni. Þar sem þau skilyrði sem eru tíunduð í </w:t>
      </w:r>
      <w:r w:rsidRPr="007F370D">
        <w:t>1. tölul. 2. mgr. 145. gr. a., 2. tölul. 1. mgr. 145. gr. og 1. tölul. 1. mgr. 145. gr. c. laganna</w:t>
      </w:r>
      <w:r>
        <w:t xml:space="preserve"> eru persónulegs eðlis er í 2. mgr. 6. gr. er kveðið á um hvernig skuli með fara í þeim tilvikum þegar þau eru ekki uppfyllt. Til þess að tollstjóra sé heimilt að upplýsa um ástæðurnar </w:t>
      </w:r>
      <w:r w:rsidR="00D22DFB">
        <w:t xml:space="preserve">þarf </w:t>
      </w:r>
      <w:r w:rsidRPr="007F370D">
        <w:t>ótvírætt</w:t>
      </w:r>
      <w:r w:rsidR="00D22DFB">
        <w:t xml:space="preserve"> að</w:t>
      </w:r>
      <w:r w:rsidRPr="007F370D">
        <w:t xml:space="preserve"> ligg</w:t>
      </w:r>
      <w:r w:rsidR="00D22DFB">
        <w:t>ja</w:t>
      </w:r>
      <w:r w:rsidRPr="007F370D">
        <w:t xml:space="preserve"> fyrir að rannsóknarhagsmunir standi því ekki í vegi</w:t>
      </w:r>
      <w:r w:rsidR="00D22DFB">
        <w:t xml:space="preserve">. </w:t>
      </w:r>
    </w:p>
    <w:p w14:paraId="59BE051F" w14:textId="3FB5DD64" w:rsidR="00855E8C" w:rsidRDefault="00855E8C" w:rsidP="003766D4">
      <w:r>
        <w:t>Að öðru leyti þarfnast greinin ekki skýringar.</w:t>
      </w:r>
    </w:p>
    <w:p w14:paraId="3EFB1D72" w14:textId="28668365" w:rsidR="00855E8C" w:rsidRDefault="00855E8C" w:rsidP="003766D4"/>
    <w:p w14:paraId="7FCB8EBB" w14:textId="17EE5725" w:rsidR="00855E8C" w:rsidRDefault="00855E8C" w:rsidP="00855E8C">
      <w:pPr>
        <w:pStyle w:val="Greinarnmer"/>
      </w:pPr>
      <w:r>
        <w:t>Um 7. gr.</w:t>
      </w:r>
    </w:p>
    <w:p w14:paraId="2D91DBA4" w14:textId="2C7BE377" w:rsidR="00855E8C" w:rsidRDefault="00855E8C" w:rsidP="003766D4">
      <w:r>
        <w:t xml:space="preserve">Í greininni er lagt til að kveðið verði á um heimild handhafa tollgæsluvalds til að leggja hald á fjármuni, reiðufé eða handhafabréf, sem flutt eru til landsins í farangri ferðamanna eða farmanna eða í sendingu á vegum </w:t>
      </w:r>
      <w:r w:rsidRPr="00855E8C">
        <w:t>innflytjenda, útflytjanda og tollmiðlara</w:t>
      </w:r>
      <w:r>
        <w:t xml:space="preserve"> undir þeim kringumstæðum þegar </w:t>
      </w:r>
      <w:r w:rsidRPr="00855E8C">
        <w:t>grunur leikur á um að þeir verði notaðir við framkvæmd brots gegn refsiákvæðum almennra hegningarlaga</w:t>
      </w:r>
      <w:r>
        <w:t xml:space="preserve">. </w:t>
      </w:r>
    </w:p>
    <w:p w14:paraId="27D222A0" w14:textId="0FD3475E" w:rsidR="00855E8C" w:rsidRDefault="00855E8C" w:rsidP="003766D4">
      <w:r>
        <w:t>Um nánari skýringu á greininni vísast til 162. gr. tollalaga, frumvarps til þeirra laga og almennra athugasemda frumvarpsins.</w:t>
      </w:r>
    </w:p>
    <w:p w14:paraId="37658BB5" w14:textId="3CC2F344" w:rsidR="00855E8C" w:rsidRDefault="00855E8C" w:rsidP="003766D4"/>
    <w:p w14:paraId="1DFB397E" w14:textId="57235BC6" w:rsidR="00855E8C" w:rsidRDefault="00855E8C" w:rsidP="00855E8C">
      <w:pPr>
        <w:pStyle w:val="Greinarnmer"/>
      </w:pPr>
      <w:r>
        <w:lastRenderedPageBreak/>
        <w:t>Um 8. gr.</w:t>
      </w:r>
    </w:p>
    <w:p w14:paraId="02849F3A" w14:textId="4C2B6947" w:rsidR="00855E8C" w:rsidRDefault="00855E8C" w:rsidP="003766D4">
      <w:r>
        <w:t xml:space="preserve">Í greininni er lagt til að heimilt verði að beita sektum skv. 172. gr. tollalaga í þeim tilvikum þegar upplýsingaskylda skv. 27. gr. a. hefur ekki verið virt eða þær upplýsingar sem gefnar hafa verið hafa verið rangar, t.d. hvað varðar fjárhæð fjármuna, eða villandi. </w:t>
      </w:r>
    </w:p>
    <w:p w14:paraId="3872AC60" w14:textId="765EDF70" w:rsidR="00855E8C" w:rsidRDefault="00855E8C" w:rsidP="003766D4">
      <w:r>
        <w:t>Í b-lið greinarinnar er lögð til aðlögun vegna lögfestingar ákvæðis a-liðar.</w:t>
      </w:r>
    </w:p>
    <w:p w14:paraId="30AEBDBB" w14:textId="5FA47081" w:rsidR="00855E8C" w:rsidRDefault="00855E8C" w:rsidP="003766D4"/>
    <w:p w14:paraId="427CF123" w14:textId="081A623C" w:rsidR="00855E8C" w:rsidRDefault="00855E8C" w:rsidP="00855E8C">
      <w:pPr>
        <w:pStyle w:val="Greinarnmer"/>
      </w:pPr>
      <w:r>
        <w:t>Um 9. gr.</w:t>
      </w:r>
    </w:p>
    <w:p w14:paraId="77373B76" w14:textId="0326E9AA" w:rsidR="00855E8C" w:rsidRDefault="00855E8C" w:rsidP="003766D4">
      <w:r>
        <w:t>Í greininni er kveðið á um gildistöku frumvarpsins. Gert er ráð fyrir að þær greinar sem tengjast s</w:t>
      </w:r>
      <w:r w:rsidRPr="00855E8C">
        <w:t>kýrslugjöf um flutning fjármuna</w:t>
      </w:r>
      <w:r>
        <w:t xml:space="preserve"> taki gildi hinn 1. maí 2019. Með því skapast tími fyrir embætti tollstjóra til að kynna breytinguna. </w:t>
      </w:r>
    </w:p>
    <w:p w14:paraId="06DECA72" w14:textId="03BCD97B" w:rsidR="00855E8C" w:rsidRDefault="00855E8C" w:rsidP="003766D4">
      <w:r>
        <w:t>Að öðru leyti þarfnast efni greinarinnar ekki ský</w:t>
      </w:r>
      <w:r w:rsidR="00D87D77">
        <w:t>r</w:t>
      </w:r>
      <w:r>
        <w:t>ingar.</w:t>
      </w:r>
    </w:p>
    <w:p w14:paraId="2C029B84" w14:textId="1526F262" w:rsidR="001A7147" w:rsidRDefault="001A7147" w:rsidP="003766D4"/>
    <w:sectPr w:rsidR="001A7147"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3813" w14:textId="77777777" w:rsidR="00C36C10" w:rsidRDefault="00C36C10" w:rsidP="006258D7">
      <w:r>
        <w:separator/>
      </w:r>
    </w:p>
    <w:p w14:paraId="299CFCF5" w14:textId="77777777" w:rsidR="00C36C10" w:rsidRDefault="00C36C10"/>
  </w:endnote>
  <w:endnote w:type="continuationSeparator" w:id="0">
    <w:p w14:paraId="6A36262B" w14:textId="77777777" w:rsidR="00C36C10" w:rsidRDefault="00C36C10" w:rsidP="006258D7">
      <w:r>
        <w:continuationSeparator/>
      </w:r>
    </w:p>
    <w:p w14:paraId="3A633C01" w14:textId="77777777" w:rsidR="00C36C10" w:rsidRDefault="00C36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A612" w14:textId="77777777" w:rsidR="00C36C10" w:rsidRDefault="00C36C10" w:rsidP="005B4CD6">
      <w:pPr>
        <w:ind w:firstLine="0"/>
      </w:pPr>
      <w:r>
        <w:separator/>
      </w:r>
    </w:p>
    <w:p w14:paraId="22FCA70E" w14:textId="77777777" w:rsidR="00C36C10" w:rsidRDefault="00C36C10"/>
  </w:footnote>
  <w:footnote w:type="continuationSeparator" w:id="0">
    <w:p w14:paraId="3C8B546F" w14:textId="77777777" w:rsidR="00C36C10" w:rsidRDefault="00C36C10" w:rsidP="006258D7">
      <w:r>
        <w:continuationSeparator/>
      </w:r>
    </w:p>
    <w:p w14:paraId="4832E8B6" w14:textId="77777777" w:rsidR="00C36C10" w:rsidRDefault="00C36C10"/>
  </w:footnote>
  <w:footnote w:id="1">
    <w:p w14:paraId="4729286F" w14:textId="2634B7E2" w:rsidR="00C36C10" w:rsidRDefault="00C36C10">
      <w:pPr>
        <w:pStyle w:val="Textineanmlsgreinar"/>
      </w:pPr>
      <w:r>
        <w:rPr>
          <w:rStyle w:val="Tilvsunneanmlsgrein"/>
        </w:rPr>
        <w:footnoteRef/>
      </w:r>
      <w:r>
        <w:t xml:space="preserve"> Sjá nánar á vefslóðinni: </w:t>
      </w:r>
      <w:r w:rsidRPr="00E651B2">
        <w:t>http://www.fatf-gafi.org/publications/fatfrecommendations/documents/fatf-recommendations.html</w:t>
      </w:r>
      <w:r>
        <w:t>.</w:t>
      </w:r>
    </w:p>
  </w:footnote>
  <w:footnote w:id="2">
    <w:p w14:paraId="11010A76" w14:textId="28D94789" w:rsidR="00C36C10" w:rsidRDefault="00C36C10" w:rsidP="009B654E">
      <w:pPr>
        <w:pStyle w:val="Textineanmlsgreinar"/>
      </w:pPr>
      <w:r>
        <w:rPr>
          <w:rStyle w:val="Tilvsunneanmlsgrein"/>
        </w:rPr>
        <w:footnoteRef/>
      </w:r>
      <w:r>
        <w:t xml:space="preserve"> Sjá nánar á vefsíðunni: </w:t>
      </w:r>
      <w:r w:rsidRPr="00465C80">
        <w:t>http://www.fatf-gafi.org/publications/mutualevaluations/documents/mer-iceland-2018.html</w:t>
      </w:r>
      <w:r>
        <w:t>.</w:t>
      </w:r>
    </w:p>
  </w:footnote>
  <w:footnote w:id="3">
    <w:p w14:paraId="6FFB0610" w14:textId="77777777" w:rsidR="00C36C10" w:rsidRDefault="00C36C10">
      <w:pPr>
        <w:pStyle w:val="Textineanmlsgreinar"/>
      </w:pPr>
      <w:r>
        <w:rPr>
          <w:rStyle w:val="Tilvsunneanmlsgrein"/>
        </w:rPr>
        <w:footnoteRef/>
      </w:r>
      <w:r>
        <w:t xml:space="preserve"> Þ</w:t>
      </w:r>
      <w:r w:rsidRPr="006E3222">
        <w:t>skj. 753 í 493. máli á 131. löggjafarþingi</w:t>
      </w:r>
      <w:r>
        <w:t>.</w:t>
      </w:r>
    </w:p>
  </w:footnote>
  <w:footnote w:id="4">
    <w:p w14:paraId="34BFAF45" w14:textId="5E3651D8" w:rsidR="00C36C10" w:rsidRDefault="00C36C10">
      <w:pPr>
        <w:pStyle w:val="Textineanmlsgreinar"/>
      </w:pPr>
      <w:r>
        <w:rPr>
          <w:rStyle w:val="Tilvsunneanmlsgrein"/>
        </w:rPr>
        <w:footnoteRef/>
      </w:r>
      <w:r>
        <w:t xml:space="preserve"> </w:t>
      </w:r>
      <w:r>
        <w:tab/>
        <w:t>4. hluti reglugerðar</w:t>
      </w:r>
      <w:r w:rsidRPr="003F0FF9">
        <w:t xml:space="preserve"> </w:t>
      </w:r>
      <w:r>
        <w:t>Evrópuþingsins og ráðsins, nr.</w:t>
      </w:r>
      <w:r w:rsidRPr="003F0FF9">
        <w:t xml:space="preserve"> 952/2013</w:t>
      </w:r>
      <w:r>
        <w:t>,</w:t>
      </w:r>
      <w:r w:rsidRPr="003F0FF9">
        <w:t xml:space="preserve"> </w:t>
      </w:r>
      <w:r>
        <w:t>frá</w:t>
      </w:r>
      <w:r w:rsidRPr="003F0FF9">
        <w:t xml:space="preserve"> 9</w:t>
      </w:r>
      <w:r>
        <w:t>.</w:t>
      </w:r>
      <w:r w:rsidRPr="003F0FF9">
        <w:t xml:space="preserve"> </w:t>
      </w:r>
      <w:r>
        <w:t>október</w:t>
      </w:r>
      <w:r w:rsidRPr="003F0FF9">
        <w:t xml:space="preserve"> 2013 </w:t>
      </w:r>
      <w:r>
        <w:t xml:space="preserve">um tollareglur Evrópusambandsins, sjá á vefslóðinni </w:t>
      </w:r>
      <w:hyperlink r:id="rId1" w:history="1">
        <w:r w:rsidRPr="000C2659">
          <w:rPr>
            <w:rStyle w:val="Tengill"/>
          </w:rPr>
          <w:t>https://eur-lex.europa.eu/legal-content/en/ALL/?uri=CELEX%3A32013R0952</w:t>
        </w:r>
      </w:hyperlink>
      <w:r>
        <w:t>, og  framseld reglugerð ráðsins nr.</w:t>
      </w:r>
      <w:r w:rsidRPr="003F0FF9">
        <w:t xml:space="preserve"> 2015/2446 </w:t>
      </w:r>
      <w:r>
        <w:t>frá</w:t>
      </w:r>
      <w:r w:rsidRPr="003F0FF9">
        <w:t xml:space="preserve"> 28</w:t>
      </w:r>
      <w:r>
        <w:t xml:space="preserve">. júlí </w:t>
      </w:r>
      <w:r w:rsidRPr="003F0FF9">
        <w:t xml:space="preserve">2015 </w:t>
      </w:r>
      <w:r>
        <w:t>sem breytir reglugerð Evrópuþingsins og ráðsins, nr.</w:t>
      </w:r>
      <w:r w:rsidRPr="003F0FF9">
        <w:t xml:space="preserve"> 952/2013</w:t>
      </w:r>
      <w:r>
        <w:t>,</w:t>
      </w:r>
      <w:r w:rsidRPr="003F0FF9">
        <w:t xml:space="preserve"> </w:t>
      </w:r>
      <w:r>
        <w:t>frá</w:t>
      </w:r>
      <w:r w:rsidRPr="003F0FF9">
        <w:t xml:space="preserve"> 9</w:t>
      </w:r>
      <w:r>
        <w:t>.</w:t>
      </w:r>
      <w:r w:rsidRPr="003F0FF9">
        <w:t xml:space="preserve"> </w:t>
      </w:r>
      <w:r>
        <w:t>október</w:t>
      </w:r>
      <w:r w:rsidRPr="003F0FF9">
        <w:t xml:space="preserve"> 2013 </w:t>
      </w:r>
      <w:r>
        <w:t xml:space="preserve">um tollareglur Evrópusambandsins, sjá á vefsíðunni </w:t>
      </w:r>
      <w:r w:rsidRPr="003F0FF9">
        <w:t>https://eur-lex.europa.eu/legal-content/EN/ALL/?uri=uriserv:OJ.L_.2015.343.01.0001.01.ENG</w:t>
      </w:r>
      <w:r>
        <w:t>.</w:t>
      </w:r>
    </w:p>
  </w:footnote>
  <w:footnote w:id="5">
    <w:p w14:paraId="125978AB" w14:textId="639F4099" w:rsidR="00C36C10" w:rsidRDefault="00C36C10">
      <w:pPr>
        <w:pStyle w:val="Textineanmlsgreinar"/>
      </w:pPr>
      <w:r>
        <w:rPr>
          <w:rStyle w:val="Tilvsunneanmlsgrein"/>
        </w:rPr>
        <w:footnoteRef/>
      </w:r>
      <w:r>
        <w:t xml:space="preserve"> Sjá grein 42a tollareglna í 631. hluta svissnesku lögbókarinnar á vefslóðinni </w:t>
      </w:r>
      <w:r w:rsidRPr="00D83BDC">
        <w:t>https://www.admin.ch/opc/de/classified-compilation/20030370/index.html#a42a</w:t>
      </w:r>
    </w:p>
  </w:footnote>
  <w:footnote w:id="6">
    <w:p w14:paraId="76969D56" w14:textId="014345FE" w:rsidR="00C36C10" w:rsidRDefault="00C36C10">
      <w:pPr>
        <w:pStyle w:val="Textineanmlsgreinar"/>
      </w:pPr>
      <w:r>
        <w:rPr>
          <w:rStyle w:val="Tilvsunneanmlsgrein"/>
        </w:rPr>
        <w:footnoteRef/>
      </w:r>
      <w:r>
        <w:t xml:space="preserve"> Þ</w:t>
      </w:r>
      <w:r w:rsidRPr="006F774B">
        <w:t>skj. 1774, í 787. máli á 145. löggjafarþing</w:t>
      </w:r>
      <w: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581E" w14:textId="268A6B3A" w:rsidR="00C36C10" w:rsidRDefault="00C36C10"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876F4F">
      <w:rPr>
        <w:noProof/>
      </w:rPr>
      <w:t>7</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9. október 2018</w:t>
    </w:r>
    <w:r>
      <w:rPr>
        <w:b/>
        <w:i/>
        <w:color w:val="7F7F7F"/>
        <w:sz w:val="24"/>
        <w:szCs w:val="24"/>
      </w:rPr>
      <w:fldChar w:fldCharType="end"/>
    </w:r>
  </w:p>
  <w:p w14:paraId="5AAF5861" w14:textId="77777777" w:rsidR="00C36C10" w:rsidRDefault="00C36C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AB1D" w14:textId="0AFC8BD2" w:rsidR="00C36C10" w:rsidRDefault="00C36C10"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9. október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93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7F04E98"/>
    <w:multiLevelType w:val="multilevel"/>
    <w:tmpl w:val="C6484E02"/>
    <w:numStyleLink w:val="Althingia-1-a-1"/>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C547A56"/>
    <w:multiLevelType w:val="multilevel"/>
    <w:tmpl w:val="C6484E02"/>
    <w:numStyleLink w:val="Althingia-1-a-1"/>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5D096CEF"/>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37B78EF"/>
    <w:multiLevelType w:val="multilevel"/>
    <w:tmpl w:val="C6484E02"/>
    <w:numStyleLink w:val="Althingia-1-a-1"/>
  </w:abstractNum>
  <w:abstractNum w:abstractNumId="16"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15:restartNumberingAfterBreak="0">
    <w:nsid w:val="799944EA"/>
    <w:multiLevelType w:val="multilevel"/>
    <w:tmpl w:val="0560B0FA"/>
    <w:numStyleLink w:val="Althingi1-a-1-a"/>
  </w:abstractNum>
  <w:abstractNum w:abstractNumId="18"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8"/>
  </w:num>
  <w:num w:numId="2">
    <w:abstractNumId w:val="13"/>
  </w:num>
  <w:num w:numId="3">
    <w:abstractNumId w:val="16"/>
  </w:num>
  <w:num w:numId="4">
    <w:abstractNumId w:val="4"/>
  </w:num>
  <w:num w:numId="5">
    <w:abstractNumId w:val="10"/>
  </w:num>
  <w:num w:numId="6">
    <w:abstractNumId w:val="14"/>
  </w:num>
  <w:num w:numId="7">
    <w:abstractNumId w:val="5"/>
  </w:num>
  <w:num w:numId="8">
    <w:abstractNumId w:val="2"/>
  </w:num>
  <w:num w:numId="9">
    <w:abstractNumId w:val="8"/>
  </w:num>
  <w:num w:numId="10">
    <w:abstractNumId w:val="6"/>
  </w:num>
  <w:num w:numId="11">
    <w:abstractNumId w:val="7"/>
  </w:num>
  <w:num w:numId="12">
    <w:abstractNumId w:val="11"/>
  </w:num>
  <w:num w:numId="13">
    <w:abstractNumId w:val="1"/>
  </w:num>
  <w:num w:numId="14">
    <w:abstractNumId w:val="15"/>
  </w:num>
  <w:num w:numId="15">
    <w:abstractNumId w:val="3"/>
  </w:num>
  <w:num w:numId="16">
    <w:abstractNumId w:val="12"/>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efaultTabStop w:val="28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5797"/>
    <w:rsid w:val="0001585D"/>
    <w:rsid w:val="00015870"/>
    <w:rsid w:val="000300CD"/>
    <w:rsid w:val="00030C42"/>
    <w:rsid w:val="00035AAB"/>
    <w:rsid w:val="00043406"/>
    <w:rsid w:val="00043BED"/>
    <w:rsid w:val="000532EF"/>
    <w:rsid w:val="00055B22"/>
    <w:rsid w:val="00062A6E"/>
    <w:rsid w:val="00062AF4"/>
    <w:rsid w:val="000635EB"/>
    <w:rsid w:val="00067C57"/>
    <w:rsid w:val="00084A87"/>
    <w:rsid w:val="00091C2A"/>
    <w:rsid w:val="000A6CBD"/>
    <w:rsid w:val="000A7848"/>
    <w:rsid w:val="000B4A91"/>
    <w:rsid w:val="000C612A"/>
    <w:rsid w:val="000D40D8"/>
    <w:rsid w:val="000D495E"/>
    <w:rsid w:val="000E01EB"/>
    <w:rsid w:val="000E16E7"/>
    <w:rsid w:val="000E2349"/>
    <w:rsid w:val="000E3209"/>
    <w:rsid w:val="000E401B"/>
    <w:rsid w:val="000F46B1"/>
    <w:rsid w:val="000F5E17"/>
    <w:rsid w:val="00103F9F"/>
    <w:rsid w:val="00105FFF"/>
    <w:rsid w:val="00106C3A"/>
    <w:rsid w:val="001117C1"/>
    <w:rsid w:val="00116224"/>
    <w:rsid w:val="00116FE1"/>
    <w:rsid w:val="00117680"/>
    <w:rsid w:val="00120199"/>
    <w:rsid w:val="001222CE"/>
    <w:rsid w:val="001227D9"/>
    <w:rsid w:val="00122EE4"/>
    <w:rsid w:val="00126E7D"/>
    <w:rsid w:val="00132E7E"/>
    <w:rsid w:val="001371CD"/>
    <w:rsid w:val="00144AAC"/>
    <w:rsid w:val="00147D58"/>
    <w:rsid w:val="0015772E"/>
    <w:rsid w:val="00162E36"/>
    <w:rsid w:val="0017744F"/>
    <w:rsid w:val="00177D41"/>
    <w:rsid w:val="00181038"/>
    <w:rsid w:val="00191C69"/>
    <w:rsid w:val="001A7147"/>
    <w:rsid w:val="001B3BC3"/>
    <w:rsid w:val="001B4487"/>
    <w:rsid w:val="001B5A04"/>
    <w:rsid w:val="001C403D"/>
    <w:rsid w:val="001E4E9B"/>
    <w:rsid w:val="001E75D1"/>
    <w:rsid w:val="001F3609"/>
    <w:rsid w:val="002001FD"/>
    <w:rsid w:val="00203655"/>
    <w:rsid w:val="00204E73"/>
    <w:rsid w:val="002138C2"/>
    <w:rsid w:val="002162BB"/>
    <w:rsid w:val="0022006D"/>
    <w:rsid w:val="002224E3"/>
    <w:rsid w:val="00222519"/>
    <w:rsid w:val="00253821"/>
    <w:rsid w:val="00257EC5"/>
    <w:rsid w:val="00260FE0"/>
    <w:rsid w:val="002675EE"/>
    <w:rsid w:val="00270812"/>
    <w:rsid w:val="00270A34"/>
    <w:rsid w:val="00291F5A"/>
    <w:rsid w:val="00293FEE"/>
    <w:rsid w:val="002A053E"/>
    <w:rsid w:val="002B3385"/>
    <w:rsid w:val="002D034E"/>
    <w:rsid w:val="002D340A"/>
    <w:rsid w:val="002D7A08"/>
    <w:rsid w:val="002E446C"/>
    <w:rsid w:val="002E4C51"/>
    <w:rsid w:val="002E7193"/>
    <w:rsid w:val="002F3AFA"/>
    <w:rsid w:val="002F52D5"/>
    <w:rsid w:val="002F79F5"/>
    <w:rsid w:val="003007D0"/>
    <w:rsid w:val="00312624"/>
    <w:rsid w:val="00312EDB"/>
    <w:rsid w:val="003161F7"/>
    <w:rsid w:val="00322F35"/>
    <w:rsid w:val="0032704C"/>
    <w:rsid w:val="00334FA7"/>
    <w:rsid w:val="00335852"/>
    <w:rsid w:val="00336AE9"/>
    <w:rsid w:val="0034044F"/>
    <w:rsid w:val="00344BFF"/>
    <w:rsid w:val="00350892"/>
    <w:rsid w:val="003526E2"/>
    <w:rsid w:val="003552A6"/>
    <w:rsid w:val="00364ED6"/>
    <w:rsid w:val="003715D0"/>
    <w:rsid w:val="003766D4"/>
    <w:rsid w:val="00381ECF"/>
    <w:rsid w:val="003917F4"/>
    <w:rsid w:val="00395C6D"/>
    <w:rsid w:val="00397EF8"/>
    <w:rsid w:val="003A0A09"/>
    <w:rsid w:val="003B09E5"/>
    <w:rsid w:val="003B61B8"/>
    <w:rsid w:val="003B6479"/>
    <w:rsid w:val="003B68AB"/>
    <w:rsid w:val="003B7AF5"/>
    <w:rsid w:val="003C29A1"/>
    <w:rsid w:val="003C2A4F"/>
    <w:rsid w:val="003C3645"/>
    <w:rsid w:val="003D05C6"/>
    <w:rsid w:val="003D3F45"/>
    <w:rsid w:val="003E3CE0"/>
    <w:rsid w:val="003F0FF9"/>
    <w:rsid w:val="003F5B37"/>
    <w:rsid w:val="00406E48"/>
    <w:rsid w:val="00436458"/>
    <w:rsid w:val="004524B3"/>
    <w:rsid w:val="00457D9C"/>
    <w:rsid w:val="00461D16"/>
    <w:rsid w:val="00465C80"/>
    <w:rsid w:val="00487E30"/>
    <w:rsid w:val="0049606B"/>
    <w:rsid w:val="004A1EFB"/>
    <w:rsid w:val="004A2638"/>
    <w:rsid w:val="004B3D9B"/>
    <w:rsid w:val="004B56AD"/>
    <w:rsid w:val="004B6907"/>
    <w:rsid w:val="004C4D11"/>
    <w:rsid w:val="004C568E"/>
    <w:rsid w:val="004E185D"/>
    <w:rsid w:val="004F37F2"/>
    <w:rsid w:val="004F4925"/>
    <w:rsid w:val="005007D2"/>
    <w:rsid w:val="00501859"/>
    <w:rsid w:val="0050458D"/>
    <w:rsid w:val="00507398"/>
    <w:rsid w:val="00507601"/>
    <w:rsid w:val="0051089A"/>
    <w:rsid w:val="005375B7"/>
    <w:rsid w:val="00540C0D"/>
    <w:rsid w:val="00541FBE"/>
    <w:rsid w:val="00564348"/>
    <w:rsid w:val="0057228A"/>
    <w:rsid w:val="005818F1"/>
    <w:rsid w:val="005840E4"/>
    <w:rsid w:val="00591CC1"/>
    <w:rsid w:val="005A0421"/>
    <w:rsid w:val="005B4CD6"/>
    <w:rsid w:val="005C4A3D"/>
    <w:rsid w:val="005D5AEE"/>
    <w:rsid w:val="005D7863"/>
    <w:rsid w:val="005E17C3"/>
    <w:rsid w:val="005E5038"/>
    <w:rsid w:val="005F0981"/>
    <w:rsid w:val="005F3D62"/>
    <w:rsid w:val="00603635"/>
    <w:rsid w:val="00611F70"/>
    <w:rsid w:val="006258D7"/>
    <w:rsid w:val="00627E7E"/>
    <w:rsid w:val="006338C0"/>
    <w:rsid w:val="00646DFF"/>
    <w:rsid w:val="0064709D"/>
    <w:rsid w:val="006514F9"/>
    <w:rsid w:val="00652C9A"/>
    <w:rsid w:val="00655AEA"/>
    <w:rsid w:val="00655EE3"/>
    <w:rsid w:val="0066420A"/>
    <w:rsid w:val="00671FF0"/>
    <w:rsid w:val="006756F0"/>
    <w:rsid w:val="00677009"/>
    <w:rsid w:val="00690006"/>
    <w:rsid w:val="00695760"/>
    <w:rsid w:val="006978E8"/>
    <w:rsid w:val="006B05AD"/>
    <w:rsid w:val="006B6B37"/>
    <w:rsid w:val="006B7094"/>
    <w:rsid w:val="006C2952"/>
    <w:rsid w:val="006E3222"/>
    <w:rsid w:val="006F069F"/>
    <w:rsid w:val="006F4043"/>
    <w:rsid w:val="006F4D1E"/>
    <w:rsid w:val="006F74FF"/>
    <w:rsid w:val="006F774B"/>
    <w:rsid w:val="00706572"/>
    <w:rsid w:val="00707D37"/>
    <w:rsid w:val="00710840"/>
    <w:rsid w:val="00714BB7"/>
    <w:rsid w:val="007176DC"/>
    <w:rsid w:val="00723696"/>
    <w:rsid w:val="007555E3"/>
    <w:rsid w:val="00775D91"/>
    <w:rsid w:val="00782813"/>
    <w:rsid w:val="007856AA"/>
    <w:rsid w:val="0079299F"/>
    <w:rsid w:val="007931E0"/>
    <w:rsid w:val="007974BE"/>
    <w:rsid w:val="007A08F8"/>
    <w:rsid w:val="007A38F0"/>
    <w:rsid w:val="007B2D36"/>
    <w:rsid w:val="007B6B10"/>
    <w:rsid w:val="007C6047"/>
    <w:rsid w:val="007D1716"/>
    <w:rsid w:val="007D4338"/>
    <w:rsid w:val="007D76BE"/>
    <w:rsid w:val="007D7E9D"/>
    <w:rsid w:val="007F370D"/>
    <w:rsid w:val="007F3B99"/>
    <w:rsid w:val="00803FAF"/>
    <w:rsid w:val="008211BE"/>
    <w:rsid w:val="00825F52"/>
    <w:rsid w:val="00835439"/>
    <w:rsid w:val="008418B0"/>
    <w:rsid w:val="00852033"/>
    <w:rsid w:val="00852FF3"/>
    <w:rsid w:val="00855E8C"/>
    <w:rsid w:val="0085674C"/>
    <w:rsid w:val="008577B7"/>
    <w:rsid w:val="00860355"/>
    <w:rsid w:val="00863B63"/>
    <w:rsid w:val="00871B63"/>
    <w:rsid w:val="0087254D"/>
    <w:rsid w:val="00876F4F"/>
    <w:rsid w:val="008831B2"/>
    <w:rsid w:val="00886C84"/>
    <w:rsid w:val="00895423"/>
    <w:rsid w:val="008B1D76"/>
    <w:rsid w:val="008D0068"/>
    <w:rsid w:val="008D271A"/>
    <w:rsid w:val="008E2BB2"/>
    <w:rsid w:val="008F405E"/>
    <w:rsid w:val="00904CDB"/>
    <w:rsid w:val="0090525B"/>
    <w:rsid w:val="00913156"/>
    <w:rsid w:val="009141B7"/>
    <w:rsid w:val="00935DD9"/>
    <w:rsid w:val="00943B67"/>
    <w:rsid w:val="00946209"/>
    <w:rsid w:val="00947F0E"/>
    <w:rsid w:val="00951836"/>
    <w:rsid w:val="0095747A"/>
    <w:rsid w:val="00972102"/>
    <w:rsid w:val="00974107"/>
    <w:rsid w:val="009829B0"/>
    <w:rsid w:val="00987530"/>
    <w:rsid w:val="00992B1B"/>
    <w:rsid w:val="00995085"/>
    <w:rsid w:val="009A2780"/>
    <w:rsid w:val="009B63C3"/>
    <w:rsid w:val="009B654E"/>
    <w:rsid w:val="009C2EC1"/>
    <w:rsid w:val="009D2DC6"/>
    <w:rsid w:val="009D3454"/>
    <w:rsid w:val="009D6395"/>
    <w:rsid w:val="009E0296"/>
    <w:rsid w:val="009E527B"/>
    <w:rsid w:val="00A02617"/>
    <w:rsid w:val="00A10AE9"/>
    <w:rsid w:val="00A141B9"/>
    <w:rsid w:val="00A2280D"/>
    <w:rsid w:val="00A24367"/>
    <w:rsid w:val="00A339F0"/>
    <w:rsid w:val="00A33A0A"/>
    <w:rsid w:val="00A35088"/>
    <w:rsid w:val="00A366EA"/>
    <w:rsid w:val="00A425DE"/>
    <w:rsid w:val="00A436FD"/>
    <w:rsid w:val="00A52EFC"/>
    <w:rsid w:val="00A56B9C"/>
    <w:rsid w:val="00A74357"/>
    <w:rsid w:val="00A84C9D"/>
    <w:rsid w:val="00A90212"/>
    <w:rsid w:val="00A91B06"/>
    <w:rsid w:val="00A959B7"/>
    <w:rsid w:val="00AA6BD9"/>
    <w:rsid w:val="00AB054F"/>
    <w:rsid w:val="00AB4DB6"/>
    <w:rsid w:val="00AC7C2A"/>
    <w:rsid w:val="00AD0879"/>
    <w:rsid w:val="00AD2667"/>
    <w:rsid w:val="00AE5CED"/>
    <w:rsid w:val="00AF581E"/>
    <w:rsid w:val="00AF5F8A"/>
    <w:rsid w:val="00B0057F"/>
    <w:rsid w:val="00B02B69"/>
    <w:rsid w:val="00B17596"/>
    <w:rsid w:val="00B203DC"/>
    <w:rsid w:val="00B20E81"/>
    <w:rsid w:val="00B26A95"/>
    <w:rsid w:val="00B30229"/>
    <w:rsid w:val="00B31AD0"/>
    <w:rsid w:val="00B35730"/>
    <w:rsid w:val="00B50BFA"/>
    <w:rsid w:val="00B5116D"/>
    <w:rsid w:val="00B56947"/>
    <w:rsid w:val="00B6436F"/>
    <w:rsid w:val="00B66816"/>
    <w:rsid w:val="00B67ED4"/>
    <w:rsid w:val="00B74427"/>
    <w:rsid w:val="00B97F78"/>
    <w:rsid w:val="00BA26EC"/>
    <w:rsid w:val="00BB46F5"/>
    <w:rsid w:val="00BC13A6"/>
    <w:rsid w:val="00BC2FA9"/>
    <w:rsid w:val="00BC31E7"/>
    <w:rsid w:val="00BC3809"/>
    <w:rsid w:val="00BD55CF"/>
    <w:rsid w:val="00BE5B3B"/>
    <w:rsid w:val="00BF2C1E"/>
    <w:rsid w:val="00BF3D23"/>
    <w:rsid w:val="00C044C1"/>
    <w:rsid w:val="00C12A8B"/>
    <w:rsid w:val="00C34A72"/>
    <w:rsid w:val="00C350BA"/>
    <w:rsid w:val="00C35574"/>
    <w:rsid w:val="00C35933"/>
    <w:rsid w:val="00C36086"/>
    <w:rsid w:val="00C36C10"/>
    <w:rsid w:val="00C5098E"/>
    <w:rsid w:val="00C574D2"/>
    <w:rsid w:val="00C60E43"/>
    <w:rsid w:val="00C63E93"/>
    <w:rsid w:val="00C67072"/>
    <w:rsid w:val="00C710B1"/>
    <w:rsid w:val="00C8333F"/>
    <w:rsid w:val="00C84253"/>
    <w:rsid w:val="00C85E58"/>
    <w:rsid w:val="00C92B33"/>
    <w:rsid w:val="00C94EDB"/>
    <w:rsid w:val="00C9539A"/>
    <w:rsid w:val="00CA2209"/>
    <w:rsid w:val="00CA31D0"/>
    <w:rsid w:val="00CA7066"/>
    <w:rsid w:val="00CB09DE"/>
    <w:rsid w:val="00CC7ED2"/>
    <w:rsid w:val="00CD0C54"/>
    <w:rsid w:val="00CD54BE"/>
    <w:rsid w:val="00D0740D"/>
    <w:rsid w:val="00D16BD8"/>
    <w:rsid w:val="00D16D92"/>
    <w:rsid w:val="00D205B5"/>
    <w:rsid w:val="00D22DFB"/>
    <w:rsid w:val="00D25E73"/>
    <w:rsid w:val="00D337AE"/>
    <w:rsid w:val="00D45F78"/>
    <w:rsid w:val="00D512A4"/>
    <w:rsid w:val="00D5679C"/>
    <w:rsid w:val="00D83BDC"/>
    <w:rsid w:val="00D87D77"/>
    <w:rsid w:val="00D90209"/>
    <w:rsid w:val="00DA00A1"/>
    <w:rsid w:val="00DA0E37"/>
    <w:rsid w:val="00DD303D"/>
    <w:rsid w:val="00DD5C5A"/>
    <w:rsid w:val="00DE06F4"/>
    <w:rsid w:val="00DE1D50"/>
    <w:rsid w:val="00DE6DD5"/>
    <w:rsid w:val="00E0432B"/>
    <w:rsid w:val="00E11B67"/>
    <w:rsid w:val="00E11EC8"/>
    <w:rsid w:val="00E255CC"/>
    <w:rsid w:val="00E279F2"/>
    <w:rsid w:val="00E45603"/>
    <w:rsid w:val="00E45CB1"/>
    <w:rsid w:val="00E61D77"/>
    <w:rsid w:val="00E64246"/>
    <w:rsid w:val="00E651B2"/>
    <w:rsid w:val="00E65BC6"/>
    <w:rsid w:val="00E71F27"/>
    <w:rsid w:val="00E72965"/>
    <w:rsid w:val="00E7395A"/>
    <w:rsid w:val="00E84BA3"/>
    <w:rsid w:val="00EA4BBC"/>
    <w:rsid w:val="00EA4BDA"/>
    <w:rsid w:val="00EB12F6"/>
    <w:rsid w:val="00EB2DE6"/>
    <w:rsid w:val="00EB3C39"/>
    <w:rsid w:val="00EC3BCC"/>
    <w:rsid w:val="00ED1890"/>
    <w:rsid w:val="00EF776B"/>
    <w:rsid w:val="00F116F1"/>
    <w:rsid w:val="00F2093A"/>
    <w:rsid w:val="00F21D7A"/>
    <w:rsid w:val="00F2461B"/>
    <w:rsid w:val="00F41C25"/>
    <w:rsid w:val="00F4568E"/>
    <w:rsid w:val="00F54C9A"/>
    <w:rsid w:val="00F60359"/>
    <w:rsid w:val="00F60FB5"/>
    <w:rsid w:val="00F67792"/>
    <w:rsid w:val="00F67A1C"/>
    <w:rsid w:val="00F735B8"/>
    <w:rsid w:val="00F96217"/>
    <w:rsid w:val="00FA44BB"/>
    <w:rsid w:val="00FB0B6D"/>
    <w:rsid w:val="00FB2D31"/>
    <w:rsid w:val="00FB462F"/>
    <w:rsid w:val="00FC3A4F"/>
    <w:rsid w:val="00FE2979"/>
    <w:rsid w:val="00FE441C"/>
    <w:rsid w:val="00FE6978"/>
    <w:rsid w:val="00FF0CE5"/>
    <w:rsid w:val="00FF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DF25DB"/>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Ekkileystrtilgreiningu">
    <w:name w:val="Unresolved Mention"/>
    <w:basedOn w:val="Sjlfgefinleturgermlsgreinar"/>
    <w:uiPriority w:val="99"/>
    <w:semiHidden/>
    <w:unhideWhenUsed/>
    <w:rsid w:val="00886C84"/>
    <w:rPr>
      <w:color w:val="808080"/>
      <w:shd w:val="clear" w:color="auto" w:fill="E6E6E6"/>
    </w:rPr>
  </w:style>
  <w:style w:type="character" w:styleId="Tilvsunathugasemd">
    <w:name w:val="annotation reference"/>
    <w:basedOn w:val="Sjlfgefinleturgermlsgreinar"/>
    <w:uiPriority w:val="99"/>
    <w:semiHidden/>
    <w:unhideWhenUsed/>
    <w:rsid w:val="00DD5C5A"/>
    <w:rPr>
      <w:sz w:val="16"/>
      <w:szCs w:val="16"/>
    </w:rPr>
  </w:style>
  <w:style w:type="paragraph" w:styleId="Textiathugasemdar">
    <w:name w:val="annotation text"/>
    <w:basedOn w:val="Venjulegur"/>
    <w:link w:val="TextiathugasemdarStaf"/>
    <w:uiPriority w:val="99"/>
    <w:semiHidden/>
    <w:unhideWhenUsed/>
    <w:rsid w:val="00DD5C5A"/>
    <w:rPr>
      <w:sz w:val="20"/>
      <w:szCs w:val="20"/>
    </w:rPr>
  </w:style>
  <w:style w:type="character" w:customStyle="1" w:styleId="TextiathugasemdarStaf">
    <w:name w:val="Texti athugasemdar Staf"/>
    <w:basedOn w:val="Sjlfgefinleturgermlsgreinar"/>
    <w:link w:val="Textiathugasemdar"/>
    <w:uiPriority w:val="99"/>
    <w:semiHidden/>
    <w:rsid w:val="00DD5C5A"/>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DD5C5A"/>
    <w:rPr>
      <w:b/>
      <w:bCs/>
    </w:rPr>
  </w:style>
  <w:style w:type="character" w:customStyle="1" w:styleId="EfniathugasemdarStaf">
    <w:name w:val="Efni athugasemdar Staf"/>
    <w:basedOn w:val="TextiathugasemdarStaf"/>
    <w:link w:val="Efniathugasemdar"/>
    <w:uiPriority w:val="99"/>
    <w:semiHidden/>
    <w:rsid w:val="00DD5C5A"/>
    <w:rPr>
      <w:rFonts w:ascii="Times New Roman" w:hAnsi="Times New Roman"/>
      <w:b/>
      <w:bCs/>
      <w:lang w:val="is-IS"/>
    </w:rPr>
  </w:style>
  <w:style w:type="paragraph" w:styleId="Blrutexti">
    <w:name w:val="Balloon Text"/>
    <w:basedOn w:val="Venjulegur"/>
    <w:link w:val="BlrutextiStaf"/>
    <w:uiPriority w:val="99"/>
    <w:semiHidden/>
    <w:unhideWhenUsed/>
    <w:rsid w:val="00DD5C5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D5C5A"/>
    <w:rPr>
      <w:rFonts w:ascii="Segoe UI" w:hAnsi="Segoe UI" w:cs="Segoe UI"/>
      <w:sz w:val="18"/>
      <w:szCs w:val="18"/>
      <w:lang w:val="is-IS"/>
    </w:rPr>
  </w:style>
  <w:style w:type="character" w:styleId="NotaurTengill">
    <w:name w:val="FollowedHyperlink"/>
    <w:basedOn w:val="Sjlfgefinleturgermlsgreinar"/>
    <w:uiPriority w:val="99"/>
    <w:semiHidden/>
    <w:unhideWhenUsed/>
    <w:rsid w:val="007D7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LL/?uri=CELEX%3A32013R0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517A-50C8-4F28-8E65-67D4773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5449</Words>
  <Characters>31065</Characters>
  <Application>Microsoft Office Word</Application>
  <DocSecurity>0</DocSecurity>
  <Lines>258</Lines>
  <Paragraphs>72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Benedikt S. Benediktsson</cp:lastModifiedBy>
  <cp:revision>2</cp:revision>
  <dcterms:created xsi:type="dcterms:W3CDTF">2018-10-09T10:32:00Z</dcterms:created>
  <dcterms:modified xsi:type="dcterms:W3CDTF">2018-10-09T10:32:00Z</dcterms:modified>
</cp:coreProperties>
</file>