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Hnitanettflu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83508" w:rsidRPr="00A57AE1" w14:paraId="41F29C73" w14:textId="77777777" w:rsidTr="70EBA673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A6659" w14:textId="77777777" w:rsidR="00883508" w:rsidRPr="00C16582" w:rsidRDefault="00883508" w:rsidP="00DA27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4CF4EE3C" wp14:editId="6B6460BE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0EB2" w14:textId="77777777" w:rsidR="00883508" w:rsidRPr="00C3045B" w:rsidRDefault="0012646E" w:rsidP="70EBA673">
            <w:pPr>
              <w:spacing w:before="400" w:after="12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</w:pPr>
            <w:r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      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MAT Á </w:t>
            </w:r>
            <w:r w:rsidR="007414CB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Á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HRIFUM LAGASETNINGAR</w:t>
            </w:r>
            <w:r w:rsidR="000073F7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*</w:t>
            </w:r>
          </w:p>
          <w:p w14:paraId="4001912A" w14:textId="4C1AD2B3" w:rsidR="00883508" w:rsidRDefault="00883508" w:rsidP="00F33A33">
            <w:pPr>
              <w:spacing w:before="120" w:after="60"/>
              <w:rPr>
                <w:rFonts w:ascii="Times New Roman" w:hAnsi="Times New Roman" w:cs="Times New Roman"/>
                <w:i/>
                <w:lang w:val="is-IS"/>
              </w:rPr>
            </w:pP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C3045B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="00C3045B"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 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– </w:t>
            </w:r>
            <w:r w:rsidR="00811BB0" w:rsidRPr="00C3045B">
              <w:rPr>
                <w:rFonts w:ascii="Times New Roman" w:hAnsi="Times New Roman" w:cs="Times New Roman"/>
                <w:i/>
                <w:lang w:val="is-IS"/>
              </w:rPr>
              <w:t>sbr.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samþykkt ríkisstjórnar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 xml:space="preserve">febrúar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>20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23</w:t>
            </w:r>
          </w:p>
          <w:p w14:paraId="39FAEDC1" w14:textId="77777777" w:rsidR="000073F7" w:rsidRPr="003C7B0C" w:rsidRDefault="000073F7" w:rsidP="00F33A33">
            <w:pPr>
              <w:spacing w:before="60" w:after="60"/>
              <w:rPr>
                <w:rFonts w:ascii="Times New Roman" w:hAnsi="Times New Roman" w:cs="Times New Roman"/>
                <w:i/>
                <w:lang w:val="is-I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*</w:t>
            </w:r>
            <w:r w:rsidR="000E6A46" w:rsidRPr="00F33A33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umfjöllun um einstök efnisatriði misjafnlega ítarleg, eftir umfangi máls og eðli</w:t>
            </w:r>
          </w:p>
        </w:tc>
      </w:tr>
      <w:tr w:rsidR="00135B40" w:rsidRPr="00BF5ACD" w14:paraId="46D73CCE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BFB3DA7" w14:textId="77777777" w:rsidR="00135B40" w:rsidRPr="004E0E11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722500403" w:edGrp="everyone" w:colFirst="1" w:colLast="1"/>
            <w:r w:rsidRPr="004E0E11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D6B04F" w14:textId="7061A27F" w:rsidR="00135B40" w:rsidRPr="004E0E11" w:rsidRDefault="00135B40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lang w:val="is-IS"/>
                    </w:rPr>
                    <w:id w:val="72170461"/>
                    <w:placeholder>
                      <w:docPart w:val="1288405C5F8D4745B80B7F14D68F2DDA"/>
                    </w:placeholder>
                  </w:sdtPr>
                  <w:sdtContent>
                    <w:r w:rsidR="000D50DA" w:rsidRPr="62358FF2">
                      <w:rPr>
                        <w:rFonts w:ascii="Times New Roman" w:hAnsi="Times New Roman" w:cs="Times New Roman"/>
                        <w:lang w:val="is-IS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lang w:val="is-IS"/>
                        </w:rPr>
                        <w:id w:val="1650942047"/>
                        <w:placeholder>
                          <w:docPart w:val="012022EFECE947FE84562714268B82A9"/>
                        </w:placeholder>
                      </w:sdtPr>
                      <w:sdtContent>
                        <w:r w:rsidR="000D50DA" w:rsidRPr="62358FF2">
                          <w:rPr>
                            <w:rFonts w:ascii="Times New Roman" w:hAnsi="Times New Roman" w:cs="Times New Roman"/>
                            <w:lang w:val="is-IS"/>
                          </w:rPr>
                          <w:t>Frumvarp til laga um breytingu á lögum um skyldutryggingu lífeyrisréttinda og starfsemi lífeyrissjóða, nr. 129/1997</w:t>
                        </w:r>
                      </w:sdtContent>
                    </w:sdt>
                    <w:r w:rsidR="000D50DA" w:rsidRPr="62358FF2">
                      <w:rPr>
                        <w:rFonts w:ascii="Times New Roman" w:hAnsi="Times New Roman" w:cs="Times New Roman"/>
                        <w:lang w:val="is-IS"/>
                      </w:rPr>
                      <w:t xml:space="preserve"> (fjárfestingar</w:t>
                    </w:r>
                    <w:r w:rsidR="000D50DA">
                      <w:rPr>
                        <w:rFonts w:ascii="Times New Roman" w:hAnsi="Times New Roman" w:cs="Times New Roman"/>
                        <w:lang w:val="is-IS"/>
                      </w:rPr>
                      <w:t>heimildir lífeyrissjóða</w:t>
                    </w:r>
                    <w:r w:rsidR="000D50DA" w:rsidRPr="62358FF2">
                      <w:rPr>
                        <w:rFonts w:ascii="Times New Roman" w:hAnsi="Times New Roman" w:cs="Times New Roman"/>
                        <w:lang w:val="is-IS"/>
                      </w:rPr>
                      <w:t>)</w:t>
                    </w:r>
                  </w:sdtContent>
                </w:sdt>
              </w:p>
            </w:tc>
          </w:sdtContent>
        </w:sdt>
      </w:tr>
      <w:tr w:rsidR="000D50DA" w:rsidRPr="00BF5ACD" w14:paraId="640B8632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5B3351AF" w14:textId="77777777" w:rsidR="000D50DA" w:rsidRPr="004E0E11" w:rsidRDefault="000D50DA" w:rsidP="000D50DA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927548237" w:edGrp="everyone" w:colFirst="1" w:colLast="1"/>
            <w:permEnd w:id="1722500403"/>
            <w:r w:rsidRPr="004E0E11">
              <w:rPr>
                <w:rFonts w:ascii="Times New Roman" w:hAnsi="Times New Roman" w:cs="Times New Roman"/>
                <w:b/>
                <w:lang w:val="is-IS"/>
              </w:rPr>
              <w:t xml:space="preserve">Ráðuneyti 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3B742A2A51084944AE84B3F1297FCB25"/>
            </w:placeholder>
          </w:sdtPr>
          <w:sdtContent>
            <w:tc>
              <w:tcPr>
                <w:tcW w:w="7479" w:type="dxa"/>
                <w:tcBorders>
                  <w:bottom w:val="nil"/>
                </w:tcBorders>
              </w:tcPr>
              <w:p w14:paraId="0A6959E7" w14:textId="7A0E6D3A" w:rsidR="000D50DA" w:rsidRPr="004E0E11" w:rsidRDefault="000D50DA" w:rsidP="000D50DA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Fjármála- og efnahagsráðuneyti</w:t>
                </w:r>
              </w:p>
            </w:tc>
          </w:sdtContent>
        </w:sdt>
      </w:tr>
      <w:tr w:rsidR="000D50DA" w:rsidRPr="00A57AE1" w14:paraId="31624756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0276429B" w14:textId="77777777" w:rsidR="000D50DA" w:rsidRPr="004E0E11" w:rsidRDefault="000D50DA" w:rsidP="000D50DA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550007205" w:edGrp="everyone" w:colFirst="1" w:colLast="1"/>
            <w:permEnd w:id="1927548237"/>
            <w:r w:rsidRPr="004E0E11">
              <w:rPr>
                <w:rFonts w:ascii="Times New Roman" w:hAnsi="Times New Roman" w:cs="Times New Roman"/>
                <w:b/>
                <w:lang w:val="is-IS"/>
              </w:rPr>
              <w:t>Stig mats</w:t>
            </w:r>
          </w:p>
        </w:tc>
        <w:tc>
          <w:tcPr>
            <w:tcW w:w="7479" w:type="dxa"/>
            <w:tcBorders>
              <w:bottom w:val="nil"/>
            </w:tcBorders>
          </w:tcPr>
          <w:p w14:paraId="1C6D9B3C" w14:textId="77777777" w:rsidR="000D50DA" w:rsidRPr="004E0E11" w:rsidRDefault="000D50DA" w:rsidP="000D50DA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0E11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Pr="004E0E11">
              <w:rPr>
                <w:rFonts w:ascii="Times New Roman" w:hAnsi="Times New Roman" w:cs="Times New Roman"/>
                <w:lang w:val="is-IS"/>
              </w:rPr>
              <w:t xml:space="preserve"> Frummat, sbr. 1. gr.</w:t>
            </w:r>
          </w:p>
          <w:p w14:paraId="0E8B4203" w14:textId="5878E4BA" w:rsidR="000D50DA" w:rsidRPr="004E0E11" w:rsidRDefault="000D50DA" w:rsidP="000D50DA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Pr="004E0E11">
              <w:rPr>
                <w:rFonts w:ascii="Times New Roman" w:hAnsi="Times New Roman" w:cs="Times New Roman"/>
                <w:lang w:val="is-IS"/>
              </w:rPr>
              <w:t xml:space="preserve"> Endanlegt mat, sbr. 10. gr. </w:t>
            </w:r>
          </w:p>
        </w:tc>
      </w:tr>
      <w:tr w:rsidR="000D50DA" w:rsidRPr="00BF5ACD" w14:paraId="68167811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B2C" w14:textId="77777777" w:rsidR="000D50DA" w:rsidRPr="004E0E11" w:rsidRDefault="000D50DA" w:rsidP="000D50DA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35279516" w:edGrp="everyone" w:colFirst="1" w:colLast="1"/>
            <w:permEnd w:id="550007205"/>
            <w:r w:rsidRPr="004E0E11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C5B58" w14:textId="0725C7BF" w:rsidR="000D50DA" w:rsidRPr="004E0E11" w:rsidRDefault="000D50DA" w:rsidP="000D50DA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7. mars 2024</w:t>
                </w:r>
              </w:p>
            </w:tc>
          </w:sdtContent>
        </w:sdt>
      </w:tr>
      <w:permEnd w:id="35279516"/>
    </w:tbl>
    <w:p w14:paraId="0A37501D" w14:textId="77777777" w:rsidR="000073F7" w:rsidRPr="007414CB" w:rsidRDefault="000073F7" w:rsidP="007414CB">
      <w:pPr>
        <w:spacing w:after="0" w:line="240" w:lineRule="auto"/>
        <w:rPr>
          <w:sz w:val="20"/>
          <w:szCs w:val="20"/>
        </w:rPr>
      </w:pPr>
    </w:p>
    <w:tbl>
      <w:tblPr>
        <w:tblStyle w:val="Hnitanettflu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263F72" w:rsidRPr="00BF5ACD" w14:paraId="3DD7353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20350B5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Greining og mat á fjárhagslegum áhrifaþáttum fyrir ríkið</w:t>
            </w:r>
          </w:p>
        </w:tc>
      </w:tr>
      <w:tr w:rsidR="00311838" w:rsidRPr="0047580A" w14:paraId="473C8AD2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2082035854" w:edGrp="everyone" w:displacedByCustomXml="prev"/>
              <w:p w14:paraId="4FB025E1" w14:textId="6A1FCED7" w:rsidR="0043227F" w:rsidRPr="00D96089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Áætluð fjárhagsáhrif fyrir ríkið vegna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helstu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breytinga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ráðst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afana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sem felast í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>fyrirhugaðri lagasetningu,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þar sem tilgreindir eru sérstaklega áhrifaþættir á fjárhag </w:t>
                </w:r>
                <w:r w:rsidR="00A40657">
                  <w:rPr>
                    <w:rFonts w:ascii="Times New Roman" w:hAnsi="Times New Roman" w:cs="Times New Roman"/>
                    <w:b/>
                    <w:lang w:val="is-IS"/>
                  </w:rPr>
                  <w:t>ríkissjóðs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021873B" w14:textId="38FBDC5C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Hvaða fjárhagsgreining, rekstraráætlanir, reiknilíkön eða önnur áætlanagerð hefur farið fram við undirbúning fjárhagsmatsins?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642DB6C9" w14:textId="4F37C665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Helstu forsendur sem áætlanir byggja á og næmni niðurstaðna fyrir frávikum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4808874D" w14:textId="668A63EF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Eru fjárhagsáhrif tímabundin eða varanleg?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75DB58A8" w14:textId="1160AE24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Skorður sem eru settar fyrir útgjöldum og hvatar sem geta haft áhrif á útgjaldaþróun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64C00391" w14:textId="3CEF58A1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Aðskilin umfjöllun um brúttóáhrif á tekjuhlið og gjaldahlið en einnig tilgreind nettóáhrif á afkomu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3EF314C9" w14:textId="5667D6C5" w:rsidR="00FD2097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Tekjubreytingar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1686517" w14:textId="7110E863" w:rsidR="00D96089" w:rsidRDefault="000D50DA" w:rsidP="00237053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1BB7CC88" w14:textId="77777777" w:rsidR="00BD03E4" w:rsidRPr="00A72ECC" w:rsidRDefault="00BD03E4" w:rsidP="00237053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011C60D4" w14:textId="68A73561" w:rsidR="000212D2" w:rsidRPr="00EE7DC8" w:rsidRDefault="00AD6D06" w:rsidP="00EE7DC8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Útgjaldabreytingar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D148DB" w:rsidRPr="00FD209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0015BFF" w14:textId="7B42AB58" w:rsidR="00D96089" w:rsidRDefault="000D50DA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6E256DD2" w14:textId="77777777" w:rsidR="00BD03E4" w:rsidRPr="00A72ECC" w:rsidRDefault="00BD03E4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3AECE235" w14:textId="71B7C711" w:rsidR="00D96089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Eignabreytingar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E2BB445" w14:textId="419223DC" w:rsidR="00D96089" w:rsidRDefault="000D50DA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Engar</w:t>
                </w:r>
              </w:p>
              <w:p w14:paraId="43CF6A88" w14:textId="77777777" w:rsidR="00BD03E4" w:rsidRPr="00A72ECC" w:rsidRDefault="00BD03E4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4286C444" w14:textId="325CC88B" w:rsidR="00813003" w:rsidRDefault="00AD6D06" w:rsidP="00813003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Aðrir áhrifaþættir varðandi ríkisfjármál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F7EFAFA" w14:textId="04B0A639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og sjónarmið um fyrirkomulag á útgjaldastýringu og umbúnað í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5D6883BD" w14:textId="0423E188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um framsetningu fjárlaga og reikningshaldslegan grundvöll samkvæmt lögum um opinber fjármál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6F32AA89" w14:textId="7FF2B455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Uppbygging skattkerfis og tekjuöflunar ríkissjóðs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0D090F52" w14:textId="05569BCC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lastRenderedPageBreak/>
                  <w:t>Forsendur og umbúnaður þjónustugjalda – lagakröfur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7F03EC8D" w14:textId="66BF72F8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Rekstrarform ríkisstarfsemi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04105743" w14:textId="5F761D8C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Opinber innkaup og útboð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3E248B52" w14:textId="0BC2B5AD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Eignaumsýsla ríkisins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5609FB39" w14:textId="2F485624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Réttindi og skyldur ríkisstarfsmanna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769035BE" w14:textId="77777777" w:rsidR="000D50DA" w:rsidRPr="000D50DA" w:rsidRDefault="00813003" w:rsidP="00BD69E0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Ríkisstyrkir og ívilnanir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þ.m.t. samræmi við reglur ESA</w:t>
                </w:r>
                <w:r w:rsidR="004E0E11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1293C" w:rsidRPr="004E0E11">
                  <w:rPr>
                    <w:rFonts w:ascii="Times New Roman" w:hAnsi="Times New Roman" w:cs="Times New Roman"/>
                    <w:lang w:val="is-IS"/>
                  </w:rPr>
                  <w:t>sbr. 61. gr. EES-samningsins</w:t>
                </w:r>
                <w:r w:rsidR="00267F64" w:rsidRPr="004E0E11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</w:p>
              <w:p w14:paraId="7A5DE4B8" w14:textId="774952EC" w:rsidR="00CA3381" w:rsidRPr="00E648AA" w:rsidRDefault="000D50DA" w:rsidP="000D50DA">
                <w:pPr>
                  <w:pStyle w:val="Mlsgreinlista"/>
                  <w:spacing w:before="60" w:after="60"/>
                  <w:ind w:left="108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</w:sdtContent>
          </w:sdt>
          <w:permEnd w:id="2082035854" w:displacedByCustomXml="prev"/>
        </w:tc>
      </w:tr>
      <w:tr w:rsidR="00263F72" w:rsidRPr="00BF5ACD" w14:paraId="49BBA6F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1E642AD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 xml:space="preserve">Samræmi við útgjaldaramma og fimm ára fjármálaætlun – fjármögnun </w:t>
            </w:r>
          </w:p>
        </w:tc>
      </w:tr>
      <w:tr w:rsidR="00311838" w:rsidRPr="00A57AE1" w14:paraId="293F5885" w14:textId="77777777" w:rsidTr="00FD2097">
        <w:trPr>
          <w:trHeight w:val="826"/>
        </w:trPr>
        <w:tc>
          <w:tcPr>
            <w:tcW w:w="9288" w:type="dxa"/>
          </w:tcPr>
          <w:permStart w:id="214271619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1C099E2" w14:textId="77777777" w:rsidR="006C6EA3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Hefur verið gert ráð fyrir þeim fjárhagsáhrifum á málaflokk sem leiða kunna af samþykkt frumvarpsins:</w:t>
                </w:r>
              </w:p>
              <w:p w14:paraId="5CB72CBB" w14:textId="353AC99F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gildandi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091F1F9C" w14:textId="28A0B3F3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fjárlagafrumvarpi komandi árs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3514BF9B" w14:textId="5D7AEB27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fimm ára fjármálaáætlun ríkisstjórnarinnar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71F700FB" w14:textId="51D50A38" w:rsidR="00FD2097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Hafi ekki þegar verið gert ráð fyrir útgjöldum við verkefni, hvernig er þá ætlunin að finna þeim stað innan útgjaldaramma málaflokks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</w:t>
                </w: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t.d. með tilfærslu fjármuna eða með því að draga úr öðrum útgjöldum?</w:t>
                </w:r>
              </w:p>
              <w:p w14:paraId="74F5F875" w14:textId="0A6F8924" w:rsidR="00BD03E4" w:rsidRPr="00BD03E4" w:rsidRDefault="000D50DA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</w:t>
                </w:r>
              </w:p>
              <w:p w14:paraId="59743E5F" w14:textId="77777777" w:rsidR="00BD03E4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Tengist einhver ný eða aukin tekjuöflun verkefninu?</w:t>
                </w:r>
              </w:p>
              <w:p w14:paraId="5AFAF127" w14:textId="79CC7F31" w:rsidR="00CA3381" w:rsidRPr="00BD03E4" w:rsidRDefault="000D50DA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</w:sdtContent>
          </w:sdt>
        </w:tc>
      </w:tr>
      <w:permEnd w:id="2142716198"/>
      <w:tr w:rsidR="00263F72" w:rsidRPr="00A57AE1" w14:paraId="4E3AA32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B503429" w14:textId="321AEC38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Efnahagsáhrif – áhrif á atvinnulíf, vinnumarkað og samkeppni</w:t>
            </w:r>
          </w:p>
        </w:tc>
      </w:tr>
      <w:tr w:rsidR="00311838" w:rsidRPr="00A57AE1" w14:paraId="2913BAD7" w14:textId="77777777" w:rsidTr="00FD2097">
        <w:trPr>
          <w:trHeight w:val="826"/>
        </w:trPr>
        <w:tc>
          <w:tcPr>
            <w:tcW w:w="9288" w:type="dxa"/>
          </w:tcPr>
          <w:permStart w:id="2028099852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9952C0A" w14:textId="77777777" w:rsidR="00BD03E4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>Hagræn áhrif á heildareftirspurn og einstaka markaði – hagstjórnarsjónarmið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6A635098" w14:textId="732861C7" w:rsidR="009D764D" w:rsidRPr="00577DC6" w:rsidRDefault="000D50DA" w:rsidP="00577DC6">
                <w:pPr>
                  <w:pStyle w:val="Mlsgreinlista"/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9D764D">
                  <w:rPr>
                    <w:rFonts w:ascii="Times New Roman" w:hAnsi="Times New Roman" w:cs="Times New Roman"/>
                    <w:bCs/>
                    <w:lang w:val="is-IS"/>
                  </w:rPr>
                  <w:t>Fyrirhugaðri lagasetningu er ætlað að auka við fjárfestingarheimildir lífeyrissjóða</w:t>
                </w:r>
                <w:r w:rsidR="009D764D" w:rsidRPr="009D764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 þá leið að þeim verði </w:t>
                </w:r>
                <w:r w:rsidR="009D764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með sérstakri heimild </w:t>
                </w:r>
                <w:r w:rsidR="009D764D" w:rsidRPr="00577DC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heimilað að binda allt </w:t>
                </w:r>
                <w:r w:rsidR="009D764D" w:rsidRPr="00577DC6">
                  <w:rPr>
                    <w:rFonts w:ascii="Times New Roman" w:eastAsia="Times New Roman" w:hAnsi="Times New Roman" w:cs="Times New Roman"/>
                    <w:lang w:val="is"/>
                  </w:rPr>
                  <w:t>að 5% heildareigna í ákveðnum óskráðum fjármálagerningum útgefnum af félögum sem hafa þá meginstarfsemi að leigja út íbúðarhúsnæði til einstaklinga til langs tíma.</w:t>
                </w:r>
                <w:r w:rsidR="009D764D" w:rsidRPr="00577DC6">
                  <w:rPr>
                    <w:rFonts w:ascii="Times New Roman" w:eastAsia="Times New Roman" w:hAnsi="Times New Roman" w:cs="Times New Roman"/>
                    <w:lang w:val="is"/>
                  </w:rPr>
                  <w:t xml:space="preserve"> </w:t>
                </w:r>
                <w:r w:rsidR="009D764D" w:rsidRPr="00577DC6">
                  <w:rPr>
                    <w:rFonts w:ascii="Times New Roman" w:hAnsi="Times New Roman" w:cs="Times New Roman"/>
                  </w:rPr>
                  <w:t xml:space="preserve">Aukið framboð af leiguhúsnæði fjölgar valmöguleikum einstaklinga til að finna sér hentugt búsetuform. Lengi hefur verið talað um skort á leiguhúsnæði á Íslandi og skort á öðrum valmöguleikum til búsetu en kaup á íbúðarhúsnæði. Með heimildinni skapast auknar forsendur fyrir því að lífeyrissjóðir beini fjármagni í fjárfestingu á leiguhúsnæði sem er til þess fallið að halda aftur af verðhækkunum á fasteignamarkaði. Fjársterkir langtímaeigendur eru mjög ákjósanlegir kaupendur að húsnæði sem kann að flýta fyrir uppbyggingu húsnæðis. </w:t>
                </w:r>
              </w:p>
              <w:p w14:paraId="3ADD87B1" w14:textId="044AB716" w:rsidR="00FD2097" w:rsidRPr="00BD03E4" w:rsidRDefault="00FD2097" w:rsidP="009D764D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40049170" w14:textId="715A97DA" w:rsidR="001B69DD" w:rsidRPr="004E0E11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fyrirtækjaeftirlit og reglubyrði, hversu mörg fyrirtæki verða fyrir áhrifum og hvers konar fyrirtæki? </w:t>
                </w:r>
                <w:r w:rsidR="001B69DD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Einföldun laga eða stjórnsýslu? </w:t>
                </w:r>
                <w:r w:rsidR="004E0E11">
                  <w:rPr>
                    <w:rFonts w:ascii="Times New Roman" w:hAnsi="Times New Roman" w:cs="Times New Roman"/>
                    <w:b/>
                    <w:lang w:val="is-IS"/>
                  </w:rPr>
                  <w:t>Leitað umsagnar ráðgjafarnefndar um opinberar eftirlitsreglur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 s</w:t>
                </w: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br. lög nr. 27/1999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03904308" w14:textId="1818E3E3" w:rsidR="00FD2097" w:rsidRPr="00BD03E4" w:rsidRDefault="000D50DA" w:rsidP="001B69DD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Samþykkt frumvarpsins mun hafa áhrif á alla lífeyrissjóði hér á landi þar sem í því felst rýmkun á reglum</w:t>
                </w:r>
                <w:r w:rsidR="00D1116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þeirra til að fjárfesta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28431DFF" w14:textId="3EE44640" w:rsidR="00A410EA" w:rsidRPr="004433F4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b/>
                    <w:lang w:val="is-IS"/>
                  </w:rPr>
                  <w:t>Samkeppnisskilyrði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262E75D" w14:textId="021A49E0" w:rsidR="00A410EA" w:rsidRPr="004433F4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lang w:val="is-IS"/>
                  </w:rPr>
                  <w:lastRenderedPageBreak/>
                  <w:t>Líkur á því að fjöldi fyrirtækja á markaði takmarkist með beinum hætti vegna reglusetningar (líklegt ef aðgerðin felur í sér einhvers konar einkarétt, leyfiskerfi eða kvóta)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05C73860" w14:textId="79D12F17" w:rsidR="00301FF8" w:rsidRPr="00A72ECC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Líkur á því að fyrirtækjum á markaði fækki með óbeinum hætti vegna reglusetningar (líklegt ef aðgerðin felur í sér aukinn kostnað við inngöngu á markað eða tekur aðeins til hluta starfandi fyrirtækja)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11012B77" w14:textId="6F435C50" w:rsidR="003F530A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Takmarkanir á möguleikum fyrirtækja til þess að mæta samkeppni vegna reglusetningar (líklegt ef aðgerðin hefur áhrif á verð fyrirtækja eða eðli vörunnar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t.d. staðlar eða ef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aðgerðin takmarkar sölusvæði, svigrúm til að auglýsa eða til að ákveða hvernig vara er framleidd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).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23A35C1E" w14:textId="5299C737" w:rsidR="00CA3381" w:rsidRPr="003F530A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3F530A">
                  <w:rPr>
                    <w:rFonts w:ascii="Times New Roman" w:hAnsi="Times New Roman" w:cs="Times New Roman"/>
                    <w:lang w:val="is-IS"/>
                  </w:rPr>
                  <w:t xml:space="preserve">Takmarkanir á frumkvæði fyrirtækja til að stunda 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 xml:space="preserve">virka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samkeppni vegna reglusetningar (líklegt ef aðgerðin felur í sér að fyrirtæki verði undanþegin samkeppnislögum eða ef fyrirtæki bera skyldu eða eru hvött til að skipta með sér hvers konar viðskiptalegum upplýsingum)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D50DA">
                  <w:rPr>
                    <w:lang w:val="is-IS"/>
                  </w:rPr>
                  <w:t>Nei</w:t>
                </w:r>
              </w:p>
            </w:sdtContent>
          </w:sdt>
        </w:tc>
      </w:tr>
      <w:permEnd w:id="2028099852"/>
      <w:tr w:rsidR="000D6E33" w:rsidRPr="00BF5ACD" w14:paraId="5B63C56B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B499233" w14:textId="77777777" w:rsidR="000D6E33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Önnur áhrif</w:t>
            </w:r>
          </w:p>
        </w:tc>
      </w:tr>
      <w:tr w:rsidR="000D6E33" w:rsidRPr="00A57AE1" w14:paraId="2700E6E3" w14:textId="77777777" w:rsidTr="009602BA">
        <w:trPr>
          <w:trHeight w:val="26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14709597" w:edGrp="everyone" w:displacedByCustomXml="prev"/>
              <w:p w14:paraId="63D3E78B" w14:textId="5FDE3134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fjárhag sveitarfélaga, sbr. 129. gr. sveitarstjórnarlaga, nr. 138/2011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BA4E08A" w14:textId="6202340B" w:rsidR="00D1116B" w:rsidRPr="00D1116B" w:rsidRDefault="000D50DA" w:rsidP="00D1116B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Ekki er gert ráð fyrir beinum áhrifum á fjárhag sveitarfélaga, þó aukið framboð leiguhúsnæðis kunni að hafa áhrif í viðkomandi sveitarfélagi. </w:t>
                </w:r>
              </w:p>
              <w:p w14:paraId="1145B43A" w14:textId="62EF2A18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frelsi til að veita þjónustu (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>með eða án staðfestu á Íslandi)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1D19AFD" w14:textId="489E7BAD" w:rsidR="00D1116B" w:rsidRPr="00D1116B" w:rsidRDefault="00D1116B" w:rsidP="00D1116B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Ekki er gert ráð fyrir áhrifum á frelsi til að veita þjónustu. </w:t>
                </w:r>
              </w:p>
              <w:p w14:paraId="6F933ABF" w14:textId="76A0C5D1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tæknilegar reglur um vöru og fjarþjónustu, sbr. lög nr. 57/2000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8DF1B5F" w14:textId="20B0DCFE" w:rsidR="00D1116B" w:rsidRPr="00D1116B" w:rsidRDefault="00D1116B" w:rsidP="00D1116B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2D0533F4" w14:textId="059FA65B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byggðalög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D50D879" w14:textId="03FD5403" w:rsidR="00D1116B" w:rsidRPr="00C16C66" w:rsidRDefault="00D1116B" w:rsidP="00D1116B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Ekki er gert ráð fyrir áhrifum á byggðalög.</w:t>
                </w:r>
              </w:p>
              <w:p w14:paraId="3CFDCD51" w14:textId="13CC5C4F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frjáls félagasamtök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3801755" w14:textId="34FB7C3D" w:rsidR="00D1116B" w:rsidRPr="00D1116B" w:rsidRDefault="00D1116B" w:rsidP="00D1116B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</w:t>
                </w:r>
              </w:p>
              <w:p w14:paraId="3E1BBD6F" w14:textId="54C76E82" w:rsidR="003C66CA" w:rsidRPr="004E0E11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jafnrétti kynjanna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1A7B7CE" w14:textId="1ED6AA75" w:rsidR="00C16C66" w:rsidRPr="00D1116B" w:rsidRDefault="00D1116B" w:rsidP="00D1116B">
                <w:pPr>
                  <w:pStyle w:val="Mlsgreinlista"/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4770A1CD">
                  <w:rPr>
                    <w:rFonts w:ascii="Times New Roman" w:hAnsi="Times New Roman" w:cs="Times New Roman"/>
                    <w:color w:val="242424"/>
                    <w:lang w:val="is-IS"/>
                  </w:rPr>
                  <w:t>Þess er ekki að vænta að till</w:t>
                </w:r>
                <w:r>
                  <w:rPr>
                    <w:rFonts w:ascii="Times New Roman" w:hAnsi="Times New Roman" w:cs="Times New Roman"/>
                    <w:color w:val="242424"/>
                    <w:lang w:val="is-IS"/>
                  </w:rPr>
                  <w:t>agan</w:t>
                </w:r>
                <w:r w:rsidRPr="4770A1CD">
                  <w:rPr>
                    <w:rFonts w:ascii="Times New Roman" w:hAnsi="Times New Roman" w:cs="Times New Roman"/>
                    <w:color w:val="242424"/>
                    <w:lang w:val="is-IS"/>
                  </w:rPr>
                  <w:t xml:space="preserve"> hafi áhrif á jafnrétti kynjanna eða efnahagslegan jöfnuð milli kynja. Till</w:t>
                </w:r>
                <w:r>
                  <w:rPr>
                    <w:rFonts w:ascii="Times New Roman" w:hAnsi="Times New Roman" w:cs="Times New Roman"/>
                    <w:color w:val="242424"/>
                    <w:lang w:val="is-IS"/>
                  </w:rPr>
                  <w:t>aga</w:t>
                </w:r>
                <w:r w:rsidRPr="4770A1CD">
                  <w:rPr>
                    <w:rFonts w:ascii="Times New Roman" w:hAnsi="Times New Roman" w:cs="Times New Roman"/>
                    <w:color w:val="242424"/>
                    <w:lang w:val="is-IS"/>
                  </w:rPr>
                  <w:t xml:space="preserve"> frumvarpsins </w:t>
                </w:r>
                <w:r>
                  <w:rPr>
                    <w:rFonts w:ascii="Times New Roman" w:hAnsi="Times New Roman" w:cs="Times New Roman"/>
                    <w:color w:val="242424"/>
                    <w:lang w:val="is-IS"/>
                  </w:rPr>
                  <w:t>á að nýtast</w:t>
                </w:r>
                <w:r w:rsidRPr="4770A1CD">
                  <w:rPr>
                    <w:rFonts w:ascii="Times New Roman" w:hAnsi="Times New Roman" w:cs="Times New Roman"/>
                    <w:color w:val="242424"/>
                    <w:lang w:val="is-I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242424"/>
                    <w:lang w:val="is-IS"/>
                  </w:rPr>
                  <w:t>konum og körlum</w:t>
                </w:r>
                <w:r w:rsidRPr="4770A1CD">
                  <w:rPr>
                    <w:rFonts w:ascii="Times New Roman" w:hAnsi="Times New Roman" w:cs="Times New Roman"/>
                    <w:color w:val="242424"/>
                    <w:lang w:val="is-I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242424"/>
                    <w:lang w:val="is-IS"/>
                  </w:rPr>
                  <w:t xml:space="preserve">jafnt og er til þess fallin að nýtast  </w:t>
                </w:r>
                <w:r>
                  <w:rPr>
                    <w:rFonts w:ascii="Times New Roman" w:eastAsia="Calibri" w:hAnsi="Times New Roman" w:cs="Times New Roman"/>
                    <w:lang w:val="is-IS"/>
                  </w:rPr>
                  <w:t>þeim einstaklingum vel sem hafa ekki tök á að kaupa eigin húsnæði eða velja að vera á leigumarkaði.</w:t>
                </w:r>
                <w:r w:rsidRPr="7E2BE1BC">
                  <w:rPr>
                    <w:rFonts w:ascii="Times New Roman" w:eastAsia="Calibri" w:hAnsi="Times New Roman" w:cs="Times New Roman"/>
                    <w:lang w:val="is-IS"/>
                  </w:rPr>
                  <w:t xml:space="preserve"> </w:t>
                </w:r>
                <w:r w:rsidRPr="126ECAFD">
                  <w:rPr>
                    <w:rFonts w:ascii="Times New Roman" w:eastAsia="Calibri" w:hAnsi="Times New Roman" w:cs="Times New Roman"/>
                    <w:lang w:val="is-IS"/>
                  </w:rPr>
                  <w:t>Hærra hlutfall karla á sitt eigið</w:t>
                </w:r>
                <w:r w:rsidRPr="0CB64208">
                  <w:rPr>
                    <w:rFonts w:ascii="Times New Roman" w:eastAsia="Calibri" w:hAnsi="Times New Roman" w:cs="Times New Roman"/>
                    <w:lang w:val="is-IS"/>
                  </w:rPr>
                  <w:t xml:space="preserve"> húsnæði.</w:t>
                </w:r>
                <w:r w:rsidRPr="0CB64208">
                  <w:rPr>
                    <w:rFonts w:ascii="Times New Roman" w:hAnsi="Times New Roman" w:cs="Times New Roman"/>
                    <w:color w:val="242424"/>
                    <w:lang w:val="is-IS"/>
                  </w:rPr>
                  <w:t xml:space="preserve">  </w:t>
                </w:r>
              </w:p>
              <w:p w14:paraId="788DA598" w14:textId="5DEB42B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a lýðheilsu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C5165DA" w14:textId="5D62307B" w:rsidR="00D1116B" w:rsidRPr="00193979" w:rsidRDefault="00D1116B" w:rsidP="00D1116B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Ekki er gert ráð fyrir áhrifum á lýðheilsu.</w:t>
                </w:r>
              </w:p>
              <w:p w14:paraId="4732EDF5" w14:textId="00FF440C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menntun, nýsköpun og rannsóknir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789564B" w14:textId="1129F34D" w:rsidR="00D1116B" w:rsidRPr="00D1116B" w:rsidRDefault="00D1116B" w:rsidP="00D1116B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Ekki er gert ráð fyrir áhrifum á menntun, nýsköpun og rannsóknir.</w:t>
                </w:r>
              </w:p>
              <w:p w14:paraId="76338615" w14:textId="18004EBC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möguleika einstaklinga og fyrirtækja til að eiga samskipti þvert á norræn landamæri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4C04B54" w14:textId="6D9BAE35" w:rsidR="00193979" w:rsidRPr="00193979" w:rsidRDefault="00D1116B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Ekki er gert ráð fyrir áhrifum á möguleika einstaklinga og fyrirtækja til að eiga samskipti þvert á norræn landamæri.</w:t>
                </w:r>
              </w:p>
              <w:p w14:paraId="1EAB7D34" w14:textId="78E05B2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stjórnsýslu, s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hvort ráðuneyti og stofnanir eru í stakk búin til að taka við verkefni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575E74" w14:textId="40956AD3" w:rsidR="00193979" w:rsidRPr="00193979" w:rsidRDefault="00D1116B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Breytingarnar sem frumvarpið felur í sér eru ekki þess háttar að þær feli í sér mikil áhrif á eftirlit með lífeyrissjóðum.</w:t>
                </w:r>
              </w:p>
              <w:p w14:paraId="52F604BA" w14:textId="65A6A3D1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 xml:space="preserve">Áhrif á stöðu tiltekinna þjóðfélagshópa, 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svo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aldurshópa, tekjuhópa, mismunandi fjölskyldugerðir, launþega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sjálfstætt starfandi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utan vinnumarkaðar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F324F82" w14:textId="5A96CED7" w:rsidR="00193979" w:rsidRPr="00193979" w:rsidRDefault="00D1116B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Þær breytingar á lífeyriskerfinu sem frumvarpið felur í sér ættu ekki að hafa meiri áhrif á ákveðna þjóðfélagshópa umfram aðra.</w:t>
                </w:r>
                <w:r>
                  <w:rPr>
                    <w:rFonts w:ascii="Times New Roman" w:eastAsia="Calibri" w:hAnsi="Times New Roman" w:cs="Times New Roman"/>
                    <w:lang w:val="is-IS"/>
                  </w:rPr>
                  <w:t xml:space="preserve"> Þó kann tillagan að nýtast þeim einstaklingum vel sem hafa ekki tök á að kaupa eigin húsnæði eða velja að vera á leigumarkaði.</w:t>
                </w:r>
              </w:p>
              <w:p w14:paraId="10635864" w14:textId="326AF220" w:rsidR="00193979" w:rsidRDefault="00346619" w:rsidP="008831B4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umhverfi og sjálfbæra þróun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B279BF3" w14:textId="2FAD39C1" w:rsidR="000D6E33" w:rsidRPr="00193979" w:rsidRDefault="00D1116B" w:rsidP="00D1116B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86478">
                  <w:rPr>
                    <w:rFonts w:ascii="Times New Roman" w:hAnsi="Times New Roman" w:cs="Times New Roman"/>
                    <w:bCs/>
                    <w:lang w:val="is-IS"/>
                  </w:rPr>
                  <w:t>Ekki gert ráð fyrir áhrifum á umhverfi og sjálfbæra þróun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Tillagan kann þó að opna á frekari möguleika fyrir lífeyrissjóði til að fjárfesta í grænum fjárfestingarkostum sem og fyrirtækjum með áherslu á sjálfbærni.</w:t>
                </w:r>
                <w:r w:rsidR="00346619"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314709597" w:displacedByCustomXml="next"/>
            </w:sdtContent>
          </w:sdt>
        </w:tc>
      </w:tr>
      <w:tr w:rsidR="00311838" w:rsidRPr="00A57AE1" w14:paraId="581E267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BF81DCB" w14:textId="284389E3" w:rsidR="00311838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Niðurstaða mats</w:t>
            </w:r>
            <w:r w:rsidR="00A3629C">
              <w:rPr>
                <w:rFonts w:ascii="Times New Roman" w:hAnsi="Times New Roman" w:cs="Times New Roman"/>
                <w:b/>
                <w:lang w:val="is-IS"/>
              </w:rPr>
              <w:t xml:space="preserve"> – með vísun í fylgiskjöl</w:t>
            </w:r>
            <w:r w:rsidR="000073F7">
              <w:rPr>
                <w:rFonts w:ascii="Times New Roman" w:hAnsi="Times New Roman" w:cs="Times New Roman"/>
                <w:b/>
                <w:lang w:val="is-IS"/>
              </w:rPr>
              <w:t xml:space="preserve"> ef við á</w:t>
            </w:r>
          </w:p>
        </w:tc>
      </w:tr>
      <w:tr w:rsidR="00D87B33" w:rsidRPr="00A57AE1" w14:paraId="6DFB7AF4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964699272" w:edGrp="everyone" w:displacedByCustomXml="prev"/>
              <w:p w14:paraId="51927315" w14:textId="49DF17D9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Samandregin niðurstaða fjárhagsáhrifa fyrir ríkissjóð – heildarútkoma varðandi tekjur, gjöld, afkomu og efnahag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EA2C537" w14:textId="77777777" w:rsidR="00193979" w:rsidRPr="00193979" w:rsidRDefault="00193979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6C7C3DC8" w14:textId="040E1813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Önnur áhrif en bein fjárhagsáhrif, álitamál eða fyrirvarar sem ástæða þykir til að 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>vekja athygli á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36EA6B2C" w14:textId="77777777" w:rsidR="00193979" w:rsidRPr="00193979" w:rsidRDefault="00193979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47980F45" w14:textId="77777777" w:rsidR="00193979" w:rsidRDefault="00346619" w:rsidP="00F33A33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Samfélagslegur ávinningur veginn á móti kostnaði og fyrirhöfn</w:t>
                </w:r>
                <w:r w:rsidR="00E67F0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>(ekki gerð krafa um tölulegt mat)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6B09DAA3" w14:textId="63FEF8B4" w:rsidR="00CA3381" w:rsidRPr="00193979" w:rsidRDefault="00577DC6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</w:p>
              <w:permEnd w:id="964699272" w:displacedByCustomXml="next"/>
            </w:sdtContent>
          </w:sdt>
        </w:tc>
      </w:tr>
      <w:tr w:rsidR="00EB6651" w:rsidRPr="00A57AE1" w14:paraId="3975C5C3" w14:textId="77777777" w:rsidTr="00EB6651">
        <w:tc>
          <w:tcPr>
            <w:tcW w:w="9288" w:type="dxa"/>
            <w:shd w:val="clear" w:color="auto" w:fill="92CDDC" w:themeFill="accent5" w:themeFillTint="99"/>
          </w:tcPr>
          <w:p w14:paraId="37943A8A" w14:textId="77777777" w:rsidR="00EB6651" w:rsidRPr="00BF3F59" w:rsidRDefault="00D64A3D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BF3F59">
              <w:rPr>
                <w:rFonts w:ascii="Times New Roman" w:hAnsi="Times New Roman" w:cs="Times New Roman"/>
                <w:b/>
                <w:lang w:val="is-IS"/>
              </w:rPr>
              <w:t>Til útfyllingar vegna endanlegs mats – breytingar frá frummati</w:t>
            </w:r>
          </w:p>
        </w:tc>
      </w:tr>
      <w:tr w:rsidR="00EB6651" w:rsidRPr="00A57AE1" w14:paraId="2BD7A5BC" w14:textId="77777777" w:rsidTr="00EB6651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26929981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41245520" w:edGrp="everyone" w:displacedByCustomXml="prev"/>
              <w:p w14:paraId="5E3E3636" w14:textId="74C1AE2A" w:rsidR="00EB6651" w:rsidRDefault="00D64A3D" w:rsidP="00D64A3D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Voru áform um lagasetninguna ásamt frummati á áhrifum kynnt fyrir FJR?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438163" w14:textId="77777777" w:rsidR="00193979" w:rsidRPr="00193979" w:rsidRDefault="00193979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2C706323" w14:textId="7AF4301D" w:rsidR="00EB6651" w:rsidRDefault="00D64A3D" w:rsidP="00D64A3D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Eru helstu efnisatriði frumvarpsins óbreytt/lítið breytt frá þeim tíma?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55EF85D" w14:textId="77777777" w:rsidR="00193979" w:rsidRPr="00193979" w:rsidRDefault="00193979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3D9BD4F8" w14:textId="77777777" w:rsidR="00193979" w:rsidRDefault="00D64A3D" w:rsidP="000073F7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Ef gerðar hafa verið breytingar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umfram það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sbr. það </w:t>
                </w:r>
                <w:r w:rsidR="00C10D1B" w:rsidRPr="00BF3F59">
                  <w:rPr>
                    <w:rFonts w:ascii="Times New Roman" w:hAnsi="Times New Roman" w:cs="Times New Roman"/>
                    <w:b/>
                    <w:lang w:val="is-IS"/>
                  </w:rPr>
                  <w:t>frum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mat á áhrifum frumvarpsins sem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áður var kynnt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hverjar eru þær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hver eru fjárhagsáhrifin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74B4539E" w14:textId="20858714" w:rsidR="00EB6651" w:rsidRPr="00193979" w:rsidRDefault="00EB6651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141245520" w:displacedByCustomXml="next"/>
            </w:sdtContent>
          </w:sdt>
        </w:tc>
      </w:tr>
    </w:tbl>
    <w:p w14:paraId="5DAB6C7B" w14:textId="77777777" w:rsidR="00263F72" w:rsidRDefault="00263F72">
      <w:pPr>
        <w:rPr>
          <w:rFonts w:ascii="Times New Roman" w:hAnsi="Times New Roman" w:cs="Times New Roman"/>
          <w:lang w:val="is-IS"/>
        </w:rPr>
      </w:pPr>
    </w:p>
    <w:p w14:paraId="02EB378F" w14:textId="77777777" w:rsidR="00E568F6" w:rsidRDefault="00E568F6" w:rsidP="00E568F6">
      <w:pPr>
        <w:rPr>
          <w:rFonts w:ascii="Times New Roman" w:hAnsi="Times New Roman" w:cs="Times New Roman"/>
          <w:lang w:val="is-IS"/>
        </w:rPr>
      </w:pPr>
    </w:p>
    <w:p w14:paraId="6A05A809" w14:textId="77777777" w:rsidR="00E568F6" w:rsidRPr="00E568F6" w:rsidRDefault="00E568F6" w:rsidP="00E568F6">
      <w:pPr>
        <w:rPr>
          <w:rFonts w:ascii="Times New Roman" w:hAnsi="Times New Roman" w:cs="Times New Roman"/>
          <w:lang w:val="is-IS"/>
        </w:rPr>
      </w:pPr>
    </w:p>
    <w:sectPr w:rsidR="00E568F6" w:rsidRPr="00E568F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9BBE3" w14:textId="77777777" w:rsidR="00002CD4" w:rsidRDefault="00002CD4" w:rsidP="007478E0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002CD4" w:rsidRDefault="00002CD4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CE2FB" w14:textId="77777777" w:rsidR="002A4788" w:rsidRDefault="002A4788" w:rsidP="002A4788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F5D" w:rsidRPr="00F55F5D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05B19978" w14:textId="16221ECD" w:rsidR="002A4788" w:rsidRPr="00063E97" w:rsidRDefault="00063E9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121873">
      <w:rPr>
        <w:rFonts w:ascii="Times New Roman" w:hAnsi="Times New Roman" w:cs="Times New Roman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3D3EC" w14:textId="77777777" w:rsidR="00002CD4" w:rsidRDefault="00002CD4" w:rsidP="007478E0">
      <w:pPr>
        <w:spacing w:after="0" w:line="240" w:lineRule="auto"/>
      </w:pPr>
      <w:r>
        <w:separator/>
      </w:r>
    </w:p>
  </w:footnote>
  <w:footnote w:type="continuationSeparator" w:id="0">
    <w:p w14:paraId="0D0B940D" w14:textId="77777777" w:rsidR="00002CD4" w:rsidRDefault="00002CD4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611A5"/>
    <w:multiLevelType w:val="hybridMultilevel"/>
    <w:tmpl w:val="1DF8FC18"/>
    <w:lvl w:ilvl="0" w:tplc="AB5A3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AE"/>
    <w:multiLevelType w:val="hybridMultilevel"/>
    <w:tmpl w:val="286C18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0924"/>
    <w:multiLevelType w:val="hybridMultilevel"/>
    <w:tmpl w:val="B8E6E7E2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9081B"/>
    <w:multiLevelType w:val="hybridMultilevel"/>
    <w:tmpl w:val="9A6838CC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E6AAB"/>
    <w:multiLevelType w:val="hybridMultilevel"/>
    <w:tmpl w:val="834218C6"/>
    <w:lvl w:ilvl="0" w:tplc="CA6E9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D77E6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05638"/>
    <w:multiLevelType w:val="hybridMultilevel"/>
    <w:tmpl w:val="CED0BFC8"/>
    <w:lvl w:ilvl="0" w:tplc="840A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C3C2D"/>
    <w:multiLevelType w:val="hybridMultilevel"/>
    <w:tmpl w:val="84CCFEE0"/>
    <w:lvl w:ilvl="0" w:tplc="54BE5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E5886"/>
    <w:multiLevelType w:val="hybridMultilevel"/>
    <w:tmpl w:val="E41EFF32"/>
    <w:lvl w:ilvl="0" w:tplc="D5EA02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A2BAD"/>
    <w:multiLevelType w:val="hybridMultilevel"/>
    <w:tmpl w:val="79483D66"/>
    <w:lvl w:ilvl="0" w:tplc="8BEEC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640349"/>
    <w:multiLevelType w:val="hybridMultilevel"/>
    <w:tmpl w:val="1C4280FA"/>
    <w:lvl w:ilvl="0" w:tplc="F6361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90176B"/>
    <w:multiLevelType w:val="hybridMultilevel"/>
    <w:tmpl w:val="0A1C321C"/>
    <w:lvl w:ilvl="0" w:tplc="CA467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0E58FC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27"/>
  </w:num>
  <w:num w:numId="5">
    <w:abstractNumId w:val="18"/>
  </w:num>
  <w:num w:numId="6">
    <w:abstractNumId w:val="12"/>
  </w:num>
  <w:num w:numId="7">
    <w:abstractNumId w:val="8"/>
  </w:num>
  <w:num w:numId="8">
    <w:abstractNumId w:val="6"/>
  </w:num>
  <w:num w:numId="9">
    <w:abstractNumId w:val="14"/>
  </w:num>
  <w:num w:numId="10">
    <w:abstractNumId w:val="15"/>
  </w:num>
  <w:num w:numId="11">
    <w:abstractNumId w:val="24"/>
  </w:num>
  <w:num w:numId="12">
    <w:abstractNumId w:val="26"/>
  </w:num>
  <w:num w:numId="13">
    <w:abstractNumId w:val="2"/>
  </w:num>
  <w:num w:numId="14">
    <w:abstractNumId w:val="3"/>
  </w:num>
  <w:num w:numId="15">
    <w:abstractNumId w:val="28"/>
  </w:num>
  <w:num w:numId="16">
    <w:abstractNumId w:val="0"/>
  </w:num>
  <w:num w:numId="17">
    <w:abstractNumId w:val="13"/>
  </w:num>
  <w:num w:numId="18">
    <w:abstractNumId w:val="22"/>
  </w:num>
  <w:num w:numId="19">
    <w:abstractNumId w:val="23"/>
  </w:num>
  <w:num w:numId="20">
    <w:abstractNumId w:val="20"/>
  </w:num>
  <w:num w:numId="21">
    <w:abstractNumId w:val="10"/>
  </w:num>
  <w:num w:numId="22">
    <w:abstractNumId w:val="21"/>
  </w:num>
  <w:num w:numId="23">
    <w:abstractNumId w:val="16"/>
  </w:num>
  <w:num w:numId="24">
    <w:abstractNumId w:val="4"/>
  </w:num>
  <w:num w:numId="25">
    <w:abstractNumId w:val="9"/>
  </w:num>
  <w:num w:numId="26">
    <w:abstractNumId w:val="7"/>
  </w:num>
  <w:num w:numId="27">
    <w:abstractNumId w:val="25"/>
  </w:num>
  <w:num w:numId="28">
    <w:abstractNumId w:val="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2CD4"/>
    <w:rsid w:val="00005502"/>
    <w:rsid w:val="000073F7"/>
    <w:rsid w:val="000212D2"/>
    <w:rsid w:val="00050DAE"/>
    <w:rsid w:val="00051DC6"/>
    <w:rsid w:val="00063E97"/>
    <w:rsid w:val="000829E4"/>
    <w:rsid w:val="0008494B"/>
    <w:rsid w:val="00096B1D"/>
    <w:rsid w:val="000A7176"/>
    <w:rsid w:val="000B043D"/>
    <w:rsid w:val="000B3C73"/>
    <w:rsid w:val="000C58BD"/>
    <w:rsid w:val="000D50DA"/>
    <w:rsid w:val="000D5AA9"/>
    <w:rsid w:val="000D6E33"/>
    <w:rsid w:val="000E1312"/>
    <w:rsid w:val="000E34DF"/>
    <w:rsid w:val="000E6A46"/>
    <w:rsid w:val="000F304B"/>
    <w:rsid w:val="000F7A26"/>
    <w:rsid w:val="00100138"/>
    <w:rsid w:val="0011293C"/>
    <w:rsid w:val="00121873"/>
    <w:rsid w:val="0012646E"/>
    <w:rsid w:val="00126525"/>
    <w:rsid w:val="00131859"/>
    <w:rsid w:val="00133146"/>
    <w:rsid w:val="00135B40"/>
    <w:rsid w:val="0013710B"/>
    <w:rsid w:val="00143B7A"/>
    <w:rsid w:val="00176943"/>
    <w:rsid w:val="00187E36"/>
    <w:rsid w:val="00193979"/>
    <w:rsid w:val="001972B9"/>
    <w:rsid w:val="001B69DD"/>
    <w:rsid w:val="001C5BB7"/>
    <w:rsid w:val="001D117E"/>
    <w:rsid w:val="001D278A"/>
    <w:rsid w:val="001D30D8"/>
    <w:rsid w:val="001D5BCE"/>
    <w:rsid w:val="001E2499"/>
    <w:rsid w:val="001E7950"/>
    <w:rsid w:val="001F7268"/>
    <w:rsid w:val="00204605"/>
    <w:rsid w:val="002115E6"/>
    <w:rsid w:val="0021293B"/>
    <w:rsid w:val="00237053"/>
    <w:rsid w:val="00242342"/>
    <w:rsid w:val="00244F3D"/>
    <w:rsid w:val="00263F72"/>
    <w:rsid w:val="002666DE"/>
    <w:rsid w:val="00267F64"/>
    <w:rsid w:val="002704D7"/>
    <w:rsid w:val="00281D86"/>
    <w:rsid w:val="002A4788"/>
    <w:rsid w:val="002B70B7"/>
    <w:rsid w:val="002C2C53"/>
    <w:rsid w:val="002C76B6"/>
    <w:rsid w:val="002F1F8D"/>
    <w:rsid w:val="002F5A2D"/>
    <w:rsid w:val="00301FF8"/>
    <w:rsid w:val="003025EB"/>
    <w:rsid w:val="00311838"/>
    <w:rsid w:val="00332D49"/>
    <w:rsid w:val="00335A2A"/>
    <w:rsid w:val="00346619"/>
    <w:rsid w:val="00350CD3"/>
    <w:rsid w:val="0035270D"/>
    <w:rsid w:val="00364D97"/>
    <w:rsid w:val="003711B1"/>
    <w:rsid w:val="003A1821"/>
    <w:rsid w:val="003B784E"/>
    <w:rsid w:val="003C66CA"/>
    <w:rsid w:val="003D01BF"/>
    <w:rsid w:val="003D1515"/>
    <w:rsid w:val="003E611E"/>
    <w:rsid w:val="003F530A"/>
    <w:rsid w:val="00403139"/>
    <w:rsid w:val="0043227F"/>
    <w:rsid w:val="004433F4"/>
    <w:rsid w:val="00450029"/>
    <w:rsid w:val="004604F4"/>
    <w:rsid w:val="0047580A"/>
    <w:rsid w:val="004978E5"/>
    <w:rsid w:val="004A3002"/>
    <w:rsid w:val="004A515F"/>
    <w:rsid w:val="004E0322"/>
    <w:rsid w:val="004E0E11"/>
    <w:rsid w:val="004E4F53"/>
    <w:rsid w:val="004F0024"/>
    <w:rsid w:val="004F142F"/>
    <w:rsid w:val="004F1C38"/>
    <w:rsid w:val="004F5331"/>
    <w:rsid w:val="005176D0"/>
    <w:rsid w:val="00532D45"/>
    <w:rsid w:val="00535EC4"/>
    <w:rsid w:val="005641B1"/>
    <w:rsid w:val="00564856"/>
    <w:rsid w:val="00577DC6"/>
    <w:rsid w:val="00592E19"/>
    <w:rsid w:val="005A2A30"/>
    <w:rsid w:val="005B46C8"/>
    <w:rsid w:val="005C123A"/>
    <w:rsid w:val="005C1678"/>
    <w:rsid w:val="005E44E3"/>
    <w:rsid w:val="00613815"/>
    <w:rsid w:val="00614FAD"/>
    <w:rsid w:val="00676A80"/>
    <w:rsid w:val="00694183"/>
    <w:rsid w:val="006960C1"/>
    <w:rsid w:val="00697B19"/>
    <w:rsid w:val="006C5CA8"/>
    <w:rsid w:val="006C6EA3"/>
    <w:rsid w:val="006D5876"/>
    <w:rsid w:val="006D76C1"/>
    <w:rsid w:val="006F0215"/>
    <w:rsid w:val="006F69D7"/>
    <w:rsid w:val="00700AB1"/>
    <w:rsid w:val="00704B91"/>
    <w:rsid w:val="00730F7B"/>
    <w:rsid w:val="00731AD2"/>
    <w:rsid w:val="007365C0"/>
    <w:rsid w:val="007414CB"/>
    <w:rsid w:val="007478E0"/>
    <w:rsid w:val="00761AFD"/>
    <w:rsid w:val="00784383"/>
    <w:rsid w:val="00795B16"/>
    <w:rsid w:val="00796FBB"/>
    <w:rsid w:val="007A02FD"/>
    <w:rsid w:val="007B71B2"/>
    <w:rsid w:val="007C7454"/>
    <w:rsid w:val="007F64AB"/>
    <w:rsid w:val="00811BB0"/>
    <w:rsid w:val="00811C11"/>
    <w:rsid w:val="00813003"/>
    <w:rsid w:val="00820DCE"/>
    <w:rsid w:val="008218F2"/>
    <w:rsid w:val="00826B1C"/>
    <w:rsid w:val="00851A99"/>
    <w:rsid w:val="0085776D"/>
    <w:rsid w:val="00863BC9"/>
    <w:rsid w:val="00872634"/>
    <w:rsid w:val="008734A0"/>
    <w:rsid w:val="008831B4"/>
    <w:rsid w:val="00883508"/>
    <w:rsid w:val="00886857"/>
    <w:rsid w:val="0088731A"/>
    <w:rsid w:val="008A2C75"/>
    <w:rsid w:val="008D09FC"/>
    <w:rsid w:val="008E14CF"/>
    <w:rsid w:val="008E4EEE"/>
    <w:rsid w:val="00924C69"/>
    <w:rsid w:val="00927155"/>
    <w:rsid w:val="009304E2"/>
    <w:rsid w:val="00932BC6"/>
    <w:rsid w:val="00933946"/>
    <w:rsid w:val="00941142"/>
    <w:rsid w:val="009439F8"/>
    <w:rsid w:val="00944199"/>
    <w:rsid w:val="009449CA"/>
    <w:rsid w:val="00951F81"/>
    <w:rsid w:val="00956B33"/>
    <w:rsid w:val="009602BA"/>
    <w:rsid w:val="00960D10"/>
    <w:rsid w:val="00986DC2"/>
    <w:rsid w:val="00993115"/>
    <w:rsid w:val="00994012"/>
    <w:rsid w:val="009941D2"/>
    <w:rsid w:val="009B7A52"/>
    <w:rsid w:val="009C2DA3"/>
    <w:rsid w:val="009C3565"/>
    <w:rsid w:val="009D764D"/>
    <w:rsid w:val="009F43E8"/>
    <w:rsid w:val="009F64EA"/>
    <w:rsid w:val="00A01DD4"/>
    <w:rsid w:val="00A30C51"/>
    <w:rsid w:val="00A3629C"/>
    <w:rsid w:val="00A40657"/>
    <w:rsid w:val="00A410EA"/>
    <w:rsid w:val="00A51298"/>
    <w:rsid w:val="00A57AE1"/>
    <w:rsid w:val="00A64F53"/>
    <w:rsid w:val="00A6722A"/>
    <w:rsid w:val="00A72ECC"/>
    <w:rsid w:val="00A77160"/>
    <w:rsid w:val="00AA2EFD"/>
    <w:rsid w:val="00AB3CC3"/>
    <w:rsid w:val="00AB5511"/>
    <w:rsid w:val="00AB6474"/>
    <w:rsid w:val="00AB7771"/>
    <w:rsid w:val="00AB7DCB"/>
    <w:rsid w:val="00AC19E3"/>
    <w:rsid w:val="00AC1AE9"/>
    <w:rsid w:val="00AC47A3"/>
    <w:rsid w:val="00AD6D06"/>
    <w:rsid w:val="00AE50E5"/>
    <w:rsid w:val="00B339AF"/>
    <w:rsid w:val="00B65214"/>
    <w:rsid w:val="00B677F5"/>
    <w:rsid w:val="00B863E2"/>
    <w:rsid w:val="00BA4BB1"/>
    <w:rsid w:val="00BA5089"/>
    <w:rsid w:val="00BA5B20"/>
    <w:rsid w:val="00BB2B30"/>
    <w:rsid w:val="00BD03E4"/>
    <w:rsid w:val="00BD69E0"/>
    <w:rsid w:val="00BE1D1C"/>
    <w:rsid w:val="00BF0A19"/>
    <w:rsid w:val="00BF3B4A"/>
    <w:rsid w:val="00BF3F59"/>
    <w:rsid w:val="00BF5ACD"/>
    <w:rsid w:val="00C10C94"/>
    <w:rsid w:val="00C10D1B"/>
    <w:rsid w:val="00C16C66"/>
    <w:rsid w:val="00C171B2"/>
    <w:rsid w:val="00C209C4"/>
    <w:rsid w:val="00C22E8B"/>
    <w:rsid w:val="00C24145"/>
    <w:rsid w:val="00C3045B"/>
    <w:rsid w:val="00C412C9"/>
    <w:rsid w:val="00C5037E"/>
    <w:rsid w:val="00C55589"/>
    <w:rsid w:val="00C67F5E"/>
    <w:rsid w:val="00C7397C"/>
    <w:rsid w:val="00CA3381"/>
    <w:rsid w:val="00CC343A"/>
    <w:rsid w:val="00CC774F"/>
    <w:rsid w:val="00CD60E4"/>
    <w:rsid w:val="00CE06FC"/>
    <w:rsid w:val="00CE190D"/>
    <w:rsid w:val="00CF477F"/>
    <w:rsid w:val="00D03E7A"/>
    <w:rsid w:val="00D0424B"/>
    <w:rsid w:val="00D1116B"/>
    <w:rsid w:val="00D121DE"/>
    <w:rsid w:val="00D148DB"/>
    <w:rsid w:val="00D23EAD"/>
    <w:rsid w:val="00D36884"/>
    <w:rsid w:val="00D503AC"/>
    <w:rsid w:val="00D53AA7"/>
    <w:rsid w:val="00D62AAC"/>
    <w:rsid w:val="00D62CC3"/>
    <w:rsid w:val="00D64A3D"/>
    <w:rsid w:val="00D74D0E"/>
    <w:rsid w:val="00D87B33"/>
    <w:rsid w:val="00D913A8"/>
    <w:rsid w:val="00D96089"/>
    <w:rsid w:val="00DD7EA1"/>
    <w:rsid w:val="00DF2AA7"/>
    <w:rsid w:val="00E02D04"/>
    <w:rsid w:val="00E231B6"/>
    <w:rsid w:val="00E31C26"/>
    <w:rsid w:val="00E40F87"/>
    <w:rsid w:val="00E568F6"/>
    <w:rsid w:val="00E57920"/>
    <w:rsid w:val="00E648AA"/>
    <w:rsid w:val="00E664C8"/>
    <w:rsid w:val="00E67F09"/>
    <w:rsid w:val="00E71099"/>
    <w:rsid w:val="00E832C9"/>
    <w:rsid w:val="00E8379D"/>
    <w:rsid w:val="00EB6651"/>
    <w:rsid w:val="00EE7DC8"/>
    <w:rsid w:val="00EF25FE"/>
    <w:rsid w:val="00F33A33"/>
    <w:rsid w:val="00F51F2D"/>
    <w:rsid w:val="00F55F5D"/>
    <w:rsid w:val="00F656C4"/>
    <w:rsid w:val="00F7438A"/>
    <w:rsid w:val="00F841D8"/>
    <w:rsid w:val="00F92D2C"/>
    <w:rsid w:val="00F93B5C"/>
    <w:rsid w:val="00F9608F"/>
    <w:rsid w:val="00FA7664"/>
    <w:rsid w:val="00FC7B48"/>
    <w:rsid w:val="00FD2097"/>
    <w:rsid w:val="00FD5C8B"/>
    <w:rsid w:val="00FD666A"/>
    <w:rsid w:val="00FE119E"/>
    <w:rsid w:val="00FE2816"/>
    <w:rsid w:val="00FF0639"/>
    <w:rsid w:val="00FF3CB9"/>
    <w:rsid w:val="00FF6C25"/>
    <w:rsid w:val="70EB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AE410E"/>
  <w15:docId w15:val="{191E6677-8B46-4694-9FDD-584AC032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263F7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65C0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65C0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65C0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Endurskoun">
    <w:name w:val="Revision"/>
    <w:hidden/>
    <w:uiPriority w:val="99"/>
    <w:semiHidden/>
    <w:rsid w:val="00C412C9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478E0"/>
  </w:style>
  <w:style w:type="paragraph" w:styleId="Suftur">
    <w:name w:val="footer"/>
    <w:basedOn w:val="Venjulegur"/>
    <w:link w:val="Suftur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478E0"/>
  </w:style>
  <w:style w:type="character" w:styleId="Stagengilstexti">
    <w:name w:val="Placeholder Text"/>
    <w:basedOn w:val="Sjlfgefinleturgermlsgreinar"/>
    <w:uiPriority w:val="99"/>
    <w:semiHidden/>
    <w:rsid w:val="002A4788"/>
    <w:rPr>
      <w:color w:val="808080"/>
    </w:rPr>
  </w:style>
  <w:style w:type="paragraph" w:styleId="Textineanmlsgreinar">
    <w:name w:val="footnote text"/>
    <w:basedOn w:val="Venjulegur"/>
    <w:link w:val="TextineanmlsgreinarStaf"/>
    <w:uiPriority w:val="99"/>
    <w:semiHidden/>
    <w:unhideWhenUsed/>
    <w:rsid w:val="000073F7"/>
    <w:pPr>
      <w:spacing w:after="0" w:line="240" w:lineRule="auto"/>
    </w:pPr>
    <w:rPr>
      <w:sz w:val="20"/>
      <w:szCs w:val="20"/>
    </w:rPr>
  </w:style>
  <w:style w:type="character" w:customStyle="1" w:styleId="TextineanmlsgreinarStaf">
    <w:name w:val="Texti neðanmálsgreinar Staf"/>
    <w:basedOn w:val="Sjlfgefinleturgermlsgreinar"/>
    <w:link w:val="Textineanmlsgreinar"/>
    <w:uiPriority w:val="99"/>
    <w:semiHidden/>
    <w:rsid w:val="000073F7"/>
    <w:rPr>
      <w:sz w:val="20"/>
      <w:szCs w:val="20"/>
    </w:rPr>
  </w:style>
  <w:style w:type="character" w:styleId="Tilvsunneanmlsgrein">
    <w:name w:val="footnote reference"/>
    <w:basedOn w:val="Sjlfgefinleturgermlsgreinar"/>
    <w:uiPriority w:val="99"/>
    <w:semiHidden/>
    <w:unhideWhenUsed/>
    <w:rsid w:val="00007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1288405C5F8D4745B80B7F14D68F2DDA"/>
        <w:category>
          <w:name w:val="Almennt"/>
          <w:gallery w:val="placeholder"/>
        </w:category>
        <w:types>
          <w:type w:val="bbPlcHdr"/>
        </w:types>
        <w:behaviors>
          <w:behavior w:val="content"/>
        </w:behaviors>
        <w:guid w:val="{8E734611-9A43-4FFA-855F-2E238DE936FE}"/>
      </w:docPartPr>
      <w:docPartBody>
        <w:p w:rsidR="00000000" w:rsidRDefault="00FB6FE1" w:rsidP="00FB6FE1">
          <w:pPr>
            <w:pStyle w:val="1288405C5F8D4745B80B7F14D68F2DDA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012022EFECE947FE84562714268B82A9"/>
        <w:category>
          <w:name w:val="Almennt"/>
          <w:gallery w:val="placeholder"/>
        </w:category>
        <w:types>
          <w:type w:val="bbPlcHdr"/>
        </w:types>
        <w:behaviors>
          <w:behavior w:val="content"/>
        </w:behaviors>
        <w:guid w:val="{C65E5FB7-6D58-4FFD-842A-D607BE624918}"/>
      </w:docPartPr>
      <w:docPartBody>
        <w:p w:rsidR="00000000" w:rsidRDefault="00FB6FE1" w:rsidP="00FB6FE1">
          <w:pPr>
            <w:pStyle w:val="012022EFECE947FE84562714268B82A9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3B742A2A51084944AE84B3F1297FCB25"/>
        <w:category>
          <w:name w:val="Almennt"/>
          <w:gallery w:val="placeholder"/>
        </w:category>
        <w:types>
          <w:type w:val="bbPlcHdr"/>
        </w:types>
        <w:behaviors>
          <w:behavior w:val="content"/>
        </w:behaviors>
        <w:guid w:val="{2FE8FE53-A72D-4481-A9A9-D1F044C8AE12}"/>
      </w:docPartPr>
      <w:docPartBody>
        <w:p w:rsidR="00000000" w:rsidRDefault="00FB6FE1" w:rsidP="00FB6FE1">
          <w:pPr>
            <w:pStyle w:val="3B742A2A51084944AE84B3F1297FCB25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0E4421"/>
    <w:rsid w:val="0014208B"/>
    <w:rsid w:val="001525B0"/>
    <w:rsid w:val="001A3FD6"/>
    <w:rsid w:val="001C5BB7"/>
    <w:rsid w:val="00261A33"/>
    <w:rsid w:val="002A3015"/>
    <w:rsid w:val="002C7EC4"/>
    <w:rsid w:val="002F7912"/>
    <w:rsid w:val="003044D5"/>
    <w:rsid w:val="0062144B"/>
    <w:rsid w:val="006B17C6"/>
    <w:rsid w:val="006D157A"/>
    <w:rsid w:val="006F1B63"/>
    <w:rsid w:val="0070759F"/>
    <w:rsid w:val="0074164A"/>
    <w:rsid w:val="00757EF8"/>
    <w:rsid w:val="00805AC3"/>
    <w:rsid w:val="00823CBA"/>
    <w:rsid w:val="008E0AF3"/>
    <w:rsid w:val="008E61E5"/>
    <w:rsid w:val="0095447C"/>
    <w:rsid w:val="00983C8A"/>
    <w:rsid w:val="009F53A8"/>
    <w:rsid w:val="00BD2B03"/>
    <w:rsid w:val="00C15123"/>
    <w:rsid w:val="00D5050E"/>
    <w:rsid w:val="00DE4646"/>
    <w:rsid w:val="00DE681D"/>
    <w:rsid w:val="00E641C6"/>
    <w:rsid w:val="00E817A6"/>
    <w:rsid w:val="00F10F47"/>
    <w:rsid w:val="00F31CC7"/>
    <w:rsid w:val="00F542A3"/>
    <w:rsid w:val="00F900B3"/>
    <w:rsid w:val="00FB6FE1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  <w:style w:type="paragraph" w:customStyle="1" w:styleId="1288405C5F8D4745B80B7F14D68F2DDA">
    <w:name w:val="1288405C5F8D4745B80B7F14D68F2DDA"/>
    <w:rsid w:val="00FB6FE1"/>
    <w:rPr>
      <w:lang/>
    </w:rPr>
  </w:style>
  <w:style w:type="paragraph" w:customStyle="1" w:styleId="012022EFECE947FE84562714268B82A9">
    <w:name w:val="012022EFECE947FE84562714268B82A9"/>
    <w:rsid w:val="00FB6FE1"/>
    <w:rPr>
      <w:lang/>
    </w:rPr>
  </w:style>
  <w:style w:type="paragraph" w:customStyle="1" w:styleId="3B742A2A51084944AE84B3F1297FCB25">
    <w:name w:val="3B742A2A51084944AE84B3F1297FCB25"/>
    <w:rsid w:val="00FB6FE1"/>
    <w:rPr>
      <w:lang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AEE533C17AF44ABCA61C0AEC7A604" ma:contentTypeVersion="4" ma:contentTypeDescription="Create a new document." ma:contentTypeScope="" ma:versionID="454ce68866249528ac76ba44d89d1a57">
  <xsd:schema xmlns:xsd="http://www.w3.org/2001/XMLSchema" xmlns:xs="http://www.w3.org/2001/XMLSchema" xmlns:p="http://schemas.microsoft.com/office/2006/metadata/properties" xmlns:ns2="e71e7fb8-9a93-4c9a-b7a1-ec047170335e" xmlns:ns3="605f6087-bd26-4508-b3a9-2c3b852b826b" targetNamespace="http://schemas.microsoft.com/office/2006/metadata/properties" ma:root="true" ma:fieldsID="7305ceed719ab492fa04bdc83788755d" ns2:_="" ns3:_="">
    <xsd:import namespace="e71e7fb8-9a93-4c9a-b7a1-ec047170335e"/>
    <xsd:import namespace="605f6087-bd26-4508-b3a9-2c3b852b8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7fb8-9a93-4c9a-b7a1-ec0471703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f6087-bd26-4508-b3a9-2c3b852b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C55B-3A94-4469-A6CA-E869D1E4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e7fb8-9a93-4c9a-b7a1-ec047170335e"/>
    <ds:schemaRef ds:uri="605f6087-bd26-4508-b3a9-2c3b852b8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6DC0F-46ED-4C18-92FB-4254E5CFF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C47F1-1CBF-4F91-BC71-568103482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CDF9A8-AD06-4B86-93AB-C7F35E73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HBR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Páll Þórhallsson</dc:creator>
  <cp:lastModifiedBy>Anna Valbjörg Ólafsdóttir</cp:lastModifiedBy>
  <cp:revision>3</cp:revision>
  <cp:lastPrinted>2024-03-07T09:06:00Z</cp:lastPrinted>
  <dcterms:created xsi:type="dcterms:W3CDTF">2024-03-07T09:06:00Z</dcterms:created>
  <dcterms:modified xsi:type="dcterms:W3CDTF">2024-03-07T09:08:00Z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0x010100527AEE533C17AF44ABCA61C0AEC7A604</vt:lpwstr>
  </property>
</Properties>
</file>