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BE2B60" w14:textId="77777777" w:rsidR="008A73E3" w:rsidRDefault="008A73E3" w:rsidP="004A7469">
      <w:pPr>
        <w:tabs>
          <w:tab w:val="left" w:pos="1753"/>
        </w:tabs>
        <w:rPr>
          <w:rFonts w:ascii="Arial" w:hAnsi="Arial" w:cs="Arial"/>
          <w:sz w:val="24"/>
          <w:szCs w:val="24"/>
        </w:rPr>
      </w:pPr>
      <w:bookmarkStart w:id="0" w:name="_Hlk36026691"/>
    </w:p>
    <w:p w14:paraId="29B735B5" w14:textId="77777777" w:rsidR="008A73E3" w:rsidRDefault="008A73E3" w:rsidP="004A7469">
      <w:pPr>
        <w:tabs>
          <w:tab w:val="left" w:pos="1753"/>
        </w:tabs>
        <w:rPr>
          <w:rFonts w:ascii="Arial" w:hAnsi="Arial" w:cs="Arial"/>
          <w:sz w:val="24"/>
          <w:szCs w:val="24"/>
        </w:rPr>
      </w:pPr>
    </w:p>
    <w:p w14:paraId="714BBC6B" w14:textId="77777777" w:rsidR="008A73E3" w:rsidRDefault="008A73E3" w:rsidP="004A7469">
      <w:pPr>
        <w:tabs>
          <w:tab w:val="left" w:pos="1753"/>
        </w:tabs>
        <w:rPr>
          <w:rFonts w:ascii="Arial" w:hAnsi="Arial" w:cs="Arial"/>
          <w:sz w:val="24"/>
          <w:szCs w:val="24"/>
        </w:rPr>
      </w:pPr>
    </w:p>
    <w:p w14:paraId="66F802DA" w14:textId="77777777" w:rsidR="008A73E3" w:rsidRDefault="008A73E3" w:rsidP="004A7469">
      <w:pPr>
        <w:tabs>
          <w:tab w:val="left" w:pos="1753"/>
        </w:tabs>
        <w:rPr>
          <w:rFonts w:ascii="Arial" w:hAnsi="Arial" w:cs="Arial"/>
          <w:sz w:val="24"/>
          <w:szCs w:val="24"/>
        </w:rPr>
      </w:pPr>
    </w:p>
    <w:p w14:paraId="3DF60DB0" w14:textId="0CA71393" w:rsidR="006A6118" w:rsidRPr="00115BD1" w:rsidRDefault="00804B5B" w:rsidP="004A7469">
      <w:pPr>
        <w:tabs>
          <w:tab w:val="left" w:pos="1753"/>
        </w:tabs>
        <w:rPr>
          <w:rFonts w:ascii="Arial" w:hAnsi="Arial" w:cs="Arial"/>
          <w:sz w:val="24"/>
          <w:szCs w:val="24"/>
        </w:rPr>
      </w:pPr>
      <w:r>
        <w:rPr>
          <w:rFonts w:ascii="Arial" w:hAnsi="Arial" w:cs="Arial"/>
          <w:sz w:val="24"/>
          <w:szCs w:val="24"/>
        </w:rPr>
        <w:t>Dómsmálaráðuneyti</w:t>
      </w:r>
    </w:p>
    <w:p w14:paraId="0BECB6C5" w14:textId="1463322E" w:rsidR="00675D6E" w:rsidRPr="00115BD1" w:rsidRDefault="00804B5B" w:rsidP="009370C2">
      <w:pPr>
        <w:tabs>
          <w:tab w:val="left" w:pos="1753"/>
        </w:tabs>
        <w:rPr>
          <w:rFonts w:ascii="Arial" w:hAnsi="Arial" w:cs="Arial"/>
          <w:sz w:val="24"/>
          <w:szCs w:val="24"/>
        </w:rPr>
      </w:pPr>
      <w:r>
        <w:rPr>
          <w:rFonts w:ascii="Arial" w:hAnsi="Arial" w:cs="Arial"/>
          <w:sz w:val="24"/>
          <w:szCs w:val="24"/>
        </w:rPr>
        <w:t>Samráðsgátt</w:t>
      </w:r>
    </w:p>
    <w:p w14:paraId="29A129F8" w14:textId="77777777" w:rsidR="006A6118" w:rsidRPr="00115BD1" w:rsidRDefault="006A6118" w:rsidP="004A7469">
      <w:pPr>
        <w:tabs>
          <w:tab w:val="left" w:pos="1753"/>
        </w:tabs>
        <w:rPr>
          <w:rFonts w:ascii="Arial" w:hAnsi="Arial" w:cs="Arial"/>
          <w:sz w:val="24"/>
          <w:szCs w:val="24"/>
        </w:rPr>
      </w:pPr>
    </w:p>
    <w:p w14:paraId="2AC9E86E" w14:textId="678F6F88" w:rsidR="00CA1F5B" w:rsidRDefault="00CA1F5B" w:rsidP="00CA1F5B">
      <w:pPr>
        <w:tabs>
          <w:tab w:val="left" w:pos="1753"/>
        </w:tabs>
        <w:jc w:val="right"/>
        <w:rPr>
          <w:rFonts w:ascii="Arial" w:hAnsi="Arial" w:cs="Arial"/>
          <w:sz w:val="24"/>
          <w:szCs w:val="24"/>
        </w:rPr>
      </w:pPr>
      <w:r w:rsidRPr="00115BD1">
        <w:rPr>
          <w:rFonts w:ascii="Arial" w:hAnsi="Arial" w:cs="Arial"/>
          <w:sz w:val="24"/>
          <w:szCs w:val="24"/>
        </w:rPr>
        <w:t xml:space="preserve">Reykjavík, </w:t>
      </w:r>
      <w:r w:rsidR="00197D23">
        <w:rPr>
          <w:rFonts w:ascii="Arial" w:hAnsi="Arial" w:cs="Arial"/>
          <w:sz w:val="24"/>
          <w:szCs w:val="24"/>
        </w:rPr>
        <w:t>20. febrúar 2023</w:t>
      </w:r>
      <w:r w:rsidR="00675D6E" w:rsidRPr="00115BD1">
        <w:rPr>
          <w:rFonts w:ascii="Arial" w:hAnsi="Arial" w:cs="Arial"/>
          <w:sz w:val="24"/>
          <w:szCs w:val="24"/>
        </w:rPr>
        <w:t xml:space="preserve"> </w:t>
      </w:r>
    </w:p>
    <w:p w14:paraId="6BAF6AB8" w14:textId="77777777" w:rsidR="00197D23" w:rsidRDefault="00197D23" w:rsidP="00E86607">
      <w:pPr>
        <w:tabs>
          <w:tab w:val="left" w:pos="1753"/>
        </w:tabs>
        <w:jc w:val="right"/>
        <w:rPr>
          <w:rFonts w:ascii="Arial" w:hAnsi="Arial" w:cs="Arial"/>
          <w:sz w:val="24"/>
          <w:szCs w:val="24"/>
        </w:rPr>
      </w:pPr>
    </w:p>
    <w:p w14:paraId="1EE681C7" w14:textId="04B69644" w:rsidR="003A38A0" w:rsidRPr="00115BD1" w:rsidRDefault="00A739BC" w:rsidP="00E86607">
      <w:pPr>
        <w:tabs>
          <w:tab w:val="left" w:pos="1753"/>
        </w:tabs>
        <w:jc w:val="right"/>
        <w:rPr>
          <w:rFonts w:ascii="Arial" w:hAnsi="Arial" w:cs="Arial"/>
          <w:b/>
          <w:sz w:val="24"/>
          <w:szCs w:val="24"/>
        </w:rPr>
      </w:pPr>
      <w:r w:rsidRPr="00115BD1">
        <w:rPr>
          <w:rFonts w:ascii="Arial" w:hAnsi="Arial" w:cs="Arial"/>
          <w:sz w:val="24"/>
          <w:szCs w:val="24"/>
        </w:rPr>
        <w:tab/>
      </w:r>
    </w:p>
    <w:p w14:paraId="1FB1C087" w14:textId="53225572" w:rsidR="00197D23" w:rsidRDefault="003A38A0" w:rsidP="007F6193">
      <w:pPr>
        <w:ind w:left="705" w:hanging="705"/>
        <w:jc w:val="both"/>
        <w:rPr>
          <w:rFonts w:ascii="Arial" w:hAnsi="Arial" w:cs="Arial"/>
          <w:b/>
          <w:sz w:val="24"/>
          <w:szCs w:val="24"/>
        </w:rPr>
      </w:pPr>
      <w:r w:rsidRPr="00115BD1">
        <w:rPr>
          <w:rFonts w:ascii="Arial" w:hAnsi="Arial" w:cs="Arial"/>
          <w:b/>
          <w:sz w:val="24"/>
          <w:szCs w:val="24"/>
        </w:rPr>
        <w:t>Efni:</w:t>
      </w:r>
      <w:r w:rsidRPr="00115BD1">
        <w:rPr>
          <w:rFonts w:ascii="Arial" w:hAnsi="Arial" w:cs="Arial"/>
          <w:b/>
          <w:sz w:val="24"/>
          <w:szCs w:val="24"/>
        </w:rPr>
        <w:tab/>
      </w:r>
      <w:r w:rsidR="00804B5B">
        <w:rPr>
          <w:rFonts w:ascii="Arial" w:hAnsi="Arial" w:cs="Arial"/>
          <w:b/>
          <w:sz w:val="24"/>
          <w:szCs w:val="24"/>
        </w:rPr>
        <w:t xml:space="preserve">Drög að frumvarpi til laga um breytingu á </w:t>
      </w:r>
      <w:r w:rsidR="00197D23">
        <w:rPr>
          <w:rFonts w:ascii="Arial" w:hAnsi="Arial" w:cs="Arial"/>
          <w:b/>
          <w:sz w:val="24"/>
          <w:szCs w:val="24"/>
        </w:rPr>
        <w:t xml:space="preserve">lögum um dómstóla nr. 50/2016 (sameining héraðsdómstólanna). </w:t>
      </w:r>
    </w:p>
    <w:p w14:paraId="6A664375" w14:textId="6F99304F" w:rsidR="00804B5B" w:rsidRDefault="00804B5B" w:rsidP="001872F5">
      <w:pPr>
        <w:jc w:val="both"/>
        <w:rPr>
          <w:rFonts w:ascii="Arial" w:hAnsi="Arial" w:cs="Arial"/>
          <w:bCs/>
          <w:sz w:val="24"/>
          <w:szCs w:val="24"/>
        </w:rPr>
      </w:pPr>
    </w:p>
    <w:p w14:paraId="51B59F73" w14:textId="551B5682" w:rsidR="00197D23" w:rsidRDefault="00804B5B" w:rsidP="00043F52">
      <w:pPr>
        <w:jc w:val="both"/>
        <w:rPr>
          <w:rFonts w:ascii="Arial" w:hAnsi="Arial" w:cs="Arial"/>
          <w:bCs/>
          <w:sz w:val="24"/>
          <w:szCs w:val="24"/>
        </w:rPr>
      </w:pPr>
      <w:r>
        <w:rPr>
          <w:rFonts w:ascii="Arial" w:hAnsi="Arial" w:cs="Arial"/>
          <w:bCs/>
          <w:sz w:val="24"/>
          <w:szCs w:val="24"/>
        </w:rPr>
        <w:t xml:space="preserve">Laganefnd Lögmannafélags Íslands (LMFÍ) fagnar þeim breytingum sem frumvarpsdrögin bera með sér. Telur laganefnd að þær efnisbreytingar sem </w:t>
      </w:r>
      <w:r w:rsidR="00964EE5">
        <w:rPr>
          <w:rFonts w:ascii="Arial" w:hAnsi="Arial" w:cs="Arial"/>
          <w:bCs/>
          <w:sz w:val="24"/>
          <w:szCs w:val="24"/>
        </w:rPr>
        <w:t>þau fela í sér</w:t>
      </w:r>
      <w:r>
        <w:rPr>
          <w:rFonts w:ascii="Arial" w:hAnsi="Arial" w:cs="Arial"/>
          <w:bCs/>
          <w:sz w:val="24"/>
          <w:szCs w:val="24"/>
        </w:rPr>
        <w:t xml:space="preserve"> séu til þess fallnar að styrkja </w:t>
      </w:r>
      <w:r w:rsidR="00197D23">
        <w:rPr>
          <w:rFonts w:ascii="Arial" w:hAnsi="Arial" w:cs="Arial"/>
          <w:bCs/>
          <w:sz w:val="24"/>
          <w:szCs w:val="24"/>
        </w:rPr>
        <w:t xml:space="preserve">málsmeðferð á héraðsdómsstiginu og auka skilvirkni í </w:t>
      </w:r>
      <w:r w:rsidR="00283C46">
        <w:rPr>
          <w:rFonts w:ascii="Arial" w:hAnsi="Arial" w:cs="Arial"/>
          <w:bCs/>
          <w:sz w:val="24"/>
          <w:szCs w:val="24"/>
        </w:rPr>
        <w:t>dóms</w:t>
      </w:r>
      <w:r w:rsidR="00197D23">
        <w:rPr>
          <w:rFonts w:ascii="Arial" w:hAnsi="Arial" w:cs="Arial"/>
          <w:bCs/>
          <w:sz w:val="24"/>
          <w:szCs w:val="24"/>
        </w:rPr>
        <w:t xml:space="preserve">kerfinu. </w:t>
      </w:r>
    </w:p>
    <w:p w14:paraId="1282F2C0" w14:textId="77777777" w:rsidR="00283C46" w:rsidRDefault="00197D23" w:rsidP="00043F52">
      <w:pPr>
        <w:jc w:val="both"/>
        <w:rPr>
          <w:rFonts w:ascii="Arial" w:hAnsi="Arial" w:cs="Arial"/>
          <w:bCs/>
          <w:sz w:val="24"/>
          <w:szCs w:val="24"/>
        </w:rPr>
      </w:pPr>
      <w:r>
        <w:rPr>
          <w:rFonts w:ascii="Arial" w:hAnsi="Arial" w:cs="Arial"/>
          <w:bCs/>
          <w:sz w:val="24"/>
          <w:szCs w:val="24"/>
        </w:rPr>
        <w:t xml:space="preserve">Sérstök áhersla er lögð á það af hálfu Laganefndar að 1. </w:t>
      </w:r>
      <w:r w:rsidR="00283C46">
        <w:rPr>
          <w:rFonts w:ascii="Arial" w:hAnsi="Arial" w:cs="Arial"/>
          <w:bCs/>
          <w:sz w:val="24"/>
          <w:szCs w:val="24"/>
        </w:rPr>
        <w:t>g</w:t>
      </w:r>
      <w:r>
        <w:rPr>
          <w:rFonts w:ascii="Arial" w:hAnsi="Arial" w:cs="Arial"/>
          <w:bCs/>
          <w:sz w:val="24"/>
          <w:szCs w:val="24"/>
        </w:rPr>
        <w:t xml:space="preserve">r. frumvarpsins, sem verði að 3. </w:t>
      </w:r>
      <w:r w:rsidR="00283C46">
        <w:rPr>
          <w:rFonts w:ascii="Arial" w:hAnsi="Arial" w:cs="Arial"/>
          <w:bCs/>
          <w:sz w:val="24"/>
          <w:szCs w:val="24"/>
        </w:rPr>
        <w:t>g</w:t>
      </w:r>
      <w:r>
        <w:rPr>
          <w:rFonts w:ascii="Arial" w:hAnsi="Arial" w:cs="Arial"/>
          <w:bCs/>
          <w:sz w:val="24"/>
          <w:szCs w:val="24"/>
        </w:rPr>
        <w:t>r. dómstólalaga, standi óhögguð. Í</w:t>
      </w:r>
      <w:r w:rsidR="00283C46">
        <w:rPr>
          <w:rFonts w:ascii="Arial" w:hAnsi="Arial" w:cs="Arial"/>
          <w:bCs/>
          <w:sz w:val="24"/>
          <w:szCs w:val="24"/>
        </w:rPr>
        <w:t xml:space="preserve"> 1. mgr. </w:t>
      </w:r>
      <w:r>
        <w:rPr>
          <w:rFonts w:ascii="Arial" w:hAnsi="Arial" w:cs="Arial"/>
          <w:bCs/>
          <w:sz w:val="24"/>
          <w:szCs w:val="24"/>
        </w:rPr>
        <w:t xml:space="preserve">er sagt til um </w:t>
      </w:r>
      <w:r w:rsidR="00283C46">
        <w:rPr>
          <w:rFonts w:ascii="Arial" w:hAnsi="Arial" w:cs="Arial"/>
          <w:bCs/>
          <w:sz w:val="24"/>
          <w:szCs w:val="24"/>
        </w:rPr>
        <w:t xml:space="preserve">8 </w:t>
      </w:r>
      <w:r>
        <w:rPr>
          <w:rFonts w:ascii="Arial" w:hAnsi="Arial" w:cs="Arial"/>
          <w:bCs/>
          <w:sz w:val="24"/>
          <w:szCs w:val="24"/>
        </w:rPr>
        <w:t>starfsstöðvar héraðsdómsins um allt landið</w:t>
      </w:r>
      <w:r w:rsidR="00283C46">
        <w:rPr>
          <w:rFonts w:ascii="Arial" w:hAnsi="Arial" w:cs="Arial"/>
          <w:bCs/>
          <w:sz w:val="24"/>
          <w:szCs w:val="24"/>
        </w:rPr>
        <w:t xml:space="preserve"> og auk þess í 3. mgr. að ávallt skuli starfa að lágmarki þrír starfsmenn á hverri starfsstöð, þar af tveir löglærðir. </w:t>
      </w:r>
    </w:p>
    <w:p w14:paraId="689A206E" w14:textId="77777777" w:rsidR="00477522" w:rsidRDefault="00283C46" w:rsidP="00043F52">
      <w:pPr>
        <w:jc w:val="both"/>
        <w:rPr>
          <w:rFonts w:ascii="Arial" w:hAnsi="Arial" w:cs="Arial"/>
          <w:bCs/>
          <w:sz w:val="24"/>
          <w:szCs w:val="24"/>
        </w:rPr>
      </w:pPr>
      <w:r>
        <w:rPr>
          <w:rFonts w:ascii="Arial" w:hAnsi="Arial" w:cs="Arial"/>
          <w:bCs/>
          <w:sz w:val="24"/>
          <w:szCs w:val="24"/>
        </w:rPr>
        <w:t xml:space="preserve">Að mati Laganefndar er mikilvægt að styrkja starfsstöðvarnar í sessi með fyrrgreindri lagasetningu og kveða þar með niður þann orðróm að sameining héraðsdómsstólanna verði til þess að dómstólar á landsbyggðinni leggist af. </w:t>
      </w:r>
    </w:p>
    <w:p w14:paraId="1778C7D1" w14:textId="582D15AD" w:rsidR="00477522" w:rsidRDefault="00283C46" w:rsidP="00043F52">
      <w:pPr>
        <w:jc w:val="both"/>
        <w:rPr>
          <w:rFonts w:ascii="Arial" w:hAnsi="Arial" w:cs="Arial"/>
          <w:bCs/>
          <w:sz w:val="24"/>
          <w:szCs w:val="24"/>
        </w:rPr>
      </w:pPr>
      <w:r>
        <w:rPr>
          <w:rFonts w:ascii="Arial" w:hAnsi="Arial" w:cs="Arial"/>
          <w:bCs/>
          <w:sz w:val="24"/>
          <w:szCs w:val="24"/>
        </w:rPr>
        <w:t xml:space="preserve">Starfsstöðvar á landsbyggðinni eru að mati Laganefndar mikilvægar fyrir réttindi almennings </w:t>
      </w:r>
      <w:r w:rsidR="00477522">
        <w:rPr>
          <w:rFonts w:ascii="Arial" w:hAnsi="Arial" w:cs="Arial"/>
          <w:bCs/>
          <w:sz w:val="24"/>
          <w:szCs w:val="24"/>
        </w:rPr>
        <w:t xml:space="preserve">um greiðan </w:t>
      </w:r>
      <w:r>
        <w:rPr>
          <w:rFonts w:ascii="Arial" w:hAnsi="Arial" w:cs="Arial"/>
          <w:bCs/>
          <w:sz w:val="24"/>
          <w:szCs w:val="24"/>
        </w:rPr>
        <w:t>aðgang að dómstólum,</w:t>
      </w:r>
      <w:r w:rsidR="00AA5141">
        <w:rPr>
          <w:rFonts w:ascii="Arial" w:hAnsi="Arial" w:cs="Arial"/>
          <w:bCs/>
          <w:sz w:val="24"/>
          <w:szCs w:val="24"/>
        </w:rPr>
        <w:t xml:space="preserve"> </w:t>
      </w:r>
      <w:r>
        <w:rPr>
          <w:rFonts w:ascii="Arial" w:hAnsi="Arial" w:cs="Arial"/>
          <w:bCs/>
          <w:sz w:val="24"/>
          <w:szCs w:val="24"/>
        </w:rPr>
        <w:t xml:space="preserve">en einnig ber að líta </w:t>
      </w:r>
      <w:r w:rsidR="00477522">
        <w:rPr>
          <w:rFonts w:ascii="Arial" w:hAnsi="Arial" w:cs="Arial"/>
          <w:bCs/>
          <w:sz w:val="24"/>
          <w:szCs w:val="24"/>
        </w:rPr>
        <w:t xml:space="preserve">til þess að án </w:t>
      </w:r>
      <w:r>
        <w:rPr>
          <w:rFonts w:ascii="Arial" w:hAnsi="Arial" w:cs="Arial"/>
          <w:bCs/>
          <w:sz w:val="24"/>
          <w:szCs w:val="24"/>
        </w:rPr>
        <w:t xml:space="preserve">starfsstöðva héraðsdóms </w:t>
      </w:r>
      <w:r w:rsidR="00544F13">
        <w:rPr>
          <w:rFonts w:ascii="Arial" w:hAnsi="Arial" w:cs="Arial"/>
          <w:bCs/>
          <w:sz w:val="24"/>
          <w:szCs w:val="24"/>
        </w:rPr>
        <w:t xml:space="preserve">á landsbyggðinni </w:t>
      </w:r>
      <w:r>
        <w:rPr>
          <w:rFonts w:ascii="Arial" w:hAnsi="Arial" w:cs="Arial"/>
          <w:bCs/>
          <w:sz w:val="24"/>
          <w:szCs w:val="24"/>
        </w:rPr>
        <w:t xml:space="preserve">munu lögfræðingar ekki geta átt þess kost að fá starf við hæfi </w:t>
      </w:r>
      <w:r w:rsidR="00477522">
        <w:rPr>
          <w:rFonts w:ascii="Arial" w:hAnsi="Arial" w:cs="Arial"/>
          <w:bCs/>
          <w:sz w:val="24"/>
          <w:szCs w:val="24"/>
        </w:rPr>
        <w:t xml:space="preserve">í tengslum við </w:t>
      </w:r>
      <w:r>
        <w:rPr>
          <w:rFonts w:ascii="Arial" w:hAnsi="Arial" w:cs="Arial"/>
          <w:bCs/>
          <w:sz w:val="24"/>
          <w:szCs w:val="24"/>
        </w:rPr>
        <w:t>dómstólakerfi</w:t>
      </w:r>
      <w:r w:rsidR="00477522">
        <w:rPr>
          <w:rFonts w:ascii="Arial" w:hAnsi="Arial" w:cs="Arial"/>
          <w:bCs/>
          <w:sz w:val="24"/>
          <w:szCs w:val="24"/>
        </w:rPr>
        <w:t>ð</w:t>
      </w:r>
      <w:r>
        <w:rPr>
          <w:rFonts w:ascii="Arial" w:hAnsi="Arial" w:cs="Arial"/>
          <w:bCs/>
          <w:sz w:val="24"/>
          <w:szCs w:val="24"/>
        </w:rPr>
        <w:t xml:space="preserve"> utan höfuðborgarsvæðisins.</w:t>
      </w:r>
      <w:r w:rsidR="00477522">
        <w:rPr>
          <w:rFonts w:ascii="Arial" w:hAnsi="Arial" w:cs="Arial"/>
          <w:bCs/>
          <w:sz w:val="24"/>
          <w:szCs w:val="24"/>
        </w:rPr>
        <w:t xml:space="preserve"> Á það sérstaklega við um lögfræðinga sem hafa aflað sér málflutningsréttinda, þ.e. lögmenn. </w:t>
      </w:r>
    </w:p>
    <w:p w14:paraId="1EDD140E" w14:textId="1B64E6A9" w:rsidR="00477522" w:rsidRDefault="00477522" w:rsidP="00043F52">
      <w:pPr>
        <w:jc w:val="both"/>
        <w:rPr>
          <w:rFonts w:ascii="Arial" w:hAnsi="Arial" w:cs="Arial"/>
          <w:bCs/>
          <w:sz w:val="24"/>
          <w:szCs w:val="24"/>
        </w:rPr>
      </w:pPr>
      <w:r>
        <w:rPr>
          <w:rFonts w:ascii="Arial" w:hAnsi="Arial" w:cs="Arial"/>
          <w:bCs/>
          <w:sz w:val="24"/>
          <w:szCs w:val="24"/>
        </w:rPr>
        <w:t xml:space="preserve">Laganefnd fagnar því einnig að með frumvarpinu verði starfsstöðvarnar efldar með aukningu á störfum löglærðra á </w:t>
      </w:r>
      <w:r w:rsidR="00B90BCD">
        <w:rPr>
          <w:rFonts w:ascii="Arial" w:hAnsi="Arial" w:cs="Arial"/>
          <w:bCs/>
          <w:sz w:val="24"/>
          <w:szCs w:val="24"/>
        </w:rPr>
        <w:t>starfsstöðvum</w:t>
      </w:r>
      <w:r>
        <w:rPr>
          <w:rFonts w:ascii="Arial" w:hAnsi="Arial" w:cs="Arial"/>
          <w:bCs/>
          <w:sz w:val="24"/>
          <w:szCs w:val="24"/>
        </w:rPr>
        <w:t xml:space="preserve">. Eins og staðan er í dag eru í þremur dómstólum á landsbyggðinni einungis starfandi einn löglærður einstaklingur (dómari) ásamt ritara og/eða öðru starfsfólki. Má ætla að faglegt starf dómstólanna muni eflast með því að dómari fái sér við hlið annan dómara eða eftir atvikum dómarafulltrúa eins og fyrirhuguð lagabreyting ber með sér. </w:t>
      </w:r>
    </w:p>
    <w:p w14:paraId="08F190E7" w14:textId="3650A78A" w:rsidR="009663E5" w:rsidRDefault="009663E5" w:rsidP="00043F52">
      <w:pPr>
        <w:jc w:val="both"/>
        <w:rPr>
          <w:rFonts w:ascii="Arial" w:hAnsi="Arial" w:cs="Arial"/>
          <w:bCs/>
          <w:sz w:val="24"/>
          <w:szCs w:val="24"/>
        </w:rPr>
      </w:pPr>
    </w:p>
    <w:p w14:paraId="4F3826C2" w14:textId="77777777" w:rsidR="009663E5" w:rsidRDefault="009663E5" w:rsidP="00043F52">
      <w:pPr>
        <w:jc w:val="both"/>
        <w:rPr>
          <w:rFonts w:ascii="Arial" w:hAnsi="Arial" w:cs="Arial"/>
          <w:bCs/>
          <w:sz w:val="24"/>
          <w:szCs w:val="24"/>
        </w:rPr>
      </w:pPr>
    </w:p>
    <w:p w14:paraId="6FDBCE11" w14:textId="77777777" w:rsidR="009579AF" w:rsidRDefault="00FB5A21" w:rsidP="00043F52">
      <w:pPr>
        <w:jc w:val="both"/>
        <w:rPr>
          <w:rFonts w:ascii="Arial" w:hAnsi="Arial" w:cs="Arial"/>
          <w:bCs/>
          <w:sz w:val="24"/>
          <w:szCs w:val="24"/>
        </w:rPr>
      </w:pPr>
      <w:r>
        <w:rPr>
          <w:rFonts w:ascii="Arial" w:hAnsi="Arial" w:cs="Arial"/>
          <w:bCs/>
          <w:sz w:val="24"/>
          <w:szCs w:val="24"/>
        </w:rPr>
        <w:lastRenderedPageBreak/>
        <w:t xml:space="preserve">Laganefnd vekur athygli á b-lið 11. </w:t>
      </w:r>
      <w:r w:rsidR="009579AF">
        <w:rPr>
          <w:rFonts w:ascii="Arial" w:hAnsi="Arial" w:cs="Arial"/>
          <w:bCs/>
          <w:sz w:val="24"/>
          <w:szCs w:val="24"/>
        </w:rPr>
        <w:t>g</w:t>
      </w:r>
      <w:r>
        <w:rPr>
          <w:rFonts w:ascii="Arial" w:hAnsi="Arial" w:cs="Arial"/>
          <w:bCs/>
          <w:sz w:val="24"/>
          <w:szCs w:val="24"/>
        </w:rPr>
        <w:t xml:space="preserve">r. frumvarpsins, sem breytir 33. </w:t>
      </w:r>
      <w:r w:rsidR="009579AF">
        <w:rPr>
          <w:rFonts w:ascii="Arial" w:hAnsi="Arial" w:cs="Arial"/>
          <w:bCs/>
          <w:sz w:val="24"/>
          <w:szCs w:val="24"/>
        </w:rPr>
        <w:t>g</w:t>
      </w:r>
      <w:r>
        <w:rPr>
          <w:rFonts w:ascii="Arial" w:hAnsi="Arial" w:cs="Arial"/>
          <w:bCs/>
          <w:sz w:val="24"/>
          <w:szCs w:val="24"/>
        </w:rPr>
        <w:t xml:space="preserve">r. dómstólalaganna. Í fyrrgreindu ákvæði er dómstjóra fengið óskorað vald til að úthluta málum til dómara óháð starfsstöð og óháð aðseturs </w:t>
      </w:r>
      <w:r w:rsidR="009579AF">
        <w:rPr>
          <w:rFonts w:ascii="Arial" w:hAnsi="Arial" w:cs="Arial"/>
          <w:bCs/>
          <w:sz w:val="24"/>
          <w:szCs w:val="24"/>
        </w:rPr>
        <w:t xml:space="preserve">dómara. </w:t>
      </w:r>
    </w:p>
    <w:p w14:paraId="55BC3F35" w14:textId="3E3AA428" w:rsidR="009579AF" w:rsidRDefault="009579AF" w:rsidP="00043F52">
      <w:pPr>
        <w:jc w:val="both"/>
        <w:rPr>
          <w:rFonts w:ascii="Arial" w:hAnsi="Arial" w:cs="Arial"/>
          <w:bCs/>
          <w:sz w:val="24"/>
          <w:szCs w:val="24"/>
        </w:rPr>
      </w:pPr>
      <w:r>
        <w:rPr>
          <w:rFonts w:ascii="Arial" w:hAnsi="Arial" w:cs="Arial"/>
          <w:bCs/>
          <w:sz w:val="24"/>
          <w:szCs w:val="24"/>
        </w:rPr>
        <w:t>Fram kemur í athugasemdum við ákvæðið að slík úthlutun sé ein af lykilforsendum þess ávinnings sem vænta megi a</w:t>
      </w:r>
      <w:r w:rsidR="00E31EAA">
        <w:rPr>
          <w:rFonts w:ascii="Arial" w:hAnsi="Arial" w:cs="Arial"/>
          <w:bCs/>
          <w:sz w:val="24"/>
          <w:szCs w:val="24"/>
        </w:rPr>
        <w:t>f</w:t>
      </w:r>
      <w:r>
        <w:rPr>
          <w:rFonts w:ascii="Arial" w:hAnsi="Arial" w:cs="Arial"/>
          <w:bCs/>
          <w:sz w:val="24"/>
          <w:szCs w:val="24"/>
        </w:rPr>
        <w:t xml:space="preserve"> sameiningu dómstólanna í einn, m.a. til að jafna vinnuálag hjá dómurum o.fl. Laganefnd bendir á að úthlutun mála til dómara varðar ekki einvörðungu dómarana sjálfa eða dómstólinn, heldur ekki síður aðila þess, málflytjendur og saksækjendur. Þó það horfi til hægðarauka fyrir dómstólinn að reka mál t.d. á starfsstöð utan höfuðborgarsvæðisins þrátt fyrir að varnarþingið sé þar, þá má staðhæfa að það sé ekki til hægðarauka fyrir lögmann sem hefur starfsstöð á höfuðborgarsvæðinu. Í það minnsta verði þá að haldast í hendur við slíka úthlutun óskoruð heimild til að taka mál fyrir rafrænt eða að lögmenn fái útlagðan ferðakostnað greiddan úr ríkissjóði. </w:t>
      </w:r>
    </w:p>
    <w:p w14:paraId="00EC7D1B" w14:textId="26E1B875" w:rsidR="009579AF" w:rsidRDefault="009579AF" w:rsidP="00043F52">
      <w:pPr>
        <w:jc w:val="both"/>
        <w:rPr>
          <w:rFonts w:ascii="Arial" w:hAnsi="Arial" w:cs="Arial"/>
          <w:bCs/>
          <w:sz w:val="24"/>
          <w:szCs w:val="24"/>
        </w:rPr>
      </w:pPr>
      <w:r>
        <w:rPr>
          <w:rFonts w:ascii="Arial" w:hAnsi="Arial" w:cs="Arial"/>
          <w:bCs/>
          <w:sz w:val="24"/>
          <w:szCs w:val="24"/>
        </w:rPr>
        <w:t xml:space="preserve">Með vísan til framangreinds vill Laganefnd þannig leggja til að í </w:t>
      </w:r>
      <w:r w:rsidR="003D04B3">
        <w:rPr>
          <w:rFonts w:ascii="Arial" w:hAnsi="Arial" w:cs="Arial"/>
          <w:bCs/>
          <w:sz w:val="24"/>
          <w:szCs w:val="24"/>
        </w:rPr>
        <w:t xml:space="preserve">b-lið 11. gr. </w:t>
      </w:r>
      <w:r>
        <w:rPr>
          <w:rFonts w:ascii="Arial" w:hAnsi="Arial" w:cs="Arial"/>
          <w:bCs/>
          <w:sz w:val="24"/>
          <w:szCs w:val="24"/>
        </w:rPr>
        <w:t>frumvarp</w:t>
      </w:r>
      <w:r w:rsidR="003D04B3">
        <w:rPr>
          <w:rFonts w:ascii="Arial" w:hAnsi="Arial" w:cs="Arial"/>
          <w:bCs/>
          <w:sz w:val="24"/>
          <w:szCs w:val="24"/>
        </w:rPr>
        <w:t>sins</w:t>
      </w:r>
      <w:r>
        <w:rPr>
          <w:rFonts w:ascii="Arial" w:hAnsi="Arial" w:cs="Arial"/>
          <w:bCs/>
          <w:sz w:val="24"/>
          <w:szCs w:val="24"/>
        </w:rPr>
        <w:t xml:space="preserve"> verði gert ráð fyrir meginreglu</w:t>
      </w:r>
      <w:r w:rsidR="00AA5141">
        <w:rPr>
          <w:rFonts w:ascii="Arial" w:hAnsi="Arial" w:cs="Arial"/>
          <w:bCs/>
          <w:sz w:val="24"/>
          <w:szCs w:val="24"/>
        </w:rPr>
        <w:t xml:space="preserve">m um úthlutunina og að Dómstólasýslunni verði falið að setja nánari reglur. Í öllu falli telur Laganefnd að meta verði á þessi stigi lagasetningarinnar hvort lögfesta beri vísireglur um úthlutunina og/eða að hvaða leyti Dómstólasýslan kæmi að reglusetningu þar um. Tilgangurinn yrði fyrst og fremst að </w:t>
      </w:r>
      <w:r>
        <w:rPr>
          <w:rFonts w:ascii="Arial" w:hAnsi="Arial" w:cs="Arial"/>
          <w:bCs/>
          <w:sz w:val="24"/>
          <w:szCs w:val="24"/>
        </w:rPr>
        <w:t xml:space="preserve">tryggja samræmi og gagnsæi í úthlutun mála af hálfu hins nýja héraðsdóms. </w:t>
      </w:r>
    </w:p>
    <w:p w14:paraId="1E5DA8D8" w14:textId="64A8F230" w:rsidR="00FB5A21" w:rsidRDefault="009663E5" w:rsidP="00043F52">
      <w:pPr>
        <w:jc w:val="both"/>
        <w:rPr>
          <w:rFonts w:ascii="Arial" w:hAnsi="Arial" w:cs="Arial"/>
          <w:bCs/>
          <w:sz w:val="24"/>
          <w:szCs w:val="24"/>
        </w:rPr>
      </w:pPr>
      <w:r>
        <w:rPr>
          <w:rFonts w:ascii="Arial" w:hAnsi="Arial" w:cs="Arial"/>
          <w:bCs/>
          <w:sz w:val="24"/>
          <w:szCs w:val="24"/>
        </w:rPr>
        <w:t xml:space="preserve">Laganefnd vill </w:t>
      </w:r>
      <w:r w:rsidR="00FB5A21">
        <w:rPr>
          <w:rFonts w:ascii="Arial" w:hAnsi="Arial" w:cs="Arial"/>
          <w:bCs/>
          <w:sz w:val="24"/>
          <w:szCs w:val="24"/>
        </w:rPr>
        <w:t xml:space="preserve">að lokum </w:t>
      </w:r>
      <w:r>
        <w:rPr>
          <w:rFonts w:ascii="Arial" w:hAnsi="Arial" w:cs="Arial"/>
          <w:bCs/>
          <w:sz w:val="24"/>
          <w:szCs w:val="24"/>
        </w:rPr>
        <w:t xml:space="preserve">gera athugasemd við ákvæði 13. </w:t>
      </w:r>
      <w:r w:rsidR="00470539">
        <w:rPr>
          <w:rFonts w:ascii="Arial" w:hAnsi="Arial" w:cs="Arial"/>
          <w:bCs/>
          <w:sz w:val="24"/>
          <w:szCs w:val="24"/>
        </w:rPr>
        <w:t>g</w:t>
      </w:r>
      <w:r>
        <w:rPr>
          <w:rFonts w:ascii="Arial" w:hAnsi="Arial" w:cs="Arial"/>
          <w:bCs/>
          <w:sz w:val="24"/>
          <w:szCs w:val="24"/>
        </w:rPr>
        <w:t xml:space="preserve">r. frumvarpsins, sem breytir 36. </w:t>
      </w:r>
      <w:r w:rsidR="00470539">
        <w:rPr>
          <w:rFonts w:ascii="Arial" w:hAnsi="Arial" w:cs="Arial"/>
          <w:bCs/>
          <w:sz w:val="24"/>
          <w:szCs w:val="24"/>
        </w:rPr>
        <w:t>g</w:t>
      </w:r>
      <w:r>
        <w:rPr>
          <w:rFonts w:ascii="Arial" w:hAnsi="Arial" w:cs="Arial"/>
          <w:bCs/>
          <w:sz w:val="24"/>
          <w:szCs w:val="24"/>
        </w:rPr>
        <w:t xml:space="preserve">r. dómstólalaga. Í 2. </w:t>
      </w:r>
      <w:r w:rsidR="00470539">
        <w:rPr>
          <w:rFonts w:ascii="Arial" w:hAnsi="Arial" w:cs="Arial"/>
          <w:bCs/>
          <w:sz w:val="24"/>
          <w:szCs w:val="24"/>
        </w:rPr>
        <w:t>m</w:t>
      </w:r>
      <w:r>
        <w:rPr>
          <w:rFonts w:ascii="Arial" w:hAnsi="Arial" w:cs="Arial"/>
          <w:bCs/>
          <w:sz w:val="24"/>
          <w:szCs w:val="24"/>
        </w:rPr>
        <w:t xml:space="preserve">gr. er gert ráð fyrir nýrri reglu um að dómari hafi nokkuð frjálsar hendur með það hvar mál er tekið fyrir, þ.e. á hvaða þingstað. Einu skorðurnar sem settar eru </w:t>
      </w:r>
      <w:r w:rsidR="00FB5A21">
        <w:rPr>
          <w:rFonts w:ascii="Arial" w:hAnsi="Arial" w:cs="Arial"/>
          <w:bCs/>
          <w:sz w:val="24"/>
          <w:szCs w:val="24"/>
        </w:rPr>
        <w:t xml:space="preserve">á þá </w:t>
      </w:r>
      <w:r>
        <w:rPr>
          <w:rFonts w:ascii="Arial" w:hAnsi="Arial" w:cs="Arial"/>
          <w:bCs/>
          <w:sz w:val="24"/>
          <w:szCs w:val="24"/>
        </w:rPr>
        <w:t xml:space="preserve">ákvörðun </w:t>
      </w:r>
      <w:r w:rsidR="00FB5A21">
        <w:rPr>
          <w:rFonts w:ascii="Arial" w:hAnsi="Arial" w:cs="Arial"/>
          <w:bCs/>
          <w:sz w:val="24"/>
          <w:szCs w:val="24"/>
        </w:rPr>
        <w:t xml:space="preserve">er </w:t>
      </w:r>
      <w:r w:rsidR="00470539">
        <w:rPr>
          <w:rFonts w:ascii="Arial" w:hAnsi="Arial" w:cs="Arial"/>
          <w:bCs/>
          <w:sz w:val="24"/>
          <w:szCs w:val="24"/>
        </w:rPr>
        <w:t xml:space="preserve">mat dómarans </w:t>
      </w:r>
      <w:r w:rsidR="00FB5A21">
        <w:rPr>
          <w:rFonts w:ascii="Arial" w:hAnsi="Arial" w:cs="Arial"/>
          <w:bCs/>
          <w:sz w:val="24"/>
          <w:szCs w:val="24"/>
        </w:rPr>
        <w:t xml:space="preserve">á því hvar þyki </w:t>
      </w:r>
      <w:r w:rsidRPr="009663E5">
        <w:rPr>
          <w:rFonts w:ascii="Arial" w:hAnsi="Arial" w:cs="Arial"/>
          <w:bCs/>
          <w:i/>
          <w:iCs/>
          <w:sz w:val="24"/>
          <w:szCs w:val="24"/>
        </w:rPr>
        <w:t>heppilegt</w:t>
      </w:r>
      <w:r>
        <w:rPr>
          <w:rFonts w:ascii="Arial" w:hAnsi="Arial" w:cs="Arial"/>
          <w:bCs/>
          <w:sz w:val="24"/>
          <w:szCs w:val="24"/>
        </w:rPr>
        <w:t xml:space="preserve"> að taka málið fyrir. Þó það geti vissulega horft til hægðarauka og tímasparnaðar að hafa sveigjanleika með staðsetningu á fyrirtöku mála</w:t>
      </w:r>
      <w:r w:rsidR="00470539">
        <w:rPr>
          <w:rFonts w:ascii="Arial" w:hAnsi="Arial" w:cs="Arial"/>
          <w:bCs/>
          <w:sz w:val="24"/>
          <w:szCs w:val="24"/>
        </w:rPr>
        <w:t>,</w:t>
      </w:r>
      <w:r>
        <w:rPr>
          <w:rFonts w:ascii="Arial" w:hAnsi="Arial" w:cs="Arial"/>
          <w:bCs/>
          <w:sz w:val="24"/>
          <w:szCs w:val="24"/>
        </w:rPr>
        <w:t xml:space="preserve"> þá telur Laganefnd að reisa verði einhverjar skorður við </w:t>
      </w:r>
      <w:r w:rsidR="00470539">
        <w:rPr>
          <w:rFonts w:ascii="Arial" w:hAnsi="Arial" w:cs="Arial"/>
          <w:bCs/>
          <w:sz w:val="24"/>
          <w:szCs w:val="24"/>
        </w:rPr>
        <w:t>ákvarðanatöku af þessu tagi af hálfu dómara og lögfesta til hvaða sjónarmiða verði að líta við mat á því hvað teljist heppilegur þingstaður. Má þar nefna að taka verði tillit til búsetu og/eða staðsetningar bæði aðila máls og lögmanna, hvort um sé að ræða umfangsmikið mál eða einfalt, hvort mál verði tekið fyrir rafrænt eða ekki o.s.frv.</w:t>
      </w:r>
    </w:p>
    <w:p w14:paraId="07CCCCDC" w14:textId="5DDDA162" w:rsidR="00A1659A" w:rsidRDefault="00A1659A" w:rsidP="00A1659A">
      <w:pPr>
        <w:jc w:val="both"/>
        <w:rPr>
          <w:rFonts w:ascii="Arial" w:hAnsi="Arial" w:cs="Arial"/>
          <w:bCs/>
          <w:sz w:val="24"/>
          <w:szCs w:val="24"/>
        </w:rPr>
      </w:pPr>
      <w:r>
        <w:rPr>
          <w:rFonts w:ascii="Arial" w:hAnsi="Arial" w:cs="Arial"/>
          <w:bCs/>
          <w:sz w:val="24"/>
          <w:szCs w:val="24"/>
        </w:rPr>
        <w:t xml:space="preserve">Laganefnd leggur </w:t>
      </w:r>
      <w:r w:rsidR="00F713C4">
        <w:rPr>
          <w:rFonts w:ascii="Arial" w:hAnsi="Arial" w:cs="Arial"/>
          <w:bCs/>
          <w:sz w:val="24"/>
          <w:szCs w:val="24"/>
        </w:rPr>
        <w:t xml:space="preserve">skv. þessu </w:t>
      </w:r>
      <w:r>
        <w:rPr>
          <w:rFonts w:ascii="Arial" w:hAnsi="Arial" w:cs="Arial"/>
          <w:bCs/>
          <w:sz w:val="24"/>
          <w:szCs w:val="24"/>
        </w:rPr>
        <w:t xml:space="preserve">til að frumvarpið verði skoðað betur. </w:t>
      </w:r>
    </w:p>
    <w:p w14:paraId="4B419A2F" w14:textId="77777777" w:rsidR="008A73E3" w:rsidRDefault="008A73E3" w:rsidP="00A1659A">
      <w:pPr>
        <w:jc w:val="both"/>
        <w:rPr>
          <w:rFonts w:ascii="Arial" w:hAnsi="Arial" w:cs="Arial"/>
          <w:bCs/>
          <w:sz w:val="24"/>
          <w:szCs w:val="24"/>
        </w:rPr>
      </w:pPr>
    </w:p>
    <w:p w14:paraId="2A30FCE6" w14:textId="40ADCCC1" w:rsidR="0038520E" w:rsidRPr="00115BD1" w:rsidRDefault="0038520E" w:rsidP="0038520E">
      <w:pPr>
        <w:jc w:val="center"/>
        <w:rPr>
          <w:rFonts w:ascii="Arial" w:hAnsi="Arial" w:cs="Arial"/>
          <w:sz w:val="24"/>
          <w:szCs w:val="24"/>
        </w:rPr>
      </w:pPr>
      <w:r w:rsidRPr="00115BD1">
        <w:rPr>
          <w:rFonts w:ascii="Arial" w:hAnsi="Arial" w:cs="Arial"/>
          <w:sz w:val="24"/>
          <w:szCs w:val="24"/>
        </w:rPr>
        <w:t>Virðingarfyllst,</w:t>
      </w:r>
    </w:p>
    <w:p w14:paraId="79587448" w14:textId="77777777" w:rsidR="008A73E3" w:rsidRDefault="0038520E" w:rsidP="00067857">
      <w:pPr>
        <w:spacing w:after="360"/>
        <w:jc w:val="center"/>
        <w:rPr>
          <w:rFonts w:ascii="Arial" w:hAnsi="Arial" w:cs="Arial"/>
          <w:sz w:val="24"/>
          <w:szCs w:val="24"/>
        </w:rPr>
      </w:pPr>
      <w:r w:rsidRPr="00115BD1">
        <w:rPr>
          <w:rFonts w:ascii="Arial" w:hAnsi="Arial" w:cs="Arial"/>
          <w:sz w:val="24"/>
          <w:szCs w:val="24"/>
        </w:rPr>
        <w:t>f.h. laganefndar LMFÍ</w:t>
      </w:r>
    </w:p>
    <w:p w14:paraId="50AA232D" w14:textId="2876AD17" w:rsidR="00282EBA" w:rsidRDefault="00067857" w:rsidP="00067857">
      <w:pPr>
        <w:spacing w:after="360"/>
        <w:jc w:val="center"/>
        <w:rPr>
          <w:rFonts w:ascii="Arial" w:hAnsi="Arial" w:cs="Arial"/>
          <w:sz w:val="24"/>
          <w:szCs w:val="24"/>
        </w:rPr>
      </w:pPr>
      <w:r>
        <w:rPr>
          <w:rFonts w:ascii="Arial" w:hAnsi="Arial" w:cs="Arial"/>
          <w:sz w:val="24"/>
          <w:szCs w:val="24"/>
        </w:rPr>
        <w:t>Þyrí Steingrímsdóttir, lögmaður</w:t>
      </w:r>
      <w:bookmarkEnd w:id="0"/>
    </w:p>
    <w:p w14:paraId="5AFFF569" w14:textId="77777777" w:rsidR="00FA1152" w:rsidRDefault="00FA1152" w:rsidP="00067857">
      <w:pPr>
        <w:spacing w:after="360"/>
        <w:jc w:val="center"/>
        <w:rPr>
          <w:rFonts w:ascii="Arial" w:hAnsi="Arial" w:cs="Arial"/>
          <w:sz w:val="24"/>
          <w:szCs w:val="24"/>
        </w:rPr>
      </w:pPr>
    </w:p>
    <w:sectPr w:rsidR="00FA1152" w:rsidSect="00442EBE">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A7FA1A" w14:textId="77777777" w:rsidR="001E0042" w:rsidRDefault="001E0042" w:rsidP="00D35904">
      <w:pPr>
        <w:spacing w:after="0" w:line="240" w:lineRule="auto"/>
      </w:pPr>
      <w:r>
        <w:separator/>
      </w:r>
    </w:p>
  </w:endnote>
  <w:endnote w:type="continuationSeparator" w:id="0">
    <w:p w14:paraId="11DF0286" w14:textId="77777777" w:rsidR="001E0042" w:rsidRDefault="001E0042" w:rsidP="00D359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8025954"/>
      <w:docPartObj>
        <w:docPartGallery w:val="Page Numbers (Bottom of Page)"/>
        <w:docPartUnique/>
      </w:docPartObj>
    </w:sdtPr>
    <w:sdtEndPr>
      <w:rPr>
        <w:color w:val="7F7F7F" w:themeColor="background1" w:themeShade="7F"/>
        <w:spacing w:val="60"/>
      </w:rPr>
    </w:sdtEndPr>
    <w:sdtContent>
      <w:p w14:paraId="3FCC4357" w14:textId="77777777" w:rsidR="00B460B2" w:rsidRDefault="005B7062" w:rsidP="00B460B2">
        <w:pPr>
          <w:pStyle w:val="Footer"/>
          <w:pBdr>
            <w:top w:val="single" w:sz="4" w:space="1" w:color="auto"/>
          </w:pBdr>
          <w:jc w:val="right"/>
        </w:pPr>
        <w:r>
          <w:fldChar w:fldCharType="begin"/>
        </w:r>
        <w:r w:rsidR="00B460B2">
          <w:instrText xml:space="preserve"> PAGE   \* MERGEFORMAT </w:instrText>
        </w:r>
        <w:r>
          <w:fldChar w:fldCharType="separate"/>
        </w:r>
        <w:r w:rsidR="0020207F">
          <w:rPr>
            <w:noProof/>
          </w:rPr>
          <w:t>2</w:t>
        </w:r>
        <w:r>
          <w:rPr>
            <w:noProof/>
          </w:rPr>
          <w:fldChar w:fldCharType="end"/>
        </w:r>
        <w:r w:rsidR="00B460B2">
          <w:t xml:space="preserve"> | </w:t>
        </w:r>
      </w:p>
    </w:sdtContent>
  </w:sdt>
  <w:p w14:paraId="1A402B3D" w14:textId="77777777" w:rsidR="00B460B2" w:rsidRDefault="00B460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3E3C0E" w14:textId="77777777" w:rsidR="001E0042" w:rsidRDefault="001E0042" w:rsidP="00D35904">
      <w:pPr>
        <w:spacing w:after="0" w:line="240" w:lineRule="auto"/>
      </w:pPr>
      <w:r>
        <w:separator/>
      </w:r>
    </w:p>
  </w:footnote>
  <w:footnote w:type="continuationSeparator" w:id="0">
    <w:p w14:paraId="6357F0CE" w14:textId="77777777" w:rsidR="001E0042" w:rsidRDefault="001E0042" w:rsidP="00D359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4EF914" w14:textId="77777777" w:rsidR="005F34A4" w:rsidRPr="005F34A4" w:rsidRDefault="00A739BC">
    <w:pPr>
      <w:pStyle w:val="Header"/>
      <w:rPr>
        <w:rFonts w:ascii="Times New Roman" w:hAnsi="Times New Roman" w:cs="Times New Roman"/>
        <w:b/>
      </w:rPr>
    </w:pPr>
    <w:r>
      <w:rPr>
        <w:rFonts w:ascii="Times New Roman" w:hAnsi="Times New Roman" w:cs="Times New Roman"/>
        <w:b/>
      </w:rPr>
      <w:t>LAGANEFND LMFÍ</w:t>
    </w:r>
  </w:p>
  <w:p w14:paraId="68B66C13" w14:textId="77777777" w:rsidR="005F34A4" w:rsidRDefault="005F34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F67664"/>
    <w:multiLevelType w:val="hybridMultilevel"/>
    <w:tmpl w:val="3EDE2DE6"/>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 w15:restartNumberingAfterBreak="0">
    <w:nsid w:val="290E2C9F"/>
    <w:multiLevelType w:val="hybridMultilevel"/>
    <w:tmpl w:val="F7AE962C"/>
    <w:lvl w:ilvl="0" w:tplc="04090013">
      <w:start w:val="1"/>
      <w:numFmt w:val="upperRoman"/>
      <w:lvlText w:val="%1."/>
      <w:lvlJc w:val="righ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 w15:restartNumberingAfterBreak="0">
    <w:nsid w:val="2D124D3F"/>
    <w:multiLevelType w:val="hybridMultilevel"/>
    <w:tmpl w:val="DD140596"/>
    <w:lvl w:ilvl="0" w:tplc="3F6EBBA2">
      <w:start w:val="4"/>
      <w:numFmt w:val="bullet"/>
      <w:lvlText w:val="-"/>
      <w:lvlJc w:val="left"/>
      <w:pPr>
        <w:ind w:left="720" w:hanging="360"/>
      </w:pPr>
      <w:rPr>
        <w:rFonts w:ascii="Times New Roman" w:eastAsia="Times New Roman"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3" w15:restartNumberingAfterBreak="0">
    <w:nsid w:val="304F77FC"/>
    <w:multiLevelType w:val="hybridMultilevel"/>
    <w:tmpl w:val="21C88214"/>
    <w:lvl w:ilvl="0" w:tplc="836C5584">
      <w:start w:val="1"/>
      <w:numFmt w:val="upperRoman"/>
      <w:lvlText w:val="%1."/>
      <w:lvlJc w:val="left"/>
      <w:pPr>
        <w:ind w:left="1080" w:hanging="72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4" w15:restartNumberingAfterBreak="0">
    <w:nsid w:val="36B2187A"/>
    <w:multiLevelType w:val="hybridMultilevel"/>
    <w:tmpl w:val="7F86A0E8"/>
    <w:lvl w:ilvl="0" w:tplc="9A00897E">
      <w:start w:val="1"/>
      <w:numFmt w:val="upperRoman"/>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3DB51233"/>
    <w:multiLevelType w:val="hybridMultilevel"/>
    <w:tmpl w:val="F2569648"/>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4132527F"/>
    <w:multiLevelType w:val="hybridMultilevel"/>
    <w:tmpl w:val="250A4ED2"/>
    <w:lvl w:ilvl="0" w:tplc="E702E43A">
      <w:start w:val="1"/>
      <w:numFmt w:val="lowerLetter"/>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7" w15:restartNumberingAfterBreak="0">
    <w:nsid w:val="521B28BA"/>
    <w:multiLevelType w:val="hybridMultilevel"/>
    <w:tmpl w:val="5A5032F6"/>
    <w:lvl w:ilvl="0" w:tplc="9A00897E">
      <w:start w:val="1"/>
      <w:numFmt w:val="upperRoman"/>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8" w15:restartNumberingAfterBreak="0">
    <w:nsid w:val="54BD2FBB"/>
    <w:multiLevelType w:val="multilevel"/>
    <w:tmpl w:val="AEB291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9276C8F"/>
    <w:multiLevelType w:val="hybridMultilevel"/>
    <w:tmpl w:val="1534F2CC"/>
    <w:lvl w:ilvl="0" w:tplc="9A00897E">
      <w:start w:val="1"/>
      <w:numFmt w:val="upperRoman"/>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num w:numId="1" w16cid:durableId="1861703758">
    <w:abstractNumId w:val="3"/>
  </w:num>
  <w:num w:numId="2" w16cid:durableId="419109488">
    <w:abstractNumId w:val="9"/>
  </w:num>
  <w:num w:numId="3" w16cid:durableId="1834492920">
    <w:abstractNumId w:val="7"/>
  </w:num>
  <w:num w:numId="4" w16cid:durableId="966473748">
    <w:abstractNumId w:val="4"/>
  </w:num>
  <w:num w:numId="5" w16cid:durableId="946429887">
    <w:abstractNumId w:val="5"/>
  </w:num>
  <w:num w:numId="6" w16cid:durableId="205870615">
    <w:abstractNumId w:val="8"/>
  </w:num>
  <w:num w:numId="7" w16cid:durableId="242692104">
    <w:abstractNumId w:val="6"/>
  </w:num>
  <w:num w:numId="8" w16cid:durableId="918438612">
    <w:abstractNumId w:val="2"/>
  </w:num>
  <w:num w:numId="9" w16cid:durableId="54676770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93614951">
    <w:abstractNumId w:val="1"/>
  </w:num>
  <w:num w:numId="11" w16cid:durableId="2981912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38A0"/>
    <w:rsid w:val="000151D9"/>
    <w:rsid w:val="0001724A"/>
    <w:rsid w:val="00021C26"/>
    <w:rsid w:val="000224D1"/>
    <w:rsid w:val="0002592A"/>
    <w:rsid w:val="00030D7A"/>
    <w:rsid w:val="00032824"/>
    <w:rsid w:val="00035F36"/>
    <w:rsid w:val="000362BC"/>
    <w:rsid w:val="00042424"/>
    <w:rsid w:val="0004391F"/>
    <w:rsid w:val="00043F52"/>
    <w:rsid w:val="00046978"/>
    <w:rsid w:val="00046C30"/>
    <w:rsid w:val="000632BE"/>
    <w:rsid w:val="00067857"/>
    <w:rsid w:val="0007478C"/>
    <w:rsid w:val="000826AC"/>
    <w:rsid w:val="000849C2"/>
    <w:rsid w:val="00095D0D"/>
    <w:rsid w:val="000A37B9"/>
    <w:rsid w:val="000B1222"/>
    <w:rsid w:val="000C3AB5"/>
    <w:rsid w:val="000D365C"/>
    <w:rsid w:val="000D5717"/>
    <w:rsid w:val="0011576E"/>
    <w:rsid w:val="00115BD1"/>
    <w:rsid w:val="00144318"/>
    <w:rsid w:val="00145263"/>
    <w:rsid w:val="0015502A"/>
    <w:rsid w:val="00156119"/>
    <w:rsid w:val="00171112"/>
    <w:rsid w:val="001852F6"/>
    <w:rsid w:val="001872F5"/>
    <w:rsid w:val="001929C0"/>
    <w:rsid w:val="00196752"/>
    <w:rsid w:val="001969B4"/>
    <w:rsid w:val="00197D23"/>
    <w:rsid w:val="001A160A"/>
    <w:rsid w:val="001A46C8"/>
    <w:rsid w:val="001E0042"/>
    <w:rsid w:val="001E172B"/>
    <w:rsid w:val="001F5C85"/>
    <w:rsid w:val="001F792D"/>
    <w:rsid w:val="0020207F"/>
    <w:rsid w:val="002100BE"/>
    <w:rsid w:val="002122E1"/>
    <w:rsid w:val="0022130A"/>
    <w:rsid w:val="00224DDE"/>
    <w:rsid w:val="00232D20"/>
    <w:rsid w:val="002540D1"/>
    <w:rsid w:val="00257E30"/>
    <w:rsid w:val="00262E44"/>
    <w:rsid w:val="00270E4A"/>
    <w:rsid w:val="00282EBA"/>
    <w:rsid w:val="00283C46"/>
    <w:rsid w:val="00284A5B"/>
    <w:rsid w:val="002A4816"/>
    <w:rsid w:val="002B7681"/>
    <w:rsid w:val="002D2BDC"/>
    <w:rsid w:val="002D75FE"/>
    <w:rsid w:val="002E3F28"/>
    <w:rsid w:val="002E74A1"/>
    <w:rsid w:val="002F6D36"/>
    <w:rsid w:val="002F7A47"/>
    <w:rsid w:val="002F7EE2"/>
    <w:rsid w:val="0033139F"/>
    <w:rsid w:val="00344606"/>
    <w:rsid w:val="0036018A"/>
    <w:rsid w:val="003668DC"/>
    <w:rsid w:val="00367A0A"/>
    <w:rsid w:val="00375FD4"/>
    <w:rsid w:val="003835AD"/>
    <w:rsid w:val="0038520E"/>
    <w:rsid w:val="00392698"/>
    <w:rsid w:val="0039313F"/>
    <w:rsid w:val="003A38A0"/>
    <w:rsid w:val="003D04B3"/>
    <w:rsid w:val="003D7759"/>
    <w:rsid w:val="003E1A7F"/>
    <w:rsid w:val="003E3D60"/>
    <w:rsid w:val="00416FA1"/>
    <w:rsid w:val="00424EF6"/>
    <w:rsid w:val="00426D77"/>
    <w:rsid w:val="00434AE1"/>
    <w:rsid w:val="0044056A"/>
    <w:rsid w:val="0044205C"/>
    <w:rsid w:val="00442EBE"/>
    <w:rsid w:val="00446B76"/>
    <w:rsid w:val="00467A4D"/>
    <w:rsid w:val="00470539"/>
    <w:rsid w:val="0047590B"/>
    <w:rsid w:val="00477522"/>
    <w:rsid w:val="004A7469"/>
    <w:rsid w:val="004D2F5E"/>
    <w:rsid w:val="004D31BD"/>
    <w:rsid w:val="004D7533"/>
    <w:rsid w:val="004E371D"/>
    <w:rsid w:val="004E4456"/>
    <w:rsid w:val="004F0324"/>
    <w:rsid w:val="004F5CEC"/>
    <w:rsid w:val="00517EB3"/>
    <w:rsid w:val="00544F13"/>
    <w:rsid w:val="00564C55"/>
    <w:rsid w:val="005661BB"/>
    <w:rsid w:val="00567F43"/>
    <w:rsid w:val="00573F0C"/>
    <w:rsid w:val="005908CA"/>
    <w:rsid w:val="005A3C6A"/>
    <w:rsid w:val="005B7062"/>
    <w:rsid w:val="005D15BC"/>
    <w:rsid w:val="005D6DD5"/>
    <w:rsid w:val="005D7DB6"/>
    <w:rsid w:val="005E5056"/>
    <w:rsid w:val="005F34A4"/>
    <w:rsid w:val="005F3A37"/>
    <w:rsid w:val="006145A8"/>
    <w:rsid w:val="006241CB"/>
    <w:rsid w:val="0062614A"/>
    <w:rsid w:val="006347F4"/>
    <w:rsid w:val="00644634"/>
    <w:rsid w:val="00644C67"/>
    <w:rsid w:val="0066031D"/>
    <w:rsid w:val="00664885"/>
    <w:rsid w:val="00665E46"/>
    <w:rsid w:val="0067387B"/>
    <w:rsid w:val="00675D6E"/>
    <w:rsid w:val="00693B96"/>
    <w:rsid w:val="006A25F5"/>
    <w:rsid w:val="006A6118"/>
    <w:rsid w:val="006A7728"/>
    <w:rsid w:val="006B518D"/>
    <w:rsid w:val="006C4953"/>
    <w:rsid w:val="006D7B87"/>
    <w:rsid w:val="006F2BBC"/>
    <w:rsid w:val="00701532"/>
    <w:rsid w:val="00710D83"/>
    <w:rsid w:val="007120CA"/>
    <w:rsid w:val="00715239"/>
    <w:rsid w:val="0071718F"/>
    <w:rsid w:val="00725D81"/>
    <w:rsid w:val="007342EF"/>
    <w:rsid w:val="007378DC"/>
    <w:rsid w:val="00741D92"/>
    <w:rsid w:val="0075043A"/>
    <w:rsid w:val="007631AE"/>
    <w:rsid w:val="0076578D"/>
    <w:rsid w:val="00767DCB"/>
    <w:rsid w:val="007724DF"/>
    <w:rsid w:val="00776663"/>
    <w:rsid w:val="007818B6"/>
    <w:rsid w:val="007839AC"/>
    <w:rsid w:val="007869C0"/>
    <w:rsid w:val="00786E60"/>
    <w:rsid w:val="007926CE"/>
    <w:rsid w:val="007A3A9C"/>
    <w:rsid w:val="007B0B7C"/>
    <w:rsid w:val="007B1862"/>
    <w:rsid w:val="007C629B"/>
    <w:rsid w:val="007D068F"/>
    <w:rsid w:val="007E7828"/>
    <w:rsid w:val="007F1688"/>
    <w:rsid w:val="007F4819"/>
    <w:rsid w:val="007F4A6A"/>
    <w:rsid w:val="007F6193"/>
    <w:rsid w:val="007F7EAD"/>
    <w:rsid w:val="00804B5B"/>
    <w:rsid w:val="0080720C"/>
    <w:rsid w:val="00825295"/>
    <w:rsid w:val="00833F2A"/>
    <w:rsid w:val="00835196"/>
    <w:rsid w:val="008446FB"/>
    <w:rsid w:val="008568D2"/>
    <w:rsid w:val="00864FCB"/>
    <w:rsid w:val="00871B3A"/>
    <w:rsid w:val="00873147"/>
    <w:rsid w:val="00875D0E"/>
    <w:rsid w:val="008A73E3"/>
    <w:rsid w:val="008B33F3"/>
    <w:rsid w:val="008B3A6A"/>
    <w:rsid w:val="008C5593"/>
    <w:rsid w:val="008C5BD4"/>
    <w:rsid w:val="008E3F9F"/>
    <w:rsid w:val="008E7F9E"/>
    <w:rsid w:val="008F10D2"/>
    <w:rsid w:val="0091466B"/>
    <w:rsid w:val="00922D59"/>
    <w:rsid w:val="00923186"/>
    <w:rsid w:val="00924C96"/>
    <w:rsid w:val="00936C6E"/>
    <w:rsid w:val="009370C2"/>
    <w:rsid w:val="00943266"/>
    <w:rsid w:val="00947501"/>
    <w:rsid w:val="009579AF"/>
    <w:rsid w:val="00961830"/>
    <w:rsid w:val="00962D7C"/>
    <w:rsid w:val="00964EE5"/>
    <w:rsid w:val="0096500D"/>
    <w:rsid w:val="009663E5"/>
    <w:rsid w:val="009766D6"/>
    <w:rsid w:val="009808EA"/>
    <w:rsid w:val="0098309C"/>
    <w:rsid w:val="009915A6"/>
    <w:rsid w:val="00997415"/>
    <w:rsid w:val="009B47BC"/>
    <w:rsid w:val="009B6348"/>
    <w:rsid w:val="009D22E0"/>
    <w:rsid w:val="009D2892"/>
    <w:rsid w:val="009D2E53"/>
    <w:rsid w:val="009D7F87"/>
    <w:rsid w:val="009F2456"/>
    <w:rsid w:val="009F30DA"/>
    <w:rsid w:val="009F62A1"/>
    <w:rsid w:val="009F7340"/>
    <w:rsid w:val="00A04A85"/>
    <w:rsid w:val="00A1659A"/>
    <w:rsid w:val="00A211DE"/>
    <w:rsid w:val="00A261B2"/>
    <w:rsid w:val="00A476DB"/>
    <w:rsid w:val="00A47CAC"/>
    <w:rsid w:val="00A51078"/>
    <w:rsid w:val="00A528BB"/>
    <w:rsid w:val="00A535DA"/>
    <w:rsid w:val="00A53F07"/>
    <w:rsid w:val="00A6035F"/>
    <w:rsid w:val="00A63AC8"/>
    <w:rsid w:val="00A739BC"/>
    <w:rsid w:val="00A75479"/>
    <w:rsid w:val="00A77B43"/>
    <w:rsid w:val="00A95CC2"/>
    <w:rsid w:val="00AA5141"/>
    <w:rsid w:val="00AA5452"/>
    <w:rsid w:val="00AB1171"/>
    <w:rsid w:val="00AB1E36"/>
    <w:rsid w:val="00AB2F7B"/>
    <w:rsid w:val="00AB3674"/>
    <w:rsid w:val="00AB7FC8"/>
    <w:rsid w:val="00AC2AED"/>
    <w:rsid w:val="00AC680E"/>
    <w:rsid w:val="00AD2ACA"/>
    <w:rsid w:val="00B11932"/>
    <w:rsid w:val="00B11EEB"/>
    <w:rsid w:val="00B334E9"/>
    <w:rsid w:val="00B34F53"/>
    <w:rsid w:val="00B370F4"/>
    <w:rsid w:val="00B460B2"/>
    <w:rsid w:val="00B47442"/>
    <w:rsid w:val="00B50E25"/>
    <w:rsid w:val="00B579CD"/>
    <w:rsid w:val="00B57A2F"/>
    <w:rsid w:val="00B603BF"/>
    <w:rsid w:val="00B709C0"/>
    <w:rsid w:val="00B80663"/>
    <w:rsid w:val="00B81B1D"/>
    <w:rsid w:val="00B830DB"/>
    <w:rsid w:val="00B90BCD"/>
    <w:rsid w:val="00BA064F"/>
    <w:rsid w:val="00BA3842"/>
    <w:rsid w:val="00BA398F"/>
    <w:rsid w:val="00BC6015"/>
    <w:rsid w:val="00BD5D44"/>
    <w:rsid w:val="00BF73F6"/>
    <w:rsid w:val="00C426B7"/>
    <w:rsid w:val="00C454AE"/>
    <w:rsid w:val="00C510AF"/>
    <w:rsid w:val="00C54B94"/>
    <w:rsid w:val="00C72A9A"/>
    <w:rsid w:val="00C908A6"/>
    <w:rsid w:val="00CA1F5B"/>
    <w:rsid w:val="00CB0061"/>
    <w:rsid w:val="00CB37DF"/>
    <w:rsid w:val="00CB469A"/>
    <w:rsid w:val="00CB6BCF"/>
    <w:rsid w:val="00CC0AFC"/>
    <w:rsid w:val="00CC2CA9"/>
    <w:rsid w:val="00CD0DDB"/>
    <w:rsid w:val="00CD64AE"/>
    <w:rsid w:val="00CF22A3"/>
    <w:rsid w:val="00D01608"/>
    <w:rsid w:val="00D06186"/>
    <w:rsid w:val="00D15FDF"/>
    <w:rsid w:val="00D16214"/>
    <w:rsid w:val="00D20DE3"/>
    <w:rsid w:val="00D21B6B"/>
    <w:rsid w:val="00D241DE"/>
    <w:rsid w:val="00D24FB2"/>
    <w:rsid w:val="00D3274F"/>
    <w:rsid w:val="00D33F95"/>
    <w:rsid w:val="00D35904"/>
    <w:rsid w:val="00D45E65"/>
    <w:rsid w:val="00D508E9"/>
    <w:rsid w:val="00D52CF0"/>
    <w:rsid w:val="00D57140"/>
    <w:rsid w:val="00D63796"/>
    <w:rsid w:val="00D63ED2"/>
    <w:rsid w:val="00D64F70"/>
    <w:rsid w:val="00D7378E"/>
    <w:rsid w:val="00D80880"/>
    <w:rsid w:val="00D8466E"/>
    <w:rsid w:val="00D95228"/>
    <w:rsid w:val="00DA689D"/>
    <w:rsid w:val="00DC62F5"/>
    <w:rsid w:val="00DD2329"/>
    <w:rsid w:val="00DD6922"/>
    <w:rsid w:val="00DE3E27"/>
    <w:rsid w:val="00DE5E46"/>
    <w:rsid w:val="00DE76D7"/>
    <w:rsid w:val="00DF6062"/>
    <w:rsid w:val="00DF714A"/>
    <w:rsid w:val="00E02853"/>
    <w:rsid w:val="00E205B7"/>
    <w:rsid w:val="00E232CB"/>
    <w:rsid w:val="00E24025"/>
    <w:rsid w:val="00E31EAA"/>
    <w:rsid w:val="00E37D73"/>
    <w:rsid w:val="00E54EFE"/>
    <w:rsid w:val="00E643B8"/>
    <w:rsid w:val="00E7227F"/>
    <w:rsid w:val="00E86607"/>
    <w:rsid w:val="00E9470C"/>
    <w:rsid w:val="00EA10A6"/>
    <w:rsid w:val="00EB59D6"/>
    <w:rsid w:val="00EC76B1"/>
    <w:rsid w:val="00ED0DA0"/>
    <w:rsid w:val="00ED37B6"/>
    <w:rsid w:val="00EE2905"/>
    <w:rsid w:val="00F00A73"/>
    <w:rsid w:val="00F06A14"/>
    <w:rsid w:val="00F12ED3"/>
    <w:rsid w:val="00F16295"/>
    <w:rsid w:val="00F257F5"/>
    <w:rsid w:val="00F27764"/>
    <w:rsid w:val="00F46BFE"/>
    <w:rsid w:val="00F5018D"/>
    <w:rsid w:val="00F5079C"/>
    <w:rsid w:val="00F52ADF"/>
    <w:rsid w:val="00F52E04"/>
    <w:rsid w:val="00F67F1E"/>
    <w:rsid w:val="00F713C4"/>
    <w:rsid w:val="00F8348B"/>
    <w:rsid w:val="00F91C72"/>
    <w:rsid w:val="00F94DFF"/>
    <w:rsid w:val="00FA1152"/>
    <w:rsid w:val="00FA2B6E"/>
    <w:rsid w:val="00FB5A21"/>
    <w:rsid w:val="00FC14CC"/>
    <w:rsid w:val="00FC22CF"/>
    <w:rsid w:val="00FD060F"/>
    <w:rsid w:val="00FD2B6E"/>
    <w:rsid w:val="00FE7978"/>
    <w:rsid w:val="00FF288D"/>
  </w:rsids>
  <m:mathPr>
    <m:mathFont m:val="Cambria Math"/>
    <m:brkBin m:val="before"/>
    <m:brkBinSub m:val="--"/>
    <m:smallFrac m:val="0"/>
    <m:dispDef/>
    <m:lMargin m:val="0"/>
    <m:rMargin m:val="0"/>
    <m:defJc m:val="centerGroup"/>
    <m:wrapIndent m:val="1440"/>
    <m:intLim m:val="subSup"/>
    <m:naryLim m:val="undOvr"/>
  </m:mathPr>
  <w:themeFontLang w:val="is-I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D1BDC"/>
  <w15:docId w15:val="{594E0E80-C56F-4158-B60D-5C846531B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s-I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2EBE"/>
  </w:style>
  <w:style w:type="paragraph" w:styleId="Heading2">
    <w:name w:val="heading 2"/>
    <w:basedOn w:val="Normal"/>
    <w:next w:val="Normal"/>
    <w:link w:val="Heading2Char"/>
    <w:uiPriority w:val="9"/>
    <w:unhideWhenUsed/>
    <w:qFormat/>
    <w:rsid w:val="007F6193"/>
    <w:pPr>
      <w:keepNext/>
      <w:keepLines/>
      <w:spacing w:before="40" w:after="0"/>
      <w:outlineLvl w:val="1"/>
    </w:pPr>
    <w:rPr>
      <w:rFonts w:asciiTheme="majorHAnsi" w:eastAsiaTheme="majorEastAsia" w:hAnsiTheme="majorHAnsi" w:cstheme="majorBidi"/>
      <w:sz w:val="26"/>
      <w:szCs w:val="26"/>
    </w:rPr>
  </w:style>
  <w:style w:type="paragraph" w:styleId="Heading3">
    <w:name w:val="heading 3"/>
    <w:basedOn w:val="Normal"/>
    <w:next w:val="Normal"/>
    <w:link w:val="Heading3Char"/>
    <w:uiPriority w:val="9"/>
    <w:unhideWhenUsed/>
    <w:qFormat/>
    <w:rsid w:val="00D9522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5904"/>
    <w:pPr>
      <w:tabs>
        <w:tab w:val="center" w:pos="4536"/>
        <w:tab w:val="right" w:pos="9072"/>
      </w:tabs>
      <w:spacing w:after="0" w:line="240" w:lineRule="auto"/>
    </w:pPr>
  </w:style>
  <w:style w:type="character" w:customStyle="1" w:styleId="HeaderChar">
    <w:name w:val="Header Char"/>
    <w:basedOn w:val="DefaultParagraphFont"/>
    <w:link w:val="Header"/>
    <w:uiPriority w:val="99"/>
    <w:rsid w:val="00D35904"/>
  </w:style>
  <w:style w:type="paragraph" w:styleId="Footer">
    <w:name w:val="footer"/>
    <w:basedOn w:val="Normal"/>
    <w:link w:val="FooterChar"/>
    <w:uiPriority w:val="99"/>
    <w:unhideWhenUsed/>
    <w:rsid w:val="00D35904"/>
    <w:pPr>
      <w:tabs>
        <w:tab w:val="center" w:pos="4536"/>
        <w:tab w:val="right" w:pos="9072"/>
      </w:tabs>
      <w:spacing w:after="0" w:line="240" w:lineRule="auto"/>
    </w:pPr>
  </w:style>
  <w:style w:type="character" w:customStyle="1" w:styleId="FooterChar">
    <w:name w:val="Footer Char"/>
    <w:basedOn w:val="DefaultParagraphFont"/>
    <w:link w:val="Footer"/>
    <w:uiPriority w:val="99"/>
    <w:rsid w:val="00D35904"/>
  </w:style>
  <w:style w:type="paragraph" w:styleId="ListParagraph">
    <w:name w:val="List Paragraph"/>
    <w:basedOn w:val="Normal"/>
    <w:uiPriority w:val="34"/>
    <w:qFormat/>
    <w:rsid w:val="00D35904"/>
    <w:pPr>
      <w:ind w:left="720"/>
      <w:contextualSpacing/>
    </w:pPr>
  </w:style>
  <w:style w:type="character" w:customStyle="1" w:styleId="Heading2Char">
    <w:name w:val="Heading 2 Char"/>
    <w:basedOn w:val="DefaultParagraphFont"/>
    <w:link w:val="Heading2"/>
    <w:uiPriority w:val="9"/>
    <w:rsid w:val="007F6193"/>
    <w:rPr>
      <w:rFonts w:asciiTheme="majorHAnsi" w:eastAsiaTheme="majorEastAsia" w:hAnsiTheme="majorHAnsi" w:cstheme="majorBidi"/>
      <w:sz w:val="26"/>
      <w:szCs w:val="26"/>
    </w:rPr>
  </w:style>
  <w:style w:type="character" w:customStyle="1" w:styleId="Heading3Char">
    <w:name w:val="Heading 3 Char"/>
    <w:basedOn w:val="DefaultParagraphFont"/>
    <w:link w:val="Heading3"/>
    <w:uiPriority w:val="9"/>
    <w:rsid w:val="00D95228"/>
    <w:rPr>
      <w:rFonts w:asciiTheme="majorHAnsi" w:eastAsiaTheme="majorEastAsia" w:hAnsiTheme="majorHAnsi" w:cstheme="majorBidi"/>
      <w:color w:val="1F4D78" w:themeColor="accent1" w:themeShade="7F"/>
      <w:sz w:val="24"/>
      <w:szCs w:val="24"/>
    </w:rPr>
  </w:style>
  <w:style w:type="paragraph" w:styleId="BalloonText">
    <w:name w:val="Balloon Text"/>
    <w:basedOn w:val="Normal"/>
    <w:link w:val="BalloonTextChar"/>
    <w:uiPriority w:val="99"/>
    <w:semiHidden/>
    <w:unhideWhenUsed/>
    <w:rsid w:val="00A53F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F07"/>
    <w:rPr>
      <w:rFonts w:ascii="Segoe UI" w:hAnsi="Segoe UI" w:cs="Segoe UI"/>
      <w:sz w:val="18"/>
      <w:szCs w:val="18"/>
    </w:rPr>
  </w:style>
  <w:style w:type="character" w:styleId="CommentReference">
    <w:name w:val="annotation reference"/>
    <w:basedOn w:val="DefaultParagraphFont"/>
    <w:uiPriority w:val="99"/>
    <w:semiHidden/>
    <w:unhideWhenUsed/>
    <w:rsid w:val="00DD6922"/>
    <w:rPr>
      <w:sz w:val="16"/>
      <w:szCs w:val="16"/>
    </w:rPr>
  </w:style>
  <w:style w:type="paragraph" w:styleId="CommentText">
    <w:name w:val="annotation text"/>
    <w:basedOn w:val="Normal"/>
    <w:link w:val="CommentTextChar"/>
    <w:uiPriority w:val="99"/>
    <w:unhideWhenUsed/>
    <w:rsid w:val="00DD6922"/>
    <w:pPr>
      <w:spacing w:line="240" w:lineRule="auto"/>
    </w:pPr>
    <w:rPr>
      <w:sz w:val="20"/>
      <w:szCs w:val="20"/>
    </w:rPr>
  </w:style>
  <w:style w:type="character" w:customStyle="1" w:styleId="CommentTextChar">
    <w:name w:val="Comment Text Char"/>
    <w:basedOn w:val="DefaultParagraphFont"/>
    <w:link w:val="CommentText"/>
    <w:uiPriority w:val="99"/>
    <w:rsid w:val="00DD6922"/>
    <w:rPr>
      <w:sz w:val="20"/>
      <w:szCs w:val="20"/>
    </w:rPr>
  </w:style>
  <w:style w:type="paragraph" w:styleId="CommentSubject">
    <w:name w:val="annotation subject"/>
    <w:basedOn w:val="CommentText"/>
    <w:next w:val="CommentText"/>
    <w:link w:val="CommentSubjectChar"/>
    <w:uiPriority w:val="99"/>
    <w:semiHidden/>
    <w:unhideWhenUsed/>
    <w:rsid w:val="00DD6922"/>
    <w:rPr>
      <w:b/>
      <w:bCs/>
    </w:rPr>
  </w:style>
  <w:style w:type="character" w:customStyle="1" w:styleId="CommentSubjectChar">
    <w:name w:val="Comment Subject Char"/>
    <w:basedOn w:val="CommentTextChar"/>
    <w:link w:val="CommentSubject"/>
    <w:uiPriority w:val="99"/>
    <w:semiHidden/>
    <w:rsid w:val="00DD6922"/>
    <w:rPr>
      <w:b/>
      <w:bCs/>
      <w:sz w:val="20"/>
      <w:szCs w:val="20"/>
    </w:rPr>
  </w:style>
  <w:style w:type="paragraph" w:styleId="FootnoteText">
    <w:name w:val="footnote text"/>
    <w:basedOn w:val="Normal"/>
    <w:link w:val="FootnoteTextChar"/>
    <w:uiPriority w:val="99"/>
    <w:semiHidden/>
    <w:unhideWhenUsed/>
    <w:rsid w:val="00AB117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B1171"/>
    <w:rPr>
      <w:sz w:val="20"/>
      <w:szCs w:val="20"/>
    </w:rPr>
  </w:style>
  <w:style w:type="character" w:styleId="FootnoteReference">
    <w:name w:val="footnote reference"/>
    <w:basedOn w:val="DefaultParagraphFont"/>
    <w:uiPriority w:val="99"/>
    <w:semiHidden/>
    <w:unhideWhenUsed/>
    <w:rsid w:val="00AB1171"/>
    <w:rPr>
      <w:vertAlign w:val="superscript"/>
    </w:rPr>
  </w:style>
  <w:style w:type="character" w:styleId="Hyperlink">
    <w:name w:val="Hyperlink"/>
    <w:basedOn w:val="DefaultParagraphFont"/>
    <w:uiPriority w:val="99"/>
    <w:unhideWhenUsed/>
    <w:rsid w:val="00067857"/>
    <w:rPr>
      <w:color w:val="0563C1" w:themeColor="hyperlink"/>
      <w:u w:val="single"/>
    </w:rPr>
  </w:style>
  <w:style w:type="character" w:styleId="UnresolvedMention">
    <w:name w:val="Unresolved Mention"/>
    <w:basedOn w:val="DefaultParagraphFont"/>
    <w:uiPriority w:val="99"/>
    <w:semiHidden/>
    <w:unhideWhenUsed/>
    <w:rsid w:val="00067857"/>
    <w:rPr>
      <w:color w:val="605E5C"/>
      <w:shd w:val="clear" w:color="auto" w:fill="E1DFDD"/>
    </w:rPr>
  </w:style>
  <w:style w:type="paragraph" w:styleId="Revision">
    <w:name w:val="Revision"/>
    <w:hidden/>
    <w:uiPriority w:val="99"/>
    <w:semiHidden/>
    <w:rsid w:val="00964EE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6185971">
      <w:bodyDiv w:val="1"/>
      <w:marLeft w:val="0"/>
      <w:marRight w:val="0"/>
      <w:marTop w:val="0"/>
      <w:marBottom w:val="0"/>
      <w:divBdr>
        <w:top w:val="none" w:sz="0" w:space="0" w:color="auto"/>
        <w:left w:val="none" w:sz="0" w:space="0" w:color="auto"/>
        <w:bottom w:val="none" w:sz="0" w:space="0" w:color="auto"/>
        <w:right w:val="none" w:sz="0" w:space="0" w:color="auto"/>
      </w:divBdr>
    </w:div>
    <w:div w:id="346951011">
      <w:bodyDiv w:val="1"/>
      <w:marLeft w:val="0"/>
      <w:marRight w:val="0"/>
      <w:marTop w:val="0"/>
      <w:marBottom w:val="0"/>
      <w:divBdr>
        <w:top w:val="none" w:sz="0" w:space="0" w:color="auto"/>
        <w:left w:val="none" w:sz="0" w:space="0" w:color="auto"/>
        <w:bottom w:val="none" w:sz="0" w:space="0" w:color="auto"/>
        <w:right w:val="none" w:sz="0" w:space="0" w:color="auto"/>
      </w:divBdr>
    </w:div>
    <w:div w:id="965355010">
      <w:bodyDiv w:val="1"/>
      <w:marLeft w:val="0"/>
      <w:marRight w:val="0"/>
      <w:marTop w:val="0"/>
      <w:marBottom w:val="0"/>
      <w:divBdr>
        <w:top w:val="none" w:sz="0" w:space="0" w:color="auto"/>
        <w:left w:val="none" w:sz="0" w:space="0" w:color="auto"/>
        <w:bottom w:val="none" w:sz="0" w:space="0" w:color="auto"/>
        <w:right w:val="none" w:sz="0" w:space="0" w:color="auto"/>
      </w:divBdr>
    </w:div>
    <w:div w:id="992560313">
      <w:bodyDiv w:val="1"/>
      <w:marLeft w:val="0"/>
      <w:marRight w:val="0"/>
      <w:marTop w:val="0"/>
      <w:marBottom w:val="0"/>
      <w:divBdr>
        <w:top w:val="none" w:sz="0" w:space="0" w:color="auto"/>
        <w:left w:val="none" w:sz="0" w:space="0" w:color="auto"/>
        <w:bottom w:val="none" w:sz="0" w:space="0" w:color="auto"/>
        <w:right w:val="none" w:sz="0" w:space="0" w:color="auto"/>
      </w:divBdr>
    </w:div>
    <w:div w:id="1589851934">
      <w:bodyDiv w:val="1"/>
      <w:marLeft w:val="0"/>
      <w:marRight w:val="0"/>
      <w:marTop w:val="0"/>
      <w:marBottom w:val="0"/>
      <w:divBdr>
        <w:top w:val="none" w:sz="0" w:space="0" w:color="auto"/>
        <w:left w:val="none" w:sz="0" w:space="0" w:color="auto"/>
        <w:bottom w:val="none" w:sz="0" w:space="0" w:color="auto"/>
        <w:right w:val="none" w:sz="0" w:space="0" w:color="auto"/>
      </w:divBdr>
    </w:div>
    <w:div w:id="1680229378">
      <w:bodyDiv w:val="1"/>
      <w:marLeft w:val="0"/>
      <w:marRight w:val="0"/>
      <w:marTop w:val="0"/>
      <w:marBottom w:val="0"/>
      <w:divBdr>
        <w:top w:val="none" w:sz="0" w:space="0" w:color="auto"/>
        <w:left w:val="none" w:sz="0" w:space="0" w:color="auto"/>
        <w:bottom w:val="none" w:sz="0" w:space="0" w:color="auto"/>
        <w:right w:val="none" w:sz="0" w:space="0" w:color="auto"/>
      </w:divBdr>
    </w:div>
    <w:div w:id="1943032088">
      <w:bodyDiv w:val="1"/>
      <w:marLeft w:val="0"/>
      <w:marRight w:val="0"/>
      <w:marTop w:val="0"/>
      <w:marBottom w:val="0"/>
      <w:divBdr>
        <w:top w:val="none" w:sz="0" w:space="0" w:color="auto"/>
        <w:left w:val="none" w:sz="0" w:space="0" w:color="auto"/>
        <w:bottom w:val="none" w:sz="0" w:space="0" w:color="auto"/>
        <w:right w:val="none" w:sz="0" w:space="0" w:color="auto"/>
      </w:divBdr>
    </w:div>
    <w:div w:id="1981496738">
      <w:bodyDiv w:val="1"/>
      <w:marLeft w:val="0"/>
      <w:marRight w:val="0"/>
      <w:marTop w:val="0"/>
      <w:marBottom w:val="0"/>
      <w:divBdr>
        <w:top w:val="none" w:sz="0" w:space="0" w:color="auto"/>
        <w:left w:val="none" w:sz="0" w:space="0" w:color="auto"/>
        <w:bottom w:val="none" w:sz="0" w:space="0" w:color="auto"/>
        <w:right w:val="none" w:sz="0" w:space="0" w:color="auto"/>
      </w:divBdr>
    </w:div>
    <w:div w:id="2064400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2A952B1727234448425454CE5C2A863" ma:contentTypeVersion="10" ma:contentTypeDescription="Create a new document." ma:contentTypeScope="" ma:versionID="6aee8da75b78158368f8f4a81664d87f">
  <xsd:schema xmlns:xsd="http://www.w3.org/2001/XMLSchema" xmlns:xs="http://www.w3.org/2001/XMLSchema" xmlns:p="http://schemas.microsoft.com/office/2006/metadata/properties" xmlns:ns2="9ada5336-4c4a-439b-bda8-00f91a357646" xmlns:ns3="ea4538a4-e47b-4557-9dd8-5754fe39773e" targetNamespace="http://schemas.microsoft.com/office/2006/metadata/properties" ma:root="true" ma:fieldsID="c9eba3653426d823fb6ed00a37fdc38b" ns2:_="" ns3:_="">
    <xsd:import namespace="9ada5336-4c4a-439b-bda8-00f91a357646"/>
    <xsd:import namespace="ea4538a4-e47b-4557-9dd8-5754fe39773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EventHashCode" minOccurs="0"/>
                <xsd:element ref="ns3: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da5336-4c4a-439b-bda8-00f91a35764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a4538a4-e47b-4557-9dd8-5754fe39773e"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7B6203E-E8E7-4FC5-A451-3D79F91D869A}">
  <ds:schemaRefs>
    <ds:schemaRef ds:uri="http://schemas.openxmlformats.org/officeDocument/2006/bibliography"/>
  </ds:schemaRefs>
</ds:datastoreItem>
</file>

<file path=customXml/itemProps2.xml><?xml version="1.0" encoding="utf-8"?>
<ds:datastoreItem xmlns:ds="http://schemas.openxmlformats.org/officeDocument/2006/customXml" ds:itemID="{6815B4DF-25E8-4BFC-AF8A-C59F394B6A75}">
  <ds:schemaRefs>
    <ds:schemaRef ds:uri="http://schemas.microsoft.com/sharepoint/v3/contenttype/forms"/>
  </ds:schemaRefs>
</ds:datastoreItem>
</file>

<file path=customXml/itemProps3.xml><?xml version="1.0" encoding="utf-8"?>
<ds:datastoreItem xmlns:ds="http://schemas.openxmlformats.org/officeDocument/2006/customXml" ds:itemID="{77CB6EEB-68AE-41B6-A7AC-52957FCACB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da5336-4c4a-439b-bda8-00f91a357646"/>
    <ds:schemaRef ds:uri="ea4538a4-e47b-4557-9dd8-5754fe3977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1832420-C575-4A00-A183-91E05E4B879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648</Words>
  <Characters>3694</Characters>
  <Application>Microsoft Office Word</Application>
  <DocSecurity>4</DocSecurity>
  <Lines>30</Lines>
  <Paragraphs>8</Paragraphs>
  <ScaleCrop>false</ScaleCrop>
  <HeadingPairs>
    <vt:vector size="4" baseType="variant">
      <vt:variant>
        <vt:lpstr>Title</vt:lpstr>
      </vt:variant>
      <vt:variant>
        <vt:i4>1</vt:i4>
      </vt:variant>
      <vt:variant>
        <vt:lpstr>Titill</vt:lpstr>
      </vt:variant>
      <vt:variant>
        <vt:i4>1</vt:i4>
      </vt:variant>
    </vt:vector>
  </HeadingPairs>
  <TitlesOfParts>
    <vt:vector size="2" baseType="lpstr">
      <vt:lpstr/>
      <vt:lpstr/>
    </vt:vector>
  </TitlesOfParts>
  <Company>Microsoft</Company>
  <LinksUpToDate>false</LinksUpToDate>
  <CharactersWithSpaces>4334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Einar Farestveit</dc:creator>
  <cp:lastModifiedBy>Ingimar Ingason</cp:lastModifiedBy>
  <cp:revision>2</cp:revision>
  <cp:lastPrinted>2023-02-23T10:48:00Z</cp:lastPrinted>
  <dcterms:created xsi:type="dcterms:W3CDTF">2023-02-23T15:21:00Z</dcterms:created>
  <dcterms:modified xsi:type="dcterms:W3CDTF">2023-02-23T15:21:00Z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0x01010012A952B1727234448425454CE5C2A863</vt:lpwstr>
  </property>
</Properties>
</file>