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9F5B53" w:rsidRPr="004B6CC6" w14:paraId="4A20EC78"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175A41C7" w14:textId="77777777" w:rsidR="009F5B53" w:rsidRPr="004B6CC6" w:rsidRDefault="009F5B53" w:rsidP="00DA27FF">
            <w:pPr>
              <w:spacing w:before="120" w:after="120"/>
              <w:jc w:val="center"/>
              <w:rPr>
                <w:rFonts w:ascii="Times New Roman" w:hAnsi="Times New Roman"/>
                <w:b/>
                <w:sz w:val="32"/>
                <w:szCs w:val="32"/>
                <w:lang w:val="is-IS"/>
              </w:rPr>
            </w:pPr>
            <w:bookmarkStart w:id="0" w:name="_Hlk10550211"/>
            <w:r w:rsidRPr="004B6CC6">
              <w:rPr>
                <w:rFonts w:ascii="Times New Roman" w:hAnsi="Times New Roman"/>
                <w:i/>
                <w:noProof/>
              </w:rPr>
              <w:drawing>
                <wp:inline distT="0" distB="0" distL="0" distR="0" wp14:anchorId="2B5CB228" wp14:editId="1E2B66F3">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C9A26E3" w14:textId="77777777" w:rsidR="009F5B53" w:rsidRPr="004B6CC6" w:rsidRDefault="009F5B53" w:rsidP="0012646E">
            <w:pPr>
              <w:spacing w:before="400" w:after="120"/>
              <w:rPr>
                <w:rFonts w:ascii="Times New Roman" w:hAnsi="Times New Roman"/>
                <w:b/>
                <w:sz w:val="32"/>
                <w:szCs w:val="32"/>
                <w:lang w:val="is-IS"/>
              </w:rPr>
            </w:pPr>
            <w:r w:rsidRPr="004B6CC6">
              <w:rPr>
                <w:rFonts w:ascii="Times New Roman" w:hAnsi="Times New Roman"/>
                <w:b/>
                <w:sz w:val="32"/>
                <w:szCs w:val="32"/>
                <w:lang w:val="is-IS"/>
              </w:rPr>
              <w:t xml:space="preserve">      MAT Á ÁHRIFUM LAGASETNINGAR*</w:t>
            </w:r>
          </w:p>
          <w:p w14:paraId="40D2CA20" w14:textId="77777777" w:rsidR="009F5B53" w:rsidRPr="004B6CC6" w:rsidRDefault="009F5B53" w:rsidP="00F33A33">
            <w:pPr>
              <w:spacing w:before="120" w:after="60"/>
              <w:rPr>
                <w:rFonts w:ascii="Times New Roman" w:hAnsi="Times New Roman"/>
                <w:i/>
                <w:lang w:val="is-IS"/>
              </w:rPr>
            </w:pPr>
            <w:r w:rsidRPr="004B6CC6">
              <w:rPr>
                <w:rFonts w:ascii="Times New Roman" w:hAnsi="Times New Roman"/>
                <w:i/>
                <w:lang w:val="is-IS"/>
              </w:rPr>
              <w:t xml:space="preserve">                   – sbr. samþykkt ríkisstjórnar frá 10. mars 2017</w:t>
            </w:r>
          </w:p>
          <w:p w14:paraId="71A10A9C" w14:textId="77777777" w:rsidR="009F5B53" w:rsidRPr="004B6CC6" w:rsidRDefault="009F5B53" w:rsidP="00F33A33">
            <w:pPr>
              <w:spacing w:before="60" w:after="60"/>
              <w:rPr>
                <w:rFonts w:ascii="Times New Roman" w:hAnsi="Times New Roman"/>
                <w:i/>
                <w:lang w:val="is-IS"/>
              </w:rPr>
            </w:pPr>
            <w:r w:rsidRPr="004B6CC6">
              <w:rPr>
                <w:rFonts w:ascii="Times New Roman" w:hAnsi="Times New Roman"/>
                <w:b/>
                <w:sz w:val="32"/>
                <w:szCs w:val="32"/>
                <w:lang w:val="is-IS"/>
              </w:rPr>
              <w:t>*</w:t>
            </w:r>
            <w:r w:rsidRPr="004B6CC6">
              <w:rPr>
                <w:rFonts w:ascii="Times New Roman" w:hAnsi="Times New Roman"/>
                <w:sz w:val="20"/>
                <w:szCs w:val="20"/>
                <w:lang w:val="is-IS"/>
              </w:rPr>
              <w:t>umfjöllun um einstök efnisatriði misjafnlega ítarleg, eftir umfangi máls og eðli</w:t>
            </w:r>
          </w:p>
        </w:tc>
      </w:tr>
      <w:tr w:rsidR="009F5B53" w:rsidRPr="004B6CC6" w14:paraId="178F9D80"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6C1CA3B7" w14:textId="77777777" w:rsidR="009F5B53" w:rsidRPr="004B6CC6" w:rsidRDefault="009F5B53" w:rsidP="00D26ACD">
            <w:pPr>
              <w:spacing w:before="60" w:after="60"/>
              <w:jc w:val="both"/>
              <w:rPr>
                <w:rFonts w:ascii="Times New Roman" w:hAnsi="Times New Roman"/>
                <w:b/>
                <w:lang w:val="is-IS"/>
              </w:rPr>
            </w:pPr>
            <w:r w:rsidRPr="004B6CC6">
              <w:rPr>
                <w:rFonts w:ascii="Times New Roman" w:hAnsi="Times New Roman"/>
                <w:b/>
                <w:lang w:val="is-IS"/>
              </w:rPr>
              <w:t>Málsheiti og nr.</w:t>
            </w:r>
          </w:p>
        </w:tc>
        <w:sdt>
          <w:sdtPr>
            <w:rPr>
              <w:rFonts w:ascii="Times New Roman" w:hAnsi="Times New Roman"/>
            </w:rPr>
            <w:id w:val="764192880"/>
            <w:placeholder>
              <w:docPart w:val="F7CA3A14974F475AAE6CE2610A3E48DF"/>
            </w:placeholder>
          </w:sdtPr>
          <w:sdtEndPr/>
          <w:sdtContent>
            <w:tc>
              <w:tcPr>
                <w:tcW w:w="7479" w:type="dxa"/>
                <w:tcBorders>
                  <w:top w:val="single" w:sz="4" w:space="0" w:color="auto"/>
                  <w:bottom w:val="single" w:sz="4" w:space="0" w:color="auto"/>
                </w:tcBorders>
              </w:tcPr>
              <w:p w14:paraId="21C18171" w14:textId="7AE94461" w:rsidR="009F5B53" w:rsidRPr="004B6CC6" w:rsidRDefault="00027A31" w:rsidP="00D26ACD">
                <w:pPr>
                  <w:spacing w:before="60"/>
                  <w:jc w:val="both"/>
                  <w:rPr>
                    <w:rFonts w:ascii="Times New Roman" w:hAnsi="Times New Roman"/>
                    <w:lang w:val="is-IS"/>
                  </w:rPr>
                </w:pPr>
                <w:r w:rsidRPr="004B6CC6">
                  <w:rPr>
                    <w:rFonts w:ascii="Times New Roman" w:hAnsi="Times New Roman"/>
                    <w:lang w:val="is-IS"/>
                  </w:rPr>
                  <w:t>Frumvarp til laga um breytingu á lögum um fjármálafyrirtæki, nr. 161/2002 (varnarlína um</w:t>
                </w:r>
                <w:r w:rsidR="00923151" w:rsidRPr="004B6CC6">
                  <w:rPr>
                    <w:rFonts w:ascii="Times New Roman" w:hAnsi="Times New Roman"/>
                    <w:lang w:val="is-IS"/>
                  </w:rPr>
                  <w:t xml:space="preserve"> </w:t>
                </w:r>
                <w:r w:rsidRPr="004B6CC6">
                  <w:rPr>
                    <w:rFonts w:ascii="Times New Roman" w:hAnsi="Times New Roman"/>
                    <w:lang w:val="is-IS"/>
                  </w:rPr>
                  <w:t>fjárfestingarbankastarfsemi) / FJR190</w:t>
                </w:r>
                <w:r w:rsidR="004A53B7">
                  <w:rPr>
                    <w:rFonts w:ascii="Times New Roman" w:hAnsi="Times New Roman"/>
                    <w:lang w:val="is-IS"/>
                  </w:rPr>
                  <w:t>80049</w:t>
                </w:r>
              </w:p>
            </w:tc>
          </w:sdtContent>
        </w:sdt>
      </w:tr>
      <w:tr w:rsidR="009F5B53" w:rsidRPr="004B6CC6" w14:paraId="7F1E826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99FBFB" w14:textId="77777777" w:rsidR="009F5B53" w:rsidRPr="004B6CC6" w:rsidRDefault="009F5B53" w:rsidP="00D26ACD">
            <w:pPr>
              <w:spacing w:before="60" w:after="60"/>
              <w:jc w:val="both"/>
              <w:rPr>
                <w:rFonts w:ascii="Times New Roman" w:hAnsi="Times New Roman"/>
                <w:b/>
                <w:lang w:val="is-IS"/>
              </w:rPr>
            </w:pPr>
            <w:r w:rsidRPr="004B6CC6">
              <w:rPr>
                <w:rFonts w:ascii="Times New Roman" w:hAnsi="Times New Roman"/>
                <w:b/>
                <w:lang w:val="is-IS"/>
              </w:rPr>
              <w:t xml:space="preserve">Ráðuneyti </w:t>
            </w:r>
          </w:p>
        </w:tc>
        <w:sdt>
          <w:sdtPr>
            <w:rPr>
              <w:rFonts w:ascii="Times New Roman" w:hAnsi="Times New Roman"/>
            </w:rPr>
            <w:id w:val="1126588465"/>
            <w:placeholder>
              <w:docPart w:val="89E5D477794045CF85504962D99A32AC"/>
            </w:placeholder>
          </w:sdtPr>
          <w:sdtEndPr/>
          <w:sdtContent>
            <w:tc>
              <w:tcPr>
                <w:tcW w:w="7479" w:type="dxa"/>
                <w:tcBorders>
                  <w:bottom w:val="nil"/>
                </w:tcBorders>
              </w:tcPr>
              <w:p w14:paraId="5D64CD22" w14:textId="02702EA5" w:rsidR="009F5B53" w:rsidRPr="004B6CC6" w:rsidRDefault="00027A31" w:rsidP="00D26ACD">
                <w:pPr>
                  <w:spacing w:before="60"/>
                  <w:jc w:val="both"/>
                  <w:rPr>
                    <w:rFonts w:ascii="Times New Roman" w:hAnsi="Times New Roman"/>
                    <w:lang w:val="is-IS"/>
                  </w:rPr>
                </w:pPr>
                <w:r w:rsidRPr="004B6CC6">
                  <w:rPr>
                    <w:rFonts w:ascii="Times New Roman" w:hAnsi="Times New Roman"/>
                    <w:lang w:val="is-IS"/>
                  </w:rPr>
                  <w:t>Fjármála- og efnahagsráðuneyti</w:t>
                </w:r>
              </w:p>
            </w:tc>
          </w:sdtContent>
        </w:sdt>
      </w:tr>
      <w:tr w:rsidR="009F5B53" w:rsidRPr="004B6CC6" w14:paraId="42AF5517"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07E2062" w14:textId="77777777" w:rsidR="009F5B53" w:rsidRPr="004B6CC6" w:rsidRDefault="009F5B53" w:rsidP="00D26ACD">
            <w:pPr>
              <w:spacing w:before="60" w:after="60"/>
              <w:jc w:val="both"/>
              <w:rPr>
                <w:rFonts w:ascii="Times New Roman" w:hAnsi="Times New Roman"/>
                <w:b/>
                <w:lang w:val="is-IS"/>
              </w:rPr>
            </w:pPr>
            <w:r w:rsidRPr="004B6CC6">
              <w:rPr>
                <w:rFonts w:ascii="Times New Roman" w:hAnsi="Times New Roman"/>
                <w:b/>
                <w:lang w:val="is-IS"/>
              </w:rPr>
              <w:t>Stig mats</w:t>
            </w:r>
          </w:p>
        </w:tc>
        <w:tc>
          <w:tcPr>
            <w:tcW w:w="7479" w:type="dxa"/>
            <w:tcBorders>
              <w:bottom w:val="nil"/>
            </w:tcBorders>
          </w:tcPr>
          <w:p w14:paraId="11AD1D75" w14:textId="1F2DA577" w:rsidR="009F5B53" w:rsidRPr="004B6CC6" w:rsidRDefault="00791205" w:rsidP="00D26ACD">
            <w:pPr>
              <w:spacing w:before="60"/>
              <w:jc w:val="both"/>
              <w:rPr>
                <w:rFonts w:ascii="Times New Roman" w:hAnsi="Times New Roman"/>
                <w:lang w:val="is-IS"/>
              </w:rPr>
            </w:pPr>
            <w:sdt>
              <w:sdtPr>
                <w:rPr>
                  <w:rFonts w:ascii="Times New Roman" w:hAnsi="Times New Roman"/>
                </w:rPr>
                <w:id w:val="-2079593582"/>
                <w14:checkbox>
                  <w14:checked w14:val="0"/>
                  <w14:checkedState w14:val="2612" w14:font="MS Gothic"/>
                  <w14:uncheckedState w14:val="2610" w14:font="MS Gothic"/>
                </w14:checkbox>
              </w:sdtPr>
              <w:sdtEndPr/>
              <w:sdtContent>
                <w:r w:rsidR="004B6CC6" w:rsidRPr="004B6CC6">
                  <w:rPr>
                    <w:rFonts w:ascii="MS Gothic" w:eastAsia="MS Gothic" w:hAnsi="MS Gothic"/>
                    <w:lang w:val="is-IS"/>
                  </w:rPr>
                  <w:t>☐</w:t>
                </w:r>
              </w:sdtContent>
            </w:sdt>
            <w:r w:rsidR="009F5B53" w:rsidRPr="004B6CC6">
              <w:rPr>
                <w:rFonts w:ascii="Times New Roman" w:hAnsi="Times New Roman"/>
                <w:lang w:val="is-IS"/>
              </w:rPr>
              <w:t xml:space="preserve"> Frummat, sbr. 1. gr.</w:t>
            </w:r>
          </w:p>
          <w:p w14:paraId="394FBA6A" w14:textId="494741B2" w:rsidR="009F5B53" w:rsidRPr="004B6CC6" w:rsidRDefault="00791205" w:rsidP="00D26ACD">
            <w:pPr>
              <w:spacing w:before="60"/>
              <w:jc w:val="both"/>
              <w:rPr>
                <w:rFonts w:ascii="Times New Roman" w:hAnsi="Times New Roman"/>
                <w:lang w:val="is-IS"/>
              </w:rPr>
            </w:pPr>
            <w:sdt>
              <w:sdtPr>
                <w:rPr>
                  <w:rFonts w:ascii="Times New Roman" w:hAnsi="Times New Roman"/>
                </w:rPr>
                <w:id w:val="466950021"/>
                <w14:checkbox>
                  <w14:checked w14:val="1"/>
                  <w14:checkedState w14:val="2612" w14:font="MS Gothic"/>
                  <w14:uncheckedState w14:val="2610" w14:font="MS Gothic"/>
                </w14:checkbox>
              </w:sdtPr>
              <w:sdtEndPr/>
              <w:sdtContent>
                <w:r w:rsidR="004B6CC6" w:rsidRPr="004B6CC6">
                  <w:rPr>
                    <w:rFonts w:ascii="MS Gothic" w:eastAsia="MS Gothic" w:hAnsi="MS Gothic"/>
                    <w:lang w:val="is-IS"/>
                  </w:rPr>
                  <w:t>☒</w:t>
                </w:r>
              </w:sdtContent>
            </w:sdt>
            <w:r w:rsidR="009F5B53" w:rsidRPr="004B6CC6">
              <w:rPr>
                <w:rFonts w:ascii="Times New Roman" w:hAnsi="Times New Roman"/>
                <w:lang w:val="is-IS"/>
              </w:rPr>
              <w:t xml:space="preserve"> Endanlegt mat, sbr. 10. gr. </w:t>
            </w:r>
          </w:p>
        </w:tc>
      </w:tr>
      <w:tr w:rsidR="009F5B53" w:rsidRPr="004B6CC6" w14:paraId="00FE7D97"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5B60325D" w14:textId="77777777" w:rsidR="009F5B53" w:rsidRPr="004B6CC6" w:rsidRDefault="009F5B53" w:rsidP="00D26ACD">
            <w:pPr>
              <w:spacing w:before="60" w:after="60"/>
              <w:jc w:val="both"/>
              <w:rPr>
                <w:rFonts w:ascii="Times New Roman" w:hAnsi="Times New Roman"/>
                <w:b/>
                <w:lang w:val="is-IS"/>
              </w:rPr>
            </w:pPr>
            <w:r w:rsidRPr="004B6CC6">
              <w:rPr>
                <w:rFonts w:ascii="Times New Roman" w:hAnsi="Times New Roman"/>
                <w:b/>
                <w:lang w:val="is-IS"/>
              </w:rPr>
              <w:t>Dags.</w:t>
            </w:r>
          </w:p>
        </w:tc>
        <w:sdt>
          <w:sdtPr>
            <w:rPr>
              <w:rFonts w:ascii="Times New Roman" w:hAnsi="Times New Roman"/>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478FFEA" w14:textId="47788CCC" w:rsidR="009F5B53" w:rsidRPr="004B6CC6" w:rsidRDefault="009F5B53" w:rsidP="00D26ACD">
                <w:pPr>
                  <w:spacing w:before="60"/>
                  <w:jc w:val="both"/>
                  <w:rPr>
                    <w:rFonts w:ascii="Times New Roman" w:hAnsi="Times New Roman"/>
                    <w:lang w:val="is-IS"/>
                  </w:rPr>
                </w:pPr>
                <w:r w:rsidRPr="004B6CC6">
                  <w:rPr>
                    <w:rFonts w:ascii="Times New Roman" w:hAnsi="Times New Roman"/>
                    <w:lang w:val="is-IS"/>
                  </w:rPr>
                  <w:t xml:space="preserve"> </w:t>
                </w:r>
                <w:r w:rsidR="004B6CC6" w:rsidRPr="004B6CC6">
                  <w:rPr>
                    <w:rFonts w:ascii="Times New Roman" w:hAnsi="Times New Roman"/>
                    <w:lang w:val="is-IS"/>
                  </w:rPr>
                  <w:t>2</w:t>
                </w:r>
                <w:r w:rsidR="00E4150D">
                  <w:rPr>
                    <w:rFonts w:ascii="Times New Roman" w:hAnsi="Times New Roman"/>
                    <w:lang w:val="is-IS"/>
                  </w:rPr>
                  <w:t>6</w:t>
                </w:r>
                <w:r w:rsidR="004B6CC6" w:rsidRPr="004B6CC6">
                  <w:rPr>
                    <w:rFonts w:ascii="Times New Roman" w:hAnsi="Times New Roman"/>
                    <w:lang w:val="is-IS"/>
                  </w:rPr>
                  <w:t>. febrúar</w:t>
                </w:r>
                <w:r w:rsidR="00027A31" w:rsidRPr="004B6CC6">
                  <w:rPr>
                    <w:rFonts w:ascii="Times New Roman" w:hAnsi="Times New Roman"/>
                    <w:lang w:val="is-IS"/>
                  </w:rPr>
                  <w:t xml:space="preserve"> 20</w:t>
                </w:r>
                <w:r w:rsidR="004B6CC6" w:rsidRPr="004B6CC6">
                  <w:rPr>
                    <w:rFonts w:ascii="Times New Roman" w:hAnsi="Times New Roman"/>
                    <w:lang w:val="is-IS"/>
                  </w:rPr>
                  <w:t>20</w:t>
                </w:r>
              </w:p>
            </w:tc>
          </w:sdtContent>
        </w:sdt>
      </w:tr>
    </w:tbl>
    <w:p w14:paraId="3E24CB91" w14:textId="77777777" w:rsidR="009F5B53" w:rsidRPr="004B6CC6" w:rsidRDefault="009F5B53"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9F5B53" w:rsidRPr="004B6CC6" w14:paraId="0422984E" w14:textId="77777777" w:rsidTr="007414CB">
        <w:tc>
          <w:tcPr>
            <w:tcW w:w="9288" w:type="dxa"/>
            <w:shd w:val="clear" w:color="auto" w:fill="9CC2E5" w:themeFill="accent5" w:themeFillTint="99"/>
          </w:tcPr>
          <w:p w14:paraId="24A25EFB" w14:textId="77777777" w:rsidR="009F5B53" w:rsidRPr="004B6CC6" w:rsidRDefault="009F5B53" w:rsidP="00D26AC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4B6CC6">
              <w:rPr>
                <w:rFonts w:ascii="Times New Roman" w:hAnsi="Times New Roman" w:cs="Times New Roman"/>
                <w:b/>
                <w:lang w:val="is-IS"/>
              </w:rPr>
              <w:t>Greining og mat á fjárhagslegum áhrifaþáttum fyrir ríkið</w:t>
            </w:r>
          </w:p>
        </w:tc>
      </w:tr>
      <w:tr w:rsidR="009F5B53" w:rsidRPr="004B6CC6" w14:paraId="4D73E60B"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 w14:paraId="3E39A900" w14:textId="77777777" w:rsidR="009F5B53" w:rsidRPr="004B6CC6" w:rsidRDefault="009F5B53" w:rsidP="00D26ACD">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Áætluð fjárhagsáhrif fyrir ríkið vegna helstu breytinga og ráðstafana sem felast í fyrirhugaðri lagasetningu, þar sem tilgreindir eru sérstaklega áhrifaþættir á fjárhag ríkissjóðs</w:t>
                </w:r>
              </w:p>
              <w:p w14:paraId="16BCF309" w14:textId="77777777" w:rsidR="004C1F80" w:rsidRPr="004B6CC6" w:rsidRDefault="009F5B53" w:rsidP="00D26ACD">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Hvaða fjárhagsgreining, rekstraráætlanir, reiknilíkön eða önnur áætlanagerð hefur farið fram við undirbúning fjárhagsmatsins?</w:t>
                </w:r>
              </w:p>
              <w:p w14:paraId="7D415A40" w14:textId="04C39DC5" w:rsidR="006E1DDF" w:rsidRPr="004B6CC6" w:rsidRDefault="006E1DDF" w:rsidP="00D26ACD">
                <w:pPr>
                  <w:pStyle w:val="ListParagraph"/>
                  <w:spacing w:before="60" w:after="60" w:line="240" w:lineRule="auto"/>
                  <w:ind w:left="1080"/>
                  <w:contextualSpacing w:val="0"/>
                  <w:jc w:val="both"/>
                  <w:rPr>
                    <w:rFonts w:ascii="Times New Roman" w:hAnsi="Times New Roman" w:cs="Times New Roman"/>
                    <w:lang w:val="is-IS"/>
                  </w:rPr>
                </w:pPr>
                <w:r w:rsidRPr="004B6CC6">
                  <w:rPr>
                    <w:rFonts w:ascii="Times New Roman" w:hAnsi="Times New Roman" w:cs="Times New Roman"/>
                    <w:lang w:val="is-IS"/>
                  </w:rPr>
                  <w:t>Óskað var eftir mati Fjármálaeftirlitsins á áhrifum á kostnað stofnunarinnar.</w:t>
                </w:r>
              </w:p>
              <w:p w14:paraId="16A38B08" w14:textId="77777777" w:rsidR="004C1F80" w:rsidRPr="004B6CC6" w:rsidRDefault="009F5B53" w:rsidP="00D26ACD">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Helstu forsendur sem áætlanir byggja á og næmni niðurstaðna fyrir frávikum</w:t>
                </w:r>
              </w:p>
              <w:p w14:paraId="60DD41E1" w14:textId="4C8C80AA" w:rsidR="005B09FD" w:rsidRPr="004B6CC6" w:rsidRDefault="00440F1F"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Mat Fjármálaeftirlitsins byggist á áætlun um þau verkefni sem fylgi lögfestingu viðmiðanareglugerðarinnar. Ekki er talin ástæða til að vænta verulegra frávika frá því mati.</w:t>
                </w:r>
              </w:p>
              <w:p w14:paraId="0205A64C" w14:textId="77777777" w:rsidR="004C1F80" w:rsidRPr="004B6CC6" w:rsidRDefault="009F5B53" w:rsidP="00D26ACD">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Eru fjárhagsáhrif tímabundin eða varanleg?</w:t>
                </w:r>
              </w:p>
              <w:p w14:paraId="5670F921" w14:textId="2DDC9324" w:rsidR="00FF440C" w:rsidRPr="004B6CC6" w:rsidRDefault="00FB2375"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r w:rsidR="00CD2423" w:rsidRPr="004B6CC6">
                  <w:rPr>
                    <w:rFonts w:ascii="Times New Roman" w:hAnsi="Times New Roman" w:cs="Times New Roman"/>
                    <w:lang w:val="is-IS"/>
                  </w:rPr>
                  <w:t>.</w:t>
                </w:r>
              </w:p>
              <w:p w14:paraId="444BD223" w14:textId="77777777" w:rsidR="004C1F80" w:rsidRPr="004B6CC6" w:rsidRDefault="009F5B53" w:rsidP="00D26ACD">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Skorður sem eru settar fyrir útgjöldum og hvatar sem geta haft áhrif á útgjaldaþróun</w:t>
                </w:r>
              </w:p>
              <w:p w14:paraId="6829F649" w14:textId="3C46CCCC" w:rsidR="005C4F34" w:rsidRPr="004B6CC6" w:rsidRDefault="00440F1F"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eastAsia="Times New Roman" w:hAnsi="Times New Roman" w:cs="Times New Roman"/>
                    <w:color w:val="242424"/>
                    <w:lang w:val="is-IS" w:eastAsia="is-IS"/>
                  </w:rPr>
                  <w:t xml:space="preserve">Um kostnað við rekstur Fjármálaeftirlitsins fer samkvæmt </w:t>
                </w:r>
                <w:hyperlink r:id="rId8" w:history="1">
                  <w:r w:rsidRPr="004B6CC6">
                    <w:rPr>
                      <w:rStyle w:val="Hyperlink"/>
                      <w:rFonts w:ascii="Times New Roman" w:eastAsia="Times New Roman" w:hAnsi="Times New Roman" w:cs="Times New Roman"/>
                      <w:lang w:val="is-IS" w:eastAsia="is-IS"/>
                    </w:rPr>
                    <w:t>lögum um greiðslu kostnaðar við opinbert eftirlit með fjármálastarfsemi, nr. 99/1999</w:t>
                  </w:r>
                </w:hyperlink>
                <w:r w:rsidRPr="004B6CC6">
                  <w:rPr>
                    <w:rFonts w:ascii="Times New Roman" w:eastAsia="Times New Roman" w:hAnsi="Times New Roman" w:cs="Times New Roman"/>
                    <w:color w:val="242424"/>
                    <w:lang w:val="is-IS" w:eastAsia="is-IS"/>
                  </w:rPr>
                  <w:t>.</w:t>
                </w:r>
              </w:p>
              <w:p w14:paraId="24DBD56E" w14:textId="77777777" w:rsidR="004C1F80" w:rsidRPr="004B6CC6" w:rsidRDefault="009F5B53" w:rsidP="00D26ACD">
                <w:pPr>
                  <w:pStyle w:val="ListParagraph"/>
                  <w:numPr>
                    <w:ilvl w:val="0"/>
                    <w:numId w:val="7"/>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Aðskilin umfjöllun um brúttóáhrif á tekjuhlið og gjaldahlið en einnig tilgreind nettóáhrif á afkomu</w:t>
                </w:r>
              </w:p>
              <w:p w14:paraId="546A8A5A" w14:textId="7A658AF5" w:rsidR="00FB2375" w:rsidRPr="004B6CC6" w:rsidRDefault="004C1F80"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E</w:t>
                </w:r>
                <w:r w:rsidR="00FB2375" w:rsidRPr="004B6CC6">
                  <w:rPr>
                    <w:rFonts w:ascii="Times New Roman" w:hAnsi="Times New Roman" w:cs="Times New Roman"/>
                    <w:lang w:val="is-IS"/>
                  </w:rPr>
                  <w:t>kki er gert ráð fyrir áhrifum á tekjur, útgjöld eða afkomu ríkissjóðs.</w:t>
                </w:r>
              </w:p>
              <w:p w14:paraId="695EC5C4" w14:textId="77777777" w:rsidR="004C1F80" w:rsidRPr="004B6CC6" w:rsidRDefault="009F5B53" w:rsidP="00D26ACD">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Tekjubreytingar</w:t>
                </w:r>
              </w:p>
              <w:p w14:paraId="7CCC71D2" w14:textId="3214F744" w:rsidR="009F5B53" w:rsidRPr="004B6CC6" w:rsidRDefault="00B625C2" w:rsidP="00D26ACD">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Ekki er gert ráð fyrir áhrifum á tekjur ríkissjóðs.</w:t>
                </w:r>
              </w:p>
              <w:p w14:paraId="7B5FB179" w14:textId="77777777" w:rsidR="004C1F80" w:rsidRPr="004B6CC6" w:rsidRDefault="009F5B53" w:rsidP="00D26ACD">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Útgjaldabreytingar </w:t>
                </w:r>
              </w:p>
              <w:p w14:paraId="5C2EE349" w14:textId="05BEA9B6" w:rsidR="00766958" w:rsidRPr="004B6CC6" w:rsidRDefault="00766958"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Fjármálaeftirlitið telur </w:t>
                </w:r>
                <w:r w:rsidR="00CE5AAD">
                  <w:rPr>
                    <w:rFonts w:ascii="Times New Roman" w:hAnsi="Times New Roman" w:cs="Times New Roman"/>
                    <w:lang w:val="is-IS"/>
                  </w:rPr>
                  <w:t>samþykkt frumvarpsins</w:t>
                </w:r>
                <w:r w:rsidRPr="004B6CC6">
                  <w:rPr>
                    <w:rFonts w:ascii="Times New Roman" w:hAnsi="Times New Roman" w:cs="Times New Roman"/>
                    <w:lang w:val="is-IS"/>
                  </w:rPr>
                  <w:t xml:space="preserve"> ekki kalla á varanlega aukningu stöðugilda, þótt verkefni gætu aukist tímabundið. Enginn beinn kostnaður fylgi </w:t>
                </w:r>
                <w:r w:rsidR="00CE5AAD">
                  <w:rPr>
                    <w:rFonts w:ascii="Times New Roman" w:hAnsi="Times New Roman" w:cs="Times New Roman"/>
                    <w:lang w:val="is-IS"/>
                  </w:rPr>
                  <w:t>því</w:t>
                </w:r>
                <w:r w:rsidRPr="004B6CC6">
                  <w:rPr>
                    <w:rFonts w:ascii="Times New Roman" w:hAnsi="Times New Roman" w:cs="Times New Roman"/>
                    <w:lang w:val="is-IS"/>
                  </w:rPr>
                  <w:t xml:space="preserve"> sem </w:t>
                </w:r>
                <w:r w:rsidR="00E60AAA" w:rsidRPr="004B6CC6">
                  <w:rPr>
                    <w:rFonts w:ascii="Times New Roman" w:hAnsi="Times New Roman" w:cs="Times New Roman"/>
                    <w:lang w:val="is-IS"/>
                  </w:rPr>
                  <w:t>rúmist</w:t>
                </w:r>
                <w:r w:rsidRPr="004B6CC6">
                  <w:rPr>
                    <w:rFonts w:ascii="Times New Roman" w:hAnsi="Times New Roman" w:cs="Times New Roman"/>
                    <w:lang w:val="is-IS"/>
                  </w:rPr>
                  <w:t xml:space="preserve"> ekki innan gildandi fjárheimilda stofnunarinnar. </w:t>
                </w:r>
              </w:p>
              <w:p w14:paraId="1F2156D1" w14:textId="77777777" w:rsidR="004C1F80" w:rsidRPr="004B6CC6" w:rsidRDefault="009F5B53" w:rsidP="00D26ACD">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Eignabreytingar</w:t>
                </w:r>
              </w:p>
              <w:p w14:paraId="34AA7068" w14:textId="51BEC891" w:rsidR="009F5B53" w:rsidRPr="004B6CC6" w:rsidRDefault="00B625C2" w:rsidP="00D26ACD">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Ekki er gert ráð fyrir áhrifum á eignir ríkissjóðs.</w:t>
                </w:r>
              </w:p>
              <w:p w14:paraId="09A725B2" w14:textId="77777777" w:rsidR="009F5B53" w:rsidRPr="004B6CC6" w:rsidRDefault="009F5B53" w:rsidP="00D26ACD">
                <w:pPr>
                  <w:pStyle w:val="ListParagraph"/>
                  <w:numPr>
                    <w:ilvl w:val="0"/>
                    <w:numId w:val="3"/>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Aðrir áhrifaþættir varðandi ríkisfjármál</w:t>
                </w:r>
              </w:p>
              <w:p w14:paraId="5BD8CABE"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Samræmi við viðmið og sjónarmið um fyrirkomulag á útgjaldastýringu og umbúnað í fjárlögum</w:t>
                </w:r>
              </w:p>
              <w:p w14:paraId="0A88A198" w14:textId="6781063A"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40FBF995"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Samræmi við viðmið um framsetningu fjárlaga og reikningshaldslegan grundvöll samkvæmt lögum um opinber fjármál</w:t>
                </w:r>
              </w:p>
              <w:p w14:paraId="6BC360C7" w14:textId="5872A39F"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54BEE7C1"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lastRenderedPageBreak/>
                  <w:t>Uppbygging skattkerfis og tekjuöflunar ríkissjóðs</w:t>
                </w:r>
              </w:p>
              <w:p w14:paraId="4FED9A2A" w14:textId="198314BA"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241E7E23"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Forsendur og umbúnaður þjónustugjalda – lagakröfur</w:t>
                </w:r>
              </w:p>
              <w:p w14:paraId="77CF98F5" w14:textId="450D23AD"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6C3DB8EC"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Rekstrarform ríkisstarfsemi</w:t>
                </w:r>
              </w:p>
              <w:p w14:paraId="5F08F31F" w14:textId="6BAD23A7"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1ACE63F7"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Opinber innkaup og útboð</w:t>
                </w:r>
              </w:p>
              <w:p w14:paraId="317C4C36" w14:textId="5888FFE9"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0704CECD"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Eignaumsýsla ríkisins</w:t>
                </w:r>
              </w:p>
              <w:p w14:paraId="7762BDA4" w14:textId="1E2EDDEF"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7F4FCDCE"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Réttindi og skyldur ríkisstarfsmanna</w:t>
                </w:r>
              </w:p>
              <w:p w14:paraId="089086C3" w14:textId="41694A2F" w:rsidR="00C605A1" w:rsidRPr="004B6CC6" w:rsidRDefault="00C605A1"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49B4BD40" w14:textId="77777777" w:rsidR="004C1F80" w:rsidRPr="004B6CC6" w:rsidRDefault="009F5B53" w:rsidP="00D26ACD">
                <w:pPr>
                  <w:pStyle w:val="ListParagraph"/>
                  <w:numPr>
                    <w:ilvl w:val="0"/>
                    <w:numId w:val="8"/>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i/>
                    <w:lang w:val="is-IS"/>
                  </w:rPr>
                  <w:t>Ríkisstyrkir og ívilnanir, þ.m.t. samræmi við reglur ESA, sbr. 61. gr. EES-samningsins. Ath. tilkynningarskyldu með tveggja mánaða fyrirvara.</w:t>
                </w:r>
              </w:p>
              <w:p w14:paraId="31420984" w14:textId="0E03FAAF" w:rsidR="009F5B53" w:rsidRPr="004B6CC6" w:rsidRDefault="00C605A1" w:rsidP="00D26ACD">
                <w:pPr>
                  <w:pStyle w:val="ListParagraph"/>
                  <w:spacing w:before="60" w:after="60" w:line="240" w:lineRule="auto"/>
                  <w:ind w:left="1080"/>
                  <w:contextualSpacing w:val="0"/>
                  <w:jc w:val="both"/>
                  <w:rPr>
                    <w:rFonts w:ascii="Times New Roman" w:hAnsi="Times New Roman" w:cs="Times New Roman"/>
                    <w:b/>
                    <w:lang w:val="is-IS"/>
                  </w:rPr>
                </w:pPr>
                <w:r w:rsidRPr="004B6CC6">
                  <w:rPr>
                    <w:rFonts w:ascii="Times New Roman" w:hAnsi="Times New Roman" w:cs="Times New Roman"/>
                    <w:lang w:val="is-IS"/>
                  </w:rPr>
                  <w:t>Á ekki við.</w:t>
                </w:r>
              </w:p>
            </w:sdtContent>
          </w:sdt>
        </w:tc>
      </w:tr>
      <w:tr w:rsidR="009F5B53" w:rsidRPr="004B6CC6" w14:paraId="10ED7E5B" w14:textId="77777777" w:rsidTr="007414CB">
        <w:tc>
          <w:tcPr>
            <w:tcW w:w="9288" w:type="dxa"/>
            <w:shd w:val="clear" w:color="auto" w:fill="9CC2E5" w:themeFill="accent5" w:themeFillTint="99"/>
          </w:tcPr>
          <w:p w14:paraId="724D0CB5" w14:textId="77777777" w:rsidR="009F5B53" w:rsidRPr="004B6CC6" w:rsidRDefault="009F5B53" w:rsidP="00D26AC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4B6CC6">
              <w:rPr>
                <w:rFonts w:ascii="Times New Roman" w:hAnsi="Times New Roman" w:cs="Times New Roman"/>
                <w:b/>
                <w:lang w:val="is-IS"/>
              </w:rPr>
              <w:lastRenderedPageBreak/>
              <w:t xml:space="preserve">Samræmi við útgjaldaramma og fimm ára fjármálaætlun – fjármögnun </w:t>
            </w:r>
          </w:p>
        </w:tc>
      </w:tr>
      <w:tr w:rsidR="009F5B53" w:rsidRPr="004B6CC6" w14:paraId="12D886A8" w14:textId="77777777" w:rsidTr="00FD2097">
        <w:trPr>
          <w:trHeight w:val="826"/>
        </w:trPr>
        <w:tc>
          <w:tcPr>
            <w:tcW w:w="9288" w:type="dxa"/>
          </w:tcPr>
          <w:sdt>
            <w:sdtPr>
              <w:rPr>
                <w:rFonts w:ascii="Times New Roman" w:hAnsi="Times New Roman" w:cs="Times New Roman"/>
                <w:b/>
                <w:lang w:val="is-IS"/>
              </w:rPr>
              <w:id w:val="-197159978"/>
            </w:sdtPr>
            <w:sdtEndPr>
              <w:rPr>
                <w:rFonts w:asciiTheme="minorHAnsi" w:hAnsiTheme="minorHAnsi" w:cstheme="minorBidi"/>
              </w:rPr>
            </w:sdtEndPr>
            <w:sdtContent>
              <w:p w14:paraId="0215339E" w14:textId="77777777" w:rsidR="009F5B53" w:rsidRPr="004B6CC6" w:rsidRDefault="009F5B53" w:rsidP="00D26ACD">
                <w:pPr>
                  <w:pStyle w:val="ListParagraph"/>
                  <w:numPr>
                    <w:ilvl w:val="0"/>
                    <w:numId w:val="4"/>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Hefur verið gert ráð fyrir þeim fjárhagsáhrifum á málaflokk sem leiða kunna af samþykkt frumvarpsins:</w:t>
                </w:r>
              </w:p>
              <w:p w14:paraId="612B984F" w14:textId="77777777" w:rsidR="004C1F80" w:rsidRPr="004B6CC6" w:rsidRDefault="009F5B53" w:rsidP="00D26ACD">
                <w:pPr>
                  <w:pStyle w:val="ListParagraph"/>
                  <w:numPr>
                    <w:ilvl w:val="0"/>
                    <w:numId w:val="9"/>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í gildandi fjárlögum</w:t>
                </w:r>
              </w:p>
              <w:p w14:paraId="65CAFBCA" w14:textId="19620A23" w:rsidR="007829EE" w:rsidRPr="004B6CC6" w:rsidRDefault="007829EE"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06134E88" w14:textId="77777777" w:rsidR="004C1F80" w:rsidRPr="004B6CC6" w:rsidRDefault="009F5B53" w:rsidP="00D26ACD">
                <w:pPr>
                  <w:pStyle w:val="ListParagraph"/>
                  <w:numPr>
                    <w:ilvl w:val="0"/>
                    <w:numId w:val="9"/>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í fjárlagafrumvarpi komandi árs</w:t>
                </w:r>
              </w:p>
              <w:p w14:paraId="09CC36CD" w14:textId="33A96EFA" w:rsidR="007829EE" w:rsidRPr="004B6CC6" w:rsidRDefault="007829EE"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09A40D7C" w14:textId="77777777" w:rsidR="004C1F80" w:rsidRPr="004B6CC6" w:rsidRDefault="009F5B53" w:rsidP="00D26ACD">
                <w:pPr>
                  <w:pStyle w:val="ListParagraph"/>
                  <w:numPr>
                    <w:ilvl w:val="0"/>
                    <w:numId w:val="9"/>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í fimm ára fjármálaáætlun ríkisstjórnarinnar</w:t>
                </w:r>
              </w:p>
              <w:p w14:paraId="26A5A5A4" w14:textId="7B410D31" w:rsidR="007829EE" w:rsidRPr="004B6CC6" w:rsidRDefault="007829EE" w:rsidP="00D26ACD">
                <w:pPr>
                  <w:pStyle w:val="ListParagraph"/>
                  <w:spacing w:before="60" w:after="60" w:line="240" w:lineRule="auto"/>
                  <w:ind w:left="1080"/>
                  <w:contextualSpacing w:val="0"/>
                  <w:jc w:val="both"/>
                  <w:rPr>
                    <w:rFonts w:ascii="Times New Roman" w:hAnsi="Times New Roman" w:cs="Times New Roman"/>
                    <w:i/>
                    <w:lang w:val="is-IS"/>
                  </w:rPr>
                </w:pPr>
                <w:r w:rsidRPr="004B6CC6">
                  <w:rPr>
                    <w:rFonts w:ascii="Times New Roman" w:hAnsi="Times New Roman" w:cs="Times New Roman"/>
                    <w:lang w:val="is-IS"/>
                  </w:rPr>
                  <w:t>Á ekki við.</w:t>
                </w:r>
              </w:p>
              <w:p w14:paraId="3706A62C" w14:textId="77777777" w:rsidR="004C1F80" w:rsidRPr="004B6CC6" w:rsidRDefault="009F5B53" w:rsidP="00D26ACD">
                <w:pPr>
                  <w:pStyle w:val="ListParagraph"/>
                  <w:numPr>
                    <w:ilvl w:val="0"/>
                    <w:numId w:val="4"/>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1BB960A0" w14:textId="04832A9E" w:rsidR="007829EE" w:rsidRPr="004B6CC6" w:rsidRDefault="007829EE" w:rsidP="00D26ACD">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Á ekki við.</w:t>
                </w:r>
              </w:p>
              <w:p w14:paraId="4CCA04FB" w14:textId="77777777" w:rsidR="004C1F80" w:rsidRPr="004B6CC6" w:rsidRDefault="009F5B53" w:rsidP="00D26ACD">
                <w:pPr>
                  <w:pStyle w:val="ListParagraph"/>
                  <w:numPr>
                    <w:ilvl w:val="0"/>
                    <w:numId w:val="4"/>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Tengist einhver ný eða aukin tekjuöflun verkefninu?</w:t>
                </w:r>
              </w:p>
              <w:p w14:paraId="4C8E86DC" w14:textId="2E7800F8" w:rsidR="009F5B53" w:rsidRPr="004B6CC6" w:rsidRDefault="007829EE" w:rsidP="00D26ACD">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Nei.</w:t>
                </w:r>
              </w:p>
            </w:sdtContent>
          </w:sdt>
        </w:tc>
      </w:tr>
      <w:tr w:rsidR="009F5B53" w:rsidRPr="004B6CC6" w14:paraId="3AEEE1EC" w14:textId="77777777" w:rsidTr="007414CB">
        <w:tc>
          <w:tcPr>
            <w:tcW w:w="9288" w:type="dxa"/>
            <w:shd w:val="clear" w:color="auto" w:fill="9CC2E5" w:themeFill="accent5" w:themeFillTint="99"/>
          </w:tcPr>
          <w:p w14:paraId="17B2A19E" w14:textId="77777777" w:rsidR="009F5B53" w:rsidRPr="004B6CC6" w:rsidRDefault="009F5B53" w:rsidP="00D26AC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4B6CC6">
              <w:rPr>
                <w:rFonts w:ascii="Times New Roman" w:hAnsi="Times New Roman" w:cs="Times New Roman"/>
                <w:b/>
                <w:lang w:val="is-IS"/>
              </w:rPr>
              <w:t>Efnahagsáhrif – áhrif á atvinnulíf, vinnumarkað og samkeppni</w:t>
            </w:r>
          </w:p>
        </w:tc>
      </w:tr>
      <w:tr w:rsidR="009F5B53" w:rsidRPr="004B6CC6" w14:paraId="248F8CE1" w14:textId="77777777" w:rsidTr="00FD2097">
        <w:trPr>
          <w:trHeight w:val="826"/>
        </w:trPr>
        <w:tc>
          <w:tcPr>
            <w:tcW w:w="9288" w:type="dxa"/>
          </w:tcPr>
          <w:sdt>
            <w:sdtPr>
              <w:rPr>
                <w:rFonts w:ascii="Times New Roman" w:hAnsi="Times New Roman" w:cs="Times New Roman"/>
                <w:b/>
                <w:lang w:val="is-IS"/>
              </w:rPr>
              <w:id w:val="-355357149"/>
            </w:sdtPr>
            <w:sdtEndPr>
              <w:rPr>
                <w:rFonts w:asciiTheme="minorHAnsi" w:hAnsiTheme="minorHAnsi" w:cstheme="minorBidi"/>
                <w:b w:val="0"/>
              </w:rPr>
            </w:sdtEndPr>
            <w:sdtContent>
              <w:p w14:paraId="6421731C" w14:textId="77777777" w:rsidR="004C1F80" w:rsidRPr="004B6CC6" w:rsidRDefault="009F5B53" w:rsidP="00D26ACD">
                <w:pPr>
                  <w:pStyle w:val="ListParagraph"/>
                  <w:numPr>
                    <w:ilvl w:val="0"/>
                    <w:numId w:val="2"/>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Hagræn áhrif á heildareftirspurn og einstaka markaði – hagstjórnarsjónarmið </w:t>
                </w:r>
              </w:p>
              <w:p w14:paraId="1F9589DB" w14:textId="3B0931A8" w:rsidR="004B6CC6" w:rsidRPr="004B6CC6" w:rsidRDefault="004B6CC6" w:rsidP="004B6CC6">
                <w:pPr>
                  <w:pStyle w:val="ListParagraph"/>
                  <w:spacing w:before="60" w:after="60" w:line="240" w:lineRule="auto"/>
                  <w:jc w:val="both"/>
                  <w:rPr>
                    <w:rFonts w:ascii="Times New Roman" w:hAnsi="Times New Roman" w:cs="Times New Roman"/>
                    <w:lang w:val="is-IS"/>
                  </w:rPr>
                </w:pPr>
                <w:r w:rsidRPr="004B6CC6">
                  <w:rPr>
                    <w:rFonts w:ascii="Times New Roman" w:hAnsi="Times New Roman" w:cs="Times New Roman"/>
                    <w:lang w:val="is-IS"/>
                  </w:rPr>
                  <w:t>Almennt séð má ætla að takmörkun á áhættusamri fjárfestingarbankastarfsemi viðskiptabanka og sparisjóða geti gagnast sem liður í því að takmarka áhættu innstæðueigenda og ríkissjóðs og auðvelda úrlausn á vandkvæðum viðskiptabanka og sparisjóða, m.a. með því að einfalda aðskilnað nauðsynlegrar viðskiptabankastarfsemi frá öðrum starfsþáttum við endurreisn eða skilameðferð. Hún getur þannig stutt við aðrar ráðstafanir í þá veru, svo sem innleiðingu á Evrópureglum um endurreisn og skilameðferð fjármálafyrirtækja. Á móti kann hún að draga úr stærðarhagkvæmni og þjónustuframboði viðskiptabanka og sparisjóða og möguleikum á áhættudreifingu með fjölbreyttari tekjustofnum. Hún kann einnig að verða til þess að starfsemi færist til aðila sem sæta ekki jafn ríku eftirliti og þannig minnkað yfirsýn eftirlitsaðila. Færsla starfsemi á fleiri hendur getur þó einnig aukið samkeppni og þannig komið viðskiptavinum til góða.</w:t>
                </w:r>
              </w:p>
              <w:p w14:paraId="6AC2CABA" w14:textId="77777777" w:rsidR="004B6CC6" w:rsidRPr="004B6CC6" w:rsidRDefault="004B6CC6" w:rsidP="004B6CC6">
                <w:pPr>
                  <w:pStyle w:val="ListParagraph"/>
                  <w:spacing w:before="60" w:after="60" w:line="240" w:lineRule="auto"/>
                  <w:jc w:val="both"/>
                  <w:rPr>
                    <w:rFonts w:ascii="Times New Roman" w:hAnsi="Times New Roman" w:cs="Times New Roman"/>
                    <w:lang w:val="is-IS"/>
                  </w:rPr>
                </w:pPr>
              </w:p>
              <w:p w14:paraId="72AFD691" w14:textId="778DC3FE" w:rsidR="00C91EE3" w:rsidRDefault="004B6CC6" w:rsidP="006354F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að því að lögfesting frumvarpsins krefjist breytinga á gildandi skipulagi viðskiptabanka og sparisjóða. Hagræn áhrif í nánustu framtíð ættu því ekki að vera mikil. Aftur </w:t>
                </w:r>
                <w:r w:rsidRPr="004B6CC6">
                  <w:rPr>
                    <w:rFonts w:ascii="Times New Roman" w:hAnsi="Times New Roman" w:cs="Times New Roman"/>
                    <w:lang w:val="is-IS"/>
                  </w:rPr>
                  <w:lastRenderedPageBreak/>
                  <w:t>á móti yrðu hömlur settar á vöxt áhættusamrar fjárfestingarbankastarfsemi viðskiptabanka og sparisjóða til framtíðar og hún gæti því vart náð svipuðum hæðum og fyrir bankahrunið 2008.</w:t>
                </w:r>
              </w:p>
              <w:p w14:paraId="14A4DC04" w14:textId="77777777" w:rsidR="006354FD" w:rsidRPr="006354FD" w:rsidRDefault="006354FD" w:rsidP="006354FD">
                <w:pPr>
                  <w:pStyle w:val="ListParagraph"/>
                  <w:spacing w:before="60" w:after="60" w:line="240" w:lineRule="auto"/>
                  <w:contextualSpacing w:val="0"/>
                  <w:jc w:val="both"/>
                  <w:rPr>
                    <w:rFonts w:ascii="Times New Roman" w:hAnsi="Times New Roman" w:cs="Times New Roman"/>
                    <w:lang w:val="is-IS"/>
                  </w:rPr>
                </w:pPr>
              </w:p>
              <w:p w14:paraId="345ADE60" w14:textId="77777777" w:rsidR="004C1F80" w:rsidRPr="004B6CC6" w:rsidRDefault="009F5B53" w:rsidP="00D26ACD">
                <w:pPr>
                  <w:pStyle w:val="ListParagraph"/>
                  <w:numPr>
                    <w:ilvl w:val="0"/>
                    <w:numId w:val="2"/>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Áhrif á fyrirtækjaeftirlit og reglubyrði, hversu mörg fyrirtæki verða fyrir áhrifum og hvers konar fyrirtæki? Einföldun laga eða stjórnsýslu? Leitað umsagnar ráðgjafarnefndar um opinberar eftirlitsreglur? Sbr. lög nr. 27/1999. </w:t>
                </w:r>
              </w:p>
              <w:p w14:paraId="58EAA60E" w14:textId="7CE6FF8A" w:rsidR="006354FD" w:rsidRDefault="006354FD" w:rsidP="006354FD">
                <w:pPr>
                  <w:pStyle w:val="ListParagraph"/>
                  <w:spacing w:before="60" w:after="60" w:line="240" w:lineRule="auto"/>
                  <w:jc w:val="both"/>
                  <w:rPr>
                    <w:rFonts w:ascii="Times New Roman" w:eastAsia="Calibri" w:hAnsi="Times New Roman" w:cs="Times New Roman"/>
                    <w:lang w:val="is-IS"/>
                  </w:rPr>
                </w:pPr>
                <w:r w:rsidRPr="006354FD">
                  <w:rPr>
                    <w:rFonts w:ascii="Times New Roman" w:eastAsia="Calibri" w:hAnsi="Times New Roman" w:cs="Times New Roman"/>
                    <w:lang w:val="is-IS"/>
                  </w:rPr>
                  <w:t xml:space="preserve">Takmörkun frumvarpsins á stöðutöku við 15% tekur aðeins til kerfislega mikilvægra viðskiptabanka og sparisjóða en heimild Fjármálaeftirlitsins til að takmarka innlánasöfnun ef stöðutaka er umfram 30% nær til allra viðskiptabanka og sparisjóða. Fjármálastöðugleikaráð hefur staðfest skilgreiningar á Arion banka hf., Íslandsbanka hf. og Landsbankanum hf. sem kerfislega mikilvægum. Auk þeirra hefur Kvika banki hf. starfsleyfi sem viðskiptabanki og Sparisjóður Austurlands hf., Sparisjóður Höfðhverfinga ses., Sparisjóður Strandamanna ses. og Sparisjóður Suður-Þingeyinga ses. starfsleyfi sem sparisjóðir. Vænta má breytinga á þessum lista á næstu árum, m.a. þar sem aðrir aðilar hafa greint opinberlega frá áformum um að afla leyfa til að taka við innlánum. </w:t>
                </w:r>
              </w:p>
              <w:p w14:paraId="44E646EC" w14:textId="77777777" w:rsidR="006354FD" w:rsidRPr="006354FD" w:rsidRDefault="006354FD" w:rsidP="006354FD">
                <w:pPr>
                  <w:pStyle w:val="ListParagraph"/>
                  <w:spacing w:before="60" w:after="60" w:line="240" w:lineRule="auto"/>
                  <w:jc w:val="both"/>
                  <w:rPr>
                    <w:rFonts w:ascii="Times New Roman" w:eastAsia="Calibri" w:hAnsi="Times New Roman" w:cs="Times New Roman"/>
                    <w:lang w:val="is-IS"/>
                  </w:rPr>
                </w:pPr>
              </w:p>
              <w:p w14:paraId="3CF13CE1" w14:textId="5443EFAE" w:rsidR="006354FD" w:rsidRPr="006354FD" w:rsidRDefault="006354FD" w:rsidP="006354FD">
                <w:pPr>
                  <w:pStyle w:val="ListParagraph"/>
                  <w:spacing w:before="60" w:after="60" w:line="240" w:lineRule="auto"/>
                  <w:jc w:val="both"/>
                  <w:rPr>
                    <w:rFonts w:ascii="Times New Roman" w:eastAsia="Calibri" w:hAnsi="Times New Roman" w:cs="Times New Roman"/>
                    <w:lang w:val="is-IS"/>
                  </w:rPr>
                </w:pPr>
                <w:r w:rsidRPr="006354FD">
                  <w:rPr>
                    <w:rFonts w:ascii="Times New Roman" w:eastAsia="Calibri" w:hAnsi="Times New Roman" w:cs="Times New Roman"/>
                    <w:lang w:val="is-IS"/>
                  </w:rPr>
                  <w:t xml:space="preserve">Í upphafi árs 2019 var stöðutökuhlutfall viðskiptabankanna fjögurra 4,85%. 20,7% þess voru vegna eignarhluta í fyrirtækjum í veltubók, 32,8% vegna eignarhluta í fyrirtækjum í fjárfestingabók, 7,7% vegna skuldabréfa í veltubók og 38,8% vegna óbeinna staða, einkum lána til eignarhaldsfélaga. </w:t>
                </w:r>
                <w:bookmarkStart w:id="1" w:name="_Hlk33546822"/>
                <w:r>
                  <w:rPr>
                    <w:rFonts w:ascii="Times New Roman" w:eastAsia="Calibri" w:hAnsi="Times New Roman" w:cs="Times New Roman"/>
                    <w:lang w:val="is-IS"/>
                  </w:rPr>
                  <w:t xml:space="preserve">Nýrri tölfræði liggur ekki enn fyrir, en ekki er talið að </w:t>
                </w:r>
                <w:bookmarkStart w:id="2" w:name="_Hlk33546846"/>
                <w:r>
                  <w:rPr>
                    <w:rFonts w:ascii="Times New Roman" w:eastAsia="Calibri" w:hAnsi="Times New Roman" w:cs="Times New Roman"/>
                    <w:lang w:val="is-IS"/>
                  </w:rPr>
                  <w:t>hlutf</w:t>
                </w:r>
                <w:r w:rsidR="00CF78CB">
                  <w:rPr>
                    <w:rFonts w:ascii="Times New Roman" w:eastAsia="Calibri" w:hAnsi="Times New Roman" w:cs="Times New Roman"/>
                    <w:lang w:val="is-IS"/>
                  </w:rPr>
                  <w:t>all stöðutöku</w:t>
                </w:r>
                <w:r>
                  <w:rPr>
                    <w:rFonts w:ascii="Times New Roman" w:eastAsia="Calibri" w:hAnsi="Times New Roman" w:cs="Times New Roman"/>
                    <w:lang w:val="is-IS"/>
                  </w:rPr>
                  <w:t xml:space="preserve"> </w:t>
                </w:r>
                <w:bookmarkEnd w:id="2"/>
                <w:r>
                  <w:rPr>
                    <w:rFonts w:ascii="Times New Roman" w:eastAsia="Calibri" w:hAnsi="Times New Roman" w:cs="Times New Roman"/>
                    <w:lang w:val="is-IS"/>
                  </w:rPr>
                  <w:t>hafi hækkað.</w:t>
                </w:r>
                <w:bookmarkEnd w:id="1"/>
                <w:r>
                  <w:rPr>
                    <w:rFonts w:ascii="Times New Roman" w:eastAsia="Calibri" w:hAnsi="Times New Roman" w:cs="Times New Roman"/>
                    <w:lang w:val="is-IS"/>
                  </w:rPr>
                  <w:t xml:space="preserve"> </w:t>
                </w:r>
                <w:r w:rsidRPr="006354FD">
                  <w:rPr>
                    <w:rFonts w:ascii="Times New Roman" w:eastAsia="Calibri" w:hAnsi="Times New Roman" w:cs="Times New Roman"/>
                    <w:lang w:val="is-IS"/>
                  </w:rPr>
                  <w:t xml:space="preserve">Ekki hefur verið aflað hliðstæðra gagna vegna sparisjóðanna fjögurra. Þeir starfa aftur á móti allir á afmörkuðu, staðbundnu starfssvæði, sbr. 2. mgr. 14. gr. laga um fjármálafyrirtæki, og hafa því takmarkaðar heimildir til stöðutöku í verðbréfum, sbr. 2. og 4. mgr. 20. gr. laganna. Með tilliti til þessa er talið að frumvarpið raski ekki núverandi starfsemi viðskiptabankanna eða sparisjóðanna, en lögfesting þess getur líkt og fyrr segir haft áhrif á þróunina fram á við. Ekki hefur verið metið hvort samþykkt frumvarpsins hefði áhrif á áform nýrra aðila um að afla leyfa til að taka við innlánum. </w:t>
                </w:r>
              </w:p>
              <w:p w14:paraId="75A56898" w14:textId="77777777" w:rsidR="006354FD" w:rsidRDefault="006354FD" w:rsidP="006354FD">
                <w:pPr>
                  <w:pStyle w:val="ListParagraph"/>
                  <w:spacing w:before="60" w:after="60" w:line="240" w:lineRule="auto"/>
                  <w:jc w:val="both"/>
                  <w:rPr>
                    <w:rFonts w:ascii="Times New Roman" w:eastAsia="Calibri" w:hAnsi="Times New Roman" w:cs="Times New Roman"/>
                    <w:lang w:val="is-IS"/>
                  </w:rPr>
                </w:pPr>
              </w:p>
              <w:p w14:paraId="53952747" w14:textId="2AA61F02" w:rsidR="006354FD" w:rsidRPr="00B11195" w:rsidRDefault="006354FD" w:rsidP="00B11195">
                <w:pPr>
                  <w:pStyle w:val="ListParagraph"/>
                  <w:spacing w:before="60" w:after="60" w:line="240" w:lineRule="auto"/>
                  <w:jc w:val="both"/>
                  <w:rPr>
                    <w:rFonts w:ascii="Times New Roman" w:eastAsia="Calibri" w:hAnsi="Times New Roman" w:cs="Times New Roman"/>
                    <w:lang w:val="is-IS"/>
                  </w:rPr>
                </w:pPr>
                <w:r w:rsidRPr="006354FD">
                  <w:rPr>
                    <w:rFonts w:ascii="Times New Roman" w:eastAsia="Calibri" w:hAnsi="Times New Roman" w:cs="Times New Roman"/>
                    <w:lang w:val="is-IS"/>
                  </w:rPr>
                  <w:t>Samþykkt frumvarpsins getur aukið eftirlitsbyrði viðskiptabanka og sparisjóða. Það kallar á að þeir fylgist betur með umfangi stöðutöku og veiti Fjármálaeftirlitinu þær upplýsingar sem það þarf til að hafa eftirlit með stöðutökunni.</w:t>
                </w:r>
                <w:r>
                  <w:rPr>
                    <w:rFonts w:ascii="Times New Roman" w:eastAsia="Calibri" w:hAnsi="Times New Roman" w:cs="Times New Roman"/>
                    <w:lang w:val="is-IS"/>
                  </w:rPr>
                  <w:t xml:space="preserve"> </w:t>
                </w:r>
              </w:p>
              <w:p w14:paraId="47EE0BD5" w14:textId="77777777" w:rsidR="006354FD" w:rsidRDefault="006354FD" w:rsidP="006354FD">
                <w:pPr>
                  <w:pStyle w:val="ListParagraph"/>
                  <w:spacing w:before="60" w:after="60" w:line="240" w:lineRule="auto"/>
                  <w:jc w:val="both"/>
                  <w:rPr>
                    <w:rFonts w:ascii="Times New Roman" w:eastAsia="Calibri" w:hAnsi="Times New Roman" w:cs="Times New Roman"/>
                    <w:lang w:val="is-IS"/>
                  </w:rPr>
                </w:pPr>
              </w:p>
              <w:p w14:paraId="589DCCC9" w14:textId="1248BC94" w:rsidR="006C33C1" w:rsidRDefault="006C33C1" w:rsidP="006354FD">
                <w:pPr>
                  <w:pStyle w:val="ListParagraph"/>
                  <w:spacing w:before="60" w:after="60" w:line="240" w:lineRule="auto"/>
                  <w:jc w:val="both"/>
                  <w:rPr>
                    <w:rFonts w:ascii="Times New Roman" w:hAnsi="Times New Roman" w:cs="Times New Roman"/>
                    <w:lang w:val="is-IS"/>
                  </w:rPr>
                </w:pPr>
                <w:r w:rsidRPr="006354FD">
                  <w:rPr>
                    <w:rFonts w:ascii="Times New Roman" w:hAnsi="Times New Roman" w:cs="Times New Roman"/>
                    <w:lang w:val="is-IS"/>
                  </w:rPr>
                  <w:t>Ekki hefur verið leitað umsagnar ráðgjafarnefndar um opinberar eftirlitsreglur.</w:t>
                </w:r>
              </w:p>
              <w:p w14:paraId="0B773736" w14:textId="77777777" w:rsidR="006354FD" w:rsidRPr="006354FD" w:rsidRDefault="006354FD" w:rsidP="006354FD">
                <w:pPr>
                  <w:pStyle w:val="ListParagraph"/>
                  <w:spacing w:before="60" w:after="60" w:line="240" w:lineRule="auto"/>
                  <w:jc w:val="both"/>
                  <w:rPr>
                    <w:rFonts w:ascii="Times New Roman" w:eastAsia="Calibri" w:hAnsi="Times New Roman" w:cs="Times New Roman"/>
                    <w:lang w:val="is-IS"/>
                  </w:rPr>
                </w:pPr>
              </w:p>
              <w:p w14:paraId="6A8CE05E" w14:textId="77777777" w:rsidR="009F5B53" w:rsidRPr="004B6CC6" w:rsidRDefault="009F5B53" w:rsidP="00D26ACD">
                <w:pPr>
                  <w:pStyle w:val="ListParagraph"/>
                  <w:numPr>
                    <w:ilvl w:val="0"/>
                    <w:numId w:val="2"/>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Samkeppnisskilyrði</w:t>
                </w:r>
              </w:p>
              <w:p w14:paraId="39886438" w14:textId="4A43992A" w:rsidR="009F5B53" w:rsidRPr="004B6CC6" w:rsidRDefault="009F5B53" w:rsidP="00D26ACD">
                <w:pPr>
                  <w:pStyle w:val="ListParagraph"/>
                  <w:numPr>
                    <w:ilvl w:val="0"/>
                    <w:numId w:val="10"/>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Líkur á því að fjöldi fyrirtækja á markaði takmarkist með beinum hætti vegna reglusetningar (líklegt ef aðgerðin felur í sér einhvers konar einkarétt, leyfiskerfi eða kvóta)</w:t>
                </w:r>
              </w:p>
              <w:p w14:paraId="1E57CF27" w14:textId="666D9E33" w:rsidR="00E11567" w:rsidRPr="004B6CC6" w:rsidRDefault="00E11567" w:rsidP="00D26ACD">
                <w:pPr>
                  <w:pStyle w:val="ListParagraph"/>
                  <w:spacing w:before="60" w:after="60" w:line="240" w:lineRule="auto"/>
                  <w:ind w:left="1080"/>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að samþykkt </w:t>
                </w:r>
                <w:r w:rsidR="00CE5AAD">
                  <w:rPr>
                    <w:rFonts w:ascii="Times New Roman" w:hAnsi="Times New Roman" w:cs="Times New Roman"/>
                    <w:lang w:val="is-IS"/>
                  </w:rPr>
                  <w:t>frumvarpsins</w:t>
                </w:r>
                <w:r w:rsidRPr="004B6CC6">
                  <w:rPr>
                    <w:rFonts w:ascii="Times New Roman" w:hAnsi="Times New Roman" w:cs="Times New Roman"/>
                    <w:lang w:val="is-IS"/>
                  </w:rPr>
                  <w:t xml:space="preserve"> hafi </w:t>
                </w:r>
                <w:r w:rsidR="00120578" w:rsidRPr="004B6CC6">
                  <w:rPr>
                    <w:rFonts w:ascii="Times New Roman" w:hAnsi="Times New Roman" w:cs="Times New Roman"/>
                    <w:lang w:val="is-IS"/>
                  </w:rPr>
                  <w:t xml:space="preserve">bein </w:t>
                </w:r>
                <w:r w:rsidRPr="004B6CC6">
                  <w:rPr>
                    <w:rFonts w:ascii="Times New Roman" w:hAnsi="Times New Roman" w:cs="Times New Roman"/>
                    <w:lang w:val="is-IS"/>
                  </w:rPr>
                  <w:t xml:space="preserve">áhrif á fjölda </w:t>
                </w:r>
                <w:r w:rsidR="00CF78CB">
                  <w:rPr>
                    <w:rFonts w:ascii="Times New Roman" w:hAnsi="Times New Roman" w:cs="Times New Roman"/>
                    <w:lang w:val="is-IS"/>
                  </w:rPr>
                  <w:t>viðskiptabanka eða sparisjóða</w:t>
                </w:r>
                <w:r w:rsidRPr="004B6CC6">
                  <w:rPr>
                    <w:rFonts w:ascii="Times New Roman" w:hAnsi="Times New Roman" w:cs="Times New Roman"/>
                    <w:lang w:val="is-IS"/>
                  </w:rPr>
                  <w:t xml:space="preserve"> á markaði.</w:t>
                </w:r>
              </w:p>
              <w:p w14:paraId="40798BAA" w14:textId="6A0BDD68" w:rsidR="009F5B53" w:rsidRPr="004B6CC6" w:rsidRDefault="009F5B53" w:rsidP="00D26ACD">
                <w:pPr>
                  <w:pStyle w:val="ListParagraph"/>
                  <w:numPr>
                    <w:ilvl w:val="0"/>
                    <w:numId w:val="10"/>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Líkur á því að fyrirtækjum á markaði fækki með óbeinum hætti vegna reglusetningar (líklegt ef aðgerðin felur í sér aukinn kostnað við inngöngu á markað eða tekur aðeins til hluta starfandi fyrirtækja)</w:t>
                </w:r>
              </w:p>
              <w:p w14:paraId="20E491F1" w14:textId="7BBF969A" w:rsidR="00CF78CB" w:rsidRPr="004B6CC6" w:rsidRDefault="00CF78CB" w:rsidP="00D26ACD">
                <w:pPr>
                  <w:pStyle w:val="ListParagraph"/>
                  <w:spacing w:before="60" w:after="60" w:line="240" w:lineRule="auto"/>
                  <w:ind w:left="1080"/>
                  <w:contextualSpacing w:val="0"/>
                  <w:jc w:val="both"/>
                  <w:rPr>
                    <w:rFonts w:ascii="Times New Roman" w:hAnsi="Times New Roman" w:cs="Times New Roman"/>
                    <w:i/>
                    <w:lang w:val="is-IS"/>
                  </w:rPr>
                </w:pPr>
                <w:r w:rsidRPr="006354FD">
                  <w:rPr>
                    <w:rFonts w:ascii="Times New Roman" w:eastAsia="Calibri" w:hAnsi="Times New Roman" w:cs="Times New Roman"/>
                    <w:lang w:val="is-IS"/>
                  </w:rPr>
                  <w:t>Ákvæði frumvarpsins ná til dótturfélaga erlendra viðskiptabanka og sparisjóða hér á landi en taka ekki til erlendra viðskiptabanka eða sparisjóða sem safna innlánum hér á landi í gegnum útibú eða án þess að stofna dótturfélag eða útibú hér á landi. Samþykkt frumvarpsins getur því haft áhrif á samkeppnisstöðu innlendra viðskiptabanka og sparisjóða gagnvart erlendum keppinautum.</w:t>
                </w:r>
              </w:p>
              <w:p w14:paraId="11EFD200" w14:textId="0E9FDBC6" w:rsidR="009F5B53" w:rsidRPr="004B6CC6" w:rsidRDefault="009F5B53" w:rsidP="00D26ACD">
                <w:pPr>
                  <w:pStyle w:val="ListParagraph"/>
                  <w:numPr>
                    <w:ilvl w:val="0"/>
                    <w:numId w:val="10"/>
                  </w:numPr>
                  <w:spacing w:before="60" w:after="60" w:line="240" w:lineRule="auto"/>
                  <w:contextualSpacing w:val="0"/>
                  <w:jc w:val="both"/>
                  <w:rPr>
                    <w:rFonts w:ascii="Times New Roman" w:hAnsi="Times New Roman" w:cs="Times New Roman"/>
                    <w:i/>
                    <w:lang w:val="is-IS"/>
                  </w:rPr>
                </w:pPr>
                <w:r w:rsidRPr="004B6CC6">
                  <w:rPr>
                    <w:rFonts w:ascii="Times New Roman" w:hAnsi="Times New Roman" w:cs="Times New Roman"/>
                    <w:i/>
                    <w:lang w:val="is-IS"/>
                  </w:rPr>
                  <w:t>Takmarkanir á möguleikum fyrirtækja til þess að mæta samkeppni vegna reglusetningar (líklegt ef aðgerðin hefur áhrif á verð fyrirtækja eða eðli vörunnar t.d. staðlar eða ef aðgerðin takmarkar sölusvæði, svigrúm til að auglýsa eða til að ákveða hvernig vara er framleidd</w:t>
                </w:r>
              </w:p>
              <w:p w14:paraId="25BEF946" w14:textId="488EAC17" w:rsidR="00BE4425" w:rsidRPr="004B6CC6" w:rsidRDefault="00CE5AAD" w:rsidP="00D26ACD">
                <w:pPr>
                  <w:pStyle w:val="ListParagraph"/>
                  <w:spacing w:before="60" w:after="60" w:line="240" w:lineRule="auto"/>
                  <w:ind w:left="1080"/>
                  <w:contextualSpacing w:val="0"/>
                  <w:jc w:val="both"/>
                  <w:rPr>
                    <w:rFonts w:ascii="Times New Roman" w:hAnsi="Times New Roman" w:cs="Times New Roman"/>
                    <w:lang w:val="is-IS"/>
                  </w:rPr>
                </w:pPr>
                <w:r>
                  <w:rPr>
                    <w:rFonts w:ascii="Times New Roman" w:hAnsi="Times New Roman" w:cs="Times New Roman"/>
                    <w:lang w:val="is-IS"/>
                  </w:rPr>
                  <w:lastRenderedPageBreak/>
                  <w:t>Frumvarpið</w:t>
                </w:r>
                <w:r w:rsidR="00BE4425" w:rsidRPr="004B6CC6">
                  <w:rPr>
                    <w:rFonts w:ascii="Times New Roman" w:hAnsi="Times New Roman" w:cs="Times New Roman"/>
                    <w:lang w:val="is-IS"/>
                  </w:rPr>
                  <w:t xml:space="preserve"> </w:t>
                </w:r>
                <w:r w:rsidR="00E93D4D">
                  <w:rPr>
                    <w:rFonts w:ascii="Times New Roman" w:hAnsi="Times New Roman" w:cs="Times New Roman"/>
                    <w:lang w:val="is-IS"/>
                  </w:rPr>
                  <w:t>takmarkar heimildir</w:t>
                </w:r>
                <w:r w:rsidR="00BE4425" w:rsidRPr="004B6CC6">
                  <w:rPr>
                    <w:rFonts w:ascii="Times New Roman" w:hAnsi="Times New Roman" w:cs="Times New Roman"/>
                    <w:lang w:val="is-IS"/>
                  </w:rPr>
                  <w:t xml:space="preserve"> viðskiptabanka</w:t>
                </w:r>
                <w:r w:rsidR="00CF78CB">
                  <w:rPr>
                    <w:rFonts w:ascii="Times New Roman" w:hAnsi="Times New Roman" w:cs="Times New Roman"/>
                    <w:lang w:val="is-IS"/>
                  </w:rPr>
                  <w:t xml:space="preserve"> og sparisjóða</w:t>
                </w:r>
                <w:r w:rsidR="00BE4425" w:rsidRPr="004B6CC6">
                  <w:rPr>
                    <w:rFonts w:ascii="Times New Roman" w:hAnsi="Times New Roman" w:cs="Times New Roman"/>
                    <w:lang w:val="is-IS"/>
                  </w:rPr>
                  <w:t xml:space="preserve"> til að stunda fjárfestingarbankastarfsemi og </w:t>
                </w:r>
                <w:r w:rsidR="00F70D1A" w:rsidRPr="004B6CC6">
                  <w:rPr>
                    <w:rFonts w:ascii="Times New Roman" w:hAnsi="Times New Roman" w:cs="Times New Roman"/>
                    <w:lang w:val="is-IS"/>
                  </w:rPr>
                  <w:t xml:space="preserve">samþykkt </w:t>
                </w:r>
                <w:r>
                  <w:rPr>
                    <w:rFonts w:ascii="Times New Roman" w:hAnsi="Times New Roman" w:cs="Times New Roman"/>
                    <w:lang w:val="is-IS"/>
                  </w:rPr>
                  <w:t>þess</w:t>
                </w:r>
                <w:r w:rsidR="00F70D1A" w:rsidRPr="004B6CC6">
                  <w:rPr>
                    <w:rFonts w:ascii="Times New Roman" w:hAnsi="Times New Roman" w:cs="Times New Roman"/>
                    <w:lang w:val="is-IS"/>
                  </w:rPr>
                  <w:t xml:space="preserve"> kann</w:t>
                </w:r>
                <w:r w:rsidR="00BE4425" w:rsidRPr="004B6CC6">
                  <w:rPr>
                    <w:rFonts w:ascii="Times New Roman" w:hAnsi="Times New Roman" w:cs="Times New Roman"/>
                    <w:lang w:val="is-IS"/>
                  </w:rPr>
                  <w:t xml:space="preserve"> því að draga úr getu þeirra til að mæta samkeppni á því sviði.</w:t>
                </w:r>
                <w:r w:rsidR="00913A8C" w:rsidRPr="004B6CC6">
                  <w:rPr>
                    <w:rFonts w:ascii="Times New Roman" w:hAnsi="Times New Roman" w:cs="Times New Roman"/>
                    <w:lang w:val="is-IS"/>
                  </w:rPr>
                  <w:t xml:space="preserve"> Þó er ráðgert að þeir hafi áfram nokkurt svigrúm til stöðutöku. Færsla starfsemi á fleiri hendur kann einnig að auka samkeppni. </w:t>
                </w:r>
              </w:p>
              <w:p w14:paraId="5621DE05" w14:textId="77777777" w:rsidR="00BE4425" w:rsidRPr="004B6CC6" w:rsidRDefault="009F5B53" w:rsidP="00D26ACD">
                <w:pPr>
                  <w:pStyle w:val="ListParagraph"/>
                  <w:numPr>
                    <w:ilvl w:val="0"/>
                    <w:numId w:val="10"/>
                  </w:numPr>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i/>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38580A4A" w14:textId="5E2057C0" w:rsidR="009F5B53" w:rsidRPr="004B6CC6" w:rsidRDefault="00DE2FFC" w:rsidP="00D26ACD">
                <w:pPr>
                  <w:pStyle w:val="ListParagraph"/>
                  <w:spacing w:before="60" w:after="60" w:line="240" w:lineRule="auto"/>
                  <w:ind w:left="1080"/>
                  <w:contextualSpacing w:val="0"/>
                  <w:jc w:val="both"/>
                  <w:rPr>
                    <w:rFonts w:ascii="Times New Roman" w:hAnsi="Times New Roman" w:cs="Times New Roman"/>
                    <w:lang w:val="is-IS"/>
                  </w:rPr>
                </w:pPr>
                <w:r w:rsidRPr="004B6CC6">
                  <w:rPr>
                    <w:rFonts w:ascii="Times New Roman" w:hAnsi="Times New Roman" w:cs="Times New Roman"/>
                    <w:lang w:val="is-IS"/>
                  </w:rPr>
                  <w:t>Takmarkanir</w:t>
                </w:r>
                <w:r w:rsidR="00CE5AAD">
                  <w:rPr>
                    <w:rFonts w:ascii="Times New Roman" w:hAnsi="Times New Roman" w:cs="Times New Roman"/>
                    <w:lang w:val="is-IS"/>
                  </w:rPr>
                  <w:t>nar</w:t>
                </w:r>
                <w:r w:rsidRPr="004B6CC6">
                  <w:rPr>
                    <w:rFonts w:ascii="Times New Roman" w:hAnsi="Times New Roman" w:cs="Times New Roman"/>
                    <w:lang w:val="is-IS"/>
                  </w:rPr>
                  <w:t xml:space="preserve"> eru ekki taldar draga úr hvata fyrirtækja til virk</w:t>
                </w:r>
                <w:r w:rsidR="00916617" w:rsidRPr="004B6CC6">
                  <w:rPr>
                    <w:rFonts w:ascii="Times New Roman" w:hAnsi="Times New Roman" w:cs="Times New Roman"/>
                    <w:lang w:val="is-IS"/>
                  </w:rPr>
                  <w:t>rar</w:t>
                </w:r>
                <w:r w:rsidRPr="004B6CC6">
                  <w:rPr>
                    <w:rFonts w:ascii="Times New Roman" w:hAnsi="Times New Roman" w:cs="Times New Roman"/>
                    <w:lang w:val="is-IS"/>
                  </w:rPr>
                  <w:t xml:space="preserve"> </w:t>
                </w:r>
                <w:r w:rsidR="00A348BF" w:rsidRPr="004B6CC6">
                  <w:rPr>
                    <w:rFonts w:ascii="Times New Roman" w:hAnsi="Times New Roman" w:cs="Times New Roman"/>
                    <w:lang w:val="is-IS"/>
                  </w:rPr>
                  <w:t>samkeppni</w:t>
                </w:r>
                <w:r w:rsidRPr="004B6CC6">
                  <w:rPr>
                    <w:rFonts w:ascii="Times New Roman" w:hAnsi="Times New Roman" w:cs="Times New Roman"/>
                    <w:lang w:val="is-IS"/>
                  </w:rPr>
                  <w:t xml:space="preserve"> umfram það sem </w:t>
                </w:r>
                <w:r w:rsidR="00834818" w:rsidRPr="004B6CC6">
                  <w:rPr>
                    <w:rFonts w:ascii="Times New Roman" w:hAnsi="Times New Roman" w:cs="Times New Roman"/>
                    <w:lang w:val="is-IS"/>
                  </w:rPr>
                  <w:t xml:space="preserve">greinir </w:t>
                </w:r>
                <w:r w:rsidRPr="004B6CC6">
                  <w:rPr>
                    <w:rFonts w:ascii="Times New Roman" w:hAnsi="Times New Roman" w:cs="Times New Roman"/>
                    <w:lang w:val="is-IS"/>
                  </w:rPr>
                  <w:t xml:space="preserve">í </w:t>
                </w:r>
                <w:r w:rsidR="00A113C5" w:rsidRPr="004B6CC6">
                  <w:rPr>
                    <w:rFonts w:ascii="Times New Roman" w:hAnsi="Times New Roman" w:cs="Times New Roman"/>
                    <w:lang w:val="is-IS"/>
                  </w:rPr>
                  <w:t xml:space="preserve">C.3.b og </w:t>
                </w:r>
                <w:r w:rsidRPr="004B6CC6">
                  <w:rPr>
                    <w:rFonts w:ascii="Times New Roman" w:hAnsi="Times New Roman" w:cs="Times New Roman"/>
                    <w:lang w:val="is-IS"/>
                  </w:rPr>
                  <w:t>C.3.c.</w:t>
                </w:r>
              </w:p>
            </w:sdtContent>
          </w:sdt>
        </w:tc>
      </w:tr>
      <w:tr w:rsidR="009F5B53" w:rsidRPr="004B6CC6" w14:paraId="057411A9" w14:textId="77777777" w:rsidTr="007414CB">
        <w:tc>
          <w:tcPr>
            <w:tcW w:w="9288" w:type="dxa"/>
            <w:shd w:val="clear" w:color="auto" w:fill="9CC2E5" w:themeFill="accent5" w:themeFillTint="99"/>
          </w:tcPr>
          <w:p w14:paraId="321C5EF8" w14:textId="77777777" w:rsidR="009F5B53" w:rsidRPr="004B6CC6" w:rsidRDefault="009F5B53" w:rsidP="00D26AC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4B6CC6">
              <w:rPr>
                <w:rFonts w:ascii="Times New Roman" w:hAnsi="Times New Roman" w:cs="Times New Roman"/>
                <w:b/>
                <w:lang w:val="is-IS"/>
              </w:rPr>
              <w:lastRenderedPageBreak/>
              <w:t>Önnur áhrif</w:t>
            </w:r>
          </w:p>
        </w:tc>
      </w:tr>
      <w:tr w:rsidR="009F5B53" w:rsidRPr="004B6CC6" w14:paraId="226A7723"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 w14:paraId="50D63166" w14:textId="77777777"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b/>
                    <w:lang w:val="is-IS"/>
                  </w:rPr>
                  <w:t>Áhrif á fjárhag sveitarfélaga, sbr. 129. gr. sveitarstjórnarlaga, nr. 138/2011</w:t>
                </w:r>
              </w:p>
              <w:p w14:paraId="4431E7F4" w14:textId="42CF2098" w:rsidR="009F5B53" w:rsidRPr="004B6CC6" w:rsidRDefault="00E93310" w:rsidP="00D26ACD">
                <w:pPr>
                  <w:pStyle w:val="ListParagraph"/>
                  <w:spacing w:before="60" w:after="60"/>
                  <w:contextualSpacing w:val="0"/>
                  <w:jc w:val="both"/>
                  <w:rPr>
                    <w:rFonts w:ascii="Times New Roman" w:hAnsi="Times New Roman" w:cs="Times New Roman"/>
                    <w:lang w:val="is-IS"/>
                  </w:rPr>
                </w:pPr>
                <w:r w:rsidRPr="004B6CC6">
                  <w:rPr>
                    <w:rFonts w:ascii="Times New Roman" w:hAnsi="Times New Roman" w:cs="Times New Roman"/>
                    <w:lang w:val="is-IS"/>
                  </w:rPr>
                  <w:t>Ekki er gert ráð fyrir áhrifum á fjárhag sveitarfélaga.</w:t>
                </w:r>
              </w:p>
              <w:p w14:paraId="499C4392" w14:textId="77777777"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b/>
                    <w:lang w:val="is-IS"/>
                  </w:rPr>
                  <w:t>Áhrif á frelsi til að veita þjónustu (með eða án staðfestu á Íslandi)</w:t>
                </w:r>
              </w:p>
              <w:p w14:paraId="0AD92045" w14:textId="56DE0063" w:rsidR="009F5B53" w:rsidRPr="004B6CC6" w:rsidRDefault="00CE5AAD" w:rsidP="008A4CC5">
                <w:pPr>
                  <w:pStyle w:val="ListParagraph"/>
                  <w:spacing w:before="60" w:after="60" w:line="240" w:lineRule="auto"/>
                  <w:contextualSpacing w:val="0"/>
                  <w:jc w:val="both"/>
                  <w:rPr>
                    <w:rFonts w:ascii="Times New Roman" w:hAnsi="Times New Roman" w:cs="Times New Roman"/>
                    <w:lang w:val="is-IS"/>
                  </w:rPr>
                </w:pPr>
                <w:r w:rsidRPr="00CE5AAD">
                  <w:rPr>
                    <w:rFonts w:ascii="Times New Roman" w:hAnsi="Times New Roman" w:cs="Times New Roman"/>
                    <w:lang w:val="is-IS"/>
                  </w:rPr>
                  <w:t>Frumvarpið varðar fjármálaþjónustu sem fellur undir 3. kafla III. hluta samningsins um Evrópska efnahagssvæðið, sbr. einnig IX. viðauka samningsins. Ekki verður séð að það brjóti í bága við samninginn, enda takmarkar það ekki heimild aðila frá öðrum ríkjum á Evrópska efnahagssvæðinu til að veita fjármálaþjónustu hér á landi og gengur ekki í berhögg við gerðir sem teknar hafa verið upp í samninginn. Í 122. aðfararorði reglugerðar (ESB) nr. 575/2013 um varfærniskröfur að því er varðar lánastofnanir og verðbréfafyrirtæki er þannig sérstaklega tekið fram að engin ákvæði í núverandi regluramma eigi að koma í veg fyrir ráðstafanir til að aðgreina viðskipta- og fjárfestingarbankastarfsemi innan sömu bankasamstæðu. Nokkur ríki á Evrópska efnahagssvæðinu hafa þegar gripið til svipaðra ráðstafana.</w:t>
                </w:r>
              </w:p>
              <w:p w14:paraId="46B79D94" w14:textId="77777777"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b/>
                    <w:lang w:val="is-IS"/>
                  </w:rPr>
                  <w:t xml:space="preserve">Áhrif á tæknilegar reglur um vöru og fjarþjónustu, sbr. lög nr. 57/2000  </w:t>
                </w:r>
              </w:p>
              <w:p w14:paraId="0D251E8B" w14:textId="6D3CFAE0" w:rsidR="009F5B53" w:rsidRPr="004B6CC6" w:rsidRDefault="002E0A33" w:rsidP="00D26ACD">
                <w:pPr>
                  <w:pStyle w:val="ListParagraph"/>
                  <w:spacing w:before="60" w:after="60"/>
                  <w:contextualSpacing w:val="0"/>
                  <w:jc w:val="both"/>
                  <w:rPr>
                    <w:rFonts w:ascii="Times New Roman" w:hAnsi="Times New Roman" w:cs="Times New Roman"/>
                    <w:lang w:val="is-IS"/>
                  </w:rPr>
                </w:pPr>
                <w:r w:rsidRPr="004B6CC6">
                  <w:rPr>
                    <w:rFonts w:ascii="Times New Roman" w:hAnsi="Times New Roman" w:cs="Times New Roman"/>
                    <w:lang w:val="is-IS"/>
                  </w:rPr>
                  <w:t>Á ekki við.</w:t>
                </w:r>
              </w:p>
              <w:p w14:paraId="641183ED" w14:textId="6A000091"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byggðalög</w:t>
                </w:r>
              </w:p>
              <w:p w14:paraId="1D229890" w14:textId="43D3D361" w:rsidR="002E0A33" w:rsidRPr="004B6CC6" w:rsidRDefault="001C4CE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Ekki er gert ráð fyrir</w:t>
                </w:r>
                <w:r w:rsidR="002E0A33" w:rsidRPr="004B6CC6">
                  <w:rPr>
                    <w:rFonts w:ascii="Times New Roman" w:hAnsi="Times New Roman" w:cs="Times New Roman"/>
                    <w:lang w:val="is-IS"/>
                  </w:rPr>
                  <w:t xml:space="preserve"> áhrif</w:t>
                </w:r>
                <w:r w:rsidRPr="004B6CC6">
                  <w:rPr>
                    <w:rFonts w:ascii="Times New Roman" w:hAnsi="Times New Roman" w:cs="Times New Roman"/>
                    <w:lang w:val="is-IS"/>
                  </w:rPr>
                  <w:t>um</w:t>
                </w:r>
                <w:r w:rsidR="002E0A33" w:rsidRPr="004B6CC6">
                  <w:rPr>
                    <w:rFonts w:ascii="Times New Roman" w:hAnsi="Times New Roman" w:cs="Times New Roman"/>
                    <w:lang w:val="is-IS"/>
                  </w:rPr>
                  <w:t xml:space="preserve"> á byggðalög.</w:t>
                </w:r>
              </w:p>
              <w:p w14:paraId="0EFEF53D" w14:textId="26DB1D22"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frjáls félagasamtök</w:t>
                </w:r>
              </w:p>
              <w:p w14:paraId="3EF96696" w14:textId="4FA6EB60" w:rsidR="002E0A33" w:rsidRPr="004B6CC6" w:rsidRDefault="001C4CE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áhrifum </w:t>
                </w:r>
                <w:r w:rsidR="002E0A33" w:rsidRPr="004B6CC6">
                  <w:rPr>
                    <w:rFonts w:ascii="Times New Roman" w:hAnsi="Times New Roman" w:cs="Times New Roman"/>
                    <w:lang w:val="is-IS"/>
                  </w:rPr>
                  <w:t>á</w:t>
                </w:r>
                <w:r w:rsidR="00461E5A" w:rsidRPr="004B6CC6">
                  <w:rPr>
                    <w:rFonts w:ascii="Times New Roman" w:hAnsi="Times New Roman" w:cs="Times New Roman"/>
                    <w:lang w:val="is-IS"/>
                  </w:rPr>
                  <w:t xml:space="preserve"> frjáls</w:t>
                </w:r>
                <w:r w:rsidR="002E0A33" w:rsidRPr="004B6CC6">
                  <w:rPr>
                    <w:rFonts w:ascii="Times New Roman" w:hAnsi="Times New Roman" w:cs="Times New Roman"/>
                    <w:lang w:val="is-IS"/>
                  </w:rPr>
                  <w:t xml:space="preserve"> félagasamtök.</w:t>
                </w:r>
              </w:p>
              <w:p w14:paraId="6612EC57" w14:textId="77777777"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jafnrétti kynjanna</w:t>
                </w:r>
              </w:p>
              <w:p w14:paraId="7F01B4DF" w14:textId="17FFD998" w:rsidR="009F5B53" w:rsidRPr="004B6CC6" w:rsidRDefault="001C4CE4" w:rsidP="00D26ACD">
                <w:pPr>
                  <w:pStyle w:val="ListParagraph"/>
                  <w:spacing w:before="60" w:after="60"/>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áhrifum </w:t>
                </w:r>
                <w:r w:rsidR="002E0A33" w:rsidRPr="004B6CC6">
                  <w:rPr>
                    <w:rFonts w:ascii="Times New Roman" w:hAnsi="Times New Roman" w:cs="Times New Roman"/>
                    <w:lang w:val="is-IS"/>
                  </w:rPr>
                  <w:t>á jafnrétti kynjanna.</w:t>
                </w:r>
              </w:p>
              <w:p w14:paraId="7F84C518" w14:textId="15E98ADA"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a lýðheilsu</w:t>
                </w:r>
              </w:p>
              <w:p w14:paraId="3B808218" w14:textId="51A0ADB2" w:rsidR="002E0A33" w:rsidRPr="004B6CC6" w:rsidRDefault="001C4CE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áhrifum </w:t>
                </w:r>
                <w:r w:rsidR="002E0A33" w:rsidRPr="004B6CC6">
                  <w:rPr>
                    <w:rFonts w:ascii="Times New Roman" w:hAnsi="Times New Roman" w:cs="Times New Roman"/>
                    <w:lang w:val="is-IS"/>
                  </w:rPr>
                  <w:t>á lýðheilsu.</w:t>
                </w:r>
              </w:p>
              <w:p w14:paraId="238A341D" w14:textId="3EC8011F"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menntun, nýsköpun og rannsóknir</w:t>
                </w:r>
              </w:p>
              <w:p w14:paraId="19DFCF8D" w14:textId="1C346E1E" w:rsidR="002E0A33" w:rsidRPr="004B6CC6" w:rsidRDefault="001C4CE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áhrifum </w:t>
                </w:r>
                <w:r w:rsidR="002E0A33" w:rsidRPr="004B6CC6">
                  <w:rPr>
                    <w:rFonts w:ascii="Times New Roman" w:hAnsi="Times New Roman" w:cs="Times New Roman"/>
                    <w:lang w:val="is-IS"/>
                  </w:rPr>
                  <w:t>á menntun, nýsköpun og rannsóknir.</w:t>
                </w:r>
              </w:p>
              <w:p w14:paraId="07FE02E6" w14:textId="6CEFA95F"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möguleika einstaklinga og fyrirtækja til að eiga samskipti þvert á norræn landamæri</w:t>
                </w:r>
              </w:p>
              <w:p w14:paraId="4141895D" w14:textId="22713052" w:rsidR="002E0A33" w:rsidRPr="004B6CC6" w:rsidRDefault="001C4CE4" w:rsidP="00D26ACD">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t>Ekki er gert ráð fyrir áhrifum</w:t>
                </w:r>
                <w:r w:rsidR="002E0A33" w:rsidRPr="004B6CC6">
                  <w:rPr>
                    <w:rFonts w:ascii="Times New Roman" w:hAnsi="Times New Roman" w:cs="Times New Roman"/>
                    <w:lang w:val="is-IS"/>
                  </w:rPr>
                  <w:t xml:space="preserve"> á möguleika einstaklinga og fyrirtækja til að eiga samskipti þvert á norræn landamæri.</w:t>
                </w:r>
              </w:p>
              <w:p w14:paraId="36C1D42C" w14:textId="7A7EC9B3"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stjórnsýslu, s.s. hvort ráðuneyti og stofnanir eru í stakk búin til að taka við verkefni</w:t>
                </w:r>
              </w:p>
              <w:p w14:paraId="6D0CDBD3" w14:textId="187C27F4" w:rsidR="002E0A33" w:rsidRPr="004B6CC6" w:rsidRDefault="002E0A33"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Gert er ráð fyrir að</w:t>
                </w:r>
                <w:r w:rsidR="00BB1596" w:rsidRPr="004B6CC6">
                  <w:rPr>
                    <w:rFonts w:ascii="Times New Roman" w:hAnsi="Times New Roman" w:cs="Times New Roman"/>
                    <w:lang w:val="is-IS"/>
                  </w:rPr>
                  <w:t xml:space="preserve"> Fjármálaeftirlitið hafi</w:t>
                </w:r>
                <w:r w:rsidRPr="004B6CC6">
                  <w:rPr>
                    <w:rFonts w:ascii="Times New Roman" w:hAnsi="Times New Roman" w:cs="Times New Roman"/>
                    <w:lang w:val="is-IS"/>
                  </w:rPr>
                  <w:t xml:space="preserve"> eftirlit með áformuðum takmörkunum. Eftirlitið fellur vel að öðrum eftirlitsverkefnum stofnunarinnar.</w:t>
                </w:r>
              </w:p>
              <w:p w14:paraId="44F572AD" w14:textId="3258754D" w:rsidR="009F5B53"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Áhrif á stöðu tiltekinna þjóðfélagshópa, s.s. aldurshópa, tekjuhópa, mismunandi fjölskyldugerðir, launþega</w:t>
                </w:r>
                <w:r w:rsidRPr="004B6CC6">
                  <w:rPr>
                    <w:rFonts w:ascii="Times New Roman" w:hAnsi="Times New Roman" w:cs="Times New Roman"/>
                    <w:b/>
                    <w:color w:val="FF0000"/>
                    <w:lang w:val="is-IS"/>
                  </w:rPr>
                  <w:t>/</w:t>
                </w:r>
                <w:r w:rsidRPr="004B6CC6">
                  <w:rPr>
                    <w:rFonts w:ascii="Times New Roman" w:hAnsi="Times New Roman" w:cs="Times New Roman"/>
                    <w:b/>
                    <w:lang w:val="is-IS"/>
                  </w:rPr>
                  <w:t>sjálfstætt starfandi</w:t>
                </w:r>
                <w:r w:rsidRPr="004B6CC6">
                  <w:rPr>
                    <w:rFonts w:ascii="Times New Roman" w:hAnsi="Times New Roman" w:cs="Times New Roman"/>
                    <w:b/>
                    <w:color w:val="FF0000"/>
                    <w:lang w:val="is-IS"/>
                  </w:rPr>
                  <w:t>/</w:t>
                </w:r>
                <w:r w:rsidRPr="004B6CC6">
                  <w:rPr>
                    <w:rFonts w:ascii="Times New Roman" w:hAnsi="Times New Roman" w:cs="Times New Roman"/>
                    <w:b/>
                    <w:lang w:val="is-IS"/>
                  </w:rPr>
                  <w:t>utan vinnumarkaðar</w:t>
                </w:r>
              </w:p>
              <w:p w14:paraId="0698C652" w14:textId="6B576ED6" w:rsidR="00AF0674" w:rsidRPr="004B6CC6" w:rsidRDefault="001C4CE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 xml:space="preserve">Ekki er gert ráð fyrir áhrifum </w:t>
                </w:r>
                <w:r w:rsidR="00AF0674" w:rsidRPr="004B6CC6">
                  <w:rPr>
                    <w:rFonts w:ascii="Times New Roman" w:hAnsi="Times New Roman" w:cs="Times New Roman"/>
                    <w:lang w:val="is-IS"/>
                  </w:rPr>
                  <w:t>á stöðu tiltekinna þjóðfélagshópa.</w:t>
                </w:r>
              </w:p>
              <w:p w14:paraId="1E9FB72E" w14:textId="77777777" w:rsidR="00AF0674" w:rsidRPr="004B6CC6" w:rsidRDefault="009F5B53" w:rsidP="00D26ACD">
                <w:pPr>
                  <w:pStyle w:val="ListParagraph"/>
                  <w:numPr>
                    <w:ilvl w:val="0"/>
                    <w:numId w:val="6"/>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Áhrif á umhverfi og sjálfbæra þróun </w:t>
                </w:r>
              </w:p>
              <w:p w14:paraId="173D36C2" w14:textId="1443F8AA" w:rsidR="009F5B53" w:rsidRPr="004B6CC6" w:rsidRDefault="001C4CE4" w:rsidP="00D26ACD">
                <w:pPr>
                  <w:pStyle w:val="ListParagraph"/>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lang w:val="is-IS"/>
                  </w:rPr>
                  <w:lastRenderedPageBreak/>
                  <w:t xml:space="preserve">Ekki er gert ráð fyrir áhrifum </w:t>
                </w:r>
                <w:r w:rsidR="00AF0674" w:rsidRPr="004B6CC6">
                  <w:rPr>
                    <w:rFonts w:ascii="Times New Roman" w:hAnsi="Times New Roman" w:cs="Times New Roman"/>
                    <w:lang w:val="is-IS"/>
                  </w:rPr>
                  <w:t>á umhverfi og sjálfbæra þróun.</w:t>
                </w:r>
              </w:p>
            </w:sdtContent>
          </w:sdt>
        </w:tc>
      </w:tr>
      <w:tr w:rsidR="009F5B53" w:rsidRPr="004B6CC6" w14:paraId="049E0F77" w14:textId="77777777" w:rsidTr="007414CB">
        <w:tc>
          <w:tcPr>
            <w:tcW w:w="9288" w:type="dxa"/>
            <w:shd w:val="clear" w:color="auto" w:fill="9CC2E5" w:themeFill="accent5" w:themeFillTint="99"/>
          </w:tcPr>
          <w:p w14:paraId="69693834" w14:textId="1C663011" w:rsidR="009F5B53" w:rsidRPr="004B6CC6" w:rsidRDefault="009F5B53" w:rsidP="00D26ACD">
            <w:pPr>
              <w:pStyle w:val="ListParagraph"/>
              <w:numPr>
                <w:ilvl w:val="0"/>
                <w:numId w:val="1"/>
              </w:numPr>
              <w:spacing w:before="60" w:after="60" w:line="240" w:lineRule="auto"/>
              <w:ind w:left="426" w:hanging="284"/>
              <w:jc w:val="both"/>
              <w:rPr>
                <w:rFonts w:ascii="Times New Roman" w:hAnsi="Times New Roman" w:cs="Times New Roman"/>
                <w:b/>
                <w:color w:val="FFFFFF" w:themeColor="background1"/>
                <w:lang w:val="is-IS"/>
              </w:rPr>
            </w:pPr>
            <w:r w:rsidRPr="004B6CC6">
              <w:rPr>
                <w:rFonts w:ascii="Times New Roman" w:hAnsi="Times New Roman" w:cs="Times New Roman"/>
                <w:b/>
                <w:lang w:val="is-IS"/>
              </w:rPr>
              <w:lastRenderedPageBreak/>
              <w:t>Niðurstaða mats – með vísun í fylgiskjöl ef við á</w:t>
            </w:r>
          </w:p>
        </w:tc>
      </w:tr>
      <w:tr w:rsidR="009F5B53" w:rsidRPr="004B6CC6" w14:paraId="6BF1329D"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 w14:paraId="3EC40346" w14:textId="5236AA40" w:rsidR="009F5B53" w:rsidRPr="004B6CC6" w:rsidRDefault="009F5B53" w:rsidP="00D26ACD">
                <w:pPr>
                  <w:pStyle w:val="ListParagraph"/>
                  <w:numPr>
                    <w:ilvl w:val="0"/>
                    <w:numId w:val="5"/>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Samandregin niðurstaða fjárhagsáhrifa fyrir ríkissjóð – heildarútkoma varðandi tekjur, gjöld, afkomu og efnahag  </w:t>
                </w:r>
              </w:p>
              <w:p w14:paraId="162E4BAB" w14:textId="3E7C189A" w:rsidR="00752064" w:rsidRPr="004B6CC6" w:rsidRDefault="0075206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Ekki er gert ráð fyrir áhrifum á fjárhag ríkissjóðs.</w:t>
                </w:r>
              </w:p>
              <w:p w14:paraId="00BE735E" w14:textId="39C89E11" w:rsidR="009F5B53" w:rsidRPr="004B6CC6" w:rsidRDefault="009F5B53" w:rsidP="00D26ACD">
                <w:pPr>
                  <w:pStyle w:val="ListParagraph"/>
                  <w:numPr>
                    <w:ilvl w:val="0"/>
                    <w:numId w:val="5"/>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Önnur áhrif en bein fjárhagsáhrif, álitamál eða fyrirvarar sem ástæða þykir til að vekja athygli á </w:t>
                </w:r>
              </w:p>
              <w:p w14:paraId="6064CF03" w14:textId="4C5620B9" w:rsidR="00752064" w:rsidRPr="004B6CC6" w:rsidRDefault="00752064" w:rsidP="00D26ACD">
                <w:pPr>
                  <w:pStyle w:val="ListParagraph"/>
                  <w:spacing w:before="60" w:after="60" w:line="240" w:lineRule="auto"/>
                  <w:contextualSpacing w:val="0"/>
                  <w:jc w:val="both"/>
                  <w:rPr>
                    <w:rFonts w:ascii="Times New Roman" w:hAnsi="Times New Roman" w:cs="Times New Roman"/>
                    <w:lang w:val="is-IS"/>
                  </w:rPr>
                </w:pPr>
                <w:r w:rsidRPr="004B6CC6">
                  <w:rPr>
                    <w:rFonts w:ascii="Times New Roman" w:hAnsi="Times New Roman" w:cs="Times New Roman"/>
                    <w:lang w:val="is-IS"/>
                  </w:rPr>
                  <w:t>Nei.</w:t>
                </w:r>
              </w:p>
              <w:p w14:paraId="77C41641" w14:textId="77777777" w:rsidR="004D41C3" w:rsidRPr="004B6CC6" w:rsidRDefault="009F5B53" w:rsidP="00D26ACD">
                <w:pPr>
                  <w:pStyle w:val="ListParagraph"/>
                  <w:numPr>
                    <w:ilvl w:val="0"/>
                    <w:numId w:val="5"/>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Samfélagslegur ávinningur veginn á móti kostnaði og fyrirhöfn (ekki gerð krafa um tölulegt mat)</w:t>
                </w:r>
              </w:p>
              <w:p w14:paraId="255C95F2" w14:textId="1DC1AEC2" w:rsidR="009F5B53" w:rsidRPr="004B6CC6" w:rsidRDefault="00CE5AAD" w:rsidP="00D26ACD">
                <w:pPr>
                  <w:pStyle w:val="ListParagraph"/>
                  <w:spacing w:before="60" w:after="60" w:line="240" w:lineRule="auto"/>
                  <w:contextualSpacing w:val="0"/>
                  <w:jc w:val="both"/>
                  <w:rPr>
                    <w:rFonts w:ascii="Times New Roman" w:hAnsi="Times New Roman" w:cs="Times New Roman"/>
                    <w:lang w:val="is-IS"/>
                  </w:rPr>
                </w:pPr>
                <w:r>
                  <w:rPr>
                    <w:rFonts w:ascii="Times New Roman" w:hAnsi="Times New Roman" w:cs="Times New Roman"/>
                    <w:lang w:val="is-IS"/>
                  </w:rPr>
                  <w:t>Frumvarpið</w:t>
                </w:r>
                <w:r w:rsidR="00BB1596" w:rsidRPr="004B6CC6">
                  <w:rPr>
                    <w:rFonts w:ascii="Times New Roman" w:hAnsi="Times New Roman" w:cs="Times New Roman"/>
                    <w:lang w:val="is-IS"/>
                  </w:rPr>
                  <w:t xml:space="preserve"> fel</w:t>
                </w:r>
                <w:r>
                  <w:rPr>
                    <w:rFonts w:ascii="Times New Roman" w:hAnsi="Times New Roman" w:cs="Times New Roman"/>
                    <w:lang w:val="is-IS"/>
                  </w:rPr>
                  <w:t>ur</w:t>
                </w:r>
                <w:r w:rsidR="00BB1596" w:rsidRPr="004B6CC6">
                  <w:rPr>
                    <w:rFonts w:ascii="Times New Roman" w:hAnsi="Times New Roman" w:cs="Times New Roman"/>
                    <w:lang w:val="is-IS"/>
                  </w:rPr>
                  <w:t xml:space="preserve"> í sér að hömlur verði settar á vöxt fjárfestingarbankastarfsemi </w:t>
                </w:r>
                <w:r w:rsidR="00CF78CB">
                  <w:rPr>
                    <w:rFonts w:ascii="Times New Roman" w:hAnsi="Times New Roman" w:cs="Times New Roman"/>
                    <w:lang w:val="is-IS"/>
                  </w:rPr>
                  <w:t>viðskiptabanka og sparisjóða</w:t>
                </w:r>
                <w:r w:rsidR="00BB1596" w:rsidRPr="004B6CC6">
                  <w:rPr>
                    <w:rFonts w:ascii="Times New Roman" w:hAnsi="Times New Roman" w:cs="Times New Roman"/>
                    <w:lang w:val="is-IS"/>
                  </w:rPr>
                  <w:t xml:space="preserve"> en að </w:t>
                </w:r>
                <w:r w:rsidR="00CF78CB">
                  <w:rPr>
                    <w:rFonts w:ascii="Times New Roman" w:hAnsi="Times New Roman" w:cs="Times New Roman"/>
                    <w:lang w:val="is-IS"/>
                  </w:rPr>
                  <w:t>stofnanirnar</w:t>
                </w:r>
                <w:r w:rsidR="00BB1596" w:rsidRPr="004B6CC6">
                  <w:rPr>
                    <w:rFonts w:ascii="Times New Roman" w:hAnsi="Times New Roman" w:cs="Times New Roman"/>
                    <w:lang w:val="is-IS"/>
                  </w:rPr>
                  <w:t xml:space="preserve"> hafi þó áfram nokkurt svigrúm til stöðutöku til að veita þjónustu á borð við viðskiptavakt. </w:t>
                </w:r>
                <w:r>
                  <w:rPr>
                    <w:rFonts w:ascii="Times New Roman" w:hAnsi="Times New Roman" w:cs="Times New Roman"/>
                    <w:lang w:val="is-IS"/>
                  </w:rPr>
                  <w:t>Það</w:t>
                </w:r>
                <w:r w:rsidR="00BB1596" w:rsidRPr="004B6CC6">
                  <w:rPr>
                    <w:rFonts w:ascii="Times New Roman" w:hAnsi="Times New Roman" w:cs="Times New Roman"/>
                    <w:lang w:val="is-IS"/>
                  </w:rPr>
                  <w:t xml:space="preserve"> er ekki tali</w:t>
                </w:r>
                <w:r>
                  <w:rPr>
                    <w:rFonts w:ascii="Times New Roman" w:hAnsi="Times New Roman" w:cs="Times New Roman"/>
                    <w:lang w:val="is-IS"/>
                  </w:rPr>
                  <w:t>ð</w:t>
                </w:r>
                <w:r w:rsidR="00BB1596" w:rsidRPr="004B6CC6">
                  <w:rPr>
                    <w:rFonts w:ascii="Times New Roman" w:hAnsi="Times New Roman" w:cs="Times New Roman"/>
                    <w:lang w:val="is-IS"/>
                  </w:rPr>
                  <w:t xml:space="preserve"> kalla á breytingar á núverandi skipulagi </w:t>
                </w:r>
                <w:r w:rsidR="00CF78CB">
                  <w:rPr>
                    <w:rFonts w:ascii="Times New Roman" w:hAnsi="Times New Roman" w:cs="Times New Roman"/>
                    <w:lang w:val="is-IS"/>
                  </w:rPr>
                  <w:t>viðskiptabanka eða sparisjóða</w:t>
                </w:r>
                <w:r w:rsidR="00BB1596" w:rsidRPr="004B6CC6">
                  <w:rPr>
                    <w:rFonts w:ascii="Times New Roman" w:hAnsi="Times New Roman" w:cs="Times New Roman"/>
                    <w:lang w:val="is-IS"/>
                  </w:rPr>
                  <w:t xml:space="preserve">. Því er talið að </w:t>
                </w:r>
                <w:r>
                  <w:rPr>
                    <w:rFonts w:ascii="Times New Roman" w:hAnsi="Times New Roman" w:cs="Times New Roman"/>
                    <w:lang w:val="is-IS"/>
                  </w:rPr>
                  <w:t>það</w:t>
                </w:r>
                <w:r w:rsidR="00BB1596" w:rsidRPr="004B6CC6">
                  <w:rPr>
                    <w:rFonts w:ascii="Times New Roman" w:hAnsi="Times New Roman" w:cs="Times New Roman"/>
                    <w:lang w:val="is-IS"/>
                  </w:rPr>
                  <w:t xml:space="preserve"> nái markmiðum sínum án verulegs kostnaðar.</w:t>
                </w:r>
              </w:p>
            </w:sdtContent>
          </w:sdt>
        </w:tc>
      </w:tr>
      <w:tr w:rsidR="009F5B53" w:rsidRPr="004B6CC6" w14:paraId="01BC8950" w14:textId="77777777" w:rsidTr="00EB6651">
        <w:tc>
          <w:tcPr>
            <w:tcW w:w="9288" w:type="dxa"/>
            <w:shd w:val="clear" w:color="auto" w:fill="9CC2E5" w:themeFill="accent5" w:themeFillTint="99"/>
          </w:tcPr>
          <w:p w14:paraId="1F2FA43D" w14:textId="77777777" w:rsidR="009F5B53" w:rsidRPr="004B6CC6" w:rsidRDefault="009F5B53" w:rsidP="00D26ACD">
            <w:pPr>
              <w:pStyle w:val="ListParagraph"/>
              <w:numPr>
                <w:ilvl w:val="0"/>
                <w:numId w:val="1"/>
              </w:numPr>
              <w:spacing w:before="60" w:after="60" w:line="240" w:lineRule="auto"/>
              <w:ind w:left="426" w:hanging="284"/>
              <w:jc w:val="both"/>
              <w:rPr>
                <w:rFonts w:ascii="Times New Roman" w:hAnsi="Times New Roman" w:cs="Times New Roman"/>
                <w:b/>
                <w:lang w:val="is-IS"/>
              </w:rPr>
            </w:pPr>
            <w:r w:rsidRPr="004B6CC6">
              <w:rPr>
                <w:rFonts w:ascii="Times New Roman" w:hAnsi="Times New Roman" w:cs="Times New Roman"/>
                <w:b/>
                <w:lang w:val="is-IS"/>
              </w:rPr>
              <w:t>Til útfyllingar vegna endanlegs mats – breytingar frá frummati</w:t>
            </w:r>
          </w:p>
        </w:tc>
      </w:tr>
      <w:tr w:rsidR="009F5B53" w:rsidRPr="004B6CC6" w14:paraId="2C966231" w14:textId="77777777" w:rsidTr="00EB6651">
        <w:tc>
          <w:tcPr>
            <w:tcW w:w="9288" w:type="dxa"/>
          </w:tcPr>
          <w:sdt>
            <w:sdtPr>
              <w:rPr>
                <w:rFonts w:ascii="Times New Roman" w:hAnsi="Times New Roman" w:cs="Times New Roman"/>
                <w:b/>
                <w:lang w:val="is-IS"/>
              </w:rPr>
              <w:id w:val="-1269299813"/>
            </w:sdtPr>
            <w:sdtEndPr/>
            <w:sdtContent>
              <w:p w14:paraId="38EC6AAD" w14:textId="63310840" w:rsidR="009F5B53" w:rsidRDefault="009F5B53" w:rsidP="00D26ACD">
                <w:pPr>
                  <w:pStyle w:val="ListParagraph"/>
                  <w:numPr>
                    <w:ilvl w:val="0"/>
                    <w:numId w:val="11"/>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Voru áform um lagasetninguna ásamt frummati á áhrifum kynnt fyrir FJR? </w:t>
                </w:r>
              </w:p>
              <w:p w14:paraId="6B166A52" w14:textId="08A18630" w:rsidR="00CF78CB" w:rsidRPr="00CF78CB" w:rsidRDefault="00CF78CB" w:rsidP="00CF78CB">
                <w:pPr>
                  <w:pStyle w:val="ListParagraph"/>
                  <w:spacing w:before="60" w:after="60" w:line="240" w:lineRule="auto"/>
                  <w:contextualSpacing w:val="0"/>
                  <w:jc w:val="both"/>
                  <w:rPr>
                    <w:rFonts w:ascii="Times New Roman" w:hAnsi="Times New Roman" w:cs="Times New Roman"/>
                    <w:bCs/>
                    <w:lang w:val="is-IS"/>
                  </w:rPr>
                </w:pPr>
                <w:r w:rsidRPr="00CF78CB">
                  <w:rPr>
                    <w:rFonts w:ascii="Times New Roman" w:hAnsi="Times New Roman" w:cs="Times New Roman"/>
                    <w:bCs/>
                    <w:lang w:val="is-IS"/>
                  </w:rPr>
                  <w:t>Fjármála- og efnahagsráðuneytið tók saman áform um lagasetninguna og frummat á áhrifum.</w:t>
                </w:r>
              </w:p>
              <w:p w14:paraId="66A00591" w14:textId="77777777" w:rsidR="00CF78CB" w:rsidRDefault="009F5B53" w:rsidP="00D26ACD">
                <w:pPr>
                  <w:pStyle w:val="ListParagraph"/>
                  <w:numPr>
                    <w:ilvl w:val="0"/>
                    <w:numId w:val="11"/>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Eru helstu efnisatriði frumvarpsins óbreytt/lítið breytt frá þeim tíma?</w:t>
                </w:r>
              </w:p>
              <w:p w14:paraId="60C5338F" w14:textId="41EA326B" w:rsidR="009F5B53" w:rsidRPr="004B6CC6" w:rsidRDefault="00DB1198" w:rsidP="00CF78CB">
                <w:pPr>
                  <w:pStyle w:val="ListParagraph"/>
                  <w:spacing w:before="60" w:after="60" w:line="240" w:lineRule="auto"/>
                  <w:contextualSpacing w:val="0"/>
                  <w:jc w:val="both"/>
                  <w:rPr>
                    <w:rFonts w:ascii="Times New Roman" w:hAnsi="Times New Roman" w:cs="Times New Roman"/>
                    <w:b/>
                    <w:lang w:val="is-IS"/>
                  </w:rPr>
                </w:pPr>
                <w:r>
                  <w:rPr>
                    <w:rFonts w:ascii="Times New Roman" w:hAnsi="Times New Roman" w:cs="Times New Roman"/>
                    <w:bCs/>
                    <w:lang w:val="is-IS"/>
                  </w:rPr>
                  <w:t xml:space="preserve">Auk þess sem gert var ráð fyrir í áformaskjali er lagt til að </w:t>
                </w:r>
                <w:r w:rsidRPr="00DB1198">
                  <w:rPr>
                    <w:rFonts w:ascii="Times New Roman" w:hAnsi="Times New Roman" w:cs="Times New Roman"/>
                    <w:bCs/>
                    <w:lang w:val="is-IS"/>
                  </w:rPr>
                  <w:t>Fjármálaeftirlitinu verði heimilað að takmarka viðtöku viðskiptabanka og sparisjóða á innlánum ef stöðutaka þeirra í fjármálagerningum og hrávörum fer umfram tilgreind mörk</w:t>
                </w:r>
                <w:r w:rsidR="00717A35">
                  <w:rPr>
                    <w:rFonts w:ascii="Times New Roman" w:hAnsi="Times New Roman" w:cs="Times New Roman"/>
                    <w:bCs/>
                    <w:lang w:val="is-IS"/>
                  </w:rPr>
                  <w:t xml:space="preserve"> og getur ógnað hagsmunum innlánseigenda</w:t>
                </w:r>
                <w:r>
                  <w:rPr>
                    <w:rFonts w:ascii="Times New Roman" w:hAnsi="Times New Roman" w:cs="Times New Roman"/>
                    <w:bCs/>
                    <w:lang w:val="is-IS"/>
                  </w:rPr>
                  <w:t xml:space="preserve">. </w:t>
                </w:r>
              </w:p>
              <w:p w14:paraId="06308C99" w14:textId="77777777" w:rsidR="00CF78CB" w:rsidRDefault="009F5B53" w:rsidP="00D26ACD">
                <w:pPr>
                  <w:pStyle w:val="ListParagraph"/>
                  <w:numPr>
                    <w:ilvl w:val="0"/>
                    <w:numId w:val="11"/>
                  </w:numPr>
                  <w:spacing w:before="60" w:after="60" w:line="240" w:lineRule="auto"/>
                  <w:contextualSpacing w:val="0"/>
                  <w:jc w:val="both"/>
                  <w:rPr>
                    <w:rFonts w:ascii="Times New Roman" w:hAnsi="Times New Roman" w:cs="Times New Roman"/>
                    <w:b/>
                    <w:lang w:val="is-IS"/>
                  </w:rPr>
                </w:pPr>
                <w:r w:rsidRPr="004B6CC6">
                  <w:rPr>
                    <w:rFonts w:ascii="Times New Roman" w:hAnsi="Times New Roman" w:cs="Times New Roman"/>
                    <w:b/>
                    <w:lang w:val="is-IS"/>
                  </w:rPr>
                  <w:t xml:space="preserve">Ef gerðar hafa verið breytingar umfram það, sbr. það frummat á áhrifum frumvarpsins sem áður var kynnt, hverjar eru þær og hver eru fjárhagsáhrifin? </w:t>
                </w:r>
              </w:p>
              <w:p w14:paraId="0857D516" w14:textId="1B76B937" w:rsidR="009F5B53" w:rsidRPr="004B6CC6" w:rsidRDefault="00791205" w:rsidP="00CF78CB">
                <w:pPr>
                  <w:pStyle w:val="ListParagraph"/>
                  <w:spacing w:before="60" w:after="60" w:line="240" w:lineRule="auto"/>
                  <w:contextualSpacing w:val="0"/>
                  <w:jc w:val="both"/>
                  <w:rPr>
                    <w:rFonts w:ascii="Times New Roman" w:hAnsi="Times New Roman" w:cs="Times New Roman"/>
                    <w:b/>
                    <w:lang w:val="is-IS"/>
                  </w:rPr>
                </w:pPr>
                <w:r>
                  <w:rPr>
                    <w:rFonts w:ascii="Times New Roman" w:hAnsi="Times New Roman" w:cs="Times New Roman"/>
                    <w:bCs/>
                    <w:lang w:val="is-IS"/>
                  </w:rPr>
                  <w:t xml:space="preserve">Sjá lið F.2. </w:t>
                </w:r>
                <w:bookmarkStart w:id="3" w:name="_GoBack"/>
                <w:bookmarkEnd w:id="3"/>
                <w:r w:rsidR="00CF78CB">
                  <w:rPr>
                    <w:rFonts w:ascii="Times New Roman" w:hAnsi="Times New Roman" w:cs="Times New Roman"/>
                    <w:bCs/>
                    <w:lang w:val="is-IS"/>
                  </w:rPr>
                  <w:t>Ekki er gert ráð fyrir beinum fjárhagsáhrifum.</w:t>
                </w:r>
              </w:p>
            </w:sdtContent>
          </w:sdt>
        </w:tc>
      </w:tr>
    </w:tbl>
    <w:p w14:paraId="2041CA4B" w14:textId="77777777" w:rsidR="009F5B53" w:rsidRPr="004B6CC6" w:rsidRDefault="009F5B53">
      <w:pPr>
        <w:rPr>
          <w:rFonts w:ascii="Times New Roman" w:hAnsi="Times New Roman"/>
        </w:rPr>
      </w:pPr>
    </w:p>
    <w:p w14:paraId="16FA6695" w14:textId="77777777" w:rsidR="009F5B53" w:rsidRPr="004B6CC6" w:rsidRDefault="009F5B53" w:rsidP="00E568F6">
      <w:pPr>
        <w:rPr>
          <w:rFonts w:ascii="Times New Roman" w:hAnsi="Times New Roman"/>
        </w:rPr>
      </w:pPr>
    </w:p>
    <w:p w14:paraId="1F3E129C" w14:textId="77777777" w:rsidR="009F5B53" w:rsidRPr="004B6CC6" w:rsidRDefault="009F5B53" w:rsidP="00E568F6">
      <w:pPr>
        <w:rPr>
          <w:rFonts w:ascii="Times New Roman" w:hAnsi="Times New Roman"/>
        </w:rPr>
      </w:pPr>
    </w:p>
    <w:bookmarkEnd w:id="0"/>
    <w:p w14:paraId="5546CF7F" w14:textId="25BB23D4" w:rsidR="00D2256D" w:rsidRPr="004B6CC6" w:rsidRDefault="00D2256D"/>
    <w:sectPr w:rsidR="00D2256D" w:rsidRPr="004B6CC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5C193" w14:textId="77777777" w:rsidR="00C66D7B" w:rsidRDefault="00C66D7B" w:rsidP="00C66D7B">
      <w:pPr>
        <w:spacing w:after="0" w:line="240" w:lineRule="auto"/>
      </w:pPr>
      <w:r>
        <w:separator/>
      </w:r>
    </w:p>
  </w:endnote>
  <w:endnote w:type="continuationSeparator" w:id="0">
    <w:p w14:paraId="04127A4D" w14:textId="77777777" w:rsidR="00C66D7B" w:rsidRDefault="00C66D7B" w:rsidP="00C6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94266236"/>
      <w:docPartObj>
        <w:docPartGallery w:val="Page Numbers (Bottom of Page)"/>
        <w:docPartUnique/>
      </w:docPartObj>
    </w:sdtPr>
    <w:sdtEndPr/>
    <w:sdtContent>
      <w:p w14:paraId="120ADD93" w14:textId="343A9C54" w:rsidR="001227E4" w:rsidRPr="001227E4" w:rsidRDefault="001227E4">
        <w:pPr>
          <w:pStyle w:val="Footer"/>
          <w:jc w:val="center"/>
          <w:rPr>
            <w:rFonts w:ascii="Times New Roman" w:hAnsi="Times New Roman" w:cs="Times New Roman"/>
          </w:rPr>
        </w:pPr>
        <w:r w:rsidRPr="001227E4">
          <w:rPr>
            <w:rFonts w:ascii="Times New Roman" w:hAnsi="Times New Roman" w:cs="Times New Roman"/>
          </w:rPr>
          <w:fldChar w:fldCharType="begin"/>
        </w:r>
        <w:r w:rsidRPr="001227E4">
          <w:rPr>
            <w:rFonts w:ascii="Times New Roman" w:hAnsi="Times New Roman" w:cs="Times New Roman"/>
          </w:rPr>
          <w:instrText>PAGE   \* MERGEFORMAT</w:instrText>
        </w:r>
        <w:r w:rsidRPr="001227E4">
          <w:rPr>
            <w:rFonts w:ascii="Times New Roman" w:hAnsi="Times New Roman" w:cs="Times New Roman"/>
          </w:rPr>
          <w:fldChar w:fldCharType="separate"/>
        </w:r>
        <w:r w:rsidRPr="001227E4">
          <w:rPr>
            <w:rFonts w:ascii="Times New Roman" w:hAnsi="Times New Roman" w:cs="Times New Roman"/>
          </w:rPr>
          <w:t>2</w:t>
        </w:r>
        <w:r w:rsidRPr="001227E4">
          <w:rPr>
            <w:rFonts w:ascii="Times New Roman" w:hAnsi="Times New Roman" w:cs="Times New Roman"/>
          </w:rPr>
          <w:fldChar w:fldCharType="end"/>
        </w:r>
      </w:p>
    </w:sdtContent>
  </w:sdt>
  <w:p w14:paraId="7028E2D1" w14:textId="77777777" w:rsidR="001227E4" w:rsidRPr="001227E4" w:rsidRDefault="001227E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BED1" w14:textId="77777777" w:rsidR="00C66D7B" w:rsidRDefault="00C66D7B" w:rsidP="00C66D7B">
      <w:pPr>
        <w:spacing w:after="0" w:line="240" w:lineRule="auto"/>
      </w:pPr>
      <w:r>
        <w:separator/>
      </w:r>
    </w:p>
  </w:footnote>
  <w:footnote w:type="continuationSeparator" w:id="0">
    <w:p w14:paraId="3987C865" w14:textId="77777777" w:rsidR="00C66D7B" w:rsidRDefault="00C66D7B" w:rsidP="00C66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742059E2"/>
    <w:lvl w:ilvl="0" w:tplc="C18E04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4"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51CC3C2D"/>
    <w:multiLevelType w:val="hybridMultilevel"/>
    <w:tmpl w:val="A73652C8"/>
    <w:lvl w:ilvl="0" w:tplc="50264E0C">
      <w:start w:val="1"/>
      <w:numFmt w:val="lowerLetter"/>
      <w:lvlText w:val="%1)"/>
      <w:lvlJc w:val="left"/>
      <w:pPr>
        <w:ind w:left="1080" w:hanging="360"/>
      </w:pPr>
      <w:rPr>
        <w:rFonts w:hint="default"/>
        <w:b w:val="0"/>
        <w:i/>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CE5886"/>
    <w:multiLevelType w:val="hybridMultilevel"/>
    <w:tmpl w:val="34DEB93E"/>
    <w:lvl w:ilvl="0" w:tplc="FE083794">
      <w:start w:val="1"/>
      <w:numFmt w:val="lowerLetter"/>
      <w:lvlText w:val="%1)"/>
      <w:lvlJc w:val="left"/>
      <w:pPr>
        <w:ind w:left="1080" w:hanging="360"/>
      </w:pPr>
      <w:rPr>
        <w:rFonts w:hint="default"/>
        <w:b w:val="0"/>
        <w:i/>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10"/>
  </w:num>
  <w:num w:numId="6">
    <w:abstractNumId w:val="0"/>
  </w:num>
  <w:num w:numId="7">
    <w:abstractNumId w:val="5"/>
  </w:num>
  <w:num w:numId="8">
    <w:abstractNumId w:val="9"/>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removeDateAndTime/>
  <w:doNotDisplayPageBoundari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53"/>
    <w:rsid w:val="00004E6B"/>
    <w:rsid w:val="00027A31"/>
    <w:rsid w:val="00081877"/>
    <w:rsid w:val="0008643C"/>
    <w:rsid w:val="00090218"/>
    <w:rsid w:val="00091930"/>
    <w:rsid w:val="000926E1"/>
    <w:rsid w:val="00093472"/>
    <w:rsid w:val="000A35EB"/>
    <w:rsid w:val="000C6704"/>
    <w:rsid w:val="00100340"/>
    <w:rsid w:val="0010613D"/>
    <w:rsid w:val="00115422"/>
    <w:rsid w:val="0011620B"/>
    <w:rsid w:val="0011784B"/>
    <w:rsid w:val="00120051"/>
    <w:rsid w:val="00120578"/>
    <w:rsid w:val="001227E4"/>
    <w:rsid w:val="00123EE2"/>
    <w:rsid w:val="00124BDD"/>
    <w:rsid w:val="00134515"/>
    <w:rsid w:val="001564D6"/>
    <w:rsid w:val="00176120"/>
    <w:rsid w:val="00177A08"/>
    <w:rsid w:val="0018276B"/>
    <w:rsid w:val="001971C2"/>
    <w:rsid w:val="001A1B55"/>
    <w:rsid w:val="001C4CE4"/>
    <w:rsid w:val="001D62CD"/>
    <w:rsid w:val="001E077A"/>
    <w:rsid w:val="002069B5"/>
    <w:rsid w:val="0021008B"/>
    <w:rsid w:val="00245CC5"/>
    <w:rsid w:val="0025621E"/>
    <w:rsid w:val="00262A53"/>
    <w:rsid w:val="002651BF"/>
    <w:rsid w:val="002771E6"/>
    <w:rsid w:val="00285991"/>
    <w:rsid w:val="00294793"/>
    <w:rsid w:val="00296E0B"/>
    <w:rsid w:val="002B0DF4"/>
    <w:rsid w:val="002B4996"/>
    <w:rsid w:val="002C1AB3"/>
    <w:rsid w:val="002C3E7F"/>
    <w:rsid w:val="002E0A33"/>
    <w:rsid w:val="00354E8E"/>
    <w:rsid w:val="00367B23"/>
    <w:rsid w:val="0037522E"/>
    <w:rsid w:val="003769AB"/>
    <w:rsid w:val="003A6135"/>
    <w:rsid w:val="003B18F7"/>
    <w:rsid w:val="003C36BD"/>
    <w:rsid w:val="003C789E"/>
    <w:rsid w:val="003D0D28"/>
    <w:rsid w:val="003F730E"/>
    <w:rsid w:val="00415B11"/>
    <w:rsid w:val="004251F5"/>
    <w:rsid w:val="00440F1F"/>
    <w:rsid w:val="00461E5A"/>
    <w:rsid w:val="00477B44"/>
    <w:rsid w:val="00497CFB"/>
    <w:rsid w:val="004A53B7"/>
    <w:rsid w:val="004B5B21"/>
    <w:rsid w:val="004B6CC6"/>
    <w:rsid w:val="004C1F80"/>
    <w:rsid w:val="004C26EF"/>
    <w:rsid w:val="004C5C49"/>
    <w:rsid w:val="004D41C3"/>
    <w:rsid w:val="004E2146"/>
    <w:rsid w:val="004E3EB7"/>
    <w:rsid w:val="0051319D"/>
    <w:rsid w:val="00514DB3"/>
    <w:rsid w:val="005317E6"/>
    <w:rsid w:val="00543D55"/>
    <w:rsid w:val="00545EB4"/>
    <w:rsid w:val="005732D7"/>
    <w:rsid w:val="00575B8C"/>
    <w:rsid w:val="005A7875"/>
    <w:rsid w:val="005B09FD"/>
    <w:rsid w:val="005C41AB"/>
    <w:rsid w:val="005C48D8"/>
    <w:rsid w:val="005C4F34"/>
    <w:rsid w:val="005D4E38"/>
    <w:rsid w:val="0060115F"/>
    <w:rsid w:val="00603683"/>
    <w:rsid w:val="00620CA9"/>
    <w:rsid w:val="00620DB6"/>
    <w:rsid w:val="00635162"/>
    <w:rsid w:val="006354FD"/>
    <w:rsid w:val="006618D3"/>
    <w:rsid w:val="00671B60"/>
    <w:rsid w:val="006731C6"/>
    <w:rsid w:val="006771B4"/>
    <w:rsid w:val="006A5226"/>
    <w:rsid w:val="006C33C1"/>
    <w:rsid w:val="006C708D"/>
    <w:rsid w:val="006E1DDF"/>
    <w:rsid w:val="006F148B"/>
    <w:rsid w:val="007104B1"/>
    <w:rsid w:val="00717A35"/>
    <w:rsid w:val="00752064"/>
    <w:rsid w:val="00766958"/>
    <w:rsid w:val="007806E7"/>
    <w:rsid w:val="007819C3"/>
    <w:rsid w:val="007829EE"/>
    <w:rsid w:val="00786DA4"/>
    <w:rsid w:val="00791205"/>
    <w:rsid w:val="0079246B"/>
    <w:rsid w:val="007978FC"/>
    <w:rsid w:val="00831FCF"/>
    <w:rsid w:val="00834818"/>
    <w:rsid w:val="008365EC"/>
    <w:rsid w:val="00844D02"/>
    <w:rsid w:val="008633C7"/>
    <w:rsid w:val="00870D42"/>
    <w:rsid w:val="0087457D"/>
    <w:rsid w:val="0088469C"/>
    <w:rsid w:val="00894160"/>
    <w:rsid w:val="008A4CC5"/>
    <w:rsid w:val="008C693E"/>
    <w:rsid w:val="008C6C15"/>
    <w:rsid w:val="00913A8C"/>
    <w:rsid w:val="00916617"/>
    <w:rsid w:val="00923151"/>
    <w:rsid w:val="00923E9A"/>
    <w:rsid w:val="009267E1"/>
    <w:rsid w:val="00927055"/>
    <w:rsid w:val="0093202C"/>
    <w:rsid w:val="00953B35"/>
    <w:rsid w:val="00957645"/>
    <w:rsid w:val="0097416D"/>
    <w:rsid w:val="009931DD"/>
    <w:rsid w:val="009950B2"/>
    <w:rsid w:val="009C10FA"/>
    <w:rsid w:val="009E3982"/>
    <w:rsid w:val="009F5B53"/>
    <w:rsid w:val="00A113C5"/>
    <w:rsid w:val="00A14382"/>
    <w:rsid w:val="00A1490A"/>
    <w:rsid w:val="00A2219E"/>
    <w:rsid w:val="00A348BF"/>
    <w:rsid w:val="00A37971"/>
    <w:rsid w:val="00A40E27"/>
    <w:rsid w:val="00A46FEB"/>
    <w:rsid w:val="00A570EE"/>
    <w:rsid w:val="00A66C14"/>
    <w:rsid w:val="00AB36E6"/>
    <w:rsid w:val="00AB720F"/>
    <w:rsid w:val="00AD3DF0"/>
    <w:rsid w:val="00AE00AA"/>
    <w:rsid w:val="00AF0674"/>
    <w:rsid w:val="00B02078"/>
    <w:rsid w:val="00B11195"/>
    <w:rsid w:val="00B122B3"/>
    <w:rsid w:val="00B252BC"/>
    <w:rsid w:val="00B2613C"/>
    <w:rsid w:val="00B460BA"/>
    <w:rsid w:val="00B625C2"/>
    <w:rsid w:val="00B71386"/>
    <w:rsid w:val="00B85E1A"/>
    <w:rsid w:val="00B8632F"/>
    <w:rsid w:val="00B938C5"/>
    <w:rsid w:val="00BB1596"/>
    <w:rsid w:val="00BB3670"/>
    <w:rsid w:val="00BE2E31"/>
    <w:rsid w:val="00BE4425"/>
    <w:rsid w:val="00C03FDA"/>
    <w:rsid w:val="00C050C5"/>
    <w:rsid w:val="00C050E1"/>
    <w:rsid w:val="00C11A02"/>
    <w:rsid w:val="00C15546"/>
    <w:rsid w:val="00C1685B"/>
    <w:rsid w:val="00C377BC"/>
    <w:rsid w:val="00C41411"/>
    <w:rsid w:val="00C478A3"/>
    <w:rsid w:val="00C523BB"/>
    <w:rsid w:val="00C605A1"/>
    <w:rsid w:val="00C66D7B"/>
    <w:rsid w:val="00C7707A"/>
    <w:rsid w:val="00C84223"/>
    <w:rsid w:val="00C91EE3"/>
    <w:rsid w:val="00CD2423"/>
    <w:rsid w:val="00CD3E4C"/>
    <w:rsid w:val="00CD428B"/>
    <w:rsid w:val="00CD7988"/>
    <w:rsid w:val="00CE3AB8"/>
    <w:rsid w:val="00CE531A"/>
    <w:rsid w:val="00CE5AAD"/>
    <w:rsid w:val="00CF78CB"/>
    <w:rsid w:val="00D02531"/>
    <w:rsid w:val="00D142F4"/>
    <w:rsid w:val="00D15908"/>
    <w:rsid w:val="00D2256D"/>
    <w:rsid w:val="00D26ACD"/>
    <w:rsid w:val="00D337EE"/>
    <w:rsid w:val="00D3634A"/>
    <w:rsid w:val="00D501E3"/>
    <w:rsid w:val="00D5035E"/>
    <w:rsid w:val="00D667C6"/>
    <w:rsid w:val="00D71A0C"/>
    <w:rsid w:val="00DA3290"/>
    <w:rsid w:val="00DA38FA"/>
    <w:rsid w:val="00DB1198"/>
    <w:rsid w:val="00DB44D5"/>
    <w:rsid w:val="00DB5756"/>
    <w:rsid w:val="00DE2FFC"/>
    <w:rsid w:val="00DF1FE8"/>
    <w:rsid w:val="00E11567"/>
    <w:rsid w:val="00E16B89"/>
    <w:rsid w:val="00E2420D"/>
    <w:rsid w:val="00E336EC"/>
    <w:rsid w:val="00E4150D"/>
    <w:rsid w:val="00E42D84"/>
    <w:rsid w:val="00E60AAA"/>
    <w:rsid w:val="00E66CAA"/>
    <w:rsid w:val="00E860BA"/>
    <w:rsid w:val="00E93310"/>
    <w:rsid w:val="00E93D4D"/>
    <w:rsid w:val="00EA0BB8"/>
    <w:rsid w:val="00EF1E0D"/>
    <w:rsid w:val="00EF5101"/>
    <w:rsid w:val="00F007B6"/>
    <w:rsid w:val="00F1167D"/>
    <w:rsid w:val="00F20D14"/>
    <w:rsid w:val="00F25C8E"/>
    <w:rsid w:val="00F463F9"/>
    <w:rsid w:val="00F46B65"/>
    <w:rsid w:val="00F679DD"/>
    <w:rsid w:val="00F70D1A"/>
    <w:rsid w:val="00F71F72"/>
    <w:rsid w:val="00F7440F"/>
    <w:rsid w:val="00F77E63"/>
    <w:rsid w:val="00FB2375"/>
    <w:rsid w:val="00FB3208"/>
    <w:rsid w:val="00FD448F"/>
    <w:rsid w:val="00FD5C33"/>
    <w:rsid w:val="00FE0F97"/>
    <w:rsid w:val="00FE4E9D"/>
    <w:rsid w:val="00FF440C"/>
    <w:rsid w:val="00FF7412"/>
    <w:rsid w:val="00FF7F5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2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B53"/>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9F5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53"/>
    <w:rPr>
      <w:rFonts w:ascii="Segoe UI" w:hAnsi="Segoe UI" w:cs="Segoe UI"/>
      <w:sz w:val="18"/>
      <w:szCs w:val="18"/>
    </w:rPr>
  </w:style>
  <w:style w:type="character" w:styleId="Hyperlink">
    <w:name w:val="Hyperlink"/>
    <w:basedOn w:val="DefaultParagraphFont"/>
    <w:uiPriority w:val="99"/>
    <w:unhideWhenUsed/>
    <w:rsid w:val="0021008B"/>
    <w:rPr>
      <w:color w:val="0563C1" w:themeColor="hyperlink"/>
      <w:u w:val="single"/>
    </w:rPr>
  </w:style>
  <w:style w:type="character" w:styleId="FollowedHyperlink">
    <w:name w:val="FollowedHyperlink"/>
    <w:basedOn w:val="DefaultParagraphFont"/>
    <w:uiPriority w:val="99"/>
    <w:semiHidden/>
    <w:unhideWhenUsed/>
    <w:rsid w:val="0021008B"/>
    <w:rPr>
      <w:color w:val="954F72" w:themeColor="followedHyperlink"/>
      <w:u w:val="single"/>
    </w:rPr>
  </w:style>
  <w:style w:type="paragraph" w:styleId="Caption">
    <w:name w:val="caption"/>
    <w:basedOn w:val="Normal"/>
    <w:next w:val="Normal"/>
    <w:uiPriority w:val="35"/>
    <w:unhideWhenUsed/>
    <w:qFormat/>
    <w:rsid w:val="00F1167D"/>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AB7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20F"/>
    <w:rPr>
      <w:sz w:val="20"/>
      <w:szCs w:val="20"/>
    </w:rPr>
  </w:style>
  <w:style w:type="character" w:styleId="FootnoteReference">
    <w:name w:val="footnote reference"/>
    <w:basedOn w:val="DefaultParagraphFont"/>
    <w:uiPriority w:val="99"/>
    <w:semiHidden/>
    <w:unhideWhenUsed/>
    <w:rsid w:val="00AB720F"/>
    <w:rPr>
      <w:vertAlign w:val="superscript"/>
    </w:rPr>
  </w:style>
  <w:style w:type="character" w:styleId="UnresolvedMention">
    <w:name w:val="Unresolved Mention"/>
    <w:basedOn w:val="DefaultParagraphFont"/>
    <w:uiPriority w:val="99"/>
    <w:semiHidden/>
    <w:unhideWhenUsed/>
    <w:rsid w:val="00123EE2"/>
    <w:rPr>
      <w:color w:val="605E5C"/>
      <w:shd w:val="clear" w:color="auto" w:fill="E1DFDD"/>
    </w:rPr>
  </w:style>
  <w:style w:type="paragraph" w:styleId="Header">
    <w:name w:val="header"/>
    <w:basedOn w:val="Normal"/>
    <w:link w:val="HeaderChar"/>
    <w:uiPriority w:val="99"/>
    <w:unhideWhenUsed/>
    <w:rsid w:val="00C77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7A"/>
  </w:style>
  <w:style w:type="paragraph" w:styleId="Footer">
    <w:name w:val="footer"/>
    <w:basedOn w:val="Normal"/>
    <w:link w:val="FooterChar"/>
    <w:uiPriority w:val="99"/>
    <w:unhideWhenUsed/>
    <w:rsid w:val="00C77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hingi.is/lagas/nuna/1999099.htm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CA3A14974F475AAE6CE2610A3E48DF"/>
        <w:category>
          <w:name w:val="General"/>
          <w:gallery w:val="placeholder"/>
        </w:category>
        <w:types>
          <w:type w:val="bbPlcHdr"/>
        </w:types>
        <w:behaviors>
          <w:behavior w:val="content"/>
        </w:behaviors>
        <w:guid w:val="{2343BBE8-C0AF-4287-91C4-59E5279A6449}"/>
      </w:docPartPr>
      <w:docPartBody>
        <w:p w:rsidR="001609BA" w:rsidRDefault="00204B57" w:rsidP="00204B57">
          <w:pPr>
            <w:pStyle w:val="F7CA3A14974F475AAE6CE2610A3E48DF"/>
          </w:pPr>
          <w:r>
            <w:rPr>
              <w:rFonts w:ascii="Times New Roman" w:hAnsi="Times New Roman" w:cs="Times New Roman"/>
            </w:rPr>
            <w:t>Textasvæði</w:t>
          </w:r>
        </w:p>
      </w:docPartBody>
    </w:docPart>
    <w:docPart>
      <w:docPartPr>
        <w:name w:val="89E5D477794045CF85504962D99A32AC"/>
        <w:category>
          <w:name w:val="General"/>
          <w:gallery w:val="placeholder"/>
        </w:category>
        <w:types>
          <w:type w:val="bbPlcHdr"/>
        </w:types>
        <w:behaviors>
          <w:behavior w:val="content"/>
        </w:behaviors>
        <w:guid w:val="{23F0F706-C1C8-4C0D-BB31-2F6E8D4F51A6}"/>
      </w:docPartPr>
      <w:docPartBody>
        <w:p w:rsidR="001609BA" w:rsidRDefault="00204B57" w:rsidP="00204B57">
          <w:pPr>
            <w:pStyle w:val="89E5D477794045CF85504962D99A32AC"/>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7"/>
    <w:rsid w:val="001609BA"/>
    <w:rsid w:val="00204B5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CA3A14974F475AAE6CE2610A3E48DF">
    <w:name w:val="F7CA3A14974F475AAE6CE2610A3E48DF"/>
    <w:rsid w:val="00204B57"/>
  </w:style>
  <w:style w:type="paragraph" w:customStyle="1" w:styleId="89E5D477794045CF85504962D99A32AC">
    <w:name w:val="89E5D477794045CF85504962D99A32AC"/>
    <w:rsid w:val="00204B57"/>
  </w:style>
  <w:style w:type="paragraph" w:customStyle="1" w:styleId="FAD504583A5640C9A9644D6E4FFBE1D4">
    <w:name w:val="FAD504583A5640C9A9644D6E4FFBE1D4"/>
    <w:rsid w:val="00204B57"/>
  </w:style>
  <w:style w:type="paragraph" w:customStyle="1" w:styleId="8BB5EED9E0A9465CA37938DCB61D3260">
    <w:name w:val="8BB5EED9E0A9465CA37938DCB61D3260"/>
    <w:rsid w:val="0020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2020-02-25T18:34:00Z</dcterms:created>
  <dcterms:modified xsi:type="dcterms:W3CDTF">2020-02-26T13:26:00Z</dcterms:modified>
</cp:coreProperties>
</file>