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8345C1C" w14:textId="2886F4A2" w:rsidR="00E71F27" w:rsidRPr="00DB4961" w:rsidRDefault="00E71F27" w:rsidP="00E71F27">
      <w:pPr>
        <w:pStyle w:val="Nmeringsskjalsmls"/>
      </w:pPr>
      <w:bookmarkStart w:id="0" w:name="_Toc303616026"/>
      <w:bookmarkStart w:id="1" w:name="_Toc303616027"/>
      <w:r w:rsidRPr="00DB4961">
        <w:t>1</w:t>
      </w:r>
      <w:r w:rsidR="00301215" w:rsidRPr="00DB4961">
        <w:t>5</w:t>
      </w:r>
      <w:r w:rsidR="004A2F09" w:rsidRPr="00DB4961">
        <w:t>7</w:t>
      </w:r>
      <w:r w:rsidRPr="00DB4961">
        <w:t xml:space="preserve">. löggjafarþing </w:t>
      </w:r>
      <w:bookmarkEnd w:id="0"/>
      <w:r w:rsidRPr="00DB4961">
        <w:t>20</w:t>
      </w:r>
      <w:r w:rsidR="00301215" w:rsidRPr="00DB4961">
        <w:t>2</w:t>
      </w:r>
      <w:r w:rsidR="002954CE" w:rsidRPr="00DB4961">
        <w:t>5</w:t>
      </w:r>
      <w:r w:rsidRPr="00DB4961">
        <w:t xml:space="preserve">. </w:t>
      </w:r>
    </w:p>
    <w:p w14:paraId="5BBE5CF6" w14:textId="77777777" w:rsidR="00E71F27" w:rsidRPr="00DB4961" w:rsidRDefault="00E71F27" w:rsidP="00E71F27">
      <w:pPr>
        <w:pStyle w:val="Nmeringsskjalsmls"/>
      </w:pPr>
      <w:r w:rsidRPr="00DB4961">
        <w:t>Þingskjal x — x. mál</w:t>
      </w:r>
      <w:bookmarkEnd w:id="1"/>
      <w:r w:rsidRPr="00DB4961">
        <w:t>.</w:t>
      </w:r>
    </w:p>
    <w:p w14:paraId="31012B73" w14:textId="77777777" w:rsidR="00E71F27" w:rsidRPr="00DB4961" w:rsidRDefault="00E71F27" w:rsidP="00E71F27">
      <w:pPr>
        <w:pStyle w:val="Nmeringsskjalsmls"/>
      </w:pPr>
      <w:r w:rsidRPr="00DB4961">
        <w:t xml:space="preserve">Stjórnarfrumvarp. </w:t>
      </w:r>
    </w:p>
    <w:p w14:paraId="14ECABB4" w14:textId="77777777" w:rsidR="00E71F27" w:rsidRPr="00DB4961" w:rsidRDefault="00E71F27" w:rsidP="002675EE">
      <w:pPr>
        <w:pStyle w:val="Fyrirsgn-skjalategund"/>
      </w:pPr>
      <w:r w:rsidRPr="00DB4961">
        <w:t>Frumvarp til laga</w:t>
      </w:r>
    </w:p>
    <w:p w14:paraId="5683D276" w14:textId="0D6248B2" w:rsidR="00E71F27" w:rsidRPr="00DB4961" w:rsidRDefault="00E71F27" w:rsidP="002675EE">
      <w:pPr>
        <w:pStyle w:val="Fyrirsgn-undirfyrirsgn"/>
      </w:pPr>
      <w:r w:rsidRPr="00DB4961">
        <w:t xml:space="preserve">um </w:t>
      </w:r>
      <w:r w:rsidR="004A2F09" w:rsidRPr="00DB4961">
        <w:t>breytingu á lögum um evrópska langtímafjárfestingarsjóði (hæfar fjárfestingareignir, samsetning eignasafna, lántökur í reiðufé o.fl.).</w:t>
      </w:r>
    </w:p>
    <w:p w14:paraId="1A2DC9F1" w14:textId="77777777" w:rsidR="005D5AEE" w:rsidRPr="00DB4961" w:rsidRDefault="005D5AEE" w:rsidP="005D5AEE"/>
    <w:p w14:paraId="69A8EA8E" w14:textId="6A5569A1" w:rsidR="00E71F27" w:rsidRPr="00DB4961" w:rsidRDefault="00E71F27" w:rsidP="00E71F27">
      <w:pPr>
        <w:pStyle w:val="Frrherra"/>
      </w:pPr>
      <w:r w:rsidRPr="00DB4961">
        <w:t xml:space="preserve">Frá </w:t>
      </w:r>
      <w:r w:rsidR="004A2F09" w:rsidRPr="00DB4961">
        <w:t>fjármála- og efnahagsráðherra</w:t>
      </w:r>
      <w:r w:rsidRPr="00DB4961">
        <w:t xml:space="preserve">. </w:t>
      </w:r>
    </w:p>
    <w:p w14:paraId="103B38C8" w14:textId="77777777" w:rsidR="00E71F27" w:rsidRPr="00DB4961" w:rsidRDefault="00E71F27" w:rsidP="00E71F27"/>
    <w:p w14:paraId="4AFE1969" w14:textId="77777777" w:rsidR="00E71F27" w:rsidRPr="00DB4961" w:rsidRDefault="00E71F27" w:rsidP="00E71F27"/>
    <w:p w14:paraId="1121B94C" w14:textId="77777777" w:rsidR="00C35574" w:rsidRPr="00DB4961" w:rsidRDefault="00E71F27" w:rsidP="00E71F27">
      <w:pPr>
        <w:pStyle w:val="Kaflanmer"/>
      </w:pPr>
      <w:r w:rsidRPr="00DB4961">
        <w:t>I</w:t>
      </w:r>
      <w:r w:rsidR="00C35574" w:rsidRPr="00DB4961">
        <w:t>. kafli</w:t>
      </w:r>
    </w:p>
    <w:p w14:paraId="55CE5E84" w14:textId="24E636FF" w:rsidR="00C35574" w:rsidRPr="00DB4961" w:rsidRDefault="004A2F09" w:rsidP="00943B67">
      <w:pPr>
        <w:pStyle w:val="Kaflafyrirsgn"/>
      </w:pPr>
      <w:r w:rsidRPr="00DB4961">
        <w:t>Breyting á lögum um evrópska langtímafjárfestingarsjóði, nr. 115/2022</w:t>
      </w:r>
      <w:r w:rsidR="00C35574" w:rsidRPr="00DB4961">
        <w:t>.</w:t>
      </w:r>
    </w:p>
    <w:p w14:paraId="690CD9D9" w14:textId="77777777" w:rsidR="00C35574" w:rsidRPr="00DB4961" w:rsidRDefault="00C35574" w:rsidP="00943B67">
      <w:pPr>
        <w:pStyle w:val="Greinarnmer"/>
      </w:pPr>
      <w:r w:rsidRPr="00DB4961">
        <w:t>1. gr.</w:t>
      </w:r>
    </w:p>
    <w:p w14:paraId="2AC88144" w14:textId="77777777" w:rsidR="004A2F09" w:rsidRPr="00DB4961" w:rsidRDefault="004A2F09" w:rsidP="004A2F09">
      <w:r w:rsidRPr="00DB4961">
        <w:t>Eftirfarandi breytingar eru gerðar á 2. gr. laganna:</w:t>
      </w:r>
    </w:p>
    <w:p w14:paraId="6913DACD" w14:textId="5B1351D8" w:rsidR="004A2F09" w:rsidRPr="00DB4961" w:rsidRDefault="004A2F09" w:rsidP="004A2F09">
      <w:pPr>
        <w:pStyle w:val="ListParagraph"/>
        <w:numPr>
          <w:ilvl w:val="0"/>
          <w:numId w:val="16"/>
        </w:numPr>
      </w:pPr>
      <w:r w:rsidRPr="00DB4961">
        <w:t xml:space="preserve">1. mgr. orðast svo: </w:t>
      </w:r>
      <w:r w:rsidRPr="00DB4961">
        <w:rPr>
          <w:color w:val="242424"/>
          <w:szCs w:val="21"/>
          <w:shd w:val="clear" w:color="auto" w:fill="FFFFFF"/>
        </w:rPr>
        <w:t>Ákvæði reglugerðar Evrópuþingsins og ráðsins (ESB) </w:t>
      </w:r>
      <w:r w:rsidRPr="00DB4961">
        <w:rPr>
          <w:szCs w:val="21"/>
          <w:shd w:val="clear" w:color="auto" w:fill="FFFFFF"/>
        </w:rPr>
        <w:t>2015/760</w:t>
      </w:r>
      <w:r w:rsidRPr="00DB4961">
        <w:rPr>
          <w:color w:val="242424"/>
          <w:szCs w:val="21"/>
          <w:shd w:val="clear" w:color="auto" w:fill="FFFFFF"/>
        </w:rPr>
        <w:t xml:space="preserve"> frá 29. apríl 2015 um evrópska langtímafjárfestingarsjóði, sem er birt í EES-viðbæti við Stjórnartíðindi Evrópusambandsins nr. 37 frá 27. maí 2021, bls. 1–24, með þeim breytingum sem leiðir af reglugerð (ESB) 2023/606 frá 15. mars 2023 um breytingu á reglugerð (ESB) 2015/760 að því er varðar kröfur um fjárfestingarstefnu og rekstrarskilyrði evrópskra langtímafjárfestingarsjóða og gildissvið hæfra fjárfestingareigna, kröfur um samsetningu og fjölbreytileika eignasafna og lántöku í reiðufé og aðrar sjóðsreglur, sem er birt í EES-viðbæti við Stjórnartíðindi Evrópusambandsins nr. </w:t>
      </w:r>
      <w:r w:rsidR="003F74BD" w:rsidRPr="00DB4961">
        <w:rPr>
          <w:color w:val="242424"/>
          <w:szCs w:val="21"/>
          <w:shd w:val="clear" w:color="auto" w:fill="FFFFFF"/>
        </w:rPr>
        <w:t>[ ]</w:t>
      </w:r>
      <w:r w:rsidRPr="00DB4961">
        <w:rPr>
          <w:color w:val="242424"/>
          <w:szCs w:val="21"/>
          <w:shd w:val="clear" w:color="auto" w:fill="FFFFFF"/>
        </w:rPr>
        <w:t xml:space="preserve"> frá </w:t>
      </w:r>
      <w:r w:rsidR="003F74BD" w:rsidRPr="00DB4961">
        <w:rPr>
          <w:color w:val="242424"/>
          <w:szCs w:val="21"/>
          <w:shd w:val="clear" w:color="auto" w:fill="FFFFFF"/>
        </w:rPr>
        <w:t xml:space="preserve">[ ] </w:t>
      </w:r>
      <w:r w:rsidRPr="00DB4961">
        <w:rPr>
          <w:color w:val="242424"/>
          <w:szCs w:val="21"/>
          <w:shd w:val="clear" w:color="auto" w:fill="FFFFFF"/>
        </w:rPr>
        <w:t xml:space="preserve">2025, bls. </w:t>
      </w:r>
      <w:r w:rsidR="003F74BD" w:rsidRPr="00DB4961">
        <w:rPr>
          <w:color w:val="242424"/>
          <w:szCs w:val="21"/>
          <w:shd w:val="clear" w:color="auto" w:fill="FFFFFF"/>
        </w:rPr>
        <w:t>[ ]</w:t>
      </w:r>
      <w:r w:rsidRPr="00DB4961">
        <w:rPr>
          <w:color w:val="242424"/>
          <w:szCs w:val="21"/>
          <w:shd w:val="clear" w:color="auto" w:fill="FFFFFF"/>
        </w:rPr>
        <w:t>, skulu hafa lagagildi hér á landi með þeim aðlögunum sem leiðir af ákvörðun sameiginlegu EES-nefndarinnar nr. </w:t>
      </w:r>
      <w:r w:rsidRPr="00DB4961">
        <w:rPr>
          <w:szCs w:val="21"/>
          <w:shd w:val="clear" w:color="auto" w:fill="FFFFFF"/>
        </w:rPr>
        <w:t>19/2020</w:t>
      </w:r>
      <w:r w:rsidRPr="00DB4961">
        <w:rPr>
          <w:color w:val="242424"/>
          <w:szCs w:val="21"/>
          <w:shd w:val="clear" w:color="auto" w:fill="FFFFFF"/>
        </w:rPr>
        <w:t xml:space="preserve"> frá 7. febrúar 2020, sem birt var með auglýsingu nr. 3/2022 í C-deild Stjórnartíðinda, dags. 16. mars 2022, og ákvörðun sameiginlegu EES-nefndarinnar nr. </w:t>
      </w:r>
      <w:r w:rsidR="003F74BD" w:rsidRPr="00DB4961">
        <w:rPr>
          <w:color w:val="242424"/>
          <w:szCs w:val="21"/>
          <w:shd w:val="clear" w:color="auto" w:fill="FFFFFF"/>
        </w:rPr>
        <w:t>[ ]</w:t>
      </w:r>
      <w:r w:rsidRPr="00DB4961">
        <w:rPr>
          <w:color w:val="242424"/>
          <w:szCs w:val="21"/>
          <w:shd w:val="clear" w:color="auto" w:fill="FFFFFF"/>
        </w:rPr>
        <w:t xml:space="preserve">/2025 frá </w:t>
      </w:r>
      <w:r w:rsidR="003F74BD" w:rsidRPr="00DB4961">
        <w:rPr>
          <w:color w:val="242424"/>
          <w:szCs w:val="21"/>
          <w:shd w:val="clear" w:color="auto" w:fill="FFFFFF"/>
        </w:rPr>
        <w:t xml:space="preserve">[ ] </w:t>
      </w:r>
      <w:r w:rsidRPr="00DB4961">
        <w:rPr>
          <w:color w:val="242424"/>
          <w:szCs w:val="21"/>
          <w:shd w:val="clear" w:color="auto" w:fill="FFFFFF"/>
        </w:rPr>
        <w:t xml:space="preserve">2025, sem birt er í EES-viðbæti við Stjórnartíðindi Evrópusambandsins, nr. </w:t>
      </w:r>
      <w:r w:rsidR="003F74BD" w:rsidRPr="00DB4961">
        <w:rPr>
          <w:color w:val="242424"/>
          <w:szCs w:val="21"/>
          <w:shd w:val="clear" w:color="auto" w:fill="FFFFFF"/>
        </w:rPr>
        <w:t>[ ]</w:t>
      </w:r>
      <w:r w:rsidRPr="00DB4961">
        <w:rPr>
          <w:color w:val="242424"/>
          <w:szCs w:val="21"/>
          <w:shd w:val="clear" w:color="auto" w:fill="FFFFFF"/>
        </w:rPr>
        <w:t xml:space="preserve"> frá </w:t>
      </w:r>
      <w:r w:rsidR="003F74BD" w:rsidRPr="00DB4961">
        <w:rPr>
          <w:color w:val="242424"/>
          <w:szCs w:val="21"/>
          <w:shd w:val="clear" w:color="auto" w:fill="FFFFFF"/>
        </w:rPr>
        <w:t xml:space="preserve">[ ] </w:t>
      </w:r>
      <w:r w:rsidRPr="00DB4961">
        <w:rPr>
          <w:color w:val="242424"/>
          <w:szCs w:val="21"/>
          <w:shd w:val="clear" w:color="auto" w:fill="FFFFFF"/>
        </w:rPr>
        <w:t xml:space="preserve">2025, bls. </w:t>
      </w:r>
      <w:r w:rsidR="003F74BD" w:rsidRPr="00DB4961">
        <w:rPr>
          <w:color w:val="242424"/>
          <w:szCs w:val="21"/>
          <w:shd w:val="clear" w:color="auto" w:fill="FFFFFF"/>
        </w:rPr>
        <w:t>[ ]</w:t>
      </w:r>
      <w:r w:rsidRPr="00DB4961">
        <w:rPr>
          <w:color w:val="242424"/>
          <w:szCs w:val="21"/>
          <w:shd w:val="clear" w:color="auto" w:fill="FFFFFF"/>
        </w:rPr>
        <w:t>, sbr. einnig bókun 1 um altæka aðlögun við samninginn um Evrópska efnahagssvæðið, sbr. lög um Evrópska efnahagssvæðið, þar sem bókunin er lögfest.</w:t>
      </w:r>
    </w:p>
    <w:p w14:paraId="39BDE727" w14:textId="77777777" w:rsidR="004A2F09" w:rsidRPr="00DB4961" w:rsidRDefault="004A2F09" w:rsidP="004A2F09">
      <w:pPr>
        <w:pStyle w:val="ListParagraph"/>
        <w:numPr>
          <w:ilvl w:val="0"/>
          <w:numId w:val="16"/>
        </w:numPr>
      </w:pPr>
      <w:r w:rsidRPr="00DB4961">
        <w:rPr>
          <w:color w:val="242424"/>
          <w:szCs w:val="21"/>
          <w:shd w:val="clear" w:color="auto" w:fill="FFFFFF"/>
        </w:rPr>
        <w:t xml:space="preserve">Á eftir 6. mgr. kemur ný málsgrein, svohljóðandi: Með vísun til </w:t>
      </w:r>
      <w:proofErr w:type="spellStart"/>
      <w:r w:rsidRPr="00DB4961">
        <w:rPr>
          <w:color w:val="242424"/>
          <w:szCs w:val="21"/>
          <w:shd w:val="clear" w:color="auto" w:fill="FFFFFF"/>
        </w:rPr>
        <w:t>endurtryggingafélags</w:t>
      </w:r>
      <w:proofErr w:type="spellEnd"/>
      <w:r w:rsidRPr="00DB4961">
        <w:rPr>
          <w:color w:val="242424"/>
          <w:szCs w:val="21"/>
          <w:shd w:val="clear" w:color="auto" w:fill="FFFFFF"/>
        </w:rPr>
        <w:t xml:space="preserve"> samkvæmt 4.  </w:t>
      </w:r>
      <w:proofErr w:type="spellStart"/>
      <w:r w:rsidRPr="00DB4961">
        <w:rPr>
          <w:color w:val="242424"/>
          <w:szCs w:val="21"/>
          <w:shd w:val="clear" w:color="auto" w:fill="FFFFFF"/>
        </w:rPr>
        <w:t>tölul</w:t>
      </w:r>
      <w:proofErr w:type="spellEnd"/>
      <w:r w:rsidRPr="00DB4961">
        <w:rPr>
          <w:color w:val="242424"/>
          <w:szCs w:val="21"/>
          <w:shd w:val="clear" w:color="auto" w:fill="FFFFFF"/>
        </w:rPr>
        <w:t xml:space="preserve">. 13. gr. tilskipunar Evrópuþingsins og ráðsins 2009/138/EB í </w:t>
      </w:r>
      <w:proofErr w:type="spellStart"/>
      <w:r w:rsidRPr="00DB4961">
        <w:rPr>
          <w:color w:val="242424"/>
          <w:szCs w:val="21"/>
          <w:shd w:val="clear" w:color="auto" w:fill="FFFFFF"/>
        </w:rPr>
        <w:t>ca-lið</w:t>
      </w:r>
      <w:proofErr w:type="spellEnd"/>
      <w:r w:rsidRPr="00DB4961">
        <w:rPr>
          <w:color w:val="242424"/>
          <w:szCs w:val="21"/>
          <w:shd w:val="clear" w:color="auto" w:fill="FFFFFF"/>
        </w:rPr>
        <w:t xml:space="preserve"> 7. </w:t>
      </w:r>
      <w:proofErr w:type="spellStart"/>
      <w:r w:rsidRPr="00DB4961">
        <w:rPr>
          <w:color w:val="242424"/>
          <w:szCs w:val="21"/>
          <w:shd w:val="clear" w:color="auto" w:fill="FFFFFF"/>
        </w:rPr>
        <w:t>tölul</w:t>
      </w:r>
      <w:proofErr w:type="spellEnd"/>
      <w:r w:rsidRPr="00DB4961">
        <w:rPr>
          <w:color w:val="242424"/>
          <w:szCs w:val="21"/>
          <w:shd w:val="clear" w:color="auto" w:fill="FFFFFF"/>
        </w:rPr>
        <w:t xml:space="preserve">. 2. gr. reglugerðar (ESB) 2015/760 er átt við </w:t>
      </w:r>
      <w:proofErr w:type="spellStart"/>
      <w:r w:rsidRPr="00DB4961">
        <w:rPr>
          <w:color w:val="242424"/>
          <w:szCs w:val="21"/>
          <w:shd w:val="clear" w:color="auto" w:fill="FFFFFF"/>
        </w:rPr>
        <w:t>endurtryggingafélag</w:t>
      </w:r>
      <w:proofErr w:type="spellEnd"/>
      <w:r w:rsidRPr="00DB4961">
        <w:rPr>
          <w:color w:val="242424"/>
          <w:szCs w:val="21"/>
          <w:shd w:val="clear" w:color="auto" w:fill="FFFFFF"/>
        </w:rPr>
        <w:t xml:space="preserve"> samkvæmt lögum um </w:t>
      </w:r>
      <w:proofErr w:type="spellStart"/>
      <w:r w:rsidRPr="00DB4961">
        <w:rPr>
          <w:color w:val="242424"/>
          <w:szCs w:val="21"/>
          <w:shd w:val="clear" w:color="auto" w:fill="FFFFFF"/>
        </w:rPr>
        <w:t>vátryggingastarfsemi</w:t>
      </w:r>
      <w:proofErr w:type="spellEnd"/>
      <w:r w:rsidRPr="00DB4961">
        <w:rPr>
          <w:color w:val="242424"/>
          <w:szCs w:val="21"/>
          <w:shd w:val="clear" w:color="auto" w:fill="FFFFFF"/>
        </w:rPr>
        <w:t>.</w:t>
      </w:r>
    </w:p>
    <w:p w14:paraId="4559A699" w14:textId="77777777" w:rsidR="004A2F09" w:rsidRPr="00DB4961" w:rsidRDefault="004A2F09" w:rsidP="004A2F09">
      <w:pPr>
        <w:pStyle w:val="ListParagraph"/>
        <w:numPr>
          <w:ilvl w:val="0"/>
          <w:numId w:val="16"/>
        </w:numPr>
      </w:pPr>
      <w:r w:rsidRPr="00DB4961">
        <w:rPr>
          <w:color w:val="242424"/>
          <w:szCs w:val="21"/>
          <w:shd w:val="clear" w:color="auto" w:fill="FFFFFF"/>
        </w:rPr>
        <w:t xml:space="preserve">Á eftir 7. mgr. kemur ný málsgrein, svohljóðandi: Með vísun til samstæðu samkvæmt 11. </w:t>
      </w:r>
      <w:proofErr w:type="spellStart"/>
      <w:r w:rsidRPr="00DB4961">
        <w:rPr>
          <w:color w:val="242424"/>
          <w:szCs w:val="21"/>
          <w:shd w:val="clear" w:color="auto" w:fill="FFFFFF"/>
        </w:rPr>
        <w:t>tölul</w:t>
      </w:r>
      <w:proofErr w:type="spellEnd"/>
      <w:r w:rsidRPr="00DB4961">
        <w:rPr>
          <w:color w:val="242424"/>
          <w:szCs w:val="21"/>
          <w:shd w:val="clear" w:color="auto" w:fill="FFFFFF"/>
        </w:rPr>
        <w:t>. 2. gr. tilskipunar Evrópuþingsins og ráðsins 2013/34/ESB í 14b-lið 2. gr. reglugerðar (ESB) </w:t>
      </w:r>
      <w:r w:rsidRPr="00DB4961">
        <w:rPr>
          <w:szCs w:val="21"/>
          <w:shd w:val="clear" w:color="auto" w:fill="FFFFFF"/>
        </w:rPr>
        <w:t>2015/760</w:t>
      </w:r>
      <w:r w:rsidRPr="00DB4961">
        <w:rPr>
          <w:color w:val="242424"/>
          <w:szCs w:val="21"/>
          <w:shd w:val="clear" w:color="auto" w:fill="FFFFFF"/>
        </w:rPr>
        <w:t> er átt við samstæðu samkvæmt lögum um ársreikninga.</w:t>
      </w:r>
    </w:p>
    <w:p w14:paraId="1B5916D9" w14:textId="77777777" w:rsidR="004A2F09" w:rsidRPr="00DB4961" w:rsidRDefault="004A2F09" w:rsidP="004A2F09">
      <w:pPr>
        <w:pStyle w:val="ListParagraph"/>
        <w:numPr>
          <w:ilvl w:val="0"/>
          <w:numId w:val="16"/>
        </w:numPr>
      </w:pPr>
      <w:r w:rsidRPr="00DB4961">
        <w:t xml:space="preserve">Á eftir 11. mgr. kemur ný málsgrein, svohljóðandi: </w:t>
      </w:r>
      <w:r w:rsidRPr="00DB4961">
        <w:rPr>
          <w:color w:val="242424"/>
          <w:szCs w:val="21"/>
          <w:shd w:val="clear" w:color="auto" w:fill="FFFFFF"/>
        </w:rPr>
        <w:t xml:space="preserve">Með vísun til áhættusams þriðja lands skv. 2. mgr. 9. gr. tilskipunar Evrópuþingsins og ráðsins (ESB) 2015/849 í </w:t>
      </w:r>
      <w:proofErr w:type="spellStart"/>
      <w:r w:rsidRPr="00DB4961">
        <w:rPr>
          <w:color w:val="242424"/>
          <w:szCs w:val="21"/>
          <w:shd w:val="clear" w:color="auto" w:fill="FFFFFF"/>
        </w:rPr>
        <w:t>i-lið</w:t>
      </w:r>
      <w:proofErr w:type="spellEnd"/>
      <w:r w:rsidRPr="00DB4961">
        <w:rPr>
          <w:color w:val="242424"/>
          <w:szCs w:val="21"/>
          <w:shd w:val="clear" w:color="auto" w:fill="FFFFFF"/>
        </w:rPr>
        <w:t xml:space="preserve"> </w:t>
      </w:r>
      <w:proofErr w:type="spellStart"/>
      <w:r w:rsidRPr="00DB4961">
        <w:rPr>
          <w:color w:val="242424"/>
          <w:szCs w:val="21"/>
          <w:shd w:val="clear" w:color="auto" w:fill="FFFFFF"/>
        </w:rPr>
        <w:t>c-liðar</w:t>
      </w:r>
      <w:proofErr w:type="spellEnd"/>
      <w:r w:rsidRPr="00DB4961">
        <w:rPr>
          <w:color w:val="242424"/>
          <w:szCs w:val="21"/>
          <w:shd w:val="clear" w:color="auto" w:fill="FFFFFF"/>
        </w:rPr>
        <w:t xml:space="preserve"> 1. mgr. 11. gr. reglugerðar (ESB) </w:t>
      </w:r>
      <w:r w:rsidRPr="00DB4961">
        <w:rPr>
          <w:szCs w:val="21"/>
          <w:shd w:val="clear" w:color="auto" w:fill="FFFFFF"/>
        </w:rPr>
        <w:t>2015/760</w:t>
      </w:r>
      <w:r w:rsidRPr="00DB4961">
        <w:rPr>
          <w:color w:val="242424"/>
          <w:szCs w:val="21"/>
          <w:shd w:val="clear" w:color="auto" w:fill="FFFFFF"/>
        </w:rPr>
        <w:t> er átt við áhættusöm ríki samkvæmt lögum um aðgerðir gegn peningaþvætti og fjármögnun hryðjuverka, nr. 140/2018.</w:t>
      </w:r>
    </w:p>
    <w:p w14:paraId="43CE3F73" w14:textId="77777777" w:rsidR="004A2F09" w:rsidRPr="00DB4961" w:rsidRDefault="004A2F09" w:rsidP="004A2F09">
      <w:pPr>
        <w:pStyle w:val="ListParagraph"/>
        <w:numPr>
          <w:ilvl w:val="0"/>
          <w:numId w:val="16"/>
        </w:numPr>
      </w:pPr>
      <w:r w:rsidRPr="00DB4961">
        <w:t>Í stað tilvísunarinnar „7. mgr.“ í 12. mgr. kemur: 6. mgr.</w:t>
      </w:r>
    </w:p>
    <w:p w14:paraId="5A64F698" w14:textId="77777777" w:rsidR="004A2F09" w:rsidRPr="00DB4961" w:rsidRDefault="004A2F09" w:rsidP="004A2F09">
      <w:pPr>
        <w:pStyle w:val="ListParagraph"/>
        <w:numPr>
          <w:ilvl w:val="0"/>
          <w:numId w:val="16"/>
        </w:numPr>
      </w:pPr>
      <w:r w:rsidRPr="00DB4961">
        <w:t>14. mgr. fellur brott.</w:t>
      </w:r>
    </w:p>
    <w:p w14:paraId="6E54FA8F" w14:textId="77777777" w:rsidR="004A2F09" w:rsidRPr="00DB4961" w:rsidRDefault="004A2F09" w:rsidP="004A2F09">
      <w:pPr>
        <w:pStyle w:val="ListParagraph"/>
        <w:numPr>
          <w:ilvl w:val="0"/>
          <w:numId w:val="16"/>
        </w:numPr>
        <w:rPr>
          <w:color w:val="242424"/>
          <w:szCs w:val="21"/>
          <w:shd w:val="clear" w:color="auto" w:fill="FFFFFF"/>
        </w:rPr>
      </w:pPr>
      <w:r w:rsidRPr="00DB4961">
        <w:lastRenderedPageBreak/>
        <w:t>Á eftir 14. gr. kemur ný málsgrein, svohljóðandi: Með vísan til krafna samkvæmt 2.-5. og 7. undirgrein 3. mgr. 16. gr. og 2. mgr. 24. gr. tilskipunar Evrópuþingsins og ráðsins 2014/65/ESB í 27. gr.</w:t>
      </w:r>
      <w:r w:rsidRPr="00DB4961">
        <w:rPr>
          <w:color w:val="242424"/>
          <w:szCs w:val="21"/>
          <w:shd w:val="clear" w:color="auto" w:fill="FFFFFF"/>
        </w:rPr>
        <w:t xml:space="preserve"> reglugerðar (ESB) </w:t>
      </w:r>
      <w:r w:rsidRPr="00DB4961">
        <w:rPr>
          <w:szCs w:val="21"/>
          <w:shd w:val="clear" w:color="auto" w:fill="FFFFFF"/>
        </w:rPr>
        <w:t>2015/760</w:t>
      </w:r>
      <w:r w:rsidRPr="00DB4961">
        <w:rPr>
          <w:color w:val="242424"/>
          <w:szCs w:val="21"/>
          <w:shd w:val="clear" w:color="auto" w:fill="FFFFFF"/>
        </w:rPr>
        <w:t xml:space="preserve"> er átt við kröfur samkvæmt 22. gr. og 2. og 3. mgr. 33. gr. laga um markaði fyrir </w:t>
      </w:r>
      <w:proofErr w:type="spellStart"/>
      <w:r w:rsidRPr="00DB4961">
        <w:rPr>
          <w:color w:val="242424"/>
          <w:szCs w:val="21"/>
          <w:shd w:val="clear" w:color="auto" w:fill="FFFFFF"/>
        </w:rPr>
        <w:t>fjármálagerninga</w:t>
      </w:r>
      <w:proofErr w:type="spellEnd"/>
      <w:r w:rsidRPr="00DB4961">
        <w:rPr>
          <w:color w:val="242424"/>
          <w:szCs w:val="21"/>
          <w:shd w:val="clear" w:color="auto" w:fill="FFFFFF"/>
        </w:rPr>
        <w:t>, nr. 115/2021.</w:t>
      </w:r>
    </w:p>
    <w:p w14:paraId="4D1D3BE1" w14:textId="77777777" w:rsidR="004A2F09" w:rsidRPr="00DB4961" w:rsidRDefault="004A2F09" w:rsidP="004A2F09">
      <w:pPr>
        <w:pStyle w:val="ListParagraph"/>
        <w:numPr>
          <w:ilvl w:val="0"/>
          <w:numId w:val="16"/>
        </w:numPr>
      </w:pPr>
      <w:r w:rsidRPr="00DB4961">
        <w:t xml:space="preserve">Á eftir 15. mgr. koma þrjár nýjar málsgreinar, svohljóðandi: </w:t>
      </w:r>
    </w:p>
    <w:p w14:paraId="758F115C" w14:textId="77777777" w:rsidR="004A2F09" w:rsidRPr="00DB4961" w:rsidRDefault="004A2F09" w:rsidP="004A2F09">
      <w:pPr>
        <w:rPr>
          <w:color w:val="242424"/>
          <w:szCs w:val="21"/>
          <w:shd w:val="clear" w:color="auto" w:fill="FFFFFF"/>
        </w:rPr>
      </w:pPr>
      <w:r w:rsidRPr="00DB4961">
        <w:t>Með vísan til hæfismats samkvæmt 2. mgr. 25. gr. tilskipunar Evrópuþingsins og ráðsins 2014/65/ESB í 1. mgr. 30. gr.</w:t>
      </w:r>
      <w:r w:rsidRPr="00DB4961">
        <w:rPr>
          <w:color w:val="242424"/>
          <w:szCs w:val="21"/>
          <w:shd w:val="clear" w:color="auto" w:fill="FFFFFF"/>
        </w:rPr>
        <w:t xml:space="preserve"> reglugerðar (ESB) </w:t>
      </w:r>
      <w:r w:rsidRPr="00DB4961">
        <w:rPr>
          <w:szCs w:val="21"/>
          <w:shd w:val="clear" w:color="auto" w:fill="FFFFFF"/>
        </w:rPr>
        <w:t>2015/760</w:t>
      </w:r>
      <w:r w:rsidRPr="00DB4961">
        <w:rPr>
          <w:color w:val="242424"/>
          <w:szCs w:val="21"/>
          <w:shd w:val="clear" w:color="auto" w:fill="FFFFFF"/>
        </w:rPr>
        <w:t xml:space="preserve"> er átt við mat á hæfi samkvæmt 44. gr. laga um markaði fyrir </w:t>
      </w:r>
      <w:proofErr w:type="spellStart"/>
      <w:r w:rsidRPr="00DB4961">
        <w:rPr>
          <w:color w:val="242424"/>
          <w:szCs w:val="21"/>
          <w:shd w:val="clear" w:color="auto" w:fill="FFFFFF"/>
        </w:rPr>
        <w:t>fjármálagerninga</w:t>
      </w:r>
      <w:proofErr w:type="spellEnd"/>
      <w:r w:rsidRPr="00DB4961">
        <w:rPr>
          <w:color w:val="242424"/>
          <w:szCs w:val="21"/>
          <w:shd w:val="clear" w:color="auto" w:fill="FFFFFF"/>
        </w:rPr>
        <w:t>, nr. 115/2021.</w:t>
      </w:r>
    </w:p>
    <w:p w14:paraId="0C99E279" w14:textId="77777777" w:rsidR="004A2F09" w:rsidRPr="00DB4961" w:rsidRDefault="004A2F09" w:rsidP="004A2F09">
      <w:pPr>
        <w:rPr>
          <w:color w:val="242424"/>
          <w:szCs w:val="21"/>
          <w:shd w:val="clear" w:color="auto" w:fill="FFFFFF"/>
        </w:rPr>
      </w:pPr>
      <w:r w:rsidRPr="00DB4961">
        <w:rPr>
          <w:color w:val="242424"/>
          <w:szCs w:val="21"/>
          <w:shd w:val="clear" w:color="auto" w:fill="FFFFFF"/>
        </w:rPr>
        <w:t>Með vísan til yfirlýsingar um hæfi</w:t>
      </w:r>
      <w:r w:rsidRPr="00DB4961">
        <w:t xml:space="preserve"> samkvæmt 6. mgr. 25. gr. tilskipunar Evrópuþingsins og ráðsins 2014/65/ESB í 1. mgr. 30. gr.</w:t>
      </w:r>
      <w:r w:rsidRPr="00DB4961">
        <w:rPr>
          <w:color w:val="242424"/>
          <w:szCs w:val="21"/>
          <w:shd w:val="clear" w:color="auto" w:fill="FFFFFF"/>
        </w:rPr>
        <w:t xml:space="preserve"> reglugerðar (ESB) </w:t>
      </w:r>
      <w:r w:rsidRPr="00DB4961">
        <w:rPr>
          <w:szCs w:val="21"/>
          <w:shd w:val="clear" w:color="auto" w:fill="FFFFFF"/>
        </w:rPr>
        <w:t>2015/760</w:t>
      </w:r>
      <w:r w:rsidRPr="00DB4961">
        <w:rPr>
          <w:color w:val="242424"/>
          <w:szCs w:val="21"/>
          <w:shd w:val="clear" w:color="auto" w:fill="FFFFFF"/>
        </w:rPr>
        <w:t xml:space="preserve"> er átt við yfirlýsingu um mat á hæfi samkvæmt 3. og 4. mgr. 46. gr. laga um markaði fyrir </w:t>
      </w:r>
      <w:proofErr w:type="spellStart"/>
      <w:r w:rsidRPr="00DB4961">
        <w:rPr>
          <w:color w:val="242424"/>
          <w:szCs w:val="21"/>
          <w:shd w:val="clear" w:color="auto" w:fill="FFFFFF"/>
        </w:rPr>
        <w:t>fjármálagerninga</w:t>
      </w:r>
      <w:proofErr w:type="spellEnd"/>
      <w:r w:rsidRPr="00DB4961">
        <w:rPr>
          <w:color w:val="242424"/>
          <w:szCs w:val="21"/>
          <w:shd w:val="clear" w:color="auto" w:fill="FFFFFF"/>
        </w:rPr>
        <w:t>, nr. 115/2021.</w:t>
      </w:r>
    </w:p>
    <w:p w14:paraId="181CF9EA" w14:textId="0691ECBD" w:rsidR="00C35574" w:rsidRPr="00DB4961" w:rsidRDefault="004A2F09" w:rsidP="004A2F09">
      <w:r w:rsidRPr="00DB4961">
        <w:rPr>
          <w:color w:val="242424"/>
          <w:szCs w:val="21"/>
          <w:shd w:val="clear" w:color="auto" w:fill="FFFFFF"/>
        </w:rPr>
        <w:t xml:space="preserve">Með vísan til skráahalds </w:t>
      </w:r>
      <w:r w:rsidRPr="00DB4961">
        <w:t>samkvæmt 5. mgr. 25. gr. tilskipunar Evrópuþingsins og ráðsins 2014/65/ESB í 1. mgr. 30. gr.</w:t>
      </w:r>
      <w:r w:rsidRPr="00DB4961">
        <w:rPr>
          <w:color w:val="242424"/>
          <w:szCs w:val="21"/>
          <w:shd w:val="clear" w:color="auto" w:fill="FFFFFF"/>
        </w:rPr>
        <w:t xml:space="preserve"> reglugerðar (ESB) </w:t>
      </w:r>
      <w:r w:rsidRPr="00DB4961">
        <w:rPr>
          <w:szCs w:val="21"/>
          <w:shd w:val="clear" w:color="auto" w:fill="FFFFFF"/>
        </w:rPr>
        <w:t>2015/760</w:t>
      </w:r>
      <w:r w:rsidRPr="00DB4961">
        <w:rPr>
          <w:color w:val="242424"/>
          <w:szCs w:val="21"/>
          <w:shd w:val="clear" w:color="auto" w:fill="FFFFFF"/>
        </w:rPr>
        <w:t xml:space="preserve"> er átt við skrá samkvæmt 1. mgr. 46. gr. laga um markaði fyrir </w:t>
      </w:r>
      <w:proofErr w:type="spellStart"/>
      <w:r w:rsidRPr="00DB4961">
        <w:rPr>
          <w:color w:val="242424"/>
          <w:szCs w:val="21"/>
          <w:shd w:val="clear" w:color="auto" w:fill="FFFFFF"/>
        </w:rPr>
        <w:t>fjármálagerninga</w:t>
      </w:r>
      <w:proofErr w:type="spellEnd"/>
      <w:r w:rsidRPr="00DB4961">
        <w:rPr>
          <w:color w:val="242424"/>
          <w:szCs w:val="21"/>
          <w:shd w:val="clear" w:color="auto" w:fill="FFFFFF"/>
        </w:rPr>
        <w:t>, nr. 115/2021.</w:t>
      </w:r>
    </w:p>
    <w:p w14:paraId="2E49B9EA" w14:textId="77777777" w:rsidR="00D92F51" w:rsidRPr="00DB4961" w:rsidRDefault="00D92F51" w:rsidP="00943B67"/>
    <w:p w14:paraId="666C96B9" w14:textId="77777777" w:rsidR="004A2F09" w:rsidRPr="00DB4961" w:rsidRDefault="004A2F09" w:rsidP="004A2F09">
      <w:pPr>
        <w:pStyle w:val="Greinarnmer"/>
      </w:pPr>
      <w:r w:rsidRPr="00DB4961">
        <w:t>2. gr.</w:t>
      </w:r>
    </w:p>
    <w:p w14:paraId="6EDF2B45" w14:textId="77777777" w:rsidR="004A2F09" w:rsidRPr="00DB4961" w:rsidRDefault="004A2F09" w:rsidP="004A2F09">
      <w:r w:rsidRPr="00DB4961">
        <w:t>Eftirfarandi breytingar eru gerðar á 1. mgr. 7. gr. laganna:</w:t>
      </w:r>
    </w:p>
    <w:p w14:paraId="028BDDC5" w14:textId="77777777" w:rsidR="004A2F09" w:rsidRPr="00DB4961" w:rsidRDefault="004A2F09" w:rsidP="004A2F09">
      <w:pPr>
        <w:pStyle w:val="ListParagraph"/>
        <w:numPr>
          <w:ilvl w:val="0"/>
          <w:numId w:val="18"/>
        </w:numPr>
      </w:pPr>
      <w:r w:rsidRPr="00DB4961">
        <w:t xml:space="preserve">11. og 13. </w:t>
      </w:r>
      <w:proofErr w:type="spellStart"/>
      <w:r w:rsidRPr="00DB4961">
        <w:t>tölul</w:t>
      </w:r>
      <w:proofErr w:type="spellEnd"/>
      <w:r w:rsidRPr="00DB4961">
        <w:t>. falla brott.</w:t>
      </w:r>
    </w:p>
    <w:p w14:paraId="4AC79107" w14:textId="77777777" w:rsidR="004A2F09" w:rsidRPr="00DB4961" w:rsidRDefault="004A2F09" w:rsidP="004A2F09">
      <w:pPr>
        <w:pStyle w:val="ListParagraph"/>
        <w:numPr>
          <w:ilvl w:val="0"/>
          <w:numId w:val="18"/>
        </w:numPr>
      </w:pPr>
      <w:r w:rsidRPr="00DB4961">
        <w:t xml:space="preserve">Í stað orðanna „innra matsferli“ í 12. </w:t>
      </w:r>
      <w:proofErr w:type="spellStart"/>
      <w:r w:rsidRPr="00DB4961">
        <w:t>tölul</w:t>
      </w:r>
      <w:proofErr w:type="spellEnd"/>
      <w:r w:rsidRPr="00DB4961">
        <w:t>. kemur: kröfur til innri ferla.</w:t>
      </w:r>
    </w:p>
    <w:p w14:paraId="36C4FC5F" w14:textId="651397CE" w:rsidR="00D92F51" w:rsidRPr="00DB4961" w:rsidRDefault="004A2F09" w:rsidP="004A2F09">
      <w:r w:rsidRPr="00DB4961">
        <w:t xml:space="preserve">15. </w:t>
      </w:r>
      <w:proofErr w:type="spellStart"/>
      <w:r w:rsidRPr="00DB4961">
        <w:t>tölul</w:t>
      </w:r>
      <w:proofErr w:type="spellEnd"/>
      <w:r w:rsidRPr="00DB4961">
        <w:t>. orðast svo: 30. gr. um sérstakar kröfur vegna sölu og markaðssetningar til almennra fjárfesta.</w:t>
      </w:r>
    </w:p>
    <w:p w14:paraId="1474584C" w14:textId="4E6C0BB6" w:rsidR="004A2F09" w:rsidRPr="00DB4961" w:rsidRDefault="004A2F09" w:rsidP="00943B67"/>
    <w:p w14:paraId="1748CB9E" w14:textId="77777777" w:rsidR="004A2F09" w:rsidRPr="00DB4961" w:rsidRDefault="004A2F09" w:rsidP="004A2F09">
      <w:pPr>
        <w:pStyle w:val="Greinarnmer"/>
      </w:pPr>
      <w:r w:rsidRPr="00DB4961">
        <w:t>3. gr.</w:t>
      </w:r>
    </w:p>
    <w:p w14:paraId="220A367C" w14:textId="5EB81B14" w:rsidR="004A2F09" w:rsidRPr="00DB4961" w:rsidRDefault="004A2F09" w:rsidP="004A2F09">
      <w:r w:rsidRPr="00DB4961">
        <w:t xml:space="preserve">5. </w:t>
      </w:r>
      <w:proofErr w:type="spellStart"/>
      <w:r w:rsidRPr="00DB4961">
        <w:t>tölul</w:t>
      </w:r>
      <w:proofErr w:type="spellEnd"/>
      <w:r w:rsidRPr="00DB4961">
        <w:t>. 1. mgr. 13. gr. laganna orðast svo: 30. gr. um sérstakar kröfur vegna sölu og markaðssetningar til almennra fjárfesta.</w:t>
      </w:r>
    </w:p>
    <w:p w14:paraId="2CCA9DE8" w14:textId="77777777" w:rsidR="004A2F09" w:rsidRPr="00DB4961" w:rsidRDefault="004A2F09" w:rsidP="00943B67"/>
    <w:p w14:paraId="7754BC22" w14:textId="77777777" w:rsidR="004A2F09" w:rsidRPr="00DB4961" w:rsidRDefault="004A2F09" w:rsidP="004A2F09">
      <w:pPr>
        <w:pStyle w:val="Greinarnmer"/>
      </w:pPr>
      <w:r w:rsidRPr="00DB4961">
        <w:t>4. gr.</w:t>
      </w:r>
    </w:p>
    <w:p w14:paraId="08C24B4F" w14:textId="77777777" w:rsidR="004A2F09" w:rsidRPr="00DB4961" w:rsidRDefault="004A2F09" w:rsidP="004A2F09">
      <w:r w:rsidRPr="00DB4961">
        <w:t>Eftirfarandi breytingar eru gerðar á 1. mgr. 15. gr. laganna:</w:t>
      </w:r>
    </w:p>
    <w:p w14:paraId="20CFB8FE" w14:textId="77777777" w:rsidR="004A2F09" w:rsidRPr="00DB4961" w:rsidRDefault="004A2F09" w:rsidP="004A2F09">
      <w:pPr>
        <w:pStyle w:val="ListParagraph"/>
        <w:numPr>
          <w:ilvl w:val="0"/>
          <w:numId w:val="19"/>
        </w:numPr>
      </w:pPr>
      <w:r w:rsidRPr="00DB4961">
        <w:t xml:space="preserve">2. </w:t>
      </w:r>
      <w:proofErr w:type="spellStart"/>
      <w:r w:rsidRPr="00DB4961">
        <w:t>tölul</w:t>
      </w:r>
      <w:proofErr w:type="spellEnd"/>
      <w:r w:rsidRPr="00DB4961">
        <w:t xml:space="preserve">. orðast svo: </w:t>
      </w:r>
      <w:r w:rsidRPr="00DB4961">
        <w:rPr>
          <w:color w:val="242424"/>
          <w:szCs w:val="21"/>
          <w:shd w:val="clear" w:color="auto" w:fill="FFFFFF"/>
        </w:rPr>
        <w:t xml:space="preserve">6. mgr. 18. gr. um við hvaða aðstæður líftími evrópsks langtímafjárfestingarsjóðs telst samrýmanlegur við lífsferla hverrar einstakrar eignar sjóðsins, um viðmiðanir fyrir ákvörðun lágmarkseignarhaldstímabils skv. a-lið 2. mgr., um lágmarksupplýsingar sem veita ber </w:t>
      </w:r>
      <w:proofErr w:type="spellStart"/>
      <w:r w:rsidRPr="00DB4961">
        <w:rPr>
          <w:color w:val="242424"/>
          <w:szCs w:val="21"/>
          <w:shd w:val="clear" w:color="auto" w:fill="FFFFFF"/>
        </w:rPr>
        <w:t>lögbæru</w:t>
      </w:r>
      <w:proofErr w:type="spellEnd"/>
      <w:r w:rsidRPr="00DB4961">
        <w:rPr>
          <w:color w:val="242424"/>
          <w:szCs w:val="21"/>
          <w:shd w:val="clear" w:color="auto" w:fill="FFFFFF"/>
        </w:rPr>
        <w:t xml:space="preserve"> yfirvaldi evrópsks langtímafjárfestingarsjóðs skv. </w:t>
      </w:r>
      <w:proofErr w:type="spellStart"/>
      <w:r w:rsidRPr="00DB4961">
        <w:rPr>
          <w:color w:val="242424"/>
          <w:szCs w:val="21"/>
          <w:shd w:val="clear" w:color="auto" w:fill="FFFFFF"/>
        </w:rPr>
        <w:t>b-lið</w:t>
      </w:r>
      <w:proofErr w:type="spellEnd"/>
      <w:r w:rsidRPr="00DB4961">
        <w:rPr>
          <w:color w:val="242424"/>
          <w:szCs w:val="21"/>
          <w:shd w:val="clear" w:color="auto" w:fill="FFFFFF"/>
        </w:rPr>
        <w:t xml:space="preserve"> 2. mgr., um kröfur sem evrópskur langtímafjárfestingarsjóður þarf að uppfylla m.t.t. innlausnarstefnu og lausafjárstýringartækja skv. b- og </w:t>
      </w:r>
      <w:proofErr w:type="spellStart"/>
      <w:r w:rsidRPr="00DB4961">
        <w:rPr>
          <w:color w:val="242424"/>
          <w:szCs w:val="21"/>
          <w:shd w:val="clear" w:color="auto" w:fill="FFFFFF"/>
        </w:rPr>
        <w:t>c-lið</w:t>
      </w:r>
      <w:proofErr w:type="spellEnd"/>
      <w:r w:rsidRPr="00DB4961">
        <w:rPr>
          <w:color w:val="242424"/>
          <w:szCs w:val="21"/>
          <w:shd w:val="clear" w:color="auto" w:fill="FFFFFF"/>
        </w:rPr>
        <w:t xml:space="preserve"> 2. mgr. og viðmiðanir fyrir mat á hlutfalli skv. </w:t>
      </w:r>
      <w:proofErr w:type="spellStart"/>
      <w:r w:rsidRPr="00DB4961">
        <w:rPr>
          <w:color w:val="242424"/>
          <w:szCs w:val="21"/>
          <w:shd w:val="clear" w:color="auto" w:fill="FFFFFF"/>
        </w:rPr>
        <w:t>d-lið</w:t>
      </w:r>
      <w:proofErr w:type="spellEnd"/>
      <w:r w:rsidRPr="00DB4961">
        <w:rPr>
          <w:color w:val="242424"/>
          <w:szCs w:val="21"/>
          <w:shd w:val="clear" w:color="auto" w:fill="FFFFFF"/>
        </w:rPr>
        <w:t xml:space="preserve"> 2. mgr. að teknu tilliti til m.a. </w:t>
      </w:r>
      <w:proofErr w:type="spellStart"/>
      <w:r w:rsidRPr="00DB4961">
        <w:rPr>
          <w:color w:val="242424"/>
          <w:szCs w:val="21"/>
          <w:shd w:val="clear" w:color="auto" w:fill="FFFFFF"/>
        </w:rPr>
        <w:t>vænts</w:t>
      </w:r>
      <w:proofErr w:type="spellEnd"/>
      <w:r w:rsidRPr="00DB4961">
        <w:rPr>
          <w:color w:val="242424"/>
          <w:szCs w:val="21"/>
          <w:shd w:val="clear" w:color="auto" w:fill="FFFFFF"/>
        </w:rPr>
        <w:t xml:space="preserve"> sjóðstreymis og skuldbindinga evrópska langtímafjárfestingarsjóðsins.</w:t>
      </w:r>
    </w:p>
    <w:p w14:paraId="5BF8B0F4" w14:textId="77777777" w:rsidR="004A2F09" w:rsidRPr="00DB4961" w:rsidRDefault="004A2F09" w:rsidP="004A2F09">
      <w:pPr>
        <w:pStyle w:val="ListParagraph"/>
        <w:numPr>
          <w:ilvl w:val="0"/>
          <w:numId w:val="19"/>
        </w:numPr>
      </w:pPr>
      <w:r w:rsidRPr="00DB4961">
        <w:t xml:space="preserve">Á eftir 2. </w:t>
      </w:r>
      <w:proofErr w:type="spellStart"/>
      <w:r w:rsidRPr="00DB4961">
        <w:t>tölul</w:t>
      </w:r>
      <w:proofErr w:type="spellEnd"/>
      <w:r w:rsidRPr="00DB4961">
        <w:t xml:space="preserve">. kemur nýr </w:t>
      </w:r>
      <w:proofErr w:type="spellStart"/>
      <w:r w:rsidRPr="00DB4961">
        <w:t>tölul</w:t>
      </w:r>
      <w:proofErr w:type="spellEnd"/>
      <w:r w:rsidRPr="00DB4961">
        <w:t xml:space="preserve">., svohljóðandi: 3. </w:t>
      </w:r>
      <w:r w:rsidRPr="00DB4961">
        <w:rPr>
          <w:color w:val="242424"/>
          <w:szCs w:val="21"/>
          <w:shd w:val="clear" w:color="auto" w:fill="FFFFFF"/>
        </w:rPr>
        <w:t>5. mgr. 19. gr. um aðstæður fyrir notkun pörunar skv. 2. mgr. a, þ.m.t. þær upplýsingar sem evrópskir langtímafjárfestingarsjóðir þurfa að veita fjárfestum.</w:t>
      </w:r>
    </w:p>
    <w:p w14:paraId="6EA961D2" w14:textId="77777777" w:rsidR="004A2F09" w:rsidRPr="00DB4961" w:rsidRDefault="004A2F09" w:rsidP="004A2F09">
      <w:pPr>
        <w:pStyle w:val="ListParagraph"/>
        <w:numPr>
          <w:ilvl w:val="0"/>
          <w:numId w:val="19"/>
        </w:numPr>
      </w:pPr>
      <w:r w:rsidRPr="00DB4961">
        <w:t xml:space="preserve">Á eftir 3. </w:t>
      </w:r>
      <w:proofErr w:type="spellStart"/>
      <w:r w:rsidRPr="00DB4961">
        <w:t>tölul</w:t>
      </w:r>
      <w:proofErr w:type="spellEnd"/>
      <w:r w:rsidRPr="00DB4961">
        <w:t xml:space="preserve">. kemur nýr </w:t>
      </w:r>
      <w:proofErr w:type="spellStart"/>
      <w:r w:rsidRPr="00DB4961">
        <w:t>tölul</w:t>
      </w:r>
      <w:proofErr w:type="spellEnd"/>
      <w:r w:rsidRPr="00DB4961">
        <w:t xml:space="preserve">., svohljóðandi: </w:t>
      </w:r>
      <w:r w:rsidRPr="00DB4961">
        <w:rPr>
          <w:color w:val="242424"/>
          <w:szCs w:val="21"/>
          <w:shd w:val="clear" w:color="auto" w:fill="FFFFFF"/>
        </w:rPr>
        <w:t>3. mgr. 25. gr. um sameiginlegar skilgreiningar, útreikningsaðferðir og framsetningarsnið kostnaðarins sem um getur í 1. mgr. og heildarhlutfallið sem um getur í 2. mgr.</w:t>
      </w:r>
    </w:p>
    <w:p w14:paraId="2AAC3B6F" w14:textId="3B05AD99" w:rsidR="00C35574" w:rsidRPr="00DB4961" w:rsidRDefault="004A2F09" w:rsidP="004A2F09">
      <w:pPr>
        <w:rPr>
          <w:color w:val="242424"/>
          <w:szCs w:val="21"/>
          <w:shd w:val="clear" w:color="auto" w:fill="FFFFFF"/>
        </w:rPr>
      </w:pPr>
      <w:r w:rsidRPr="00DB4961">
        <w:rPr>
          <w:color w:val="242424"/>
          <w:szCs w:val="21"/>
          <w:shd w:val="clear" w:color="auto" w:fill="FFFFFF"/>
        </w:rPr>
        <w:t xml:space="preserve">4. </w:t>
      </w:r>
      <w:proofErr w:type="spellStart"/>
      <w:r w:rsidRPr="00DB4961">
        <w:rPr>
          <w:color w:val="242424"/>
          <w:szCs w:val="21"/>
          <w:shd w:val="clear" w:color="auto" w:fill="FFFFFF"/>
        </w:rPr>
        <w:t>tölul</w:t>
      </w:r>
      <w:proofErr w:type="spellEnd"/>
      <w:r w:rsidRPr="00DB4961">
        <w:rPr>
          <w:color w:val="242424"/>
          <w:szCs w:val="21"/>
          <w:shd w:val="clear" w:color="auto" w:fill="FFFFFF"/>
        </w:rPr>
        <w:t>. fellur brott.</w:t>
      </w:r>
    </w:p>
    <w:p w14:paraId="63E19854" w14:textId="609DAEDF" w:rsidR="004A2F09" w:rsidRPr="00DB4961" w:rsidRDefault="004A2F09" w:rsidP="004A2F09">
      <w:pPr>
        <w:rPr>
          <w:color w:val="242424"/>
          <w:szCs w:val="21"/>
          <w:shd w:val="clear" w:color="auto" w:fill="FFFFFF"/>
        </w:rPr>
      </w:pPr>
    </w:p>
    <w:p w14:paraId="527DB85E" w14:textId="77777777" w:rsidR="004A2F09" w:rsidRPr="00DB4961" w:rsidRDefault="004A2F09" w:rsidP="004A2F09">
      <w:pPr>
        <w:pStyle w:val="Kaflanmer"/>
      </w:pPr>
      <w:r w:rsidRPr="00DB4961">
        <w:lastRenderedPageBreak/>
        <w:t>II. kafli</w:t>
      </w:r>
    </w:p>
    <w:p w14:paraId="3C16C6A4" w14:textId="77777777" w:rsidR="004A2F09" w:rsidRPr="00DB4961" w:rsidRDefault="004A2F09" w:rsidP="004A2F09">
      <w:pPr>
        <w:pStyle w:val="Kaflafyrirsgn"/>
      </w:pPr>
      <w:r w:rsidRPr="00DB4961">
        <w:t>Breyting á lögum um rekstraraðila sérhæfðra sjóða, nr. 45/2020.</w:t>
      </w:r>
    </w:p>
    <w:p w14:paraId="50CF48E9" w14:textId="77777777" w:rsidR="004A2F09" w:rsidRPr="00DB4961" w:rsidRDefault="004A2F09" w:rsidP="004A2F09">
      <w:pPr>
        <w:pStyle w:val="Greinarnmer"/>
      </w:pPr>
      <w:r w:rsidRPr="00DB4961">
        <w:t>5. gr.</w:t>
      </w:r>
    </w:p>
    <w:p w14:paraId="1C4A917B" w14:textId="3B2CE97D" w:rsidR="004A2F09" w:rsidRPr="00DB4961" w:rsidRDefault="004A2F09" w:rsidP="004A2F09">
      <w:pPr>
        <w:rPr>
          <w:color w:val="242424"/>
          <w:szCs w:val="21"/>
          <w:shd w:val="clear" w:color="auto" w:fill="FFFFFF"/>
        </w:rPr>
      </w:pPr>
      <w:r w:rsidRPr="00DB4961">
        <w:t>Önnur undirgrein 1. mgr. 65. gr. a laganna fellur brott.</w:t>
      </w:r>
    </w:p>
    <w:p w14:paraId="0AB8DF06" w14:textId="4D1631E9" w:rsidR="004A2F09" w:rsidRPr="00DB4961" w:rsidRDefault="004A2F09" w:rsidP="004A2F09"/>
    <w:p w14:paraId="65E7E5C0" w14:textId="77777777" w:rsidR="004A2F09" w:rsidRPr="00DB4961" w:rsidRDefault="004A2F09" w:rsidP="004A2F09">
      <w:pPr>
        <w:pStyle w:val="Greinarnmer"/>
      </w:pPr>
      <w:r w:rsidRPr="00DB4961">
        <w:t>6. gr.</w:t>
      </w:r>
    </w:p>
    <w:p w14:paraId="67859D2C" w14:textId="0C65E14D" w:rsidR="004A2F09" w:rsidRPr="00DB4961" w:rsidRDefault="004A2F09" w:rsidP="004A2F09">
      <w:r w:rsidRPr="00DB4961">
        <w:t>Lög þessi öðlast þegar gildi.</w:t>
      </w:r>
    </w:p>
    <w:p w14:paraId="796C367E" w14:textId="77777777" w:rsidR="004A2F09" w:rsidRPr="00DB4961" w:rsidRDefault="004A2F09" w:rsidP="004A2F09"/>
    <w:p w14:paraId="2C70D85C" w14:textId="77777777" w:rsidR="00E71F27" w:rsidRPr="00DB4961" w:rsidRDefault="00E71F27" w:rsidP="00E71F27">
      <w:pPr>
        <w:pStyle w:val="Fyrirsgn-greinarger"/>
      </w:pPr>
      <w:r w:rsidRPr="00DB4961">
        <w:t>Greinargerð.</w:t>
      </w:r>
    </w:p>
    <w:p w14:paraId="73F73EB2" w14:textId="77777777" w:rsidR="004A2F09" w:rsidRPr="00DB4961" w:rsidRDefault="004A2F09" w:rsidP="004A2F09">
      <w:pPr>
        <w:pStyle w:val="Millifyrirsgn1"/>
      </w:pPr>
      <w:r w:rsidRPr="00DB4961">
        <w:t xml:space="preserve">1. Inngangur. </w:t>
      </w:r>
    </w:p>
    <w:p w14:paraId="41AF16C1" w14:textId="6689DE22" w:rsidR="00C35574" w:rsidRPr="00DB4961" w:rsidRDefault="004A2F09" w:rsidP="004A2F09">
      <w:r w:rsidRPr="00DB4961">
        <w:rPr>
          <w:shd w:val="clear" w:color="auto" w:fill="FFFFFF"/>
        </w:rPr>
        <w:t>Frumvarp þetta er samið í fjármála- og efnahagsráðuneytinu í þeim tilgangi að innleiða í íslenskan rétt ákvæði reglugerðar Evrópuþingsins og ráðsins (ESB) </w:t>
      </w:r>
      <w:r w:rsidRPr="00DB4961">
        <w:t xml:space="preserve">2023/606 </w:t>
      </w:r>
      <w:r w:rsidRPr="00DB4961">
        <w:rPr>
          <w:shd w:val="clear" w:color="auto" w:fill="FFFFFF"/>
        </w:rPr>
        <w:t xml:space="preserve">frá 15. mars 2023 um </w:t>
      </w:r>
      <w:r w:rsidRPr="00DB4961">
        <w:rPr>
          <w:rStyle w:val="normaltextrun"/>
          <w:szCs w:val="21"/>
          <w:bdr w:val="none" w:sz="0" w:space="0" w:color="auto" w:frame="1"/>
        </w:rPr>
        <w:t>breytingu á reglugerð (ESB) 2015/760 að því er varðar kröfur um fjárfestingarstefnu og rekstrarskilyrði evrópskra langtímafjárfestingarsjóða og gildissvið hæfra fjárfestingareigna, kröfur um samsetningu og fjölbreytileika eignasafna og lántöku í reiðufé og aðrar sjóðsreglur</w:t>
      </w:r>
      <w:r w:rsidRPr="00DB4961">
        <w:rPr>
          <w:shd w:val="clear" w:color="auto" w:fill="FFFFFF"/>
        </w:rPr>
        <w:t>. Reglugerðin gekk í gildi innan Evrópusambandsins (hér eftir ESB) 10. janúar 2024. Gerðin var tekin upp í EES-samninginn með ákvörðun sameiginlegu EES-nefndarinnar nr. [</w:t>
      </w:r>
      <w:r w:rsidRPr="00DB4961">
        <w:t xml:space="preserve">…] </w:t>
      </w:r>
      <w:r w:rsidRPr="00DB4961">
        <w:rPr>
          <w:shd w:val="clear" w:color="auto" w:fill="FFFFFF"/>
        </w:rPr>
        <w:t>frá [</w:t>
      </w:r>
      <w:r w:rsidRPr="00DB4961">
        <w:t xml:space="preserve">…] </w:t>
      </w:r>
      <w:r w:rsidRPr="00DB4961">
        <w:rPr>
          <w:shd w:val="clear" w:color="auto" w:fill="FFFFFF"/>
        </w:rPr>
        <w:t>2025.</w:t>
      </w:r>
    </w:p>
    <w:p w14:paraId="72CB60F6" w14:textId="3707D7EB" w:rsidR="00D0740D" w:rsidRPr="00DB4961" w:rsidRDefault="00D0740D" w:rsidP="00943B67"/>
    <w:p w14:paraId="04D4284D" w14:textId="77777777" w:rsidR="004A2F09" w:rsidRPr="00DB4961" w:rsidRDefault="004A2F09" w:rsidP="004A2F09">
      <w:pPr>
        <w:pStyle w:val="Millifyrirsgn1"/>
      </w:pPr>
      <w:r w:rsidRPr="00DB4961">
        <w:t xml:space="preserve">2. Tilefni og nauðsyn lagasetningar. </w:t>
      </w:r>
    </w:p>
    <w:p w14:paraId="1EDFEF4B" w14:textId="77777777" w:rsidR="004A2F09" w:rsidRPr="00DB4961" w:rsidRDefault="004A2F09" w:rsidP="004A2F09">
      <w:pPr>
        <w:rPr>
          <w:bCs/>
        </w:rPr>
      </w:pPr>
      <w:r w:rsidRPr="00DB4961">
        <w:rPr>
          <w:bCs/>
        </w:rPr>
        <w:t>Með lögum um evrópska langtímafjárfestingarsjóði, nr. 115/2022, voru ákvæði reglugerðar Evrópuþingsins og ráðsins (ESB) 2015/760 frá 29. apríl 2015 um evrópska langtímafjárfestingarsjóði (hér eftir ELTIF-reglugerðin) innleidd. ELTIF-</w:t>
      </w:r>
      <w:r w:rsidRPr="00DB4961">
        <w:t xml:space="preserve">sjóðir eru ætlaðir til langtímafjárfestinga til ýmissa verkefna á sviði t.a.m. innviða, óskráðra fyrirtækja og lítilla og meðalstórra fyrirtækja. </w:t>
      </w:r>
      <w:r w:rsidRPr="00DB4961">
        <w:rPr>
          <w:bCs/>
        </w:rPr>
        <w:t xml:space="preserve">Reglugerð (ESB) 2023/606 hefur verið sett sem breytir ELTIF-reglugerðinni. </w:t>
      </w:r>
    </w:p>
    <w:p w14:paraId="0FEBD170" w14:textId="77777777" w:rsidR="004A2F09" w:rsidRPr="00DB4961" w:rsidRDefault="004A2F09" w:rsidP="004A2F09">
      <w:pPr>
        <w:rPr>
          <w:bCs/>
        </w:rPr>
      </w:pPr>
      <w:r w:rsidRPr="00DB4961">
        <w:rPr>
          <w:bCs/>
        </w:rPr>
        <w:t>Evrópskir langtímafjárfestingarsjóðir (hér eftir ELTIF-sjóðir) eru sérhæfðir sjóðir í rekstri rekstraraðila sérhæfðra sjóða með starfsleyfi. Þeir eru eina sjóðategundin sem helguð er langtímafjárfestingum sem heimilt er að markaðssetja yfir landamæri innan Evrópska efnahagssvæðisins (hér eftir EES) til bæði fagfjárfesta og almennra fjárfesta. Fáir ELTIF-sjóðir hafa verið settir á stofn frá gildistöku ELTIF-reglugerðarinnar og í fáum aðildarríkjum, sbr. 1. og 3. lið aðfararorða reglugerðar (ESB) 2023/606, eða 57 talsins í október 2021 í aðeins fjórum aðildarríkjum; Frakklandi, Lúxemborg, Ítalíu og Spáni.</w:t>
      </w:r>
      <w:r w:rsidRPr="00DB4961">
        <w:rPr>
          <w:rStyle w:val="FootnoteReference"/>
          <w:bCs/>
        </w:rPr>
        <w:footnoteReference w:id="1"/>
      </w:r>
      <w:r w:rsidRPr="00DB4961">
        <w:rPr>
          <w:bCs/>
        </w:rPr>
        <w:t xml:space="preserve"> Talið er að það megi rekja til strangra reglna um samsetningu eignasafna ELTIF-sjóða og takmarkana á möguleikum til dreifingar þeirra. Samanlögð hrein eign slíkra sjóða var árið 2021 um 2,4 milljarðar evra. Fyrir breytingu reglnanna hafði þróunin ekki verið í þá átt að aukning væri í starfsemi slíkra sjóða þrátt fyrir mikla áherslu ESB á langtímafjármögnun innan Sambandsins, sbr. 2. lið aðfararorða reglugerðar (ESB) 2023/606. Af þessum sökum var talið nauðsynlegt að endurskoða ELTIF-reglugerðina í því skyni að gera slíka sjóði eftirsóknarverðari fyrir fjárfesta og til að auka hlut þeirra sem uppsprettu fjármagns fyrir fyrirtæki innan ESB. Einnig til að auðvelda þátttöku almennra fjárfesta í slíkum sjóðum. Breytingunum á ELTIF-reglugerðinni er ætlað að styðja við markmið ESB um sparnaðar- og fjárfestingasamband ESB, sem áður var vísað til sem </w:t>
      </w:r>
      <w:r w:rsidRPr="00DB4961">
        <w:rPr>
          <w:bCs/>
        </w:rPr>
        <w:lastRenderedPageBreak/>
        <w:t>sambands fjármagnsmarkaða, sem er hluti af vegferðinni um að auka samkeppnishæfni Evrópu.</w:t>
      </w:r>
      <w:r w:rsidRPr="00DB4961">
        <w:rPr>
          <w:rStyle w:val="FootnoteReference"/>
          <w:bCs/>
        </w:rPr>
        <w:footnoteReference w:id="2"/>
      </w:r>
      <w:r w:rsidRPr="00DB4961">
        <w:rPr>
          <w:bCs/>
        </w:rPr>
        <w:t xml:space="preserve"> </w:t>
      </w:r>
    </w:p>
    <w:p w14:paraId="64CE6A36" w14:textId="5F9FED3F" w:rsidR="004A2F09" w:rsidRPr="00DB4961" w:rsidRDefault="004A2F09" w:rsidP="004A2F09">
      <w:r w:rsidRPr="00DB4961">
        <w:rPr>
          <w:shd w:val="clear" w:color="auto" w:fill="FFFFFF"/>
        </w:rPr>
        <w:t>Lagt er til að reglugerðin verði tekin upp í íslenskan rétt með svokallaðri tilvísunaraðferð með breytingum á lögum um evrópska langtímafjárfestingarsjóði, nr. 115/2022, og hún þá að fullu innleidd samkvæmt orðanna hljóðan í samræmi við a-lið 7. gr. EES-samningsins, sbr. lög um Evrópska efnahagssvæðið, nr. </w:t>
      </w:r>
      <w:hyperlink r:id="rId7" w:tgtFrame="_blank" w:history="1">
        <w:r w:rsidRPr="00DB4961">
          <w:rPr>
            <w:rStyle w:val="Hyperlink"/>
            <w:shd w:val="clear" w:color="auto" w:fill="FFFFFF"/>
          </w:rPr>
          <w:t>2/1993</w:t>
        </w:r>
      </w:hyperlink>
      <w:r w:rsidRPr="00DB4961">
        <w:rPr>
          <w:shd w:val="clear" w:color="auto" w:fill="FFFFFF"/>
        </w:rPr>
        <w:t xml:space="preserve">. Nánar tiltekið er lagt til að reglugerðinni verði veitt lagagildi hér á landi og vísað verði til birtingar hennar í EES-viðbæti við Stjórnartíðindi ESB. Í 2. mgr. 2. gr. laga um Stjórnartíðindi og </w:t>
      </w:r>
      <w:proofErr w:type="spellStart"/>
      <w:r w:rsidRPr="00DB4961">
        <w:rPr>
          <w:shd w:val="clear" w:color="auto" w:fill="FFFFFF"/>
        </w:rPr>
        <w:t>Lögbirtingablað</w:t>
      </w:r>
      <w:proofErr w:type="spellEnd"/>
      <w:r w:rsidRPr="00DB4961">
        <w:rPr>
          <w:shd w:val="clear" w:color="auto" w:fill="FFFFFF"/>
        </w:rPr>
        <w:t>, nr. </w:t>
      </w:r>
      <w:hyperlink r:id="rId8" w:tgtFrame="_blank" w:history="1">
        <w:r w:rsidRPr="00DB4961">
          <w:rPr>
            <w:rStyle w:val="Hyperlink"/>
            <w:shd w:val="clear" w:color="auto" w:fill="FFFFFF"/>
          </w:rPr>
          <w:t>15/2005</w:t>
        </w:r>
      </w:hyperlink>
      <w:r w:rsidRPr="00DB4961">
        <w:rPr>
          <w:shd w:val="clear" w:color="auto" w:fill="FFFFFF"/>
        </w:rPr>
        <w:t>, kemur fram að við birtingu laga í A-deild Stjórnartíðinda, sem sett eru til að lögleiða samninga við önnur ríki og breytingar á þeim, þar á meðal EES-reglur, sé heimilt að vísa til birtingar skv. 4. gr. laganna. Skv. 1. mgr. 4. gr. laganna skal í C-deild Stjórnartíðinda birta samninga við önnur ríki og auglýsingar varðandi gildi þeirra. Tekið er fram í ákvæðinu að birting ákvarðana sameiginlegu EES-nefndarinnar og þeirra gerða sem þar er vísað til í EES-viðbæti við Stjórnartíðindi Evrópusambandsins teljist jafngild birting að þessu leyti. Ákvörðun sameiginlegu EES-nefndarinnar nr. </w:t>
      </w:r>
      <w:r w:rsidRPr="00DB4961">
        <w:t>[</w:t>
      </w:r>
      <w:r w:rsidR="003F74BD" w:rsidRPr="00DB4961">
        <w:t xml:space="preserve"> </w:t>
      </w:r>
      <w:r w:rsidRPr="00DB4961">
        <w:t xml:space="preserve">] </w:t>
      </w:r>
      <w:r w:rsidRPr="00DB4961">
        <w:rPr>
          <w:shd w:val="clear" w:color="auto" w:fill="FFFFFF"/>
        </w:rPr>
        <w:t xml:space="preserve">hefur ekki verið birt í EES-viðbæti við Stjórnartíðindi Evrópusambandsins enn sem komið er. Gert er ráð fyrir að afleidd gerð reglugerðarinnar, þ.e. framseld reglugerð framkvæmdastjórnarinnar (ESB) 2024/2759, </w:t>
      </w:r>
      <w:r w:rsidRPr="00DB4961">
        <w:t xml:space="preserve">sem </w:t>
      </w:r>
      <w:r w:rsidRPr="00DB4961">
        <w:rPr>
          <w:shd w:val="clear" w:color="auto" w:fill="FFFFFF"/>
        </w:rPr>
        <w:t>var tekin upp í EES-samninginn með ákvörðun sameiginlegu EES-nefndarinnar nr. [</w:t>
      </w:r>
      <w:r w:rsidR="003F74BD" w:rsidRPr="00DB4961">
        <w:rPr>
          <w:shd w:val="clear" w:color="auto" w:fill="FFFFFF"/>
        </w:rPr>
        <w:t xml:space="preserve"> </w:t>
      </w:r>
      <w:r w:rsidRPr="00DB4961">
        <w:t xml:space="preserve">] </w:t>
      </w:r>
      <w:r w:rsidRPr="00DB4961">
        <w:rPr>
          <w:shd w:val="clear" w:color="auto" w:fill="FFFFFF"/>
        </w:rPr>
        <w:t>frá [</w:t>
      </w:r>
      <w:r w:rsidR="003F74BD" w:rsidRPr="00DB4961">
        <w:t xml:space="preserve"> </w:t>
      </w:r>
      <w:r w:rsidRPr="00DB4961">
        <w:t xml:space="preserve">] </w:t>
      </w:r>
      <w:r w:rsidRPr="00DB4961">
        <w:rPr>
          <w:shd w:val="clear" w:color="auto" w:fill="FFFFFF"/>
        </w:rPr>
        <w:t>2025</w:t>
      </w:r>
      <w:r w:rsidRPr="00DB4961">
        <w:t xml:space="preserve">, </w:t>
      </w:r>
      <w:r w:rsidRPr="00DB4961">
        <w:rPr>
          <w:shd w:val="clear" w:color="auto" w:fill="FFFFFF"/>
        </w:rPr>
        <w:t>verði tekin upp í íslenskan rétt með stjórnvaldsfyrirmælum Seðlabanka Íslands. Mælt er fyrir um lagastoð til innleiðingar hennar í frumvarpinu.</w:t>
      </w:r>
    </w:p>
    <w:p w14:paraId="5DCD801E" w14:textId="77777777" w:rsidR="004A2F09" w:rsidRPr="00DB4961" w:rsidRDefault="004A2F09" w:rsidP="004A2F09">
      <w:pPr>
        <w:rPr>
          <w:shd w:val="clear" w:color="auto" w:fill="FFFFFF"/>
        </w:rPr>
      </w:pPr>
      <w:r w:rsidRPr="00DB4961">
        <w:rPr>
          <w:shd w:val="clear" w:color="auto" w:fill="FFFFFF"/>
        </w:rPr>
        <w:t xml:space="preserve">Markmiðið með innleiðingu reglugerðarinnar í íslenskan rétt, eins og hún hefur verið tekin upp í EES-samninginn, er að samræma þær reglur sem gilda hér á landi við þær sem gilda innan EES enda er þannig best gætt að hagsmunum markaðarins og fjárfesta og ýtt undir aukna starfsemi erlendra fyrirtækja hér á landi og íslenskra fyrirtækja erlendis. Loks er ætlunin að stuðla að skilvirkri framkvæmd EES-samningsins. Ekki eru aðrar leiðir færar til innleiðingar gerðarinnar í íslenskan rétt en með breytingu á lögum um evrópska langtímafjárfestingarsjóði þar sem ELTIF-reglugerðinni var veitt lagagildi. </w:t>
      </w:r>
    </w:p>
    <w:p w14:paraId="2FB8EB52" w14:textId="77777777" w:rsidR="004A2F09" w:rsidRPr="00DB4961" w:rsidRDefault="004A2F09" w:rsidP="004A2F09">
      <w:r w:rsidRPr="00DB4961">
        <w:rPr>
          <w:shd w:val="clear" w:color="auto" w:fill="FFFFFF"/>
        </w:rPr>
        <w:t xml:space="preserve">Evrópskir langtímafjárfestingasjóðir eru ekki starfræktir á Íslandi. Því er ekki talið að lagasetningin hafi nein áhrif á íslenskan fjármálamarkað að svo stöddu. Breytingunum á lögum um evrópska langtímafjárfestingasjóði er þó ætlað að stuðla að því að gera slík sjóðaform eftirsóknarverðari fyrir rekstraraðila sérhæfðra sjóða og fyrir fjárfesta. Gæti </w:t>
      </w:r>
      <w:proofErr w:type="spellStart"/>
      <w:r w:rsidRPr="00DB4961">
        <w:rPr>
          <w:shd w:val="clear" w:color="auto" w:fill="FFFFFF"/>
        </w:rPr>
        <w:t>starfræksla</w:t>
      </w:r>
      <w:proofErr w:type="spellEnd"/>
      <w:r w:rsidRPr="00DB4961">
        <w:rPr>
          <w:shd w:val="clear" w:color="auto" w:fill="FFFFFF"/>
        </w:rPr>
        <w:t xml:space="preserve"> slíkra sjóða haft jákvæð áhrif á íslenskt samfélag vegna eðlis þeirra sem langtímafjárfestingarsjóða sem fjárfesta t.a.m. í innviðaverkefnum.</w:t>
      </w:r>
    </w:p>
    <w:p w14:paraId="64287C42" w14:textId="77777777" w:rsidR="004A2F09" w:rsidRPr="00DB4961" w:rsidRDefault="004A2F09" w:rsidP="004A2F09"/>
    <w:p w14:paraId="0033D728" w14:textId="77777777" w:rsidR="004A2F09" w:rsidRPr="00DB4961" w:rsidRDefault="004A2F09" w:rsidP="004A2F09">
      <w:pPr>
        <w:pStyle w:val="Millifyrirsgn1"/>
      </w:pPr>
      <w:r w:rsidRPr="00DB4961">
        <w:t xml:space="preserve">3. Meginefni frumvarpsins. </w:t>
      </w:r>
    </w:p>
    <w:p w14:paraId="381A5015" w14:textId="77777777" w:rsidR="004A2F09" w:rsidRPr="00DB4961" w:rsidRDefault="004A2F09" w:rsidP="004A2F09">
      <w:r w:rsidRPr="00DB4961">
        <w:t>Lagt er til að gerðar verði breytingar á lögum um evrópska langtímafjárfestingarsjóði. Frumvarpið felur í sér innleiðingu reglugerðar (ESB) 2023/606 í íslenskan rétt. Meginefni frumvarpsins er því lögfesting reglugerðarinnar og tillögur um smávægilegar breytingar á ákvæðum laganna um stjórnvaldssektir og refsingar sem leiðir af breytingum á ELTIF-reglugerðinni og um heimildir Seðlabanka Íslands til setningar stjórnvaldsfyrirmæla til innleiðingar í íslenskan rétt á ákvæðum undirgerðar ELTIF-reglugerðarinnar, reglugerðar (ESB) 2024/2759, til samræmis við reglusetningarheimildir í reglugerðinni.</w:t>
      </w:r>
    </w:p>
    <w:p w14:paraId="647EFDB5" w14:textId="77777777" w:rsidR="004A2F09" w:rsidRPr="00DB4961" w:rsidRDefault="004A2F09" w:rsidP="004A2F09">
      <w:r w:rsidRPr="00DB4961">
        <w:lastRenderedPageBreak/>
        <w:t>Í ELTIF-reglugerðinni er kveðið á um heimildir til notkunar heitanna ELTIF og evrópskir langtímafjárfestingarsjóðir fyrir þá rekstraraðila sem kjósa að markaðssetja slíka sjóði innan EES bæði til fagfjárfesta og almennra fjárfesta og skilyrði sem uppfylla þarf til að það sé unnt.</w:t>
      </w:r>
    </w:p>
    <w:p w14:paraId="19136BD3" w14:textId="77777777" w:rsidR="003F74BD" w:rsidRPr="00DB4961" w:rsidRDefault="004A2F09" w:rsidP="003F74BD">
      <w:pPr>
        <w:rPr>
          <w:bCs/>
        </w:rPr>
      </w:pPr>
      <w:r w:rsidRPr="00DB4961">
        <w:rPr>
          <w:bCs/>
        </w:rPr>
        <w:t xml:space="preserve">Helstu breytingarnar á ELTIF-reglugerðinni sem kveðið er á um í reglugerð (ESB) 2023/606 eru á reglum um fjárfestingarheimildir ELTIF-sjóða, um möguleika fjárfesta til að selja fjárfestingar sínar í slíkum sjóðum, um heimildir almennra fjárfesta til fjárfestinga í slíkum sjóðum, um heimildir til fylgisjóða og höfuðsjóða fyrirkomulags, um </w:t>
      </w:r>
      <w:proofErr w:type="spellStart"/>
      <w:r w:rsidRPr="00DB4961">
        <w:rPr>
          <w:bCs/>
        </w:rPr>
        <w:t>meðfjárfestingar</w:t>
      </w:r>
      <w:proofErr w:type="spellEnd"/>
      <w:r w:rsidRPr="00DB4961">
        <w:rPr>
          <w:bCs/>
        </w:rPr>
        <w:t>, um starfsleyfi rekstraraðila og um upplýsingagjöf til fjárfesta.</w:t>
      </w:r>
    </w:p>
    <w:p w14:paraId="6FEF265B" w14:textId="191C3B52" w:rsidR="004A2F09" w:rsidRPr="00DB4961" w:rsidRDefault="003F74BD" w:rsidP="003F74BD">
      <w:r w:rsidRPr="00DB4961">
        <w:rPr>
          <w:shd w:val="clear" w:color="auto" w:fill="FFFFFF"/>
        </w:rPr>
        <w:t xml:space="preserve">Ekki er lagt til að gengið verði lengra við innleiðinguna á reglugerð (ESB) 2023/606 en lágmarkskröfur hennar áskilja. </w:t>
      </w:r>
      <w:r w:rsidRPr="00DB4961">
        <w:t>Þó er lagt til að nýrri reglusetningarheimild verði bætt við lögin um upplýsingagjöf um kostnað sem fjárfestingar í evrópskum langtímafjárfestingarsjóðum bera, sem leiðir ekki beint af innleiðingu reglugerðarinnar. Fyrir yfirsjón var þessi reglusetningarheimild ekki hluti af frumvarpi til innleiðingar á ELTIF-reglugerðinni á sínum tíma. Einnig er lögð til breyting á lögum um rekstraraðila sérhæfðra sjóða sem leiðir af brottfalli 26. gr. ELTIF-reglugerðarinnar með reglugerð (ESB) 2023/606. Í lögum um rekstraraðila sérhæfðra sjóða er vísað til umræddrar 26. gr., en sú vísun er marklaus eftir niðurfellingu 26. gr. ELTIF-reglugerðarinnar. Þá er lagt til að lögin taki þegar gildi, en í reglugerð (ESB) 2023/606 er hins vegar gert ráð fyrir aðlögunartíma fyrir þá ELTIF-sjóði sem þegar hafa tekið til starfa. Slíkir sjóðir eru ekki starfandi hér á landi og því ekki talin þörf á slíku aðlögunarákvæði fyrir markaðs- eða eftirlitsaðila.</w:t>
      </w:r>
    </w:p>
    <w:p w14:paraId="6B1C7F12" w14:textId="77777777" w:rsidR="003F74BD" w:rsidRPr="00DB4961" w:rsidRDefault="003F74BD" w:rsidP="003F74BD"/>
    <w:p w14:paraId="449F6379" w14:textId="77777777" w:rsidR="004A2F09" w:rsidRPr="00DB4961" w:rsidRDefault="004A2F09" w:rsidP="004A2F09">
      <w:pPr>
        <w:pStyle w:val="Millifyrirsgn2"/>
      </w:pPr>
      <w:r w:rsidRPr="00DB4961">
        <w:t>3.1. Helstu breytingar á ELTIF-reglugerðinni.</w:t>
      </w:r>
    </w:p>
    <w:p w14:paraId="31B800E2" w14:textId="77777777" w:rsidR="004A2F09" w:rsidRPr="00DB4961" w:rsidRDefault="004A2F09" w:rsidP="004A2F09">
      <w:pPr>
        <w:pStyle w:val="Millifyrirsgn2"/>
      </w:pPr>
      <w:r w:rsidRPr="00DB4961">
        <w:t>3.1.1. Breytingar á fjárfestingarheimildum ELTIF-sjóða.</w:t>
      </w:r>
    </w:p>
    <w:p w14:paraId="7B06B577" w14:textId="77777777" w:rsidR="004A2F09" w:rsidRPr="00DB4961" w:rsidRDefault="004A2F09" w:rsidP="004A2F09">
      <w:r w:rsidRPr="00DB4961">
        <w:t xml:space="preserve">Með það að markmiði að gera ELTIF-sjóði meira spennandi fyrir eignastýringaraðila og fyrir fjárfesta eru nokkrar breytingarnar gerðar á reglum ELTIF-reglugerðarinnar um fjárfestingarheimildir sjóðanna með reglugerð (ESB) 2023/606. </w:t>
      </w:r>
    </w:p>
    <w:p w14:paraId="4B6C8E7D" w14:textId="77777777" w:rsidR="004A2F09" w:rsidRPr="00DB4961" w:rsidRDefault="004A2F09" w:rsidP="004A2F09">
      <w:r w:rsidRPr="00DB4961">
        <w:t xml:space="preserve">Skilgreining á eignum (e. </w:t>
      </w:r>
      <w:proofErr w:type="spellStart"/>
      <w:r w:rsidRPr="00DB4961">
        <w:rPr>
          <w:i/>
          <w:iCs/>
        </w:rPr>
        <w:t>real</w:t>
      </w:r>
      <w:proofErr w:type="spellEnd"/>
      <w:r w:rsidRPr="00DB4961">
        <w:rPr>
          <w:i/>
          <w:iCs/>
        </w:rPr>
        <w:t xml:space="preserve"> </w:t>
      </w:r>
      <w:proofErr w:type="spellStart"/>
      <w:r w:rsidRPr="00DB4961">
        <w:rPr>
          <w:i/>
          <w:iCs/>
        </w:rPr>
        <w:t>asset</w:t>
      </w:r>
      <w:proofErr w:type="spellEnd"/>
      <w:r w:rsidRPr="00DB4961">
        <w:t xml:space="preserve">) í 2. gr. ELTIF-reglugerðarinnar er einfölduð til muna í þeim tilgangi að útvíkka möguleika á fjárfestingaráætlunum sem rekstraraðilar ELTIF-sjóða geta framfylgt. Breytingunum er m.a. ætlað að tryggja að það sem telst til hæfra fjárfestinga fyrir ELTIF-sjóði geti talist vera fjárfestingar sem ekki er einfalt að magngreina. Þá felur breytingin í sér að slíkar fjárfestingar geti falist í t.d. innviðum, hugverkum, skipum, búnaði, flugvélum, auk auðlindaréttinda eins og vatni, skógi og námuréttinda. </w:t>
      </w:r>
    </w:p>
    <w:p w14:paraId="1EA33FC8" w14:textId="77777777" w:rsidR="004A2F09" w:rsidRPr="00DB4961" w:rsidRDefault="004A2F09" w:rsidP="004A2F09">
      <w:r w:rsidRPr="00DB4961">
        <w:t>Gerðar eru breytingar á 1. gr. reglugerðarinnar um efni hennar og markmið, sem og á 11. gr. hennar um fjárfestingarhæf fyrirtæki, til þess að fjarlægja þá hindrun sem áður hafði verið sett upp svo að fjárfestingar ELTIF-sjóða væru fyrst og fremst innan EES. Var það talið takmarka fjárfestingarmöguleika slíkra sjóða of mikið, enda gætu fjárfestingar í verkefnum, fyrirtækjum og innviðum í þriðju ríkjum einnig fært fjármuni til ELTIF-sjóða og verið til hagsbóta fyrir hagkerfi ESB. Með þessari breytingu er meiningin að opna fyrir fjárfestingar ELTIF-sjóða t.a.m. í neðansjávar ljósleiðurum sem tengja Evrópu við aðrar heimsálfur og búnaði fyrir endurnýjanlega orku og sambærilegu sem getur stuðlað að orkuöryggi innan Evrópu, sbr. 4. lið aðfararorða reglugerðar (ESB) 2023/606.</w:t>
      </w:r>
    </w:p>
    <w:p w14:paraId="77D2A47C" w14:textId="77777777" w:rsidR="004A2F09" w:rsidRPr="00DB4961" w:rsidRDefault="004A2F09" w:rsidP="004A2F09">
      <w:r w:rsidRPr="00DB4961">
        <w:t xml:space="preserve">Reglur 10. gr. ELTIF-reglugerðarinnar um hvað teljist vera hæfar fjárfestingar fyrir ELTIF-sjóði eru </w:t>
      </w:r>
      <w:proofErr w:type="spellStart"/>
      <w:r w:rsidRPr="00DB4961">
        <w:t>útvíkkaðar</w:t>
      </w:r>
      <w:proofErr w:type="spellEnd"/>
      <w:r w:rsidRPr="00DB4961">
        <w:t>. Þær breytingar eru helst eftirfarandi:</w:t>
      </w:r>
    </w:p>
    <w:p w14:paraId="66FD182A" w14:textId="77777777" w:rsidR="004A2F09" w:rsidRPr="00DB4961" w:rsidRDefault="004A2F09" w:rsidP="004A2F09">
      <w:pPr>
        <w:pStyle w:val="ListParagraph"/>
        <w:numPr>
          <w:ilvl w:val="0"/>
          <w:numId w:val="22"/>
        </w:numPr>
        <w:rPr>
          <w:shd w:val="clear" w:color="auto" w:fill="FFFFFF"/>
        </w:rPr>
      </w:pPr>
      <w:r w:rsidRPr="00DB4961">
        <w:t xml:space="preserve">Opnað er fyrir frekari fjárfestingar í öðrum sjóðum um sameiginlega fjárfestingu með þeim skilyrðum að þeir sjóðir sem fjárfest er í fjárfesti í hæfum fjárfestingum skv. ELTIF-reglugerðinni og hafi ekki fjárfest meiru en 10% af sínum höfuðstól í öðrum </w:t>
      </w:r>
      <w:r w:rsidRPr="00DB4961">
        <w:lastRenderedPageBreak/>
        <w:t xml:space="preserve">sjóðum um sameiginlega fjárfestingu. Skerpt er á kröfum um áhættustýringu vegna þessa. </w:t>
      </w:r>
    </w:p>
    <w:p w14:paraId="1694EB7C" w14:textId="77777777" w:rsidR="004A2F09" w:rsidRPr="00DB4961" w:rsidRDefault="004A2F09" w:rsidP="004A2F09">
      <w:pPr>
        <w:pStyle w:val="ListParagraph"/>
        <w:numPr>
          <w:ilvl w:val="0"/>
          <w:numId w:val="22"/>
        </w:numPr>
        <w:rPr>
          <w:shd w:val="clear" w:color="auto" w:fill="FFFFFF"/>
        </w:rPr>
      </w:pPr>
      <w:r w:rsidRPr="00DB4961">
        <w:t>B</w:t>
      </w:r>
      <w:r w:rsidRPr="00DB4961">
        <w:rPr>
          <w:shd w:val="clear" w:color="auto" w:fill="FFFFFF"/>
        </w:rPr>
        <w:t>ætt er við heimild fyrir ELTIF-sjóði til að setja upp fylgisjóða og höfuðsjóða fyrirkomulag, svo lengi sem bæði höfuðsjóður og fylgisjóður uppfylli skilyrði þess að vera ELTIF-sjóðir. Er það gert til þess að nýta ávinning eignadreifingar og til að nýta betur sérþekkingu rekstraraðila ELTIF-sjóða. Í þeim tilvikum gildir ekki krafan um 10% hámark á fjárfestingar í öðrum sjóðum um sameiginlega fjárfestingu.</w:t>
      </w:r>
    </w:p>
    <w:p w14:paraId="6A1AC0EC" w14:textId="77777777" w:rsidR="004A2F09" w:rsidRPr="00DB4961" w:rsidRDefault="004A2F09" w:rsidP="004A2F09">
      <w:pPr>
        <w:pStyle w:val="ListParagraph"/>
        <w:numPr>
          <w:ilvl w:val="0"/>
          <w:numId w:val="22"/>
        </w:numPr>
        <w:rPr>
          <w:shd w:val="clear" w:color="auto" w:fill="FFFFFF"/>
        </w:rPr>
      </w:pPr>
      <w:r w:rsidRPr="00DB4961">
        <w:t>B</w:t>
      </w:r>
      <w:r w:rsidRPr="00DB4961">
        <w:rPr>
          <w:shd w:val="clear" w:color="auto" w:fill="FFFFFF"/>
        </w:rPr>
        <w:t xml:space="preserve">ætt er við heimildum til fjárfestinga í tilteknum verðbréfunum til að fjölga fjárfestingarkostum fyrir sjóðina og að sama skapi að gera slíka sjóði meira aðlaðandi fyrir fjárfesta og eignastýringaraðila. </w:t>
      </w:r>
    </w:p>
    <w:p w14:paraId="1F680583" w14:textId="77777777" w:rsidR="004A2F09" w:rsidRPr="00DB4961" w:rsidRDefault="004A2F09" w:rsidP="004A2F09">
      <w:pPr>
        <w:pStyle w:val="ListParagraph"/>
        <w:numPr>
          <w:ilvl w:val="0"/>
          <w:numId w:val="22"/>
        </w:numPr>
        <w:rPr>
          <w:shd w:val="clear" w:color="auto" w:fill="FFFFFF"/>
        </w:rPr>
      </w:pPr>
      <w:r w:rsidRPr="00DB4961">
        <w:t xml:space="preserve">Fallið er frá kröfu um </w:t>
      </w:r>
      <w:r w:rsidRPr="00DB4961">
        <w:rPr>
          <w:shd w:val="clear" w:color="auto" w:fill="FFFFFF"/>
        </w:rPr>
        <w:t xml:space="preserve">10 </w:t>
      </w:r>
      <w:proofErr w:type="spellStart"/>
      <w:r w:rsidRPr="00DB4961">
        <w:rPr>
          <w:shd w:val="clear" w:color="auto" w:fill="FFFFFF"/>
        </w:rPr>
        <w:t>millj</w:t>
      </w:r>
      <w:proofErr w:type="spellEnd"/>
      <w:r w:rsidRPr="00DB4961">
        <w:rPr>
          <w:shd w:val="clear" w:color="auto" w:fill="FFFFFF"/>
        </w:rPr>
        <w:t xml:space="preserve">. evra (EUR) </w:t>
      </w:r>
      <w:r w:rsidRPr="00DB4961">
        <w:t>lágmark á hverja h</w:t>
      </w:r>
      <w:r w:rsidRPr="00DB4961">
        <w:rPr>
          <w:shd w:val="clear" w:color="auto" w:fill="FFFFFF"/>
        </w:rPr>
        <w:t xml:space="preserve">æfa fjárfestingu ELTIF-sjóða í eignum (e. </w:t>
      </w:r>
      <w:proofErr w:type="spellStart"/>
      <w:r w:rsidRPr="00DB4961">
        <w:rPr>
          <w:i/>
          <w:iCs/>
          <w:shd w:val="clear" w:color="auto" w:fill="FFFFFF"/>
        </w:rPr>
        <w:t>real</w:t>
      </w:r>
      <w:proofErr w:type="spellEnd"/>
      <w:r w:rsidRPr="00DB4961">
        <w:rPr>
          <w:i/>
          <w:iCs/>
          <w:shd w:val="clear" w:color="auto" w:fill="FFFFFF"/>
        </w:rPr>
        <w:t xml:space="preserve"> </w:t>
      </w:r>
      <w:proofErr w:type="spellStart"/>
      <w:r w:rsidRPr="00DB4961">
        <w:rPr>
          <w:i/>
          <w:iCs/>
          <w:shd w:val="clear" w:color="auto" w:fill="FFFFFF"/>
        </w:rPr>
        <w:t>asset</w:t>
      </w:r>
      <w:proofErr w:type="spellEnd"/>
      <w:r w:rsidRPr="00DB4961">
        <w:rPr>
          <w:shd w:val="clear" w:color="auto" w:fill="FFFFFF"/>
        </w:rPr>
        <w:t xml:space="preserve">). Væntingar eru um að sú breyting muni leiða til dreifingar á eignasöfnum ELTIF-sjóða og ýta undir áhrifaríkari fjárfestingar. Jafnframt er opnað fyrir minnihluta </w:t>
      </w:r>
      <w:proofErr w:type="spellStart"/>
      <w:r w:rsidRPr="00DB4961">
        <w:rPr>
          <w:shd w:val="clear" w:color="auto" w:fill="FFFFFF"/>
        </w:rPr>
        <w:t>meðfjárfestingar</w:t>
      </w:r>
      <w:proofErr w:type="spellEnd"/>
      <w:r w:rsidRPr="00DB4961">
        <w:rPr>
          <w:shd w:val="clear" w:color="auto" w:fill="FFFFFF"/>
        </w:rPr>
        <w:t xml:space="preserve"> í stað þess að gera áfram kröfu um að hæf fjárfesting sé gefin út af fyrirtæki sem er í meirihlutaeigu fjárfestingarhæfs fyrirtækis. Er það gert til að auka sveigjanleika rekstraraðila ELTIF-sjóða hvað varðar fjárfestingaráætlanir og auka fjárfestingarmöguleika fyrir sjóðina.</w:t>
      </w:r>
    </w:p>
    <w:p w14:paraId="74A83C04" w14:textId="77777777" w:rsidR="004A2F09" w:rsidRPr="00DB4961" w:rsidRDefault="004A2F09" w:rsidP="004A2F09">
      <w:pPr>
        <w:rPr>
          <w:shd w:val="clear" w:color="auto" w:fill="FFFFFF"/>
        </w:rPr>
      </w:pPr>
      <w:r w:rsidRPr="00DB4961">
        <w:rPr>
          <w:shd w:val="clear" w:color="auto" w:fill="FFFFFF"/>
        </w:rPr>
        <w:t xml:space="preserve">Tilteknar breytingar eru einnig gerðar á 11. gr. ELTIF-reglugerðarinnar um fjárfestingarhæf fyrirtæki. Þær eru aðallega eftirfarandi: </w:t>
      </w:r>
    </w:p>
    <w:p w14:paraId="751365F4" w14:textId="77777777" w:rsidR="004A2F09" w:rsidRPr="00DB4961" w:rsidRDefault="004A2F09" w:rsidP="004A2F09">
      <w:pPr>
        <w:pStyle w:val="ListParagraph"/>
        <w:numPr>
          <w:ilvl w:val="0"/>
          <w:numId w:val="22"/>
        </w:numPr>
        <w:rPr>
          <w:shd w:val="clear" w:color="auto" w:fill="FFFFFF"/>
        </w:rPr>
      </w:pPr>
      <w:r w:rsidRPr="00DB4961">
        <w:t>Til að ýta undir nýsköpun</w:t>
      </w:r>
      <w:r w:rsidRPr="00DB4961">
        <w:rPr>
          <w:shd w:val="clear" w:color="auto" w:fill="FFFFFF"/>
        </w:rPr>
        <w:t xml:space="preserve"> er o</w:t>
      </w:r>
      <w:r w:rsidRPr="00DB4961">
        <w:t xml:space="preserve">pnað á heimildir til fjárfestinga í nýsköpunarfyrirtækjum á fjármálamarkaði sem hafa nýlega fengið starfsleyfi. Áður var ELTIF-sjóðum óheimilt að fjárfesta í fyrirtækjum á fjármálamarkaði. </w:t>
      </w:r>
    </w:p>
    <w:p w14:paraId="043B2F44" w14:textId="77777777" w:rsidR="004A2F09" w:rsidRPr="00DB4961" w:rsidRDefault="004A2F09" w:rsidP="004A2F09">
      <w:pPr>
        <w:pStyle w:val="ListParagraph"/>
        <w:numPr>
          <w:ilvl w:val="0"/>
          <w:numId w:val="23"/>
        </w:numPr>
      </w:pPr>
      <w:r w:rsidRPr="00DB4961">
        <w:t xml:space="preserve">Skilyrði um </w:t>
      </w:r>
      <w:r w:rsidRPr="00DB4961">
        <w:rPr>
          <w:shd w:val="clear" w:color="auto" w:fill="FFFFFF"/>
        </w:rPr>
        <w:t xml:space="preserve">markaðsverðmæti að hámarki 500 </w:t>
      </w:r>
      <w:proofErr w:type="spellStart"/>
      <w:r w:rsidRPr="00DB4961">
        <w:rPr>
          <w:shd w:val="clear" w:color="auto" w:fill="FFFFFF"/>
        </w:rPr>
        <w:t>millj</w:t>
      </w:r>
      <w:proofErr w:type="spellEnd"/>
      <w:r w:rsidRPr="00DB4961">
        <w:rPr>
          <w:shd w:val="clear" w:color="auto" w:fill="FFFFFF"/>
        </w:rPr>
        <w:t xml:space="preserve">. evra (EUR) </w:t>
      </w:r>
      <w:r w:rsidRPr="00DB4961">
        <w:t>í s</w:t>
      </w:r>
      <w:r w:rsidRPr="00DB4961">
        <w:rPr>
          <w:shd w:val="clear" w:color="auto" w:fill="FFFFFF"/>
        </w:rPr>
        <w:t xml:space="preserve">kráðum fyrirtækjum er breytt þannig að miða skuli við hámarks markaðsverðmætið 1500 </w:t>
      </w:r>
      <w:proofErr w:type="spellStart"/>
      <w:r w:rsidRPr="00DB4961">
        <w:rPr>
          <w:shd w:val="clear" w:color="auto" w:fill="FFFFFF"/>
        </w:rPr>
        <w:t>millj</w:t>
      </w:r>
      <w:proofErr w:type="spellEnd"/>
      <w:r w:rsidRPr="00DB4961">
        <w:rPr>
          <w:shd w:val="clear" w:color="auto" w:fill="FFFFFF"/>
        </w:rPr>
        <w:t>. evra (EUR). Skráð fyrirtæki með lágt markaðsverðmæti geta haft takmarkaðan seljanleika sem hindrar að rekstraraðilar ELTIF-sjóða geti byggt upp fullnægjandi stöðu í slíkum félögum innan sanngjarnra tímamarka. Þótti þetta skilyrði draga úr fjárfestingarmöguleikum.</w:t>
      </w:r>
    </w:p>
    <w:p w14:paraId="6D90ED49" w14:textId="63928F7F" w:rsidR="004A2F09" w:rsidRPr="00DB4961" w:rsidRDefault="004A2F09" w:rsidP="004A2F09">
      <w:pPr>
        <w:pStyle w:val="ListParagraph"/>
        <w:numPr>
          <w:ilvl w:val="0"/>
          <w:numId w:val="23"/>
        </w:numPr>
        <w:rPr>
          <w:szCs w:val="21"/>
        </w:rPr>
      </w:pPr>
      <w:r w:rsidRPr="00DB4961">
        <w:t xml:space="preserve">Ekki er heimilt að fjárfesta í fyrirtækjum sem staðsett eru í ríkjum sem hafa verið skilgreind sem áhættusöm þriðju ríki samkvæmt löggjöf um varnir gegn peningaþvætti og fjármögnun hryðjuverka og </w:t>
      </w:r>
      <w:r w:rsidRPr="00DB4961">
        <w:rPr>
          <w:szCs w:val="21"/>
        </w:rPr>
        <w:t xml:space="preserve">viðkomandi ríki má ekki vera á lista ESB yfir </w:t>
      </w:r>
      <w:proofErr w:type="spellStart"/>
      <w:r w:rsidRPr="00DB4961">
        <w:rPr>
          <w:szCs w:val="21"/>
        </w:rPr>
        <w:t>ósamvinnuþýð</w:t>
      </w:r>
      <w:proofErr w:type="spellEnd"/>
      <w:r w:rsidRPr="00DB4961">
        <w:rPr>
          <w:szCs w:val="21"/>
        </w:rPr>
        <w:t xml:space="preserve"> </w:t>
      </w:r>
      <w:proofErr w:type="spellStart"/>
      <w:r w:rsidRPr="00DB4961">
        <w:rPr>
          <w:szCs w:val="21"/>
        </w:rPr>
        <w:t>lögsagnarumdæmi</w:t>
      </w:r>
      <w:proofErr w:type="spellEnd"/>
      <w:r w:rsidRPr="00DB4961">
        <w:rPr>
          <w:szCs w:val="21"/>
        </w:rPr>
        <w:t xml:space="preserve"> í skattalegu tilliti. </w:t>
      </w:r>
      <w:r w:rsidRPr="00DB4961">
        <w:rPr>
          <w:szCs w:val="21"/>
          <w:shd w:val="clear" w:color="auto" w:fill="FFFFFF"/>
        </w:rPr>
        <w:t xml:space="preserve">Við upptöku reglugerðar (ESB) 2023/606 í EES-samninginn hefur í ákvörðun sameiginlegu EES-nefndarinnar verið mælt fyrir um aðlögun á þessu á þá leið að í stað listans sem ESB útbýr er í gerðinni vísað til lista viðkomandi EFTA-ríkis um </w:t>
      </w:r>
      <w:proofErr w:type="spellStart"/>
      <w:r w:rsidRPr="00DB4961">
        <w:rPr>
          <w:szCs w:val="21"/>
          <w:shd w:val="clear" w:color="auto" w:fill="FFFFFF"/>
        </w:rPr>
        <w:t>ósamvinnuþýð</w:t>
      </w:r>
      <w:proofErr w:type="spellEnd"/>
      <w:r w:rsidRPr="00DB4961">
        <w:rPr>
          <w:szCs w:val="21"/>
          <w:shd w:val="clear" w:color="auto" w:fill="FFFFFF"/>
        </w:rPr>
        <w:t xml:space="preserve"> </w:t>
      </w:r>
      <w:proofErr w:type="spellStart"/>
      <w:r w:rsidRPr="00DB4961">
        <w:rPr>
          <w:szCs w:val="21"/>
          <w:shd w:val="clear" w:color="auto" w:fill="FFFFFF"/>
        </w:rPr>
        <w:t>lögsagnarumdæmi</w:t>
      </w:r>
      <w:proofErr w:type="spellEnd"/>
      <w:r w:rsidRPr="00DB4961">
        <w:rPr>
          <w:szCs w:val="21"/>
          <w:shd w:val="clear" w:color="auto" w:fill="FFFFFF"/>
        </w:rPr>
        <w:t xml:space="preserve">. Lista Íslands er að finna í reglugerð ráðherra nr. </w:t>
      </w:r>
      <w:r w:rsidR="003F74BD" w:rsidRPr="00DB4961">
        <w:rPr>
          <w:szCs w:val="21"/>
          <w:shd w:val="clear" w:color="auto" w:fill="FFFFFF"/>
        </w:rPr>
        <w:t>[ ]</w:t>
      </w:r>
      <w:r w:rsidRPr="00DB4961">
        <w:rPr>
          <w:szCs w:val="21"/>
          <w:shd w:val="clear" w:color="auto" w:fill="FFFFFF"/>
        </w:rPr>
        <w:t xml:space="preserve">/2025 um </w:t>
      </w:r>
      <w:proofErr w:type="spellStart"/>
      <w:r w:rsidRPr="00DB4961">
        <w:rPr>
          <w:szCs w:val="21"/>
        </w:rPr>
        <w:t>ósamvinnuþýð</w:t>
      </w:r>
      <w:proofErr w:type="spellEnd"/>
      <w:r w:rsidRPr="00DB4961">
        <w:rPr>
          <w:szCs w:val="21"/>
        </w:rPr>
        <w:t xml:space="preserve"> </w:t>
      </w:r>
      <w:proofErr w:type="spellStart"/>
      <w:r w:rsidRPr="00DB4961">
        <w:rPr>
          <w:szCs w:val="21"/>
          <w:shd w:val="clear" w:color="auto" w:fill="FFFFFF"/>
        </w:rPr>
        <w:t>lögsagnarumdæmi</w:t>
      </w:r>
      <w:proofErr w:type="spellEnd"/>
      <w:r w:rsidRPr="00DB4961">
        <w:rPr>
          <w:szCs w:val="21"/>
          <w:shd w:val="clear" w:color="auto" w:fill="FFFFFF"/>
        </w:rPr>
        <w:t xml:space="preserve"> </w:t>
      </w:r>
      <w:r w:rsidRPr="00DB4961">
        <w:rPr>
          <w:szCs w:val="21"/>
        </w:rPr>
        <w:t>í skattalegu tilliti, sem sett er með stoð í lögum um tekjuskatt, nr. 90/2003.</w:t>
      </w:r>
    </w:p>
    <w:p w14:paraId="6BEC0274" w14:textId="77777777" w:rsidR="004A2F09" w:rsidRPr="00DB4961" w:rsidRDefault="004A2F09" w:rsidP="004A2F09">
      <w:pPr>
        <w:rPr>
          <w:szCs w:val="21"/>
        </w:rPr>
      </w:pPr>
    </w:p>
    <w:p w14:paraId="5826FC92" w14:textId="77777777" w:rsidR="004A2F09" w:rsidRPr="00DB4961" w:rsidRDefault="004A2F09" w:rsidP="004A2F09">
      <w:pPr>
        <w:pStyle w:val="Millifyrirsgn2"/>
      </w:pPr>
      <w:r w:rsidRPr="00DB4961">
        <w:t xml:space="preserve">3.1.2. Reglur um hagsmunaárekstra og </w:t>
      </w:r>
      <w:proofErr w:type="spellStart"/>
      <w:r w:rsidRPr="00DB4961">
        <w:t>meðfjárfestingar</w:t>
      </w:r>
      <w:proofErr w:type="spellEnd"/>
      <w:r w:rsidRPr="00DB4961">
        <w:t>.</w:t>
      </w:r>
    </w:p>
    <w:p w14:paraId="6AB4648C" w14:textId="77777777" w:rsidR="004A2F09" w:rsidRPr="00DB4961" w:rsidRDefault="004A2F09" w:rsidP="004A2F09">
      <w:r w:rsidRPr="00DB4961">
        <w:t xml:space="preserve">Regla 1. mgr. 12. gr. ELTIF-reglugerðarinnar um hagsmunaárekstra er óbreytt nema að því leyti að heimild ELTIF-sjóða til fjárfestinga í öðrum sjóðum sem rekstraraðili stýrir er víkkuð út þannig að aðrar sjóðategundir en ELTIF-, </w:t>
      </w:r>
      <w:proofErr w:type="spellStart"/>
      <w:r w:rsidRPr="00DB4961">
        <w:t>EuVECA</w:t>
      </w:r>
      <w:proofErr w:type="spellEnd"/>
      <w:r w:rsidRPr="00DB4961">
        <w:t xml:space="preserve">- og EUSEF-sjóðir falla einnig þar undir, til samræmis við breytingar á fjárfestingarheimildum ELTIF-sjóða. </w:t>
      </w:r>
    </w:p>
    <w:p w14:paraId="25824433" w14:textId="77777777" w:rsidR="004A2F09" w:rsidRPr="00DB4961" w:rsidRDefault="004A2F09" w:rsidP="004A2F09">
      <w:r w:rsidRPr="00DB4961">
        <w:t xml:space="preserve">Til viðbótar við þessa reglu er með reglugerð (ESB) 2023/606 bætt við ákvæði um að rekstraraðila, fyrirtæki innan sömu samstæðu og starfsfólki þeirra sé heimilt að fjárfesta í ELTIF-sjóði sem rekstraraðili stýrir og fjárfesta með sjóðnum í öðrum eignum svo lengi sem </w:t>
      </w:r>
      <w:r w:rsidRPr="00DB4961">
        <w:lastRenderedPageBreak/>
        <w:t xml:space="preserve">til staðar séu stýringar </w:t>
      </w:r>
      <w:r w:rsidRPr="00DB4961">
        <w:rPr>
          <w:bCs/>
        </w:rPr>
        <w:t>til að greina, koma í veg fyrir, stýra og vakta hagsmunaárekstra. Upplýsa skal með fullnægjandi hætti um slíka hagsmunaárekstra. Allt með það að markmiði að veita fullnægjandi fjárfestavernd og gæta að heilleika markaðarins</w:t>
      </w:r>
      <w:r w:rsidRPr="00DB4961">
        <w:t xml:space="preserve">. </w:t>
      </w:r>
    </w:p>
    <w:p w14:paraId="117F1D3D" w14:textId="77777777" w:rsidR="004A2F09" w:rsidRPr="00DB4961" w:rsidRDefault="004A2F09" w:rsidP="004A2F09"/>
    <w:p w14:paraId="5491764A" w14:textId="77777777" w:rsidR="004A2F09" w:rsidRPr="00DB4961" w:rsidRDefault="004A2F09" w:rsidP="004A2F09">
      <w:pPr>
        <w:pStyle w:val="Millifyrirsgn2"/>
      </w:pPr>
      <w:r w:rsidRPr="00DB4961">
        <w:t>3.1.3. Fjárfestingarstefna ELTIF-sjóða; samsetning eignasafna, dreifing áhættu o.fl.</w:t>
      </w:r>
    </w:p>
    <w:p w14:paraId="6B73D982" w14:textId="77777777" w:rsidR="004A2F09" w:rsidRPr="00DB4961" w:rsidRDefault="004A2F09" w:rsidP="004A2F09">
      <w:r w:rsidRPr="00DB4961">
        <w:t xml:space="preserve">Í ELTIF-reglugerðinni eru reglur um samsetningu eignasafna ELTIF-sjóða og dreifingu á áhættu. Markmið þeirra reglna var að takmarka áhættutöku ELTIF-sjóða og að draga úr mótaðilaáhættu. </w:t>
      </w:r>
    </w:p>
    <w:p w14:paraId="566C4E41" w14:textId="77777777" w:rsidR="004A2F09" w:rsidRPr="00DB4961" w:rsidRDefault="004A2F09" w:rsidP="004A2F09">
      <w:pPr>
        <w:rPr>
          <w:shd w:val="clear" w:color="auto" w:fill="FFFFFF"/>
        </w:rPr>
      </w:pPr>
      <w:r w:rsidRPr="00DB4961">
        <w:t xml:space="preserve">Í 13. gr. ELTIF-reglugerðarinnar er kveðið á um að 70% eigna ELTIF-sjóðs skuli fara í að fjárfesta í hæfum eignum. Markmiðið var að tryggja skýra áherslu á að sjóðirnir fjárfesti í langtíma fjárfestingum og að tryggja áherslu á almenna fjárfesta sem mögulega þekki minna til sjaldgæfari fjárfestingaráætlana. Þótti þetta hlutfall vera ákvarðað nokkuð hátt og var lækkun á því talin geta ýtt undir meiri fjölbreytni í fjárfestingum ELTIF-sjóða. Með reglugerð (ESB) 2023/606 er hlutfallið </w:t>
      </w:r>
      <w:r w:rsidRPr="00DB4961">
        <w:rPr>
          <w:shd w:val="clear" w:color="auto" w:fill="FFFFFF"/>
        </w:rPr>
        <w:t xml:space="preserve">lækkað úr 70% að lágmarki í 55% að lágmarki til að rekstraraðilar ELTIF-sjóða eigi m.a. betur með að auka seljanleika á eignasafni sjóðanna og auðvelda þeim að bregðast við innlausnarbeiðnum á líftíma sjóðs, enda eru hæfar fjárfestingar samkvæmt reglugerðinni í eðli sínu </w:t>
      </w:r>
      <w:proofErr w:type="spellStart"/>
      <w:r w:rsidRPr="00DB4961">
        <w:rPr>
          <w:shd w:val="clear" w:color="auto" w:fill="FFFFFF"/>
        </w:rPr>
        <w:t>illseljanlegar</w:t>
      </w:r>
      <w:proofErr w:type="spellEnd"/>
      <w:r w:rsidRPr="00DB4961">
        <w:rPr>
          <w:shd w:val="clear" w:color="auto" w:fill="FFFFFF"/>
        </w:rPr>
        <w:t xml:space="preserve">. </w:t>
      </w:r>
    </w:p>
    <w:p w14:paraId="14030189" w14:textId="77777777" w:rsidR="004A2F09" w:rsidRPr="00DB4961" w:rsidRDefault="004A2F09" w:rsidP="004A2F09">
      <w:pPr>
        <w:rPr>
          <w:shd w:val="clear" w:color="auto" w:fill="FFFFFF"/>
        </w:rPr>
      </w:pPr>
      <w:r w:rsidRPr="00DB4961">
        <w:rPr>
          <w:shd w:val="clear" w:color="auto" w:fill="FFFFFF"/>
        </w:rPr>
        <w:t xml:space="preserve">Reglunum er einnig breytt til þess m.a. að draga úr viðskipta- og umsýslukostnaði. Hámörkum á fjárfestingar í tilteknum eignum hjá tilteknum tegundum aðila eru hækkuð. Reglurnar fyrir breytingu gerðu þá kröfu að fjárfest væri í tíu mismunandi eignum, sem þótti of íþyngjandi og kostnaðarsamt og því var reglunum breytt og hámörkin hækkuð. </w:t>
      </w:r>
    </w:p>
    <w:p w14:paraId="525EAA27" w14:textId="77777777" w:rsidR="004A2F09" w:rsidRPr="00DB4961" w:rsidRDefault="004A2F09" w:rsidP="004A2F09">
      <w:pPr>
        <w:rPr>
          <w:shd w:val="clear" w:color="auto" w:fill="FFFFFF"/>
        </w:rPr>
      </w:pPr>
      <w:r w:rsidRPr="00DB4961">
        <w:t>Reglum um mótaðilaáhættu í 15. gr. ELTIF-reglugerðarinnar er jafnframt breytt þannig að í stað 25% er ELTIF-sjóði heimilt að eiga allt að 30% í einum og sama sjóði.</w:t>
      </w:r>
    </w:p>
    <w:p w14:paraId="14B27BA7" w14:textId="77777777" w:rsidR="004A2F09" w:rsidRPr="00DB4961" w:rsidRDefault="004A2F09" w:rsidP="004A2F09">
      <w:pPr>
        <w:rPr>
          <w:shd w:val="clear" w:color="auto" w:fill="FFFFFF"/>
        </w:rPr>
      </w:pPr>
      <w:r w:rsidRPr="00DB4961">
        <w:rPr>
          <w:shd w:val="clear" w:color="auto" w:fill="FFFFFF"/>
        </w:rPr>
        <w:t>Auk þessa er gerður greinarmunur hvað varðar samsetningu og dreifingu eignasafna og um samþjöppun ELTIF-sjóða eftir því hvort þeir séu aðeins markaðssettir til fagfjárfesta eða einnig markaðssettir til almennra fjárfesta, sjá umfjöllun í kafla 3.1.9.</w:t>
      </w:r>
    </w:p>
    <w:p w14:paraId="1E3E7536" w14:textId="77777777" w:rsidR="004A2F09" w:rsidRPr="00DB4961" w:rsidRDefault="004A2F09" w:rsidP="004A2F09">
      <w:pPr>
        <w:rPr>
          <w:shd w:val="clear" w:color="auto" w:fill="FFFFFF"/>
        </w:rPr>
      </w:pPr>
    </w:p>
    <w:p w14:paraId="5D234D4A" w14:textId="77777777" w:rsidR="004A2F09" w:rsidRPr="00DB4961" w:rsidRDefault="004A2F09" w:rsidP="004A2F09">
      <w:pPr>
        <w:pStyle w:val="Millifyrirsgn2"/>
      </w:pPr>
      <w:r w:rsidRPr="00DB4961">
        <w:t>3.1.4. Heimildir ELTIF-sjóða til lántöku.</w:t>
      </w:r>
    </w:p>
    <w:p w14:paraId="2E590453" w14:textId="77777777" w:rsidR="004A2F09" w:rsidRPr="00DB4961" w:rsidRDefault="004A2F09" w:rsidP="004A2F09">
      <w:r w:rsidRPr="00DB4961">
        <w:t xml:space="preserve">Í 16. gr. ELTIF-reglugerðarinnar eru heimildir ELTIF-sjóða til lántöku á handbæru fé takmarkaðar við 30% af virði hlutafjár sjóðsins. Var sú takmörkun talin geta verið hindrun fyrir rekstraraðila til að ná árangri með fjárfestingaráætlanir sínar auk þess sem sú regla var ekki í samræmi við heimildir annars konar sjóða til lántöku. Voru því gerðar breytingar á þessum reglum með reglugerð (ESB) 2023/606 til að auka á sveigjanleika rekstraraðila. Var hámarkið fyrir ELTIF-sjóði sem heimilt er að markaðssetja til almennra fjárfesta hækkað í 50% og hámark fyrir ELTIF-sjóði sem aðeins er heimilt að markaðssetja til fagfjárfesta var hækkað meira, eða í 100%. Til að bæta samræmi við AIFMD var viðmiðinu um hlutfall skuldsetningar af hlutafé ELTIF-sjóðs skipt út fyrir hlutfall af innra virði sjóðs. </w:t>
      </w:r>
    </w:p>
    <w:p w14:paraId="2807A1F8" w14:textId="77777777" w:rsidR="004A2F09" w:rsidRPr="00DB4961" w:rsidRDefault="004A2F09" w:rsidP="004A2F09">
      <w:r w:rsidRPr="00DB4961">
        <w:t>Auk þess voru gerðar breytingar á reglum um leiðréttingar, en í núgildandi reglum er ekki gert ráð fyrir heimildum til leiðréttinga á stöðu fjárfestinga í 14. gr. reglugerðarinnar í þeim tilvikum sem ELTIF-sjóður er brotlegur við takmarkanir á skuldsetningarmörkum án þess að rekstraraðili beri ábyrgð þar á. Í ljósi þess hversu óstöðugt viðmið innra virði sjóðs er og vegna hagsmuna fjárfesta var gerð sú breyting að heimildir til leiðréttinga nái einnig til takmarka á skuldsetningar.</w:t>
      </w:r>
    </w:p>
    <w:p w14:paraId="47DD7B50" w14:textId="77777777" w:rsidR="004A2F09" w:rsidRPr="00DB4961" w:rsidRDefault="004A2F09" w:rsidP="004A2F09">
      <w:r w:rsidRPr="00DB4961">
        <w:t>Þá eru einnig gerðar breytingar hvað varðar lántökur ELTIF-sjóða í erlendri mynt og varnir gegn slíkri gengisáhættu.</w:t>
      </w:r>
    </w:p>
    <w:p w14:paraId="16D08C33" w14:textId="77777777" w:rsidR="004A2F09" w:rsidRPr="00DB4961" w:rsidRDefault="004A2F09" w:rsidP="004A2F09">
      <w:r w:rsidRPr="00DB4961">
        <w:t>Vegna þessara breytinga er nú gerð sú krafa að rekstraraðilar ELTIF-sjóða upplýsi um takmarkanir til skuldsetningar í útboðslýsingu viðkomandi ELTIF-sjóðs.</w:t>
      </w:r>
    </w:p>
    <w:p w14:paraId="599F35BA" w14:textId="77777777" w:rsidR="004A2F09" w:rsidRPr="00DB4961" w:rsidRDefault="004A2F09" w:rsidP="004A2F09"/>
    <w:p w14:paraId="4BDCF90F" w14:textId="77777777" w:rsidR="004A2F09" w:rsidRPr="00DB4961" w:rsidRDefault="004A2F09" w:rsidP="004A2F09">
      <w:pPr>
        <w:pStyle w:val="Millifyrirsgn2"/>
      </w:pPr>
      <w:r w:rsidRPr="00DB4961">
        <w:t>3.1.5. Sala fjárfestingar í ELTIF-sjóði fyrir lok líftíma sjóðsins.</w:t>
      </w:r>
    </w:p>
    <w:p w14:paraId="774BA224" w14:textId="77777777" w:rsidR="004A2F09" w:rsidRPr="00DB4961" w:rsidRDefault="004A2F09" w:rsidP="004A2F09">
      <w:r w:rsidRPr="00DB4961">
        <w:t xml:space="preserve">Meginregla ELTIF-reglugerðarinnar er að ekki sé hægt að innleysa hlut eða hlutdeildarskírteini í ELTIF-sjóði fyrir lok líftíma sjóðsins. Þó geta rekstraraðilar kveðið á um í reglum sjóðanna að innlausn fyrir lok líftíma ELTIF-sjóðs sé möguleg, en uppfylla þurfi ströng skilyrði til að slík undanþága eigi við. Um þetta er fjallað í 18. gr. reglugerðarinnar og var þessum reglum lítið breytt. Auk þessa hafa fjárfestar getað óskað eftir slitum ELTIF-sjóðs ef ósk þeirra um innlausn hefur ekki verið uppfyllt innan árs frá því að beiðni var sett fram. Er þessi réttur talinn vera í ósamræmi við eðli ELTIF-sjóða sem langtímafjárfestingarsjóða og m.a. þess að eignir slíkra sjóða geta verið </w:t>
      </w:r>
      <w:proofErr w:type="spellStart"/>
      <w:r w:rsidRPr="00DB4961">
        <w:t>illseljanlegar</w:t>
      </w:r>
      <w:proofErr w:type="spellEnd"/>
      <w:r w:rsidRPr="00DB4961">
        <w:t xml:space="preserve"> og getur slík beiðni talist vera skaðleg fyrir hagsmuni fjárfesta. Þess vegna er þessi möguleiki felldur niður. </w:t>
      </w:r>
    </w:p>
    <w:p w14:paraId="2B983C49" w14:textId="77777777" w:rsidR="004A2F09" w:rsidRPr="00DB4961" w:rsidRDefault="004A2F09" w:rsidP="004A2F09">
      <w:r w:rsidRPr="00DB4961">
        <w:t xml:space="preserve">Í 19. gr. ELTIF-reglugerðarinnar er svo fjallað um viðskipti með hluti eða hlutdeildarskírteini í ELTIF-sjóðum á </w:t>
      </w:r>
      <w:proofErr w:type="spellStart"/>
      <w:r w:rsidRPr="00DB4961">
        <w:t>eftirmarkaði</w:t>
      </w:r>
      <w:proofErr w:type="spellEnd"/>
      <w:r w:rsidRPr="00DB4961">
        <w:t xml:space="preserve">. Ákvæðinu er breytt með reglugerð (ESB) 2023/606 til að ýta undir meiri notkun á þessum möguleika. Rekstraraðili ELTIF-sjóða getur boðið upp á </w:t>
      </w:r>
      <w:proofErr w:type="spellStart"/>
      <w:r w:rsidRPr="00DB4961">
        <w:t>valkvæðan</w:t>
      </w:r>
      <w:proofErr w:type="spellEnd"/>
      <w:r w:rsidRPr="00DB4961">
        <w:t xml:space="preserve"> innlausnarmöguleika á meðan á líftíma sjóðs stendur sem felst í pörun á tilboðum mögulegra fjárfesta og þeirra fjárfesta í ELTIF-sjóði sem vilja selja sína fjárfestingu. Ef rekstraraðili býður upp á þennan möguleika skal hann hafa til staðar stefnu fyrir pörun. Þá skulu rekstraraðilar og dreifingaraðilar ELTIF-sjóða gefa út skriflega viðvörun til almennra fjárfesta um að möguleiki á pörun tryggi ekki að fjárfestir geti selt hluti sína eða hlutdeildarskírteini í sjóðunum, sbr. breytingar á 30. gr. reglugerðarinnar. Þá skal ekki í markaðsgögnum fyrir ELTIF-sjóði kynna pörunarmöguleikann sem tryggingu fyrir seljanleika ELTIF-sjóða þegar við beiðni fjárfestis.</w:t>
      </w:r>
    </w:p>
    <w:p w14:paraId="0A4D8414" w14:textId="77777777" w:rsidR="004A2F09" w:rsidRPr="00DB4961" w:rsidRDefault="004A2F09" w:rsidP="004A2F09"/>
    <w:p w14:paraId="5AD0B8A6" w14:textId="77777777" w:rsidR="004A2F09" w:rsidRPr="00DB4961" w:rsidRDefault="004A2F09" w:rsidP="004A2F09">
      <w:pPr>
        <w:pStyle w:val="Millifyrirsgn2"/>
      </w:pPr>
      <w:r w:rsidRPr="00DB4961">
        <w:t>3.1.6. Upplýsingagjöf til fjárfesta.</w:t>
      </w:r>
    </w:p>
    <w:p w14:paraId="144899CA" w14:textId="77777777" w:rsidR="004A2F09" w:rsidRPr="00DB4961" w:rsidRDefault="004A2F09" w:rsidP="004A2F09">
      <w:r w:rsidRPr="00DB4961">
        <w:t xml:space="preserve">Til að auka gagnsæi um uppbyggingu þóknana er kröfunum 25. gr. ELTIF-reglugerðarinnar um upplýsingagjöf rekstraraðila ELTIF-sjóðs í útboðslýsingu um þóknanir í tengslum við fjárfestingar sjóðsins breytt þannig að þær samsvari kröfunum sem gerðar eru í reglugerð Evrópuþingsins og ráðsins (ESB) 1286/2014 um lykilupplýsingaskjöl fyrir pakkaðar og </w:t>
      </w:r>
      <w:proofErr w:type="spellStart"/>
      <w:r w:rsidRPr="00DB4961">
        <w:t>vátryggingatengdar</w:t>
      </w:r>
      <w:proofErr w:type="spellEnd"/>
      <w:r w:rsidRPr="00DB4961">
        <w:t xml:space="preserve"> fjárfestingarafurðir fyrir almenna fjárfesta.</w:t>
      </w:r>
    </w:p>
    <w:p w14:paraId="404099EC" w14:textId="77777777" w:rsidR="004A2F09" w:rsidRPr="00DB4961" w:rsidRDefault="004A2F09" w:rsidP="004A2F09">
      <w:r w:rsidRPr="00DB4961">
        <w:t>Þegar um höfuðsjóðs- og fylgisjóðs fyrirkomulag er að ræða  skal útboðslýsing fylgisjóðsins innihalda upplýsingagjöf um það fyrirkomulag, svo sem um fylgisjóðinn og um höfuðsjóðinn og lýsingu á öllum þóknunum og endurgreiðslu á kostnaði sem fylgisjóðurinn þarf að standa straum af, sem og heildarkostnaði fylgisjóðsins og höfuðsjóðsins, sbr. breytingar á 23. gr. ELTIF-reglugerðarinnar. Þá skal r</w:t>
      </w:r>
      <w:r w:rsidRPr="00DB4961">
        <w:rPr>
          <w:bCs/>
        </w:rPr>
        <w:t>ekstraraðili ELTIF-sjóða setja inn yfirlýsingu í ársreikning ELTIF-fylgisjóðs sem markaðssettur er til almennra fjárfesta um heildarkostnað ELTIF-fylgisjóðs og höfuðsjóðs. Markmiðið með þessari upplýsingagjöf er að vernda fjárfesta frá órökstuddum viðbótarkostnaði vegna áskriftar og innlausnargjalda sem höfuðsjóður mögulega krefst frá fylgisjóði.</w:t>
      </w:r>
    </w:p>
    <w:p w14:paraId="095DCDC7" w14:textId="77777777" w:rsidR="004A2F09" w:rsidRPr="00DB4961" w:rsidRDefault="004A2F09" w:rsidP="004A2F09">
      <w:pPr>
        <w:ind w:firstLine="0"/>
      </w:pPr>
    </w:p>
    <w:p w14:paraId="6EABF301" w14:textId="77777777" w:rsidR="004A2F09" w:rsidRPr="00DB4961" w:rsidRDefault="004A2F09" w:rsidP="004A2F09">
      <w:pPr>
        <w:pStyle w:val="Millifyrirsgn2"/>
      </w:pPr>
      <w:r w:rsidRPr="00DB4961">
        <w:t>3.1.7. Breytingar á heimildum almennra fjárfesta til að fjárfesta í ELTIF-sjóðum.</w:t>
      </w:r>
    </w:p>
    <w:p w14:paraId="5596518B" w14:textId="77777777" w:rsidR="004A2F09" w:rsidRPr="00DB4961" w:rsidRDefault="004A2F09" w:rsidP="004A2F09">
      <w:pPr>
        <w:rPr>
          <w:shd w:val="clear" w:color="auto" w:fill="FFFFFF"/>
        </w:rPr>
      </w:pPr>
      <w:r w:rsidRPr="00DB4961">
        <w:rPr>
          <w:shd w:val="clear" w:color="auto" w:fill="FFFFFF"/>
        </w:rPr>
        <w:t xml:space="preserve">Í þeim tilvikum sem virði eignasafns almenns fjárfestis sem óskar eftir að fjárfesta í ELTIF-sjóðum nemur lægri fjárhæð en 500 þús. evrum (EUR) er í 30. gr. ELTIF-reglugerðarinnar gerð krafa um lágmarks upphaflega fjárfestingarfjárhæð og einnig er sett þak á mögulega skuldbindingu fjárfestis. </w:t>
      </w:r>
      <w:r w:rsidRPr="00DB4961">
        <w:t xml:space="preserve">Ef almennur fjárfestir hefur áhuga á að fjárfesta í ELTIF-sjóði </w:t>
      </w:r>
      <w:r w:rsidRPr="00DB4961">
        <w:rPr>
          <w:shd w:val="clear" w:color="auto" w:fill="FFFFFF"/>
        </w:rPr>
        <w:t xml:space="preserve">skal upphafleg lágmarksfjárfesting því vera sem nemur 10 þús. evrum (EUR) og skal fjárfesting hans í ELTIF-sjóðum ekki vera meiri en sem nemur 10% af verðmæti eignasafns hans. Framfylgni við þessar kröfur hefur verið undir því komin að almennir fjárfestar upplýsi sjálfir </w:t>
      </w:r>
      <w:r w:rsidRPr="00DB4961">
        <w:rPr>
          <w:shd w:val="clear" w:color="auto" w:fill="FFFFFF"/>
        </w:rPr>
        <w:lastRenderedPageBreak/>
        <w:t>um þetta og hafa rekstraraðilar og dreifingaraðilar ELTIF-sjóða getað gengið úr skugga um þetta með sjálfstæðum hætti. Hafa þessar reglur verið taldar veruleg hindrun í því að almennir fjárfestar fjárfesti í ELTIF-sjóðum. Er því í reglugerð (ESB) 2023/606 fallið frá báðum þessum kröfum.</w:t>
      </w:r>
    </w:p>
    <w:p w14:paraId="02C315CB" w14:textId="77777777" w:rsidR="004A2F09" w:rsidRPr="00DB4961" w:rsidRDefault="004A2F09" w:rsidP="004A2F09">
      <w:r w:rsidRPr="00DB4961">
        <w:rPr>
          <w:shd w:val="clear" w:color="auto" w:fill="FFFFFF"/>
        </w:rPr>
        <w:t>Skilyrði fyrir kaupum almennra fjárfesta í ELTIF-sjóði eru því eftir breytingar þær að þeim eru slík kaup heimil að undangengnu mati á hæfi. Í tilteknum tilvikum þarf að fá skýrt samþykki fjárfestisins fyrir því að hann skilji áhættuna af slíkri fjárfestingu. Sjá nánari umfjöllun í kafla 3.1.8.</w:t>
      </w:r>
    </w:p>
    <w:p w14:paraId="1127CD7D" w14:textId="77777777" w:rsidR="004A2F09" w:rsidRPr="00DB4961" w:rsidRDefault="004A2F09" w:rsidP="004A2F09"/>
    <w:p w14:paraId="3F02E57E" w14:textId="77777777" w:rsidR="004A2F09" w:rsidRPr="00DB4961" w:rsidRDefault="004A2F09" w:rsidP="004A2F09">
      <w:pPr>
        <w:pStyle w:val="Millifyrirsgn2"/>
      </w:pPr>
      <w:r w:rsidRPr="00DB4961">
        <w:t>3.1.8. Kröfur til þeirra sem markaðssetja ELTIF-sjóði til almennra fjárfesta.</w:t>
      </w:r>
    </w:p>
    <w:p w14:paraId="6D2ADC47" w14:textId="77777777" w:rsidR="004A2F09" w:rsidRPr="00DB4961" w:rsidRDefault="004A2F09" w:rsidP="004A2F09">
      <w:r w:rsidRPr="00DB4961">
        <w:t xml:space="preserve">Nokkrar breytingar eru gerðar á reglum ELTIF-reglugerðarinnar hvað varðar sölu og markaðssetningu á ELTIF-sjóðum til almennra fjárfesta. </w:t>
      </w:r>
    </w:p>
    <w:p w14:paraId="205170E7" w14:textId="77777777" w:rsidR="004A2F09" w:rsidRPr="00DB4961" w:rsidRDefault="004A2F09" w:rsidP="004A2F09">
      <w:r w:rsidRPr="00DB4961">
        <w:t xml:space="preserve">26. gr. ELTIF-reglugerðarinnar um skyldu rekstraraðila ELTIF-sjóða til að setja upp aðstöðu í þeim aðildarríkjum þar sem ætlunin er að markaðssetja ELTIF-sjóði er felld brott. Sambærileg ákvæði í tilskipun Evrópuþingsins og ráðsins 2009/65/EB um </w:t>
      </w:r>
      <w:proofErr w:type="spellStart"/>
      <w:r w:rsidRPr="00DB4961">
        <w:t>samræmingu</w:t>
      </w:r>
      <w:proofErr w:type="spellEnd"/>
      <w:r w:rsidRPr="00DB4961">
        <w:t xml:space="preserve"> á lögum og stjórnsýslufyrirmælum að því er varðar verðbréfasjóði (UCITS) og AIFMD hafa verið felld út, sbr. tilskipun Evrópuþingsins og ráðsins (ESB) 2019/1160 um breytingu á tilskipunum 2009/65/EB og 2011/61/ESB að því er varðar dreifingu á sjóðum um sameiginlega fjárfestingu yfir landamæri. Sú krafa var talin fela í sér viðbótarkostnað og árekstra varðandi markaðsetningu sjóðanna yfir landamæri. Þá er helsta samskiptaleið við fjárfesta ekki lengur í persónu á tilteknum starfsstöðvum heldur rafræn samskipti á milli fjárfesta og rekstraraðila sjóðanna eða dreifingaraðila. </w:t>
      </w:r>
    </w:p>
    <w:p w14:paraId="6F6510FA" w14:textId="77777777" w:rsidR="004A2F09" w:rsidRPr="00DB4961" w:rsidRDefault="004A2F09" w:rsidP="004A2F09">
      <w:r w:rsidRPr="00DB4961">
        <w:t xml:space="preserve">Þegar hlutir og hlutdeildarskírteini í  ELTIF-sjóðum eru markaðssett til almennra fjárfesta með veitingu fjárfestingarþjónustu gilda ákvæði reglugerðar Evrópuþingsins og ráðsins 2014/65/ESB um markaði fyrir </w:t>
      </w:r>
      <w:proofErr w:type="spellStart"/>
      <w:r w:rsidRPr="00DB4961">
        <w:t>fjármálagerninga</w:t>
      </w:r>
      <w:proofErr w:type="spellEnd"/>
      <w:r w:rsidRPr="00DB4961">
        <w:t xml:space="preserve"> (hér eftir MiFID2) um afurðastjórnun um þá þjónustu samkvæmt breyttri 27. gr. ELTIF-reglugerðarinnar, sbr. 39. lið aðfararorða reglugerðar (ESB) 2023/606. Einnig er þó hægt að kaupa slíka hluti og hlutdeildarskírteini án þess að fjárfestingarþjónusta sé veitt. Til að ná til slíkra tilvika var samkvæmt ELTIF-reglugerðinni fyrir breytingar sú krafa gerð til rekstraraðila sjóðanna að þróa innra matsferli fyrir sjóðina. Þær reglur voru byggðar á reglum MiFID2 um afurðastjórnun, en með nokkrum frávikum sem talið var að gætu leitt til minni fjárfestaverndar. Þess vegna er nú kveðið á um að reglur MiFID2 um afurðastýringu gildi alfarið og þar með reglur framseldra gerða sem settar hafa verið með stoð í MiFID2 þar um.</w:t>
      </w:r>
    </w:p>
    <w:p w14:paraId="13493677" w14:textId="77777777" w:rsidR="004A2F09" w:rsidRPr="00DB4961" w:rsidRDefault="004A2F09" w:rsidP="004A2F09">
      <w:r w:rsidRPr="00DB4961">
        <w:t>Reglum 30. gr. ELTIF-reglugerðarinnar um sérstakar kröfur þegar ELTIF-sjóður er markaðssettur til almennra fjárfesta er breytt, m.a. með eftirfarandi hætti:</w:t>
      </w:r>
    </w:p>
    <w:p w14:paraId="7ABB3F94" w14:textId="77777777" w:rsidR="004A2F09" w:rsidRPr="00DB4961" w:rsidRDefault="004A2F09" w:rsidP="004A2F09">
      <w:pPr>
        <w:pStyle w:val="ListParagraph"/>
        <w:numPr>
          <w:ilvl w:val="0"/>
          <w:numId w:val="24"/>
        </w:numPr>
      </w:pPr>
      <w:r w:rsidRPr="00DB4961">
        <w:t xml:space="preserve">Mat á hæfi almennra fjárfesta skal fara fram í samræmi við reglur um mat á hæfi í 25. gr. MiFID2 en ekki samkvæmt sérreglum ELTIF-reglugerðarinnar eins og áður var. Í því skyni að tryggja fjárfestavernd fyrir almenna fjárfesta skal hæfismat framkvæmt hvort sem sala á ELTIF-sjóðum fer fram í gegnum dreifingaraðila eða rekstraraðila eða á </w:t>
      </w:r>
      <w:proofErr w:type="spellStart"/>
      <w:r w:rsidRPr="00DB4961">
        <w:t>eftirmarkaði</w:t>
      </w:r>
      <w:proofErr w:type="spellEnd"/>
      <w:r w:rsidRPr="00DB4961">
        <w:t>. Niðurstöðu hæfismatsins skal koma til almenns fjárfestis á formi yfirlýsingar um hæfi, sbr. 6. mgr. 25. gr. MiFID2. Í þeim tilvikum þar sem niðurstaða hæfismats er sú að ELTIF-sjóður hentar ekki fjárfesti en hann kýs samt sem áður að fjárfesta í sjóðnum skal áður en viðskiptin eru framkvæmd fá yfirlýsingu frá fjárfesti þar um.</w:t>
      </w:r>
    </w:p>
    <w:p w14:paraId="7C83147C" w14:textId="77777777" w:rsidR="004A2F09" w:rsidRPr="00DB4961" w:rsidRDefault="004A2F09" w:rsidP="004A2F09">
      <w:pPr>
        <w:pStyle w:val="ListParagraph"/>
        <w:numPr>
          <w:ilvl w:val="0"/>
          <w:numId w:val="21"/>
        </w:numPr>
        <w:rPr>
          <w:shd w:val="clear" w:color="auto" w:fill="FFFFFF"/>
        </w:rPr>
      </w:pPr>
      <w:r w:rsidRPr="00DB4961">
        <w:t>Krafa um veitingu fjárfestingarþjónustu við markaðsetningu ELTIF-sjóða til almennra fjárfesta er felld brott.</w:t>
      </w:r>
    </w:p>
    <w:p w14:paraId="4BB5E5D6" w14:textId="77777777" w:rsidR="004A2F09" w:rsidRPr="00DB4961" w:rsidRDefault="004A2F09" w:rsidP="004A2F09">
      <w:pPr>
        <w:pStyle w:val="ListParagraph"/>
        <w:numPr>
          <w:ilvl w:val="0"/>
          <w:numId w:val="21"/>
        </w:numPr>
      </w:pPr>
      <w:r w:rsidRPr="00DB4961">
        <w:rPr>
          <w:shd w:val="clear" w:color="auto" w:fill="FFFFFF"/>
        </w:rPr>
        <w:lastRenderedPageBreak/>
        <w:t>Sett er inn sú krafa að rekstraraðili ELTIF-sjóðs eða dreifingaraðili skuli afhenda fjárfesti skýra skriflega viðvörun með upplýsingum um annars vegar að sjóður henti mögulega ekki almennum fjárfestum sem þola ekki slíka langtíma og illseljanlega skuldbindingu í þeim tilvikum sem viðkomandi sjóður er með lengri líftíma en 10 ár, og hins vegar þar sem reglur sjóðsins gera ráð fyrir möguleikanum á pörun, sbr. umfjöllun í kafla 3.1.5., að sá möguleiki tryggi ekki að almennur fjárfestir geti innleyst hluti sína í viðkomandi sjóði.</w:t>
      </w:r>
    </w:p>
    <w:p w14:paraId="1C3F2846" w14:textId="77777777" w:rsidR="004A2F09" w:rsidRPr="00DB4961" w:rsidRDefault="004A2F09" w:rsidP="004A2F09">
      <w:pPr>
        <w:pStyle w:val="ListParagraph"/>
        <w:numPr>
          <w:ilvl w:val="0"/>
          <w:numId w:val="21"/>
        </w:numPr>
      </w:pPr>
      <w:r w:rsidRPr="00DB4961">
        <w:t xml:space="preserve">Rekstraraðilar ELTIF-sjóða sem markaðssettir eru til almennra fjárfesta og dreifingaraðilar þeirra eru felldir undir reglur MiFID2 um </w:t>
      </w:r>
      <w:proofErr w:type="spellStart"/>
      <w:r w:rsidRPr="00DB4961">
        <w:t>skráarhald</w:t>
      </w:r>
      <w:proofErr w:type="spellEnd"/>
      <w:r w:rsidRPr="00DB4961">
        <w:t xml:space="preserve"> til að tryggja fullnægjandi eftirlit með því að farið sé að kröfum reglugerðarinnar um markaðssetningu ELTIF-sjóða til almennra fjárfesta. </w:t>
      </w:r>
    </w:p>
    <w:p w14:paraId="3DF8BDA0" w14:textId="77777777" w:rsidR="004A2F09" w:rsidRPr="00DB4961" w:rsidRDefault="004A2F09" w:rsidP="004A2F09"/>
    <w:p w14:paraId="0A8F85CF" w14:textId="77777777" w:rsidR="004A2F09" w:rsidRPr="00DB4961" w:rsidRDefault="004A2F09" w:rsidP="004A2F09">
      <w:pPr>
        <w:pStyle w:val="Millifyrirsgn2"/>
      </w:pPr>
      <w:r w:rsidRPr="00DB4961">
        <w:t>3.1.9. ELTIF-sjóðir sem eingöngu eru markaðssettir til fagfjárfesta.</w:t>
      </w:r>
    </w:p>
    <w:p w14:paraId="3F0D1224" w14:textId="77777777" w:rsidR="004A2F09" w:rsidRPr="00DB4961" w:rsidRDefault="004A2F09" w:rsidP="004A2F09">
      <w:r w:rsidRPr="00DB4961">
        <w:t xml:space="preserve">Kveðið er á um sérstakar reglur fyrir ELTIF-sjóði sem eingöngu eru markaðssettir til fagfjárfesta. Kröfur sem eiga fyrst og fremst við vegna almennra fjárfesta eru eftir breytingar ekki látnar ná til ELTIF-sjóða sem einungis eru markaðssettir til fagfjárfesta, einkum að því er varðar samsetningu eignasafns og fjölbreytileika þeirra, takmarkanir á samþjöppun og um heimildir til lántöku. Ástæður þessara breytinga eru m.a. meira áhættuþol fagfjárfesta og ólík ávöxtunarmarkmið en gildir um almenna fjárfesta. </w:t>
      </w:r>
    </w:p>
    <w:p w14:paraId="737DD4E7" w14:textId="77777777" w:rsidR="004A2F09" w:rsidRPr="00DB4961" w:rsidRDefault="004A2F09" w:rsidP="004A2F09"/>
    <w:p w14:paraId="3D5D9C5A" w14:textId="77777777" w:rsidR="004A2F09" w:rsidRPr="00DB4961" w:rsidRDefault="004A2F09" w:rsidP="004A2F09">
      <w:pPr>
        <w:pStyle w:val="Millifyrirsgn2"/>
      </w:pPr>
      <w:r w:rsidRPr="00DB4961">
        <w:t>3.2. Afleidd breyting á lögum um rekstraraðila sérhæfðra sjóða, nr. 45/2020.</w:t>
      </w:r>
    </w:p>
    <w:p w14:paraId="4B43FB0B" w14:textId="77777777" w:rsidR="004A2F09" w:rsidRPr="00DB4961" w:rsidRDefault="004A2F09" w:rsidP="004A2F09">
      <w:r w:rsidRPr="00DB4961">
        <w:t>Lagt er til að gerð verði ein breyting á lögum um rekstraraðila sérhæfðra sjóða. Þar sem 26. gr. ELTIF-reglugerðarinnar er felld brott með reglugerð (ESB) 2023/606 er lagt til brottfall á ákvæði í 65. gr. a laga um rekstraraðila sérhæfðra sjóða, þar sem vísað er til 26. gr. ELTIF-reglugerðarinnar. Þykir rétt að gera þessa breytingu enda er vísunin marklaus eftir niðurfellingu 26. gr. ELTIF-reglugerðarinnar. Sjá umfjöllun um brottfall 26. gr. reglugerðarinnar í kafla 3.1.8.</w:t>
      </w:r>
    </w:p>
    <w:p w14:paraId="0A02A061" w14:textId="77777777" w:rsidR="004A2F09" w:rsidRPr="00DB4961" w:rsidRDefault="004A2F09" w:rsidP="004A2F09"/>
    <w:p w14:paraId="21CF5260" w14:textId="77777777" w:rsidR="004A2F09" w:rsidRPr="00DB4961" w:rsidRDefault="004A2F09" w:rsidP="004A2F09">
      <w:pPr>
        <w:pStyle w:val="Millifyrirsgn1"/>
      </w:pPr>
      <w:r w:rsidRPr="00DB4961">
        <w:t xml:space="preserve">4. Samræmi við stjórnarskrá og alþjóðlegar skuldbindingar. </w:t>
      </w:r>
    </w:p>
    <w:p w14:paraId="375AC732" w14:textId="77777777" w:rsidR="004A2F09" w:rsidRPr="00DB4961" w:rsidRDefault="004A2F09" w:rsidP="004A2F09">
      <w:pPr>
        <w:rPr>
          <w:szCs w:val="21"/>
          <w:shd w:val="clear" w:color="auto" w:fill="FFFFFF"/>
        </w:rPr>
      </w:pPr>
      <w:r w:rsidRPr="00DB4961">
        <w:rPr>
          <w:szCs w:val="21"/>
          <w:shd w:val="clear" w:color="auto" w:fill="FFFFFF"/>
        </w:rPr>
        <w:t>Fyrirhuguð lagasetning varðar skuldbindingar Íslands samkvæmt EES-samningnum.</w:t>
      </w:r>
      <w:r w:rsidRPr="00DB4961">
        <w:rPr>
          <w:szCs w:val="21"/>
        </w:rPr>
        <w:t xml:space="preserve"> Íslandi ber skv. 7. gr. samningsins um Evrópska efnahagssvæðið að taka upp í landsrétt Evrópugerðir </w:t>
      </w:r>
      <w:r w:rsidRPr="00DB4961">
        <w:rPr>
          <w:color w:val="000000"/>
          <w:szCs w:val="21"/>
        </w:rPr>
        <w:t xml:space="preserve">sem eru teknar upp í samninginn. Reglugerðir ESB skal taka sem slíkar upp í landsrétt. Ekki er gert ráð fyrir sambærilegum aðlögunum við upptöku á reglugerð (ESB) 2023/606 í EES-samninginn og gerðar voru við upptöku á ELTIF-reglugerðinni í EES-samninginn með ákvörðun sameiginlegu EES-nefndarinnar nr. 19/2020, sjá umfjöllun í frumvarpi sem varða að lögum um evrópska langtímafjárfestingasjóði, nr. 115/2022 (þskj. 137, 137. mál á 153. löggjafarþingi). Ekki er kveðið á um framsal valdheimilda til stofnana ESB í reglugerð (ESB) 2023/606. Innleiðing reglugerðarinnar í íslenskan rétt </w:t>
      </w:r>
      <w:r w:rsidRPr="00DB4961">
        <w:rPr>
          <w:szCs w:val="21"/>
          <w:shd w:val="clear" w:color="auto" w:fill="FFFFFF"/>
        </w:rPr>
        <w:t>þykir því ekki kalla á sérstaka skoðun á samræmi við stjórnarskrá eða alþjóðlegar skuldbindingar.</w:t>
      </w:r>
    </w:p>
    <w:p w14:paraId="3098882E" w14:textId="77777777" w:rsidR="004A2F09" w:rsidRPr="00DB4961" w:rsidRDefault="004A2F09" w:rsidP="004A2F09"/>
    <w:p w14:paraId="66AD1D55" w14:textId="77777777" w:rsidR="004A2F09" w:rsidRPr="00DB4961" w:rsidRDefault="004A2F09" w:rsidP="004A2F09">
      <w:pPr>
        <w:pStyle w:val="Millifyrirsgn1"/>
      </w:pPr>
      <w:r w:rsidRPr="00DB4961">
        <w:t xml:space="preserve">5. Samráð. </w:t>
      </w:r>
    </w:p>
    <w:p w14:paraId="0001C46F" w14:textId="3CA652F4" w:rsidR="004A2F09" w:rsidRPr="00DB4961" w:rsidRDefault="004A2F09" w:rsidP="004A2F09">
      <w:pPr>
        <w:rPr>
          <w:sz w:val="22"/>
        </w:rPr>
      </w:pPr>
      <w:r w:rsidRPr="00DB4961">
        <w:rPr>
          <w:szCs w:val="21"/>
          <w:shd w:val="clear" w:color="auto" w:fill="FFFFFF"/>
        </w:rPr>
        <w:t>Frumvarpið var samið í fjármála- og efnahagsráðuneytinu í samráði við Seðlabanka Íslands. Áform um frumvarpið voru kynnt í samráðsgátt stjórnvalda á vefnum Ísland.is 7. apríl</w:t>
      </w:r>
      <w:r w:rsidRPr="00DB4961">
        <w:rPr>
          <w:sz w:val="22"/>
          <w:shd w:val="clear" w:color="auto" w:fill="FFFFFF"/>
        </w:rPr>
        <w:t xml:space="preserve"> 2025 (mál nr. S-69/2025) og var opið fyrir umsagnir til 21. apríl 2025. Engar umsagnir bárust. Frumvarpsdrög voru birt til umsagnar í samráðsgátt stjórnvalda [ ] 2025 (mál nr. S-[ ]/2025) og frestur til umsagna veittur til [ ] 2025. Umsögn barst </w:t>
      </w:r>
      <w:r w:rsidRPr="00DB4961">
        <w:rPr>
          <w:sz w:val="22"/>
        </w:rPr>
        <w:t>frá [ ].</w:t>
      </w:r>
    </w:p>
    <w:p w14:paraId="5ED991F7" w14:textId="77777777" w:rsidR="004A2F09" w:rsidRPr="00DB4961" w:rsidRDefault="004A2F09" w:rsidP="004A2F09"/>
    <w:p w14:paraId="5BC1A10C" w14:textId="77777777" w:rsidR="004A2F09" w:rsidRPr="00DB4961" w:rsidRDefault="004A2F09" w:rsidP="004A2F09">
      <w:pPr>
        <w:pStyle w:val="Millifyrirsgn1"/>
      </w:pPr>
      <w:r w:rsidRPr="00DB4961">
        <w:lastRenderedPageBreak/>
        <w:t xml:space="preserve">6. Mat á áhrifum. </w:t>
      </w:r>
    </w:p>
    <w:p w14:paraId="6A615D2F" w14:textId="77777777" w:rsidR="004A2F09" w:rsidRPr="00DB4961" w:rsidRDefault="004A2F09" w:rsidP="004A2F09">
      <w:pPr>
        <w:pStyle w:val="Millifyrirsgn2"/>
        <w:rPr>
          <w:shd w:val="clear" w:color="auto" w:fill="FFFFFF"/>
        </w:rPr>
      </w:pPr>
      <w:r w:rsidRPr="00DB4961">
        <w:rPr>
          <w:shd w:val="clear" w:color="auto" w:fill="FFFFFF"/>
        </w:rPr>
        <w:t>6.1. Hagræn áhrif á heildareftirspurn og einstaka markaði – hagstjórnarsjónarmið.</w:t>
      </w:r>
    </w:p>
    <w:p w14:paraId="3440C884" w14:textId="77777777" w:rsidR="004A2F09" w:rsidRPr="00DB4961" w:rsidRDefault="004A2F09" w:rsidP="004A2F09">
      <w:pPr>
        <w:pStyle w:val="ListParagraph"/>
        <w:ind w:left="0"/>
        <w:contextualSpacing w:val="0"/>
      </w:pPr>
      <w:r w:rsidRPr="00DB4961">
        <w:t xml:space="preserve">Með innleiðingu reglugerðarinnar auk tengdrar framseldrar reglugerðar gætu ELTIF-sjóðir orðið meira spennandi fjárfestingarkostur fyrir rekstraraðila sérhæfðra sjóða til að bjóða upp á. Verði boðið upp á slíka sjóði hér á landi gæti það leitt til fleiri fjármögnunarmöguleika fyrir innlenda aðila og fleiri möguleika fyrir fjárfesta, svo sem í tengslum við innviðafjárfestingar, einkum þar sem að reglurnar um sjóðina eru einfaldaðar og kvaðir minnkaðar. Þá er talið að breyttar reglur komi til með að draga úr kostnaði rekstraraðila sjóðanna. </w:t>
      </w:r>
    </w:p>
    <w:p w14:paraId="34592DC5" w14:textId="77777777" w:rsidR="004A2F09" w:rsidRPr="00DB4961" w:rsidRDefault="004A2F09" w:rsidP="004A2F09">
      <w:pPr>
        <w:pStyle w:val="ListParagraph"/>
        <w:ind w:left="0"/>
        <w:contextualSpacing w:val="0"/>
      </w:pPr>
      <w:r w:rsidRPr="00DB4961">
        <w:t xml:space="preserve">Tilgangur ELTIF-sjóða er að veita langtímafjármögnun til ýmissa verkefna sem erfitt getur verið að finna fjármagn fyrir, en eftir breytingar með reglugerð (ESB) 2023/606 skulu sjóðirnir fjárfesta a.m.k. 55% af fjármagni sínu í </w:t>
      </w:r>
      <w:proofErr w:type="spellStart"/>
      <w:r w:rsidRPr="00DB4961">
        <w:t>sk</w:t>
      </w:r>
      <w:proofErr w:type="spellEnd"/>
      <w:r w:rsidRPr="00DB4961">
        <w:t xml:space="preserve">. hæfum fjárfestingum. Hæfar fjárfestingar fyrir ELTIF-sjóði eru m.a. ýmis innviðaverkefni, t.d. á sviði samgangna eða orku, og einnig skulda- eða </w:t>
      </w:r>
      <w:proofErr w:type="spellStart"/>
      <w:r w:rsidRPr="00DB4961">
        <w:t>eiginfjárgerningar</w:t>
      </w:r>
      <w:proofErr w:type="spellEnd"/>
      <w:r w:rsidRPr="00DB4961">
        <w:t xml:space="preserve"> útgefnir af fjárfestingarhæfum fyrirtækjum, þ.e. óskráðum fyrirtækjum eða skráðum fyrirtækjum með markaðsverðmæti að hámarki EUR 1,5 ma. ELTIF-sjóðir geta hentað þeim sem þurfa að fjárfesta til lengri tíma, eins og t.d. lífeyrissjóðum og </w:t>
      </w:r>
      <w:proofErr w:type="spellStart"/>
      <w:r w:rsidRPr="00DB4961">
        <w:t>vátryggingafélögum</w:t>
      </w:r>
      <w:proofErr w:type="spellEnd"/>
      <w:r w:rsidRPr="00DB4961">
        <w:t xml:space="preserve">. Þá er með breytingunum möguleikar almennra fjárfesta til þátttöku auknir. Á móti er seljanleiki hluta í sjóðunum minni en ef keyptir eru annars konar </w:t>
      </w:r>
      <w:proofErr w:type="spellStart"/>
      <w:r w:rsidRPr="00DB4961">
        <w:t>fjármálagerningar</w:t>
      </w:r>
      <w:proofErr w:type="spellEnd"/>
      <w:r w:rsidRPr="00DB4961">
        <w:t xml:space="preserve">. </w:t>
      </w:r>
    </w:p>
    <w:p w14:paraId="5C3DB2C9" w14:textId="77777777" w:rsidR="004A2F09" w:rsidRPr="00DB4961" w:rsidRDefault="004A2F09" w:rsidP="004A2F09">
      <w:pPr>
        <w:pStyle w:val="ListParagraph"/>
        <w:ind w:left="0"/>
        <w:contextualSpacing w:val="0"/>
      </w:pPr>
      <w:r w:rsidRPr="00DB4961">
        <w:t>Sjóðaformið hafði áður notið takmarkaðrar velgengni innan ESB. Því voru reglurnar endurskoðaðar. Frá því reglurnar tóku gildi í ESB, 10. janúar 2024, hefur sjóðum sem þessum fjölgað að einhverju leyti á því svæði, en ekki liggur þó enn fyrir hvaða áhrif breytingarnar á reglunum koma til með að hafa á eftirspurn eftir sjóðum sem þessum á fjármálamörkuðum.</w:t>
      </w:r>
    </w:p>
    <w:p w14:paraId="4600A927" w14:textId="77777777" w:rsidR="004A2F09" w:rsidRPr="00DB4961" w:rsidRDefault="004A2F09" w:rsidP="004A2F09"/>
    <w:p w14:paraId="226618BC" w14:textId="77777777" w:rsidR="004A2F09" w:rsidRPr="00DB4961" w:rsidRDefault="004A2F09" w:rsidP="004A2F09">
      <w:pPr>
        <w:pStyle w:val="Millifyrirsgn2"/>
        <w:rPr>
          <w:shd w:val="clear" w:color="auto" w:fill="FFFFFF"/>
        </w:rPr>
      </w:pPr>
      <w:r w:rsidRPr="00DB4961">
        <w:rPr>
          <w:shd w:val="clear" w:color="auto" w:fill="FFFFFF"/>
        </w:rPr>
        <w:t>6.2. Áhrif á fyrirtækjaeftirlit og reglubyrði.</w:t>
      </w:r>
    </w:p>
    <w:p w14:paraId="41CF966D" w14:textId="77777777" w:rsidR="004A2F09" w:rsidRPr="00DB4961" w:rsidRDefault="004A2F09" w:rsidP="004A2F09">
      <w:r w:rsidRPr="00DB4961">
        <w:rPr>
          <w:shd w:val="clear" w:color="auto" w:fill="FFFFFF"/>
        </w:rPr>
        <w:t xml:space="preserve">    Reglurnar hafa einungis áhrif á þá rekstraraðila sérhæfðra sjóða sem ákveða að bjóða upp á umrædda ELTIF-sjóði. Slíkir sjóðir eru ekki starfræktir hér á landi. </w:t>
      </w:r>
    </w:p>
    <w:p w14:paraId="53CA9AEE" w14:textId="77777777" w:rsidR="004A2F09" w:rsidRPr="00DB4961" w:rsidRDefault="004A2F09" w:rsidP="004A2F09">
      <w:r w:rsidRPr="00DB4961">
        <w:rPr>
          <w:shd w:val="clear" w:color="auto" w:fill="FFFFFF"/>
        </w:rPr>
        <w:t>    </w:t>
      </w:r>
    </w:p>
    <w:p w14:paraId="1EA6734E" w14:textId="77777777" w:rsidR="004A2F09" w:rsidRPr="00DB4961" w:rsidRDefault="004A2F09" w:rsidP="004A2F09">
      <w:pPr>
        <w:pStyle w:val="Millifyrirsgn2"/>
        <w:rPr>
          <w:shd w:val="clear" w:color="auto" w:fill="FFFFFF"/>
        </w:rPr>
      </w:pPr>
      <w:r w:rsidRPr="00DB4961">
        <w:rPr>
          <w:shd w:val="clear" w:color="auto" w:fill="FFFFFF"/>
        </w:rPr>
        <w:t>6.3. Samkeppnisskilyrði.</w:t>
      </w:r>
    </w:p>
    <w:p w14:paraId="72A23ED1" w14:textId="77777777" w:rsidR="004A2F09" w:rsidRPr="00DB4961" w:rsidRDefault="004A2F09" w:rsidP="004A2F09">
      <w:r w:rsidRPr="00DB4961">
        <w:rPr>
          <w:shd w:val="clear" w:color="auto" w:fill="FFFFFF"/>
        </w:rPr>
        <w:t>    Ekki eru taldar líkur á því að fjöldi fyrirtækja á markaði takmarkist með beinum hætti eða að þeim fækki óbeint vegna fyrirhugaðrar lagasetningar.</w:t>
      </w:r>
    </w:p>
    <w:p w14:paraId="5550BCB4" w14:textId="77777777" w:rsidR="004A2F09" w:rsidRPr="00DB4961" w:rsidRDefault="004A2F09" w:rsidP="004A2F09"/>
    <w:p w14:paraId="15642B12" w14:textId="77777777" w:rsidR="004A2F09" w:rsidRPr="00DB4961" w:rsidRDefault="004A2F09" w:rsidP="004A2F09">
      <w:pPr>
        <w:pStyle w:val="Millifyrirsgn2"/>
        <w:rPr>
          <w:shd w:val="clear" w:color="auto" w:fill="FFFFFF"/>
        </w:rPr>
      </w:pPr>
      <w:r w:rsidRPr="00DB4961">
        <w:rPr>
          <w:shd w:val="clear" w:color="auto" w:fill="FFFFFF"/>
        </w:rPr>
        <w:t>6.4. Áhrif á jafnrétti kynjanna.</w:t>
      </w:r>
    </w:p>
    <w:p w14:paraId="3ED517AC" w14:textId="77777777" w:rsidR="004A2F09" w:rsidRPr="00DB4961" w:rsidRDefault="004A2F09" w:rsidP="004A2F09">
      <w:pPr>
        <w:rPr>
          <w:bCs/>
        </w:rPr>
      </w:pPr>
      <w:r w:rsidRPr="00DB4961">
        <w:rPr>
          <w:rFonts w:eastAsia="Times New Roman"/>
        </w:rPr>
        <w:t xml:space="preserve">Þar sem karlmenn eru í meirihluta þeirra sem eiga og stjórna fyrirtækjum verða þeir að líkindum fyrir hagfelldum áhrifum af lögunum ef rekstraraðilar sértækra sjóða ákveða að bjóða upp á sjóði sem þessa. Þá er algengara að karlmenn stýri sérhæfðum sjóðum en konur og með því að fjölga þeim tegundum sérhæfðra sjóða sem eru í boði gætu fleiri störf skapast sem líkur eru á að verði frekar sinnt af körlum. Almennt hafa karlmenn einnig meiri tekjur en konur og hafa því að öllu jöfnu fleiri tækifæri til fjárfestinga á borð við þær sem lögunum er ætlað að ýta undir. </w:t>
      </w:r>
      <w:r w:rsidRPr="00DB4961">
        <w:rPr>
          <w:bCs/>
        </w:rPr>
        <w:t>Ganga má því út frá því að karlmenn verði fyrir meiri jákvæðum áhrifum af lagasetningunni en konur.</w:t>
      </w:r>
    </w:p>
    <w:p w14:paraId="0FF9FBED" w14:textId="77777777" w:rsidR="004A2F09" w:rsidRPr="00DB4961" w:rsidRDefault="004A2F09" w:rsidP="004A2F09">
      <w:pPr>
        <w:rPr>
          <w:color w:val="242424"/>
        </w:rPr>
      </w:pPr>
    </w:p>
    <w:p w14:paraId="04426FCB" w14:textId="77777777" w:rsidR="004A2F09" w:rsidRPr="00DB4961" w:rsidRDefault="004A2F09" w:rsidP="004A2F09">
      <w:pPr>
        <w:pStyle w:val="Millifyrirsgn2"/>
        <w:rPr>
          <w:shd w:val="clear" w:color="auto" w:fill="FFFFFF"/>
        </w:rPr>
      </w:pPr>
      <w:r w:rsidRPr="00DB4961">
        <w:rPr>
          <w:shd w:val="clear" w:color="auto" w:fill="FFFFFF"/>
        </w:rPr>
        <w:t>6.5. Áætluð fjárhagsáhrif fyrir ríkið.</w:t>
      </w:r>
    </w:p>
    <w:p w14:paraId="42F31F2C" w14:textId="203AA2DC" w:rsidR="004A2F09" w:rsidRPr="00DB4961" w:rsidRDefault="004A2F09" w:rsidP="004A2F09">
      <w:pPr>
        <w:rPr>
          <w:color w:val="242424"/>
          <w:shd w:val="clear" w:color="auto" w:fill="FFFFFF"/>
        </w:rPr>
      </w:pPr>
      <w:r w:rsidRPr="00DB4961">
        <w:rPr>
          <w:color w:val="242424"/>
          <w:shd w:val="clear" w:color="auto" w:fill="FFFFFF"/>
        </w:rPr>
        <w:t>    Ekki er gert ráð fyrir auknum umsvifum Fjármálaeftirlits Seðlabanka Íslands vegna fyrirhugaðrar lagasetningar. Áhrif á ríkissjóð verða engin.</w:t>
      </w:r>
    </w:p>
    <w:p w14:paraId="0486A64C" w14:textId="77777777" w:rsidR="004A2F09" w:rsidRPr="00DB4961" w:rsidRDefault="004A2F09" w:rsidP="004A2F09"/>
    <w:p w14:paraId="7F53B15A" w14:textId="77777777" w:rsidR="00E71F27" w:rsidRPr="00DB4961" w:rsidRDefault="00E71F27" w:rsidP="00E71F27">
      <w:pPr>
        <w:pStyle w:val="Greinarfyrirsgn"/>
      </w:pPr>
      <w:r w:rsidRPr="00DB4961">
        <w:lastRenderedPageBreak/>
        <w:t>Um einstakar greinar frumvarpsins.</w:t>
      </w:r>
    </w:p>
    <w:p w14:paraId="48C7D0CA" w14:textId="77777777" w:rsidR="00E71F27" w:rsidRPr="00DB4961" w:rsidRDefault="00E71F27" w:rsidP="00E71F27">
      <w:pPr>
        <w:pStyle w:val="Greinarnmer"/>
      </w:pPr>
      <w:r w:rsidRPr="00DB4961">
        <w:t>Um 1. gr.</w:t>
      </w:r>
    </w:p>
    <w:p w14:paraId="21B931BB" w14:textId="1A6D3EC2" w:rsidR="004A2F09" w:rsidRPr="00DB4961" w:rsidRDefault="004A2F09" w:rsidP="004A2F09">
      <w:r w:rsidRPr="00DB4961">
        <w:t>Í greininni er í a-lið lagt til að ákvæði reglugerðar (ESB) 2023/606, sem breytir reglugerð (ESB) 2015/760 um evrópska langtímafjárfestingasjóði (ELTIF), eins og gerðin hefur verið aðlöguð og tekin upp í EES-samninginn með ákvörðun sameiginlegu EES-nefnd</w:t>
      </w:r>
      <w:r w:rsidRPr="00DB4961">
        <w:softHyphen/>
        <w:t>ar</w:t>
      </w:r>
      <w:r w:rsidRPr="00DB4961">
        <w:softHyphen/>
        <w:t xml:space="preserve">innar nr. </w:t>
      </w:r>
      <w:r w:rsidR="003F74BD" w:rsidRPr="00DB4961">
        <w:rPr>
          <w:szCs w:val="21"/>
          <w:shd w:val="clear" w:color="auto" w:fill="FFFFFF"/>
        </w:rPr>
        <w:t>[ ]</w:t>
      </w:r>
      <w:r w:rsidRPr="00DB4961">
        <w:t xml:space="preserve">/2024, skuli hafa lagagildi hér á landi. Ákvörðun sameiginlegu EES-nefndarinnar hefur ekki enn verið birt í EES-viðbæti Stjórnartíðinda ESB. </w:t>
      </w:r>
      <w:bookmarkStart w:id="2" w:name="_Hlk188535876"/>
      <w:r w:rsidRPr="00DB4961">
        <w:t>Frá gildistöku laga um evrópska langtímafjárfestingarsjóði, nr. 115/2022, hefur ákvörðun sameiginlegu EES-nefndarinnar nr. 19/2020 frá 7. febrúar 2020 verið birt í EES-viðbæti við Stjórnartíðindi Evrópusambandsins. Er því lagt til að tilvísun til birtingar ákvörðunarinnar verði breytt þannig að vísað verði til EES-viðbætisins þar sem ákvörðunin er birt í stað tilvísunar til birtingar í C-deild Stjórnartíðinda.</w:t>
      </w:r>
      <w:bookmarkEnd w:id="2"/>
    </w:p>
    <w:p w14:paraId="58B594CB" w14:textId="77777777" w:rsidR="004A2F09" w:rsidRPr="00DB4961" w:rsidRDefault="004A2F09" w:rsidP="004A2F09">
      <w:r w:rsidRPr="00DB4961">
        <w:rPr>
          <w:color w:val="242424"/>
          <w:shd w:val="clear" w:color="auto" w:fill="FFFFFF"/>
        </w:rPr>
        <w:t xml:space="preserve">Í ELTIF-reglugerðinni er nokkuð um vísanir til annarra Evrópugerða sem teknar hafa verið upp í íslenskan rétt. Nánar er skýrt í </w:t>
      </w:r>
      <w:proofErr w:type="spellStart"/>
      <w:r w:rsidRPr="00DB4961">
        <w:rPr>
          <w:color w:val="242424"/>
          <w:shd w:val="clear" w:color="auto" w:fill="FFFFFF"/>
        </w:rPr>
        <w:t>b-d</w:t>
      </w:r>
      <w:proofErr w:type="spellEnd"/>
      <w:r w:rsidRPr="00DB4961">
        <w:rPr>
          <w:color w:val="242424"/>
          <w:shd w:val="clear" w:color="auto" w:fill="FFFFFF"/>
        </w:rPr>
        <w:t xml:space="preserve">- og g-h-lið greinarinnar hvar ákvæði viðkomandi tilskipunar hafa verið tekin upp í íslenskan rétt. Í </w:t>
      </w:r>
      <w:proofErr w:type="spellStart"/>
      <w:r w:rsidRPr="00DB4961">
        <w:rPr>
          <w:color w:val="242424"/>
          <w:shd w:val="clear" w:color="auto" w:fill="FFFFFF"/>
        </w:rPr>
        <w:t>e-lið</w:t>
      </w:r>
      <w:proofErr w:type="spellEnd"/>
      <w:r w:rsidRPr="00DB4961">
        <w:rPr>
          <w:color w:val="242424"/>
          <w:shd w:val="clear" w:color="auto" w:fill="FFFFFF"/>
        </w:rPr>
        <w:t xml:space="preserve"> er lagt til að tilvísun til málsgreinar ELTIF-reglugerðarinnar verði breytt vegna breytinga sem gerðar eru á reglugerðinni með reglugerð (ESB) 2023/606. Í </w:t>
      </w:r>
      <w:proofErr w:type="spellStart"/>
      <w:r w:rsidRPr="00DB4961">
        <w:rPr>
          <w:color w:val="242424"/>
          <w:shd w:val="clear" w:color="auto" w:fill="FFFFFF"/>
        </w:rPr>
        <w:t>f-lið</w:t>
      </w:r>
      <w:proofErr w:type="spellEnd"/>
      <w:r w:rsidRPr="00DB4961">
        <w:rPr>
          <w:color w:val="242424"/>
          <w:shd w:val="clear" w:color="auto" w:fill="FFFFFF"/>
        </w:rPr>
        <w:t xml:space="preserve"> er lagt til að felld verði brott málsgrein þar sem að tilvísun ELTIF-reglugerðarinnar sem þar er vísað til er breytt með reglugerð (ESB) 2023/606 og þar sem áður var vísað til tilskipunar Evrópuþingsins og ráðsins 2003/71/EB og reglugerðar (EB) 809/2004 er nú vísað til reglugerðar (ESB) 2017/1129.</w:t>
      </w:r>
    </w:p>
    <w:p w14:paraId="491A22FC" w14:textId="77777777" w:rsidR="004A2F09" w:rsidRPr="00DB4961" w:rsidRDefault="004A2F09" w:rsidP="004A2F09">
      <w:pPr>
        <w:rPr>
          <w:color w:val="242424"/>
        </w:rPr>
      </w:pPr>
      <w:r w:rsidRPr="00DB4961">
        <w:rPr>
          <w:color w:val="242424"/>
          <w:shd w:val="clear" w:color="auto" w:fill="FFFFFF"/>
        </w:rPr>
        <w:t>Hér á eftir er útskýrt hvar þær reglugerðir ESB, sem vísað er til í ELTIF-reglugerðinni, sbr. breytingar með reglugerð (ESB) 2023/606, hafa verið teknar upp í íslenskan rétt:</w:t>
      </w:r>
    </w:p>
    <w:p w14:paraId="0ABD0553" w14:textId="4369FA4A" w:rsidR="004A2F09" w:rsidRPr="00DB4961" w:rsidRDefault="004A2F09" w:rsidP="004A2F09">
      <w:pPr>
        <w:pStyle w:val="ListParagraph"/>
        <w:numPr>
          <w:ilvl w:val="0"/>
          <w:numId w:val="17"/>
        </w:numPr>
        <w:rPr>
          <w:color w:val="242424"/>
          <w:shd w:val="clear" w:color="auto" w:fill="FFFFFF"/>
        </w:rPr>
      </w:pPr>
      <w:r w:rsidRPr="00DB4961">
        <w:rPr>
          <w:color w:val="242424"/>
          <w:shd w:val="clear" w:color="auto" w:fill="FFFFFF"/>
        </w:rPr>
        <w:t xml:space="preserve">Reglugerð (ESB) 2017/2402 um almennan ramma fyrir verðbréfun og gerð sértæks ramma fyrir einfalda, gagnsæja og staðlaða verðbréfun, og um breytingu á tilskipunum 2009/65/EB, 2009/138/EB og 2011/61/ESB og reglugerðum (EB) nr. 1060/2009 og (ESB) nr. 648/2012 er innleidd með lögum um </w:t>
      </w:r>
      <w:r w:rsidR="003F74BD" w:rsidRPr="00DB4961">
        <w:rPr>
          <w:color w:val="242424"/>
          <w:shd w:val="clear" w:color="auto" w:fill="FFFFFF"/>
        </w:rPr>
        <w:t>verðbréfun</w:t>
      </w:r>
      <w:r w:rsidRPr="00DB4961">
        <w:rPr>
          <w:color w:val="242424"/>
          <w:shd w:val="clear" w:color="auto" w:fill="FFFFFF"/>
        </w:rPr>
        <w:t xml:space="preserve">, nr. </w:t>
      </w:r>
      <w:r w:rsidR="003F74BD" w:rsidRPr="00DB4961">
        <w:rPr>
          <w:szCs w:val="21"/>
          <w:shd w:val="clear" w:color="auto" w:fill="FFFFFF"/>
        </w:rPr>
        <w:t>[ ]</w:t>
      </w:r>
      <w:r w:rsidRPr="00DB4961">
        <w:rPr>
          <w:color w:val="242424"/>
          <w:shd w:val="clear" w:color="auto" w:fill="FFFFFF"/>
        </w:rPr>
        <w:t>/</w:t>
      </w:r>
      <w:r w:rsidR="003F74BD" w:rsidRPr="00DB4961">
        <w:rPr>
          <w:szCs w:val="21"/>
          <w:shd w:val="clear" w:color="auto" w:fill="FFFFFF"/>
        </w:rPr>
        <w:t xml:space="preserve"> [ ]</w:t>
      </w:r>
      <w:r w:rsidRPr="00DB4961">
        <w:rPr>
          <w:color w:val="242424"/>
          <w:shd w:val="clear" w:color="auto" w:fill="FFFFFF"/>
        </w:rPr>
        <w:t>.</w:t>
      </w:r>
    </w:p>
    <w:p w14:paraId="10820A96" w14:textId="6C05AB98" w:rsidR="004A2F09" w:rsidRPr="00DB4961" w:rsidRDefault="004A2F09" w:rsidP="004A2F09">
      <w:pPr>
        <w:pStyle w:val="ListParagraph"/>
        <w:numPr>
          <w:ilvl w:val="0"/>
          <w:numId w:val="17"/>
        </w:numPr>
      </w:pPr>
      <w:r w:rsidRPr="00DB4961">
        <w:t xml:space="preserve">Framseld reglugerð framkvæmdastjórnar (ESB) 2019/1851 um viðbætur við reglugerð Evrópuþingsins og ráðsins (ESB) nr. 2017/2402 að því er varðar tæknilega </w:t>
      </w:r>
      <w:proofErr w:type="spellStart"/>
      <w:r w:rsidRPr="00DB4961">
        <w:t>eftirlitsstaðla</w:t>
      </w:r>
      <w:proofErr w:type="spellEnd"/>
      <w:r w:rsidRPr="00DB4961">
        <w:t xml:space="preserve"> um einsleitni undirliggjandi áhættuskuldbindinga í verðbréfun, er innleidd með reglum Seðlabanka Íslands um</w:t>
      </w:r>
      <w:r w:rsidR="001B7636" w:rsidRPr="00DB4961">
        <w:t xml:space="preserve"> </w:t>
      </w:r>
      <w:r w:rsidR="001B7636" w:rsidRPr="00DB4961">
        <w:rPr>
          <w:szCs w:val="21"/>
          <w:shd w:val="clear" w:color="auto" w:fill="FFFFFF"/>
        </w:rPr>
        <w:t>[ ]</w:t>
      </w:r>
      <w:r w:rsidRPr="00DB4961">
        <w:t xml:space="preserve">, nr. </w:t>
      </w:r>
      <w:r w:rsidR="001B7636" w:rsidRPr="00DB4961">
        <w:rPr>
          <w:szCs w:val="21"/>
          <w:shd w:val="clear" w:color="auto" w:fill="FFFFFF"/>
        </w:rPr>
        <w:t>[ ]</w:t>
      </w:r>
      <w:r w:rsidRPr="00DB4961">
        <w:t>/</w:t>
      </w:r>
      <w:r w:rsidR="001B7636" w:rsidRPr="00DB4961">
        <w:rPr>
          <w:szCs w:val="21"/>
          <w:shd w:val="clear" w:color="auto" w:fill="FFFFFF"/>
        </w:rPr>
        <w:t>[ ]</w:t>
      </w:r>
      <w:r w:rsidRPr="00DB4961">
        <w:t>.</w:t>
      </w:r>
    </w:p>
    <w:p w14:paraId="7CA0E1B4" w14:textId="6AC85BF3" w:rsidR="007652B1" w:rsidRPr="00DB4961" w:rsidRDefault="004A2F09" w:rsidP="001D7987">
      <w:pPr>
        <w:pStyle w:val="ListParagraph"/>
        <w:numPr>
          <w:ilvl w:val="0"/>
          <w:numId w:val="17"/>
        </w:numPr>
      </w:pPr>
      <w:r w:rsidRPr="00DB4961">
        <w:t xml:space="preserve">Reglugerð um evrópsk græn skuldabréf (reglugerð (ESB) 2023/2631) er innleidd með lögum um </w:t>
      </w:r>
      <w:r w:rsidR="001B7636" w:rsidRPr="00DB4961">
        <w:rPr>
          <w:szCs w:val="21"/>
          <w:shd w:val="clear" w:color="auto" w:fill="FFFFFF"/>
        </w:rPr>
        <w:t>[ ]</w:t>
      </w:r>
      <w:r w:rsidRPr="00DB4961">
        <w:t xml:space="preserve">, nr. </w:t>
      </w:r>
      <w:r w:rsidR="001B7636" w:rsidRPr="00DB4961">
        <w:rPr>
          <w:szCs w:val="21"/>
          <w:shd w:val="clear" w:color="auto" w:fill="FFFFFF"/>
        </w:rPr>
        <w:t>[ ]</w:t>
      </w:r>
      <w:r w:rsidRPr="00DB4961">
        <w:t>/</w:t>
      </w:r>
      <w:r w:rsidR="001B7636" w:rsidRPr="00DB4961">
        <w:rPr>
          <w:szCs w:val="21"/>
          <w:shd w:val="clear" w:color="auto" w:fill="FFFFFF"/>
        </w:rPr>
        <w:t xml:space="preserve"> [ ]</w:t>
      </w:r>
      <w:r w:rsidRPr="00DB4961">
        <w:t>.</w:t>
      </w:r>
    </w:p>
    <w:p w14:paraId="34A1C268" w14:textId="11942D77" w:rsidR="00C35574" w:rsidRPr="00DB4961" w:rsidRDefault="004A2F09" w:rsidP="001D7987">
      <w:pPr>
        <w:pStyle w:val="ListParagraph"/>
        <w:numPr>
          <w:ilvl w:val="0"/>
          <w:numId w:val="17"/>
        </w:numPr>
      </w:pPr>
      <w:r w:rsidRPr="00DB4961">
        <w:t>Reglugerð (ESB) 2017/1129 um lýsingu sem birta skal þegar verðbréf eru boðin í almennu útboði eða tekin til viðskipta á skipulegum markaði og um niðurfellingu á tilskipun 2003/71/EB er innleidd með lögum um lýsingu verðbréfa sem boðin eru í almennu útboði eða tekin til viðskipta á skipulegum markaði, nr. 14/2020.</w:t>
      </w:r>
    </w:p>
    <w:p w14:paraId="3CABCE46" w14:textId="4D3E4043" w:rsidR="00A141B9" w:rsidRPr="00DB4961" w:rsidRDefault="00A141B9" w:rsidP="00943B67"/>
    <w:p w14:paraId="34CCB9D4" w14:textId="77777777" w:rsidR="004A2F09" w:rsidRPr="00DB4961" w:rsidRDefault="004A2F09" w:rsidP="004A2F09">
      <w:pPr>
        <w:pStyle w:val="Greinarnmer"/>
      </w:pPr>
      <w:r w:rsidRPr="00DB4961">
        <w:t>Um 2. gr.</w:t>
      </w:r>
    </w:p>
    <w:p w14:paraId="68342DC4" w14:textId="1898AF9E" w:rsidR="004A2F09" w:rsidRPr="00DB4961" w:rsidRDefault="004A2F09" w:rsidP="004A2F09">
      <w:r w:rsidRPr="00DB4961">
        <w:t>Lagðar eru til breytingar á 7. gr. laganna um stjórnvaldssektir sem leiðir af þeim breytingum sem kveðið er á um í reglugerð (ESB) 2023/606, en þar eru felldar brott 26. og 28. gr. ELTIF-reglugerðarinnar og framsetningu og efni 27. og 30. gr. reglugerðarinnar er breytt. Breytingarnar tengjast evrópskum langtímafjárfestingarsjóðum sem eru seldir og markaðssettir til almennra fjárfesta en með reglugerð (ESB) 2023/606 er kröfum hvað það varðar breytt í því skyni að auka aðgengi almennra fjárfesta að slíkum sjóðum en á sama tíma er hugað að fjárfestavernd.</w:t>
      </w:r>
    </w:p>
    <w:p w14:paraId="34960482" w14:textId="7A37CD55" w:rsidR="004A2F09" w:rsidRPr="00DB4961" w:rsidRDefault="004A2F09" w:rsidP="004A2F09"/>
    <w:p w14:paraId="4FE6FB1B" w14:textId="77777777" w:rsidR="004A2F09" w:rsidRPr="00DB4961" w:rsidRDefault="004A2F09" w:rsidP="004A2F09">
      <w:pPr>
        <w:pStyle w:val="Greinarnmer"/>
      </w:pPr>
      <w:r w:rsidRPr="00DB4961">
        <w:lastRenderedPageBreak/>
        <w:t>Um 3. gr.</w:t>
      </w:r>
    </w:p>
    <w:p w14:paraId="49CD3B7A" w14:textId="04FA004E" w:rsidR="004A2F09" w:rsidRPr="00DB4961" w:rsidRDefault="004A2F09" w:rsidP="004A2F09">
      <w:r w:rsidRPr="00DB4961">
        <w:t>Lögð er til breyting á 13. gr. laganna um refsingu við broti sem leiðir af breytingu á framsetningu og efni 30. gr. ELTIF-reglugerðarinnar sem kveðið er á um í reglugerð (ESB) 2023/606. Breytingarnar tengjast evrópskum langtímafjárfestingarsjóðum sem eru seldir og markaðssettir til almennra fjárfesta en með reglugerð (ESB) 2023/606 er kröfum hvað það varðar breytt í því skyni að auka aðgengi almennra fjárfesta að slíkum sjóðum en á sama tíma er hugað að fjárfestavernd.</w:t>
      </w:r>
    </w:p>
    <w:p w14:paraId="05EA5A86" w14:textId="0A9F8446" w:rsidR="004A2F09" w:rsidRPr="00DB4961" w:rsidRDefault="004A2F09" w:rsidP="004A2F09"/>
    <w:p w14:paraId="5E7A3B84" w14:textId="77777777" w:rsidR="004A2F09" w:rsidRPr="00DB4961" w:rsidRDefault="004A2F09" w:rsidP="004A2F09">
      <w:pPr>
        <w:pStyle w:val="Greinarnmer"/>
      </w:pPr>
      <w:r w:rsidRPr="00DB4961">
        <w:t>Um 4. gr.</w:t>
      </w:r>
    </w:p>
    <w:p w14:paraId="124A2EFE" w14:textId="77777777" w:rsidR="004A2F09" w:rsidRPr="00DB4961" w:rsidRDefault="004A2F09" w:rsidP="004A2F09">
      <w:r w:rsidRPr="00DB4961">
        <w:t xml:space="preserve">Í a-lið ákvæðisins er lagt til að orðalagi reglusetningarheimildar Seðlabanka Íslands í 2. </w:t>
      </w:r>
      <w:proofErr w:type="spellStart"/>
      <w:r w:rsidRPr="00DB4961">
        <w:t>tölul</w:t>
      </w:r>
      <w:proofErr w:type="spellEnd"/>
      <w:r w:rsidRPr="00DB4961">
        <w:t xml:space="preserve">. 1. mgr. 15. gr. laganna verði breytt vegna þeirra breytinga sem kveðið er á um í reglugerð (ESB) 2023/606 á 18. gr. ELTIF-reglugerðarinnar um innlausnir á hlutdeildarskírteinum og hlutum í evrópskum langtímafjárfestingarsjóðum. </w:t>
      </w:r>
    </w:p>
    <w:p w14:paraId="42F9794D" w14:textId="77777777" w:rsidR="004A2F09" w:rsidRPr="00DB4961" w:rsidRDefault="004A2F09" w:rsidP="004A2F09">
      <w:r w:rsidRPr="00DB4961">
        <w:t xml:space="preserve">Í </w:t>
      </w:r>
      <w:proofErr w:type="spellStart"/>
      <w:r w:rsidRPr="00DB4961">
        <w:t>b-lið</w:t>
      </w:r>
      <w:proofErr w:type="spellEnd"/>
      <w:r w:rsidRPr="00DB4961">
        <w:t xml:space="preserve"> ákvæðisins lögð til ný reglusetningarheimild fyrir Seðlabanka Íslands vegna breytinga sem kveðið er á um í reglugerð (ESB) 2023/606 á 19. gr. ELTIF-reglugerðarinnar í tengslum við </w:t>
      </w:r>
      <w:r w:rsidRPr="00DB4961">
        <w:rPr>
          <w:color w:val="242424"/>
          <w:shd w:val="clear" w:color="auto" w:fill="FFFFFF"/>
        </w:rPr>
        <w:t>sölu fjárfesta á hlutum eða hlutdeildarskírteinum þeirra í evrópskum langtímafjárfestingarsjóði sem skráður er á markað áður en líftíma ELTIF-sjóðs lýkur</w:t>
      </w:r>
      <w:r w:rsidRPr="00DB4961">
        <w:t xml:space="preserve">. </w:t>
      </w:r>
    </w:p>
    <w:p w14:paraId="77AF4D32" w14:textId="77777777" w:rsidR="004A2F09" w:rsidRPr="00DB4961" w:rsidRDefault="004A2F09" w:rsidP="004A2F09">
      <w:r w:rsidRPr="00DB4961">
        <w:t xml:space="preserve">Loks er í </w:t>
      </w:r>
      <w:proofErr w:type="spellStart"/>
      <w:r w:rsidRPr="00DB4961">
        <w:t>c-lið</w:t>
      </w:r>
      <w:proofErr w:type="spellEnd"/>
      <w:r w:rsidRPr="00DB4961">
        <w:t xml:space="preserve"> lögð til </w:t>
      </w:r>
      <w:bookmarkStart w:id="3" w:name="_Hlk188536707"/>
      <w:r w:rsidRPr="00DB4961">
        <w:t>ný reglusetningarheimild um upplýsingagjöf um kostnað sem fjárfestar í evrópskum langtímafjárfestingarsjóðum bera, sbr. 3. mgr. 25. gr. ELTIF-reglugerðarinnar, sem fyrir yfirsjón var ekki lögð til við innleiðingu á reglugerðinni</w:t>
      </w:r>
      <w:bookmarkEnd w:id="3"/>
      <w:r w:rsidRPr="00DB4961">
        <w:t xml:space="preserve"> við setningu laga nr. 115/2022 um evrópska langtímafjárfestingarsjóði. </w:t>
      </w:r>
    </w:p>
    <w:p w14:paraId="24A230BF" w14:textId="1B316948" w:rsidR="004A2F09" w:rsidRPr="00DB4961" w:rsidRDefault="004A2F09" w:rsidP="004A2F09">
      <w:r w:rsidRPr="00DB4961">
        <w:t xml:space="preserve">Með reglugerð (ESB) 2023/606 er 26. gr. ELTIF-reglugerðarinnar felld niður og þar með sú krafa sem gerð hefur verið til rekstraraðila evrópskra langtímafjárfestingarsjóða um að þeir þurfi að hafa aðstöðu fyrir almenna fjárfesta í þeim aðildarríkjum þar sem þeir markaðssetja evrópska langtímafjárfestingarsjóði. Er því lagt til að 4. </w:t>
      </w:r>
      <w:proofErr w:type="spellStart"/>
      <w:r w:rsidRPr="00DB4961">
        <w:t>tölul</w:t>
      </w:r>
      <w:proofErr w:type="spellEnd"/>
      <w:r w:rsidRPr="00DB4961">
        <w:t>. 1. mgr. 15. gr. falli brott.</w:t>
      </w:r>
    </w:p>
    <w:p w14:paraId="6EF029C1" w14:textId="501B8435" w:rsidR="004A2F09" w:rsidRPr="00DB4961" w:rsidRDefault="004A2F09" w:rsidP="004A2F09"/>
    <w:p w14:paraId="1E16A5F7" w14:textId="77777777" w:rsidR="004A2F09" w:rsidRPr="00DB4961" w:rsidRDefault="004A2F09" w:rsidP="004A2F09">
      <w:pPr>
        <w:pStyle w:val="Greinarnmer"/>
      </w:pPr>
      <w:r w:rsidRPr="00DB4961">
        <w:t>Um 5. gr.</w:t>
      </w:r>
    </w:p>
    <w:p w14:paraId="4AABBB45" w14:textId="65E9BFF5" w:rsidR="004A2F09" w:rsidRPr="00DB4961" w:rsidRDefault="004A2F09" w:rsidP="004A2F09">
      <w:r w:rsidRPr="00DB4961">
        <w:t xml:space="preserve"> Lagt er til að sú krafa á rekstraraðila sérhæfðra sjóða um að uppfylla skuli 26. gr. ELTIF-reglugerðarinnar um aðstöðu sem er aðgengileg almennum fjárfestum í þeim tilvikum sem rekstraraðili markaðssetur hlutdeildarskírteini eða hluti ELTIF-sjóðs til almennra fjárfesta í öðru ríki innan EES en þar sem rekstraraðili er með staðfestu verði felld niður. 26. gr. ELTIF-reglugerðarinnar er felld niður með reglugerð (ESB) 2023/606.</w:t>
      </w:r>
    </w:p>
    <w:p w14:paraId="55A3364B" w14:textId="7166BCBA" w:rsidR="004A2F09" w:rsidRPr="00DB4961" w:rsidRDefault="004A2F09" w:rsidP="004A2F09"/>
    <w:p w14:paraId="04CB392F" w14:textId="77777777" w:rsidR="004A2F09" w:rsidRPr="00DB4961" w:rsidRDefault="004A2F09" w:rsidP="004A2F09">
      <w:pPr>
        <w:pStyle w:val="Greinarnmer"/>
      </w:pPr>
      <w:r w:rsidRPr="00DB4961">
        <w:t>Um 6. gr.</w:t>
      </w:r>
    </w:p>
    <w:p w14:paraId="0D63117A" w14:textId="035D6F6F" w:rsidR="004A2F09" w:rsidRDefault="004A2F09" w:rsidP="004A2F09">
      <w:r w:rsidRPr="00DB4961">
        <w:t xml:space="preserve"> Í því skyni að stuðla að trausti fjárfesta á ELTIF-sjóðum í rekstri er í 2. gr. reglugerðar (ESB) 2023/606 þegar starfandi ELTIF-sjóðum við gildistöku reglugerðarinnar gefinn fimm ára frestur til að uppfylla nýju reglurnar. Ef hins vegar þegar starfandi ELTIF-sjóðir safna ekki frekara fjármagni skulu þeir taldir uppfylla skilyrði reglugerðar (ESB) 2023/606. Þrátt fyrir þetta er þegar starfandi ELTIF-sjóðum einnig gefinn kostur á að heyra strax undir reglurnar með tilkynningu til </w:t>
      </w:r>
      <w:proofErr w:type="spellStart"/>
      <w:r w:rsidRPr="00DB4961">
        <w:t>lögbærs</w:t>
      </w:r>
      <w:proofErr w:type="spellEnd"/>
      <w:r w:rsidRPr="00DB4961">
        <w:t xml:space="preserve"> yfirvalds þar um. Á Íslandi eru engir ELTIF-sjóðir starfandi. Er því ekki talin þörf á því að kveða á um aðlögunarfrest fyrir slíka sjóði í frumvarpi þessu. Lagt er til að lögin taki þegar gildi.</w:t>
      </w:r>
    </w:p>
    <w:p w14:paraId="4300AB30" w14:textId="77777777" w:rsidR="004A2F09" w:rsidRPr="00012035" w:rsidRDefault="004A2F09" w:rsidP="008A4A88">
      <w:pPr>
        <w:ind w:firstLine="0"/>
      </w:pPr>
    </w:p>
    <w:sectPr w:rsidR="004A2F09" w:rsidRPr="00012035" w:rsidSect="00947F0E">
      <w:headerReference w:type="even" r:id="rId9"/>
      <w:headerReference w:type="default" r:id="rId10"/>
      <w:footerReference w:type="even" r:id="rId11"/>
      <w:footerReference w:type="default" r:id="rId12"/>
      <w:headerReference w:type="first" r:id="rId13"/>
      <w:footerReference w:type="first" r:id="rId14"/>
      <w:pgSz w:w="11906" w:h="16838" w:code="9"/>
      <w:pgMar w:top="1304" w:right="2778" w:bottom="4139" w:left="130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613DFF0" w14:textId="77777777" w:rsidR="006C6CC6" w:rsidRDefault="006C6CC6" w:rsidP="006258D7">
      <w:r>
        <w:separator/>
      </w:r>
    </w:p>
    <w:p w14:paraId="6382BA2D" w14:textId="77777777" w:rsidR="006C6CC6" w:rsidRDefault="006C6CC6"/>
  </w:endnote>
  <w:endnote w:type="continuationSeparator" w:id="0">
    <w:p w14:paraId="456A7D17" w14:textId="77777777" w:rsidR="006C6CC6" w:rsidRDefault="006C6CC6" w:rsidP="006258D7">
      <w:r>
        <w:continuationSeparator/>
      </w:r>
    </w:p>
    <w:p w14:paraId="214DC1C9" w14:textId="77777777" w:rsidR="006C6CC6" w:rsidRDefault="006C6CC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866517" w14:textId="77777777" w:rsidR="00E4009B" w:rsidRDefault="00E4009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524E6EE" w14:textId="77777777" w:rsidR="00E4009B" w:rsidRDefault="00E4009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51BF76D" w14:textId="77777777" w:rsidR="00E4009B" w:rsidRDefault="00E4009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F645DD7" w14:textId="77777777" w:rsidR="006C6CC6" w:rsidRDefault="006C6CC6" w:rsidP="005B4CD6">
      <w:pPr>
        <w:ind w:firstLine="0"/>
      </w:pPr>
      <w:r>
        <w:separator/>
      </w:r>
    </w:p>
    <w:p w14:paraId="3870C3DE" w14:textId="77777777" w:rsidR="006C6CC6" w:rsidRDefault="006C6CC6"/>
  </w:footnote>
  <w:footnote w:type="continuationSeparator" w:id="0">
    <w:p w14:paraId="5FEBB88E" w14:textId="77777777" w:rsidR="006C6CC6" w:rsidRDefault="006C6CC6" w:rsidP="006258D7">
      <w:r>
        <w:continuationSeparator/>
      </w:r>
    </w:p>
    <w:p w14:paraId="711413DF" w14:textId="77777777" w:rsidR="006C6CC6" w:rsidRDefault="006C6CC6"/>
  </w:footnote>
  <w:footnote w:id="1">
    <w:p w14:paraId="66F2319E" w14:textId="77777777" w:rsidR="004A2F09" w:rsidRDefault="004A2F09" w:rsidP="004A2F09">
      <w:pPr>
        <w:pStyle w:val="FootnoteText"/>
      </w:pPr>
      <w:r>
        <w:rPr>
          <w:rStyle w:val="FootnoteReference"/>
        </w:rPr>
        <w:footnoteRef/>
      </w:r>
      <w:r>
        <w:t xml:space="preserve"> Tillaga framkvæmdastjórnar ESB að reglugerð til breytingar á ELTIF-reglugerðinni (sjá í kafla 1 og 3) (</w:t>
      </w:r>
      <w:hyperlink r:id="rId1" w:history="1">
        <w:r w:rsidRPr="0037458B">
          <w:rPr>
            <w:rStyle w:val="Hyperlink"/>
            <w:color w:val="0070C0"/>
          </w:rPr>
          <w:t>EUR-Lex - 52021PC0722 - EN - EUR-Lex</w:t>
        </w:r>
      </w:hyperlink>
      <w:r>
        <w:t>).</w:t>
      </w:r>
    </w:p>
  </w:footnote>
  <w:footnote w:id="2">
    <w:p w14:paraId="7466779A" w14:textId="77777777" w:rsidR="004A2F09" w:rsidRDefault="004A2F09" w:rsidP="004A2F09">
      <w:pPr>
        <w:pStyle w:val="FootnoteText"/>
      </w:pPr>
      <w:r>
        <w:rPr>
          <w:rStyle w:val="FootnoteReference"/>
        </w:rPr>
        <w:footnoteRef/>
      </w:r>
      <w:r>
        <w:t xml:space="preserve"> Fréttatilkynning framkvæmdastjórnar Evrópusambandsins um breytingar á ELTIF-reglugerðinni (</w:t>
      </w:r>
      <w:hyperlink r:id="rId2" w:history="1">
        <w:r w:rsidRPr="001570CF">
          <w:rPr>
            <w:rStyle w:val="Hyperlink"/>
            <w:color w:val="0070C0"/>
          </w:rPr>
          <w:t xml:space="preserve">Capital </w:t>
        </w:r>
        <w:r w:rsidRPr="001570CF">
          <w:rPr>
            <w:rStyle w:val="Hyperlink"/>
            <w:color w:val="0070C0"/>
          </w:rPr>
          <w:t>markets union - European Commission</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7DB513D" w14:textId="6DF79A95" w:rsidR="00E4009B" w:rsidRDefault="00DB4961">
    <w:pPr>
      <w:pStyle w:val="Header"/>
    </w:pPr>
    <w:r>
      <w:rPr>
        <w:noProof/>
      </w:rPr>
      <w:pict w14:anchorId="31C8587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42970516" o:spid="_x0000_s1026" type="#_x0000_t136" style="position:absolute;left:0;text-align:left;margin-left:0;margin-top:0;width:367.7pt;height:183.85pt;rotation:315;z-index:-251655168;mso-position-horizontal:center;mso-position-horizontal-relative:margin;mso-position-vertical:center;mso-position-vertical-relative:margin" o:allowincell="f" fillcolor="silver" stroked="f">
          <v:fill opacity=".5"/>
          <v:textpath style="font-family:&quot;Times New Roman&quot;;font-size:1pt" string="DRÖG"/>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146052F" w14:textId="58694322" w:rsidR="00655EE3" w:rsidRDefault="00DB4961" w:rsidP="006258D7">
    <w:pPr>
      <w:pStyle w:val="Header"/>
      <w:tabs>
        <w:tab w:val="clear" w:pos="4536"/>
        <w:tab w:val="clear" w:pos="9072"/>
        <w:tab w:val="center" w:pos="3969"/>
        <w:tab w:val="right" w:pos="7797"/>
      </w:tabs>
    </w:pPr>
    <w:r>
      <w:rPr>
        <w:noProof/>
      </w:rPr>
      <w:pict w14:anchorId="54BBBFF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42970517" o:spid="_x0000_s1027" type="#_x0000_t136" style="position:absolute;left:0;text-align:left;margin-left:0;margin-top:0;width:367.7pt;height:183.85pt;rotation:315;z-index:-251653120;mso-position-horizontal:center;mso-position-horizontal-relative:margin;mso-position-vertical:center;mso-position-vertical-relative:margin" o:allowincell="f" fillcolor="silver" stroked="f">
          <v:fill opacity=".5"/>
          <v:textpath style="font-family:&quot;Times New Roman&quot;;font-size:1pt" string="DRÖG"/>
          <w10:wrap anchorx="margin" anchory="margin"/>
        </v:shape>
      </w:pict>
    </w:r>
    <w:r w:rsidR="00655EE3">
      <w:tab/>
    </w:r>
    <w:r w:rsidR="003B68AB">
      <w:fldChar w:fldCharType="begin"/>
    </w:r>
    <w:r w:rsidR="003B68AB">
      <w:instrText>PAGE   \* MERGEFORMAT</w:instrText>
    </w:r>
    <w:r w:rsidR="003B68AB">
      <w:fldChar w:fldCharType="separate"/>
    </w:r>
    <w:r w:rsidR="00C710B1">
      <w:rPr>
        <w:noProof/>
      </w:rPr>
      <w:t>2</w:t>
    </w:r>
    <w:r w:rsidR="003B68AB">
      <w:rPr>
        <w:noProof/>
      </w:rPr>
      <w:fldChar w:fldCharType="end"/>
    </w:r>
    <w:r w:rsidR="002D340A">
      <w:rPr>
        <w:noProof/>
      </w:rPr>
      <w:tab/>
    </w:r>
    <w:r w:rsidR="002D340A" w:rsidRPr="00655EE3">
      <w:rPr>
        <w:b/>
        <w:i/>
        <w:color w:val="7F7F7F"/>
        <w:sz w:val="24"/>
        <w:szCs w:val="24"/>
      </w:rPr>
      <w:t>Í vinnslu</w:t>
    </w:r>
    <w:r w:rsidR="002D340A">
      <w:rPr>
        <w:b/>
        <w:i/>
        <w:color w:val="7F7F7F"/>
        <w:sz w:val="24"/>
        <w:szCs w:val="24"/>
      </w:rPr>
      <w:t xml:space="preserve"> – </w:t>
    </w:r>
    <w:r w:rsidR="002D340A">
      <w:rPr>
        <w:b/>
        <w:i/>
        <w:color w:val="7F7F7F"/>
        <w:sz w:val="24"/>
        <w:szCs w:val="24"/>
      </w:rPr>
      <w:fldChar w:fldCharType="begin"/>
    </w:r>
    <w:r w:rsidR="002D340A">
      <w:rPr>
        <w:b/>
        <w:i/>
        <w:color w:val="7F7F7F"/>
        <w:sz w:val="24"/>
        <w:szCs w:val="24"/>
      </w:rPr>
      <w:instrText xml:space="preserve"> TIME \@ "d. MMMM yyyy" </w:instrText>
    </w:r>
    <w:r w:rsidR="002D340A">
      <w:rPr>
        <w:b/>
        <w:i/>
        <w:color w:val="7F7F7F"/>
        <w:sz w:val="24"/>
        <w:szCs w:val="24"/>
      </w:rPr>
      <w:fldChar w:fldCharType="separate"/>
    </w:r>
    <w:r>
      <w:rPr>
        <w:b/>
        <w:i/>
        <w:noProof/>
        <w:color w:val="7F7F7F"/>
        <w:sz w:val="24"/>
        <w:szCs w:val="24"/>
      </w:rPr>
      <w:t>25. apríl 2025</w:t>
    </w:r>
    <w:r w:rsidR="002D340A">
      <w:rPr>
        <w:b/>
        <w:i/>
        <w:color w:val="7F7F7F"/>
        <w:sz w:val="24"/>
        <w:szCs w:val="24"/>
      </w:rPr>
      <w:fldChar w:fldCharType="end"/>
    </w:r>
  </w:p>
  <w:p w14:paraId="0641AD86" w14:textId="77777777" w:rsidR="00DA0E37" w:rsidRDefault="00DA0E3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F81CFD8" w14:textId="2EA6B549" w:rsidR="00655EE3" w:rsidRDefault="00DB4961" w:rsidP="00655EE3">
    <w:pPr>
      <w:pStyle w:val="Header"/>
      <w:tabs>
        <w:tab w:val="clear" w:pos="4536"/>
        <w:tab w:val="clear" w:pos="9072"/>
        <w:tab w:val="center" w:pos="3969"/>
        <w:tab w:val="right" w:pos="7797"/>
      </w:tabs>
    </w:pPr>
    <w:r>
      <w:rPr>
        <w:noProof/>
      </w:rPr>
      <w:pict w14:anchorId="2381476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42970515" o:spid="_x0000_s1025" type="#_x0000_t136" style="position:absolute;left:0;text-align:left;margin-left:0;margin-top:0;width:367.7pt;height:183.85pt;rotation:315;z-index:-251657216;mso-position-horizontal:center;mso-position-horizontal-relative:margin;mso-position-vertical:center;mso-position-vertical-relative:margin" o:allowincell="f" fillcolor="silver" stroked="f">
          <v:fill opacity=".5"/>
          <v:textpath style="font-family:&quot;Times New Roman&quot;;font-size:1pt" string="DRÖG"/>
          <w10:wrap anchorx="margin" anchory="margin"/>
        </v:shape>
      </w:pict>
    </w:r>
    <w:r w:rsidR="00655EE3">
      <w:tab/>
    </w:r>
    <w:r w:rsidR="00655EE3">
      <w:tab/>
    </w:r>
    <w:r w:rsidR="00655EE3" w:rsidRPr="00655EE3">
      <w:rPr>
        <w:b/>
        <w:i/>
        <w:color w:val="7F7F7F"/>
        <w:sz w:val="24"/>
        <w:szCs w:val="24"/>
      </w:rPr>
      <w:t>Í vinnslu</w:t>
    </w:r>
    <w:r w:rsidR="000F46B1">
      <w:rPr>
        <w:b/>
        <w:i/>
        <w:color w:val="7F7F7F"/>
        <w:sz w:val="24"/>
        <w:szCs w:val="24"/>
      </w:rPr>
      <w:t xml:space="preserve"> – </w:t>
    </w:r>
    <w:r w:rsidR="00AD0879">
      <w:rPr>
        <w:b/>
        <w:i/>
        <w:color w:val="7F7F7F"/>
        <w:sz w:val="24"/>
        <w:szCs w:val="24"/>
      </w:rPr>
      <w:fldChar w:fldCharType="begin"/>
    </w:r>
    <w:r w:rsidR="000F46B1">
      <w:rPr>
        <w:b/>
        <w:i/>
        <w:color w:val="7F7F7F"/>
        <w:sz w:val="24"/>
        <w:szCs w:val="24"/>
      </w:rPr>
      <w:instrText xml:space="preserve"> TIME \@ "d. MMMM yyyy" </w:instrText>
    </w:r>
    <w:r w:rsidR="00AD0879">
      <w:rPr>
        <w:b/>
        <w:i/>
        <w:color w:val="7F7F7F"/>
        <w:sz w:val="24"/>
        <w:szCs w:val="24"/>
      </w:rPr>
      <w:fldChar w:fldCharType="separate"/>
    </w:r>
    <w:r>
      <w:rPr>
        <w:b/>
        <w:i/>
        <w:noProof/>
        <w:color w:val="7F7F7F"/>
        <w:sz w:val="24"/>
        <w:szCs w:val="24"/>
      </w:rPr>
      <w:t>25. apríl 2025</w:t>
    </w:r>
    <w:r w:rsidR="00AD0879">
      <w:rPr>
        <w:b/>
        <w:i/>
        <w:color w:val="7F7F7F"/>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2C7342"/>
    <w:multiLevelType w:val="hybridMultilevel"/>
    <w:tmpl w:val="E022F82A"/>
    <w:lvl w:ilvl="0" w:tplc="10000001">
      <w:start w:val="1"/>
      <w:numFmt w:val="bullet"/>
      <w:lvlText w:val=""/>
      <w:lvlJc w:val="left"/>
      <w:pPr>
        <w:ind w:left="1060" w:hanging="360"/>
      </w:pPr>
      <w:rPr>
        <w:rFonts w:ascii="Symbol" w:hAnsi="Symbol" w:hint="default"/>
      </w:rPr>
    </w:lvl>
    <w:lvl w:ilvl="1" w:tplc="10000003" w:tentative="1">
      <w:start w:val="1"/>
      <w:numFmt w:val="bullet"/>
      <w:lvlText w:val="o"/>
      <w:lvlJc w:val="left"/>
      <w:pPr>
        <w:ind w:left="1780" w:hanging="360"/>
      </w:pPr>
      <w:rPr>
        <w:rFonts w:ascii="Courier New" w:hAnsi="Courier New" w:cs="Courier New" w:hint="default"/>
      </w:rPr>
    </w:lvl>
    <w:lvl w:ilvl="2" w:tplc="10000005" w:tentative="1">
      <w:start w:val="1"/>
      <w:numFmt w:val="bullet"/>
      <w:lvlText w:val=""/>
      <w:lvlJc w:val="left"/>
      <w:pPr>
        <w:ind w:left="2500" w:hanging="360"/>
      </w:pPr>
      <w:rPr>
        <w:rFonts w:ascii="Wingdings" w:hAnsi="Wingdings" w:hint="default"/>
      </w:rPr>
    </w:lvl>
    <w:lvl w:ilvl="3" w:tplc="10000001" w:tentative="1">
      <w:start w:val="1"/>
      <w:numFmt w:val="bullet"/>
      <w:lvlText w:val=""/>
      <w:lvlJc w:val="left"/>
      <w:pPr>
        <w:ind w:left="3220" w:hanging="360"/>
      </w:pPr>
      <w:rPr>
        <w:rFonts w:ascii="Symbol" w:hAnsi="Symbol" w:hint="default"/>
      </w:rPr>
    </w:lvl>
    <w:lvl w:ilvl="4" w:tplc="10000003" w:tentative="1">
      <w:start w:val="1"/>
      <w:numFmt w:val="bullet"/>
      <w:lvlText w:val="o"/>
      <w:lvlJc w:val="left"/>
      <w:pPr>
        <w:ind w:left="3940" w:hanging="360"/>
      </w:pPr>
      <w:rPr>
        <w:rFonts w:ascii="Courier New" w:hAnsi="Courier New" w:cs="Courier New" w:hint="default"/>
      </w:rPr>
    </w:lvl>
    <w:lvl w:ilvl="5" w:tplc="10000005" w:tentative="1">
      <w:start w:val="1"/>
      <w:numFmt w:val="bullet"/>
      <w:lvlText w:val=""/>
      <w:lvlJc w:val="left"/>
      <w:pPr>
        <w:ind w:left="4660" w:hanging="360"/>
      </w:pPr>
      <w:rPr>
        <w:rFonts w:ascii="Wingdings" w:hAnsi="Wingdings" w:hint="default"/>
      </w:rPr>
    </w:lvl>
    <w:lvl w:ilvl="6" w:tplc="10000001" w:tentative="1">
      <w:start w:val="1"/>
      <w:numFmt w:val="bullet"/>
      <w:lvlText w:val=""/>
      <w:lvlJc w:val="left"/>
      <w:pPr>
        <w:ind w:left="5380" w:hanging="360"/>
      </w:pPr>
      <w:rPr>
        <w:rFonts w:ascii="Symbol" w:hAnsi="Symbol" w:hint="default"/>
      </w:rPr>
    </w:lvl>
    <w:lvl w:ilvl="7" w:tplc="10000003" w:tentative="1">
      <w:start w:val="1"/>
      <w:numFmt w:val="bullet"/>
      <w:lvlText w:val="o"/>
      <w:lvlJc w:val="left"/>
      <w:pPr>
        <w:ind w:left="6100" w:hanging="360"/>
      </w:pPr>
      <w:rPr>
        <w:rFonts w:ascii="Courier New" w:hAnsi="Courier New" w:cs="Courier New" w:hint="default"/>
      </w:rPr>
    </w:lvl>
    <w:lvl w:ilvl="8" w:tplc="10000005" w:tentative="1">
      <w:start w:val="1"/>
      <w:numFmt w:val="bullet"/>
      <w:lvlText w:val=""/>
      <w:lvlJc w:val="left"/>
      <w:pPr>
        <w:ind w:left="6820" w:hanging="360"/>
      </w:pPr>
      <w:rPr>
        <w:rFonts w:ascii="Wingdings" w:hAnsi="Wingdings" w:hint="default"/>
      </w:rPr>
    </w:lvl>
  </w:abstractNum>
  <w:abstractNum w:abstractNumId="1" w15:restartNumberingAfterBreak="0">
    <w:nsid w:val="0F72372D"/>
    <w:multiLevelType w:val="multilevel"/>
    <w:tmpl w:val="0D70FC7A"/>
    <w:styleLink w:val="Thingskjala-1-a-1"/>
    <w:lvl w:ilvl="0">
      <w:start w:val="1"/>
      <w:numFmt w:val="lowerLetter"/>
      <w:lvlText w:val="%1."/>
      <w:lvlJc w:val="right"/>
      <w:pPr>
        <w:tabs>
          <w:tab w:val="num" w:pos="425"/>
        </w:tabs>
        <w:ind w:left="425" w:hanging="137"/>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Letter"/>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Letter"/>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Letter"/>
      <w:lvlText w:val="%7."/>
      <w:lvlJc w:val="right"/>
      <w:pPr>
        <w:tabs>
          <w:tab w:val="num" w:pos="2129"/>
        </w:tabs>
        <w:ind w:left="2129" w:hanging="144"/>
      </w:pPr>
      <w:rPr>
        <w:rFonts w:hint="default"/>
      </w:rPr>
    </w:lvl>
    <w:lvl w:ilvl="7">
      <w:start w:val="1"/>
      <w:numFmt w:val="decimal"/>
      <w:lvlText w:val="%8."/>
      <w:lvlJc w:val="right"/>
      <w:pPr>
        <w:tabs>
          <w:tab w:val="num" w:pos="2410"/>
        </w:tabs>
        <w:ind w:left="2410" w:hanging="142"/>
      </w:pPr>
      <w:rPr>
        <w:rFonts w:hint="default"/>
      </w:rPr>
    </w:lvl>
    <w:lvl w:ilvl="8">
      <w:start w:val="1"/>
      <w:numFmt w:val="lowerLetter"/>
      <w:lvlText w:val="%9."/>
      <w:lvlJc w:val="right"/>
      <w:pPr>
        <w:tabs>
          <w:tab w:val="num" w:pos="2693"/>
        </w:tabs>
        <w:ind w:left="2693" w:hanging="141"/>
      </w:pPr>
      <w:rPr>
        <w:rFonts w:hint="default"/>
      </w:rPr>
    </w:lvl>
  </w:abstractNum>
  <w:abstractNum w:abstractNumId="2" w15:restartNumberingAfterBreak="0">
    <w:nsid w:val="12254959"/>
    <w:multiLevelType w:val="hybridMultilevel"/>
    <w:tmpl w:val="39ECA4D0"/>
    <w:lvl w:ilvl="0" w:tplc="14987AF2">
      <w:start w:val="1"/>
      <w:numFmt w:val="decimal"/>
      <w:lvlText w:val="%1."/>
      <w:lvlJc w:val="left"/>
      <w:pPr>
        <w:ind w:left="644" w:hanging="360"/>
      </w:pPr>
      <w:rPr>
        <w:rFonts w:hint="default"/>
      </w:rPr>
    </w:lvl>
    <w:lvl w:ilvl="1" w:tplc="10000019" w:tentative="1">
      <w:start w:val="1"/>
      <w:numFmt w:val="lowerLetter"/>
      <w:lvlText w:val="%2."/>
      <w:lvlJc w:val="left"/>
      <w:pPr>
        <w:ind w:left="1364" w:hanging="360"/>
      </w:pPr>
    </w:lvl>
    <w:lvl w:ilvl="2" w:tplc="1000001B" w:tentative="1">
      <w:start w:val="1"/>
      <w:numFmt w:val="lowerRoman"/>
      <w:lvlText w:val="%3."/>
      <w:lvlJc w:val="right"/>
      <w:pPr>
        <w:ind w:left="2084" w:hanging="180"/>
      </w:pPr>
    </w:lvl>
    <w:lvl w:ilvl="3" w:tplc="1000000F" w:tentative="1">
      <w:start w:val="1"/>
      <w:numFmt w:val="decimal"/>
      <w:lvlText w:val="%4."/>
      <w:lvlJc w:val="left"/>
      <w:pPr>
        <w:ind w:left="2804" w:hanging="360"/>
      </w:pPr>
    </w:lvl>
    <w:lvl w:ilvl="4" w:tplc="10000019" w:tentative="1">
      <w:start w:val="1"/>
      <w:numFmt w:val="lowerLetter"/>
      <w:lvlText w:val="%5."/>
      <w:lvlJc w:val="left"/>
      <w:pPr>
        <w:ind w:left="3524" w:hanging="360"/>
      </w:pPr>
    </w:lvl>
    <w:lvl w:ilvl="5" w:tplc="1000001B" w:tentative="1">
      <w:start w:val="1"/>
      <w:numFmt w:val="lowerRoman"/>
      <w:lvlText w:val="%6."/>
      <w:lvlJc w:val="right"/>
      <w:pPr>
        <w:ind w:left="4244" w:hanging="180"/>
      </w:pPr>
    </w:lvl>
    <w:lvl w:ilvl="6" w:tplc="1000000F" w:tentative="1">
      <w:start w:val="1"/>
      <w:numFmt w:val="decimal"/>
      <w:lvlText w:val="%7."/>
      <w:lvlJc w:val="left"/>
      <w:pPr>
        <w:ind w:left="4964" w:hanging="360"/>
      </w:pPr>
    </w:lvl>
    <w:lvl w:ilvl="7" w:tplc="10000019" w:tentative="1">
      <w:start w:val="1"/>
      <w:numFmt w:val="lowerLetter"/>
      <w:lvlText w:val="%8."/>
      <w:lvlJc w:val="left"/>
      <w:pPr>
        <w:ind w:left="5684" w:hanging="360"/>
      </w:pPr>
    </w:lvl>
    <w:lvl w:ilvl="8" w:tplc="1000001B" w:tentative="1">
      <w:start w:val="1"/>
      <w:numFmt w:val="lowerRoman"/>
      <w:lvlText w:val="%9."/>
      <w:lvlJc w:val="right"/>
      <w:pPr>
        <w:ind w:left="6404" w:hanging="180"/>
      </w:pPr>
    </w:lvl>
  </w:abstractNum>
  <w:abstractNum w:abstractNumId="3" w15:restartNumberingAfterBreak="0">
    <w:nsid w:val="1BC1774B"/>
    <w:multiLevelType w:val="multilevel"/>
    <w:tmpl w:val="0560B0FA"/>
    <w:styleLink w:val="Althingi1-a-1-a"/>
    <w:lvl w:ilvl="0">
      <w:start w:val="1"/>
      <w:numFmt w:val="decimal"/>
      <w:lvlText w:val="%1."/>
      <w:lvlJc w:val="right"/>
      <w:pPr>
        <w:ind w:left="425" w:hanging="141"/>
      </w:pPr>
      <w:rPr>
        <w:rFonts w:hint="default"/>
      </w:rPr>
    </w:lvl>
    <w:lvl w:ilvl="1">
      <w:start w:val="1"/>
      <w:numFmt w:val="lowerLetter"/>
      <w:lvlText w:val="%2."/>
      <w:lvlJc w:val="right"/>
      <w:pPr>
        <w:ind w:left="709" w:hanging="141"/>
      </w:pPr>
      <w:rPr>
        <w:rFonts w:hint="default"/>
      </w:rPr>
    </w:lvl>
    <w:lvl w:ilvl="2">
      <w:start w:val="1"/>
      <w:numFmt w:val="decimal"/>
      <w:lvlText w:val="%3."/>
      <w:lvlJc w:val="right"/>
      <w:pPr>
        <w:ind w:left="993" w:hanging="141"/>
      </w:pPr>
      <w:rPr>
        <w:rFonts w:hint="default"/>
      </w:rPr>
    </w:lvl>
    <w:lvl w:ilvl="3">
      <w:start w:val="1"/>
      <w:numFmt w:val="lowerLetter"/>
      <w:lvlText w:val="%4."/>
      <w:lvlJc w:val="right"/>
      <w:pPr>
        <w:ind w:left="1277" w:hanging="141"/>
      </w:pPr>
      <w:rPr>
        <w:rFonts w:hint="default"/>
      </w:rPr>
    </w:lvl>
    <w:lvl w:ilvl="4">
      <w:start w:val="1"/>
      <w:numFmt w:val="decimal"/>
      <w:lvlText w:val="%5."/>
      <w:lvlJc w:val="right"/>
      <w:pPr>
        <w:ind w:left="1561" w:hanging="141"/>
      </w:pPr>
      <w:rPr>
        <w:rFonts w:hint="default"/>
      </w:rPr>
    </w:lvl>
    <w:lvl w:ilvl="5">
      <w:start w:val="1"/>
      <w:numFmt w:val="lowerLetter"/>
      <w:lvlText w:val="%6."/>
      <w:lvlJc w:val="right"/>
      <w:pPr>
        <w:ind w:left="1845" w:hanging="141"/>
      </w:pPr>
      <w:rPr>
        <w:rFonts w:hint="default"/>
      </w:rPr>
    </w:lvl>
    <w:lvl w:ilvl="6">
      <w:start w:val="1"/>
      <w:numFmt w:val="decimal"/>
      <w:lvlText w:val="%7."/>
      <w:lvlJc w:val="right"/>
      <w:pPr>
        <w:ind w:left="2129" w:hanging="144"/>
      </w:pPr>
      <w:rPr>
        <w:rFonts w:hint="default"/>
      </w:rPr>
    </w:lvl>
    <w:lvl w:ilvl="7">
      <w:start w:val="1"/>
      <w:numFmt w:val="lowerLetter"/>
      <w:lvlText w:val="%8."/>
      <w:lvlJc w:val="right"/>
      <w:pPr>
        <w:ind w:left="2552" w:hanging="284"/>
      </w:pPr>
      <w:rPr>
        <w:rFonts w:hint="default"/>
      </w:rPr>
    </w:lvl>
    <w:lvl w:ilvl="8">
      <w:start w:val="1"/>
      <w:numFmt w:val="decimal"/>
      <w:lvlText w:val="%9."/>
      <w:lvlJc w:val="right"/>
      <w:pPr>
        <w:ind w:left="2697" w:hanging="141"/>
      </w:pPr>
      <w:rPr>
        <w:rFonts w:hint="default"/>
      </w:rPr>
    </w:lvl>
  </w:abstractNum>
  <w:abstractNum w:abstractNumId="4" w15:restartNumberingAfterBreak="0">
    <w:nsid w:val="2551524B"/>
    <w:multiLevelType w:val="hybridMultilevel"/>
    <w:tmpl w:val="6D5CFEA0"/>
    <w:lvl w:ilvl="0" w:tplc="5C78FDAC">
      <w:start w:val="1"/>
      <w:numFmt w:val="lowerLetter"/>
      <w:lvlText w:val="%1."/>
      <w:lvlJc w:val="left"/>
      <w:pPr>
        <w:ind w:left="644" w:hanging="360"/>
      </w:pPr>
      <w:rPr>
        <w:rFonts w:hint="default"/>
      </w:rPr>
    </w:lvl>
    <w:lvl w:ilvl="1" w:tplc="10000019" w:tentative="1">
      <w:start w:val="1"/>
      <w:numFmt w:val="lowerLetter"/>
      <w:lvlText w:val="%2."/>
      <w:lvlJc w:val="left"/>
      <w:pPr>
        <w:ind w:left="1364" w:hanging="360"/>
      </w:pPr>
    </w:lvl>
    <w:lvl w:ilvl="2" w:tplc="1000001B" w:tentative="1">
      <w:start w:val="1"/>
      <w:numFmt w:val="lowerRoman"/>
      <w:lvlText w:val="%3."/>
      <w:lvlJc w:val="right"/>
      <w:pPr>
        <w:ind w:left="2084" w:hanging="180"/>
      </w:pPr>
    </w:lvl>
    <w:lvl w:ilvl="3" w:tplc="1000000F" w:tentative="1">
      <w:start w:val="1"/>
      <w:numFmt w:val="decimal"/>
      <w:lvlText w:val="%4."/>
      <w:lvlJc w:val="left"/>
      <w:pPr>
        <w:ind w:left="2804" w:hanging="360"/>
      </w:pPr>
    </w:lvl>
    <w:lvl w:ilvl="4" w:tplc="10000019" w:tentative="1">
      <w:start w:val="1"/>
      <w:numFmt w:val="lowerLetter"/>
      <w:lvlText w:val="%5."/>
      <w:lvlJc w:val="left"/>
      <w:pPr>
        <w:ind w:left="3524" w:hanging="360"/>
      </w:pPr>
    </w:lvl>
    <w:lvl w:ilvl="5" w:tplc="1000001B" w:tentative="1">
      <w:start w:val="1"/>
      <w:numFmt w:val="lowerRoman"/>
      <w:lvlText w:val="%6."/>
      <w:lvlJc w:val="right"/>
      <w:pPr>
        <w:ind w:left="4244" w:hanging="180"/>
      </w:pPr>
    </w:lvl>
    <w:lvl w:ilvl="6" w:tplc="1000000F" w:tentative="1">
      <w:start w:val="1"/>
      <w:numFmt w:val="decimal"/>
      <w:lvlText w:val="%7."/>
      <w:lvlJc w:val="left"/>
      <w:pPr>
        <w:ind w:left="4964" w:hanging="360"/>
      </w:pPr>
    </w:lvl>
    <w:lvl w:ilvl="7" w:tplc="10000019" w:tentative="1">
      <w:start w:val="1"/>
      <w:numFmt w:val="lowerLetter"/>
      <w:lvlText w:val="%8."/>
      <w:lvlJc w:val="left"/>
      <w:pPr>
        <w:ind w:left="5684" w:hanging="360"/>
      </w:pPr>
    </w:lvl>
    <w:lvl w:ilvl="8" w:tplc="1000001B" w:tentative="1">
      <w:start w:val="1"/>
      <w:numFmt w:val="lowerRoman"/>
      <w:lvlText w:val="%9."/>
      <w:lvlJc w:val="right"/>
      <w:pPr>
        <w:ind w:left="6404" w:hanging="180"/>
      </w:pPr>
    </w:lvl>
  </w:abstractNum>
  <w:abstractNum w:abstractNumId="5" w15:restartNumberingAfterBreak="0">
    <w:nsid w:val="290550E3"/>
    <w:multiLevelType w:val="multilevel"/>
    <w:tmpl w:val="0D70FC7A"/>
    <w:lvl w:ilvl="0">
      <w:start w:val="1"/>
      <w:numFmt w:val="lowerLetter"/>
      <w:lvlText w:val="%1."/>
      <w:lvlJc w:val="right"/>
      <w:pPr>
        <w:tabs>
          <w:tab w:val="num" w:pos="425"/>
        </w:tabs>
        <w:ind w:left="425" w:hanging="137"/>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Letter"/>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Letter"/>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Letter"/>
      <w:lvlText w:val="%7."/>
      <w:lvlJc w:val="right"/>
      <w:pPr>
        <w:tabs>
          <w:tab w:val="num" w:pos="2129"/>
        </w:tabs>
        <w:ind w:left="2129" w:hanging="144"/>
      </w:pPr>
      <w:rPr>
        <w:rFonts w:hint="default"/>
      </w:rPr>
    </w:lvl>
    <w:lvl w:ilvl="7">
      <w:start w:val="1"/>
      <w:numFmt w:val="decimal"/>
      <w:lvlText w:val="%8."/>
      <w:lvlJc w:val="right"/>
      <w:pPr>
        <w:tabs>
          <w:tab w:val="num" w:pos="2410"/>
        </w:tabs>
        <w:ind w:left="2410" w:hanging="142"/>
      </w:pPr>
      <w:rPr>
        <w:rFonts w:hint="default"/>
      </w:rPr>
    </w:lvl>
    <w:lvl w:ilvl="8">
      <w:start w:val="1"/>
      <w:numFmt w:val="lowerLetter"/>
      <w:lvlText w:val="%9."/>
      <w:lvlJc w:val="right"/>
      <w:pPr>
        <w:tabs>
          <w:tab w:val="num" w:pos="2693"/>
        </w:tabs>
        <w:ind w:left="2693" w:hanging="141"/>
      </w:pPr>
      <w:rPr>
        <w:rFonts w:hint="default"/>
      </w:rPr>
    </w:lvl>
  </w:abstractNum>
  <w:abstractNum w:abstractNumId="6" w15:restartNumberingAfterBreak="0">
    <w:nsid w:val="29FC60C7"/>
    <w:multiLevelType w:val="multilevel"/>
    <w:tmpl w:val="83C6DAE2"/>
    <w:styleLink w:val="Althingi"/>
    <w:lvl w:ilvl="0">
      <w:start w:val="1"/>
      <w:numFmt w:val="bullet"/>
      <w:lvlText w:val="•"/>
      <w:lvlJc w:val="left"/>
      <w:pPr>
        <w:tabs>
          <w:tab w:val="num" w:pos="425"/>
        </w:tabs>
        <w:ind w:left="425" w:hanging="283"/>
      </w:pPr>
      <w:rPr>
        <w:rFonts w:ascii="Calibri" w:hAnsi="Calibri" w:hint="default"/>
        <w:color w:val="auto"/>
      </w:rPr>
    </w:lvl>
    <w:lvl w:ilvl="1">
      <w:start w:val="1"/>
      <w:numFmt w:val="bullet"/>
      <w:lvlText w:val="•"/>
      <w:lvlJc w:val="left"/>
      <w:pPr>
        <w:tabs>
          <w:tab w:val="num" w:pos="709"/>
        </w:tabs>
        <w:ind w:left="709" w:hanging="283"/>
      </w:pPr>
      <w:rPr>
        <w:rFonts w:ascii="Calibri" w:hAnsi="Calibri" w:hint="default"/>
        <w:color w:val="auto"/>
      </w:rPr>
    </w:lvl>
    <w:lvl w:ilvl="2">
      <w:start w:val="1"/>
      <w:numFmt w:val="bullet"/>
      <w:lvlText w:val="•"/>
      <w:lvlJc w:val="left"/>
      <w:pPr>
        <w:tabs>
          <w:tab w:val="num" w:pos="992"/>
        </w:tabs>
        <w:ind w:left="993" w:hanging="283"/>
      </w:pPr>
      <w:rPr>
        <w:rFonts w:ascii="Calibri" w:hAnsi="Calibri" w:hint="default"/>
        <w:color w:val="auto"/>
      </w:rPr>
    </w:lvl>
    <w:lvl w:ilvl="3">
      <w:start w:val="1"/>
      <w:numFmt w:val="bullet"/>
      <w:lvlText w:val="•"/>
      <w:lvlJc w:val="left"/>
      <w:pPr>
        <w:tabs>
          <w:tab w:val="num" w:pos="1276"/>
        </w:tabs>
        <w:ind w:left="1277" w:hanging="283"/>
      </w:pPr>
      <w:rPr>
        <w:rFonts w:ascii="Calibri" w:hAnsi="Calibri" w:hint="default"/>
        <w:color w:val="auto"/>
      </w:rPr>
    </w:lvl>
    <w:lvl w:ilvl="4">
      <w:start w:val="1"/>
      <w:numFmt w:val="bullet"/>
      <w:lvlText w:val="•"/>
      <w:lvlJc w:val="left"/>
      <w:pPr>
        <w:tabs>
          <w:tab w:val="num" w:pos="1559"/>
        </w:tabs>
        <w:ind w:left="1561" w:hanging="283"/>
      </w:pPr>
      <w:rPr>
        <w:rFonts w:ascii="Calibri" w:hAnsi="Calibri" w:hint="default"/>
        <w:color w:val="auto"/>
      </w:rPr>
    </w:lvl>
    <w:lvl w:ilvl="5">
      <w:start w:val="1"/>
      <w:numFmt w:val="bullet"/>
      <w:lvlText w:val="•"/>
      <w:lvlJc w:val="left"/>
      <w:pPr>
        <w:tabs>
          <w:tab w:val="num" w:pos="1843"/>
        </w:tabs>
        <w:ind w:left="1845" w:hanging="283"/>
      </w:pPr>
      <w:rPr>
        <w:rFonts w:ascii="Calibri" w:hAnsi="Calibri" w:hint="default"/>
        <w:color w:val="auto"/>
      </w:rPr>
    </w:lvl>
    <w:lvl w:ilvl="6">
      <w:start w:val="1"/>
      <w:numFmt w:val="bullet"/>
      <w:lvlText w:val="•"/>
      <w:lvlJc w:val="left"/>
      <w:pPr>
        <w:tabs>
          <w:tab w:val="num" w:pos="2126"/>
        </w:tabs>
        <w:ind w:left="2129" w:hanging="283"/>
      </w:pPr>
      <w:rPr>
        <w:rFonts w:ascii="Calibri" w:hAnsi="Calibri" w:hint="default"/>
        <w:color w:val="auto"/>
      </w:rPr>
    </w:lvl>
    <w:lvl w:ilvl="7">
      <w:start w:val="1"/>
      <w:numFmt w:val="bullet"/>
      <w:lvlText w:val="•"/>
      <w:lvlJc w:val="left"/>
      <w:pPr>
        <w:tabs>
          <w:tab w:val="num" w:pos="2415"/>
        </w:tabs>
        <w:ind w:left="2413" w:hanging="283"/>
      </w:pPr>
      <w:rPr>
        <w:rFonts w:ascii="Calibri" w:hAnsi="Calibri" w:hint="default"/>
        <w:color w:val="auto"/>
      </w:rPr>
    </w:lvl>
    <w:lvl w:ilvl="8">
      <w:start w:val="1"/>
      <w:numFmt w:val="bullet"/>
      <w:lvlText w:val="•"/>
      <w:lvlJc w:val="left"/>
      <w:pPr>
        <w:tabs>
          <w:tab w:val="num" w:pos="2699"/>
        </w:tabs>
        <w:ind w:left="2697" w:hanging="283"/>
      </w:pPr>
      <w:rPr>
        <w:rFonts w:ascii="Calibri" w:hAnsi="Calibri" w:hint="default"/>
        <w:color w:val="auto"/>
      </w:rPr>
    </w:lvl>
  </w:abstractNum>
  <w:abstractNum w:abstractNumId="7" w15:restartNumberingAfterBreak="0">
    <w:nsid w:val="2B051BD7"/>
    <w:multiLevelType w:val="multilevel"/>
    <w:tmpl w:val="45D802CC"/>
    <w:styleLink w:val="Althingii-1-i-1"/>
    <w:lvl w:ilvl="0">
      <w:start w:val="1"/>
      <w:numFmt w:val="lowerRoman"/>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Roman"/>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Roman"/>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Roman"/>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Roman"/>
      <w:lvlText w:val="%9."/>
      <w:lvlJc w:val="right"/>
      <w:pPr>
        <w:ind w:left="2697" w:hanging="145"/>
      </w:pPr>
      <w:rPr>
        <w:rFonts w:hint="default"/>
      </w:rPr>
    </w:lvl>
  </w:abstractNum>
  <w:abstractNum w:abstractNumId="8" w15:restartNumberingAfterBreak="0">
    <w:nsid w:val="2C933EF2"/>
    <w:multiLevelType w:val="hybridMultilevel"/>
    <w:tmpl w:val="3716BCA0"/>
    <w:lvl w:ilvl="0" w:tplc="FAC01CFC">
      <w:start w:val="3"/>
      <w:numFmt w:val="bullet"/>
      <w:lvlText w:val="-"/>
      <w:lvlJc w:val="left"/>
      <w:pPr>
        <w:ind w:left="644" w:hanging="360"/>
      </w:pPr>
      <w:rPr>
        <w:rFonts w:ascii="Times New Roman" w:eastAsia="Calibri" w:hAnsi="Times New Roman" w:cs="Times New Roman" w:hint="default"/>
      </w:rPr>
    </w:lvl>
    <w:lvl w:ilvl="1" w:tplc="10000003" w:tentative="1">
      <w:start w:val="1"/>
      <w:numFmt w:val="bullet"/>
      <w:lvlText w:val="o"/>
      <w:lvlJc w:val="left"/>
      <w:pPr>
        <w:ind w:left="1364" w:hanging="360"/>
      </w:pPr>
      <w:rPr>
        <w:rFonts w:ascii="Courier New" w:hAnsi="Courier New" w:cs="Courier New" w:hint="default"/>
      </w:rPr>
    </w:lvl>
    <w:lvl w:ilvl="2" w:tplc="10000005" w:tentative="1">
      <w:start w:val="1"/>
      <w:numFmt w:val="bullet"/>
      <w:lvlText w:val=""/>
      <w:lvlJc w:val="left"/>
      <w:pPr>
        <w:ind w:left="2084" w:hanging="360"/>
      </w:pPr>
      <w:rPr>
        <w:rFonts w:ascii="Wingdings" w:hAnsi="Wingdings" w:hint="default"/>
      </w:rPr>
    </w:lvl>
    <w:lvl w:ilvl="3" w:tplc="10000001" w:tentative="1">
      <w:start w:val="1"/>
      <w:numFmt w:val="bullet"/>
      <w:lvlText w:val=""/>
      <w:lvlJc w:val="left"/>
      <w:pPr>
        <w:ind w:left="2804" w:hanging="360"/>
      </w:pPr>
      <w:rPr>
        <w:rFonts w:ascii="Symbol" w:hAnsi="Symbol" w:hint="default"/>
      </w:rPr>
    </w:lvl>
    <w:lvl w:ilvl="4" w:tplc="10000003" w:tentative="1">
      <w:start w:val="1"/>
      <w:numFmt w:val="bullet"/>
      <w:lvlText w:val="o"/>
      <w:lvlJc w:val="left"/>
      <w:pPr>
        <w:ind w:left="3524" w:hanging="360"/>
      </w:pPr>
      <w:rPr>
        <w:rFonts w:ascii="Courier New" w:hAnsi="Courier New" w:cs="Courier New" w:hint="default"/>
      </w:rPr>
    </w:lvl>
    <w:lvl w:ilvl="5" w:tplc="10000005" w:tentative="1">
      <w:start w:val="1"/>
      <w:numFmt w:val="bullet"/>
      <w:lvlText w:val=""/>
      <w:lvlJc w:val="left"/>
      <w:pPr>
        <w:ind w:left="4244" w:hanging="360"/>
      </w:pPr>
      <w:rPr>
        <w:rFonts w:ascii="Wingdings" w:hAnsi="Wingdings" w:hint="default"/>
      </w:rPr>
    </w:lvl>
    <w:lvl w:ilvl="6" w:tplc="10000001" w:tentative="1">
      <w:start w:val="1"/>
      <w:numFmt w:val="bullet"/>
      <w:lvlText w:val=""/>
      <w:lvlJc w:val="left"/>
      <w:pPr>
        <w:ind w:left="4964" w:hanging="360"/>
      </w:pPr>
      <w:rPr>
        <w:rFonts w:ascii="Symbol" w:hAnsi="Symbol" w:hint="default"/>
      </w:rPr>
    </w:lvl>
    <w:lvl w:ilvl="7" w:tplc="10000003" w:tentative="1">
      <w:start w:val="1"/>
      <w:numFmt w:val="bullet"/>
      <w:lvlText w:val="o"/>
      <w:lvlJc w:val="left"/>
      <w:pPr>
        <w:ind w:left="5684" w:hanging="360"/>
      </w:pPr>
      <w:rPr>
        <w:rFonts w:ascii="Courier New" w:hAnsi="Courier New" w:cs="Courier New" w:hint="default"/>
      </w:rPr>
    </w:lvl>
    <w:lvl w:ilvl="8" w:tplc="10000005" w:tentative="1">
      <w:start w:val="1"/>
      <w:numFmt w:val="bullet"/>
      <w:lvlText w:val=""/>
      <w:lvlJc w:val="left"/>
      <w:pPr>
        <w:ind w:left="6404" w:hanging="360"/>
      </w:pPr>
      <w:rPr>
        <w:rFonts w:ascii="Wingdings" w:hAnsi="Wingdings" w:hint="default"/>
      </w:rPr>
    </w:lvl>
  </w:abstractNum>
  <w:abstractNum w:abstractNumId="9" w15:restartNumberingAfterBreak="0">
    <w:nsid w:val="3B480B4E"/>
    <w:multiLevelType w:val="multilevel"/>
    <w:tmpl w:val="6DEC8882"/>
    <w:numStyleLink w:val="Althingi---"/>
  </w:abstractNum>
  <w:abstractNum w:abstractNumId="10" w15:restartNumberingAfterBreak="0">
    <w:nsid w:val="3B655468"/>
    <w:multiLevelType w:val="hybridMultilevel"/>
    <w:tmpl w:val="DF6A6EA8"/>
    <w:lvl w:ilvl="0" w:tplc="FAC01CFC">
      <w:start w:val="3"/>
      <w:numFmt w:val="bullet"/>
      <w:lvlText w:val="-"/>
      <w:lvlJc w:val="left"/>
      <w:pPr>
        <w:ind w:left="644" w:hanging="360"/>
      </w:pPr>
      <w:rPr>
        <w:rFonts w:ascii="Times New Roman" w:eastAsia="Calibri" w:hAnsi="Times New Roman" w:cs="Times New Roman" w:hint="default"/>
      </w:rPr>
    </w:lvl>
    <w:lvl w:ilvl="1" w:tplc="10000019" w:tentative="1">
      <w:start w:val="1"/>
      <w:numFmt w:val="lowerLetter"/>
      <w:lvlText w:val="%2."/>
      <w:lvlJc w:val="left"/>
      <w:pPr>
        <w:ind w:left="1364" w:hanging="360"/>
      </w:pPr>
    </w:lvl>
    <w:lvl w:ilvl="2" w:tplc="1000001B" w:tentative="1">
      <w:start w:val="1"/>
      <w:numFmt w:val="lowerRoman"/>
      <w:lvlText w:val="%3."/>
      <w:lvlJc w:val="right"/>
      <w:pPr>
        <w:ind w:left="2084" w:hanging="180"/>
      </w:pPr>
    </w:lvl>
    <w:lvl w:ilvl="3" w:tplc="1000000F" w:tentative="1">
      <w:start w:val="1"/>
      <w:numFmt w:val="decimal"/>
      <w:lvlText w:val="%4."/>
      <w:lvlJc w:val="left"/>
      <w:pPr>
        <w:ind w:left="2804" w:hanging="360"/>
      </w:pPr>
    </w:lvl>
    <w:lvl w:ilvl="4" w:tplc="10000019" w:tentative="1">
      <w:start w:val="1"/>
      <w:numFmt w:val="lowerLetter"/>
      <w:lvlText w:val="%5."/>
      <w:lvlJc w:val="left"/>
      <w:pPr>
        <w:ind w:left="3524" w:hanging="360"/>
      </w:pPr>
    </w:lvl>
    <w:lvl w:ilvl="5" w:tplc="1000001B" w:tentative="1">
      <w:start w:val="1"/>
      <w:numFmt w:val="lowerRoman"/>
      <w:lvlText w:val="%6."/>
      <w:lvlJc w:val="right"/>
      <w:pPr>
        <w:ind w:left="4244" w:hanging="180"/>
      </w:pPr>
    </w:lvl>
    <w:lvl w:ilvl="6" w:tplc="1000000F" w:tentative="1">
      <w:start w:val="1"/>
      <w:numFmt w:val="decimal"/>
      <w:lvlText w:val="%7."/>
      <w:lvlJc w:val="left"/>
      <w:pPr>
        <w:ind w:left="4964" w:hanging="360"/>
      </w:pPr>
    </w:lvl>
    <w:lvl w:ilvl="7" w:tplc="10000019" w:tentative="1">
      <w:start w:val="1"/>
      <w:numFmt w:val="lowerLetter"/>
      <w:lvlText w:val="%8."/>
      <w:lvlJc w:val="left"/>
      <w:pPr>
        <w:ind w:left="5684" w:hanging="360"/>
      </w:pPr>
    </w:lvl>
    <w:lvl w:ilvl="8" w:tplc="1000001B" w:tentative="1">
      <w:start w:val="1"/>
      <w:numFmt w:val="lowerRoman"/>
      <w:lvlText w:val="%9."/>
      <w:lvlJc w:val="right"/>
      <w:pPr>
        <w:ind w:left="6404" w:hanging="180"/>
      </w:pPr>
    </w:lvl>
  </w:abstractNum>
  <w:abstractNum w:abstractNumId="11" w15:restartNumberingAfterBreak="0">
    <w:nsid w:val="3EDE1510"/>
    <w:multiLevelType w:val="hybridMultilevel"/>
    <w:tmpl w:val="9686403A"/>
    <w:lvl w:ilvl="0" w:tplc="FAC01CFC">
      <w:start w:val="3"/>
      <w:numFmt w:val="bullet"/>
      <w:lvlText w:val="-"/>
      <w:lvlJc w:val="left"/>
      <w:pPr>
        <w:ind w:left="644" w:hanging="360"/>
      </w:pPr>
      <w:rPr>
        <w:rFonts w:ascii="Times New Roman" w:eastAsia="Calibri" w:hAnsi="Times New Roman" w:cs="Times New Roman" w:hint="default"/>
      </w:rPr>
    </w:lvl>
    <w:lvl w:ilvl="1" w:tplc="10000019" w:tentative="1">
      <w:start w:val="1"/>
      <w:numFmt w:val="lowerLetter"/>
      <w:lvlText w:val="%2."/>
      <w:lvlJc w:val="left"/>
      <w:pPr>
        <w:ind w:left="1364" w:hanging="360"/>
      </w:pPr>
    </w:lvl>
    <w:lvl w:ilvl="2" w:tplc="1000001B" w:tentative="1">
      <w:start w:val="1"/>
      <w:numFmt w:val="lowerRoman"/>
      <w:lvlText w:val="%3."/>
      <w:lvlJc w:val="right"/>
      <w:pPr>
        <w:ind w:left="2084" w:hanging="180"/>
      </w:pPr>
    </w:lvl>
    <w:lvl w:ilvl="3" w:tplc="1000000F" w:tentative="1">
      <w:start w:val="1"/>
      <w:numFmt w:val="decimal"/>
      <w:lvlText w:val="%4."/>
      <w:lvlJc w:val="left"/>
      <w:pPr>
        <w:ind w:left="2804" w:hanging="360"/>
      </w:pPr>
    </w:lvl>
    <w:lvl w:ilvl="4" w:tplc="10000019" w:tentative="1">
      <w:start w:val="1"/>
      <w:numFmt w:val="lowerLetter"/>
      <w:lvlText w:val="%5."/>
      <w:lvlJc w:val="left"/>
      <w:pPr>
        <w:ind w:left="3524" w:hanging="360"/>
      </w:pPr>
    </w:lvl>
    <w:lvl w:ilvl="5" w:tplc="1000001B" w:tentative="1">
      <w:start w:val="1"/>
      <w:numFmt w:val="lowerRoman"/>
      <w:lvlText w:val="%6."/>
      <w:lvlJc w:val="right"/>
      <w:pPr>
        <w:ind w:left="4244" w:hanging="180"/>
      </w:pPr>
    </w:lvl>
    <w:lvl w:ilvl="6" w:tplc="1000000F" w:tentative="1">
      <w:start w:val="1"/>
      <w:numFmt w:val="decimal"/>
      <w:lvlText w:val="%7."/>
      <w:lvlJc w:val="left"/>
      <w:pPr>
        <w:ind w:left="4964" w:hanging="360"/>
      </w:pPr>
    </w:lvl>
    <w:lvl w:ilvl="7" w:tplc="10000019" w:tentative="1">
      <w:start w:val="1"/>
      <w:numFmt w:val="lowerLetter"/>
      <w:lvlText w:val="%8."/>
      <w:lvlJc w:val="left"/>
      <w:pPr>
        <w:ind w:left="5684" w:hanging="360"/>
      </w:pPr>
    </w:lvl>
    <w:lvl w:ilvl="8" w:tplc="1000001B" w:tentative="1">
      <w:start w:val="1"/>
      <w:numFmt w:val="lowerRoman"/>
      <w:lvlText w:val="%9."/>
      <w:lvlJc w:val="right"/>
      <w:pPr>
        <w:ind w:left="6404" w:hanging="180"/>
      </w:pPr>
    </w:lvl>
  </w:abstractNum>
  <w:abstractNum w:abstractNumId="12" w15:restartNumberingAfterBreak="0">
    <w:nsid w:val="43B82962"/>
    <w:multiLevelType w:val="multilevel"/>
    <w:tmpl w:val="C6484E02"/>
    <w:styleLink w:val="Althingia-1-a-1"/>
    <w:lvl w:ilvl="0">
      <w:start w:val="1"/>
      <w:numFmt w:val="lowerLetter"/>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Letter"/>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Letter"/>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Letter"/>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Letter"/>
      <w:lvlText w:val="%9."/>
      <w:lvlJc w:val="right"/>
      <w:pPr>
        <w:ind w:left="2697" w:hanging="141"/>
      </w:pPr>
      <w:rPr>
        <w:rFonts w:hint="default"/>
      </w:rPr>
    </w:lvl>
  </w:abstractNum>
  <w:abstractNum w:abstractNumId="13" w15:restartNumberingAfterBreak="0">
    <w:nsid w:val="45ED68F4"/>
    <w:multiLevelType w:val="hybridMultilevel"/>
    <w:tmpl w:val="3870693E"/>
    <w:lvl w:ilvl="0" w:tplc="040F0001">
      <w:start w:val="1"/>
      <w:numFmt w:val="bullet"/>
      <w:lvlText w:val=""/>
      <w:lvlJc w:val="left"/>
      <w:pPr>
        <w:ind w:left="720" w:hanging="360"/>
      </w:pPr>
      <w:rPr>
        <w:rFonts w:ascii="Symbol" w:hAnsi="Symbol"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14" w15:restartNumberingAfterBreak="0">
    <w:nsid w:val="494C1DC0"/>
    <w:multiLevelType w:val="hybridMultilevel"/>
    <w:tmpl w:val="6F5CB05A"/>
    <w:lvl w:ilvl="0" w:tplc="FAC01CFC">
      <w:start w:val="3"/>
      <w:numFmt w:val="bullet"/>
      <w:lvlText w:val="-"/>
      <w:lvlJc w:val="left"/>
      <w:pPr>
        <w:ind w:left="644" w:hanging="360"/>
      </w:pPr>
      <w:rPr>
        <w:rFonts w:ascii="Times New Roman" w:eastAsia="Calibri" w:hAnsi="Times New Roman" w:cs="Times New Roman" w:hint="default"/>
      </w:rPr>
    </w:lvl>
    <w:lvl w:ilvl="1" w:tplc="10000003" w:tentative="1">
      <w:start w:val="1"/>
      <w:numFmt w:val="bullet"/>
      <w:lvlText w:val="o"/>
      <w:lvlJc w:val="left"/>
      <w:pPr>
        <w:ind w:left="1364" w:hanging="360"/>
      </w:pPr>
      <w:rPr>
        <w:rFonts w:ascii="Courier New" w:hAnsi="Courier New" w:cs="Courier New" w:hint="default"/>
      </w:rPr>
    </w:lvl>
    <w:lvl w:ilvl="2" w:tplc="10000005" w:tentative="1">
      <w:start w:val="1"/>
      <w:numFmt w:val="bullet"/>
      <w:lvlText w:val=""/>
      <w:lvlJc w:val="left"/>
      <w:pPr>
        <w:ind w:left="2084" w:hanging="360"/>
      </w:pPr>
      <w:rPr>
        <w:rFonts w:ascii="Wingdings" w:hAnsi="Wingdings" w:hint="default"/>
      </w:rPr>
    </w:lvl>
    <w:lvl w:ilvl="3" w:tplc="10000001" w:tentative="1">
      <w:start w:val="1"/>
      <w:numFmt w:val="bullet"/>
      <w:lvlText w:val=""/>
      <w:lvlJc w:val="left"/>
      <w:pPr>
        <w:ind w:left="2804" w:hanging="360"/>
      </w:pPr>
      <w:rPr>
        <w:rFonts w:ascii="Symbol" w:hAnsi="Symbol" w:hint="default"/>
      </w:rPr>
    </w:lvl>
    <w:lvl w:ilvl="4" w:tplc="10000003" w:tentative="1">
      <w:start w:val="1"/>
      <w:numFmt w:val="bullet"/>
      <w:lvlText w:val="o"/>
      <w:lvlJc w:val="left"/>
      <w:pPr>
        <w:ind w:left="3524" w:hanging="360"/>
      </w:pPr>
      <w:rPr>
        <w:rFonts w:ascii="Courier New" w:hAnsi="Courier New" w:cs="Courier New" w:hint="default"/>
      </w:rPr>
    </w:lvl>
    <w:lvl w:ilvl="5" w:tplc="10000005" w:tentative="1">
      <w:start w:val="1"/>
      <w:numFmt w:val="bullet"/>
      <w:lvlText w:val=""/>
      <w:lvlJc w:val="left"/>
      <w:pPr>
        <w:ind w:left="4244" w:hanging="360"/>
      </w:pPr>
      <w:rPr>
        <w:rFonts w:ascii="Wingdings" w:hAnsi="Wingdings" w:hint="default"/>
      </w:rPr>
    </w:lvl>
    <w:lvl w:ilvl="6" w:tplc="10000001" w:tentative="1">
      <w:start w:val="1"/>
      <w:numFmt w:val="bullet"/>
      <w:lvlText w:val=""/>
      <w:lvlJc w:val="left"/>
      <w:pPr>
        <w:ind w:left="4964" w:hanging="360"/>
      </w:pPr>
      <w:rPr>
        <w:rFonts w:ascii="Symbol" w:hAnsi="Symbol" w:hint="default"/>
      </w:rPr>
    </w:lvl>
    <w:lvl w:ilvl="7" w:tplc="10000003" w:tentative="1">
      <w:start w:val="1"/>
      <w:numFmt w:val="bullet"/>
      <w:lvlText w:val="o"/>
      <w:lvlJc w:val="left"/>
      <w:pPr>
        <w:ind w:left="5684" w:hanging="360"/>
      </w:pPr>
      <w:rPr>
        <w:rFonts w:ascii="Courier New" w:hAnsi="Courier New" w:cs="Courier New" w:hint="default"/>
      </w:rPr>
    </w:lvl>
    <w:lvl w:ilvl="8" w:tplc="10000005" w:tentative="1">
      <w:start w:val="1"/>
      <w:numFmt w:val="bullet"/>
      <w:lvlText w:val=""/>
      <w:lvlJc w:val="left"/>
      <w:pPr>
        <w:ind w:left="6404" w:hanging="360"/>
      </w:pPr>
      <w:rPr>
        <w:rFonts w:ascii="Wingdings" w:hAnsi="Wingdings" w:hint="default"/>
      </w:rPr>
    </w:lvl>
  </w:abstractNum>
  <w:abstractNum w:abstractNumId="15" w15:restartNumberingAfterBreak="0">
    <w:nsid w:val="4F3579D0"/>
    <w:multiLevelType w:val="multilevel"/>
    <w:tmpl w:val="16447694"/>
    <w:lvl w:ilvl="0">
      <w:start w:val="1"/>
      <w:numFmt w:val="lowerRoman"/>
      <w:lvlText w:val="%1."/>
      <w:lvlJc w:val="right"/>
      <w:pPr>
        <w:tabs>
          <w:tab w:val="num" w:pos="425"/>
        </w:tabs>
        <w:ind w:left="425" w:hanging="141"/>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Roman"/>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Roman"/>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Roman"/>
      <w:lvlText w:val="%7."/>
      <w:lvlJc w:val="right"/>
      <w:pPr>
        <w:tabs>
          <w:tab w:val="num" w:pos="2129"/>
        </w:tabs>
        <w:ind w:left="2129" w:hanging="141"/>
      </w:pPr>
      <w:rPr>
        <w:rFonts w:hint="default"/>
      </w:rPr>
    </w:lvl>
    <w:lvl w:ilvl="7">
      <w:start w:val="1"/>
      <w:numFmt w:val="decimal"/>
      <w:lvlText w:val="%8."/>
      <w:lvlJc w:val="right"/>
      <w:pPr>
        <w:tabs>
          <w:tab w:val="num" w:pos="2413"/>
        </w:tabs>
        <w:ind w:left="2413" w:hanging="141"/>
      </w:pPr>
      <w:rPr>
        <w:rFonts w:hint="default"/>
      </w:rPr>
    </w:lvl>
    <w:lvl w:ilvl="8">
      <w:start w:val="1"/>
      <w:numFmt w:val="lowerRoman"/>
      <w:lvlText w:val="%9."/>
      <w:lvlJc w:val="left"/>
      <w:pPr>
        <w:tabs>
          <w:tab w:val="num" w:pos="2697"/>
        </w:tabs>
        <w:ind w:left="2697" w:hanging="141"/>
      </w:pPr>
      <w:rPr>
        <w:rFonts w:hint="default"/>
      </w:rPr>
    </w:lvl>
  </w:abstractNum>
  <w:abstractNum w:abstractNumId="16" w15:restartNumberingAfterBreak="0">
    <w:nsid w:val="4FF35071"/>
    <w:multiLevelType w:val="multilevel"/>
    <w:tmpl w:val="83C6DAE2"/>
    <w:numStyleLink w:val="Althingi"/>
  </w:abstractNum>
  <w:abstractNum w:abstractNumId="17" w15:restartNumberingAfterBreak="0">
    <w:nsid w:val="53B50610"/>
    <w:multiLevelType w:val="hybridMultilevel"/>
    <w:tmpl w:val="F7BA5168"/>
    <w:lvl w:ilvl="0" w:tplc="A04C12FE">
      <w:start w:val="1"/>
      <w:numFmt w:val="lowerLetter"/>
      <w:lvlText w:val="%1."/>
      <w:lvlJc w:val="left"/>
      <w:pPr>
        <w:ind w:left="644" w:hanging="360"/>
      </w:pPr>
      <w:rPr>
        <w:rFonts w:hint="default"/>
      </w:rPr>
    </w:lvl>
    <w:lvl w:ilvl="1" w:tplc="10000019" w:tentative="1">
      <w:start w:val="1"/>
      <w:numFmt w:val="lowerLetter"/>
      <w:lvlText w:val="%2."/>
      <w:lvlJc w:val="left"/>
      <w:pPr>
        <w:ind w:left="1364" w:hanging="360"/>
      </w:pPr>
    </w:lvl>
    <w:lvl w:ilvl="2" w:tplc="1000001B" w:tentative="1">
      <w:start w:val="1"/>
      <w:numFmt w:val="lowerRoman"/>
      <w:lvlText w:val="%3."/>
      <w:lvlJc w:val="right"/>
      <w:pPr>
        <w:ind w:left="2084" w:hanging="180"/>
      </w:pPr>
    </w:lvl>
    <w:lvl w:ilvl="3" w:tplc="1000000F" w:tentative="1">
      <w:start w:val="1"/>
      <w:numFmt w:val="decimal"/>
      <w:lvlText w:val="%4."/>
      <w:lvlJc w:val="left"/>
      <w:pPr>
        <w:ind w:left="2804" w:hanging="360"/>
      </w:pPr>
    </w:lvl>
    <w:lvl w:ilvl="4" w:tplc="10000019" w:tentative="1">
      <w:start w:val="1"/>
      <w:numFmt w:val="lowerLetter"/>
      <w:lvlText w:val="%5."/>
      <w:lvlJc w:val="left"/>
      <w:pPr>
        <w:ind w:left="3524" w:hanging="360"/>
      </w:pPr>
    </w:lvl>
    <w:lvl w:ilvl="5" w:tplc="1000001B" w:tentative="1">
      <w:start w:val="1"/>
      <w:numFmt w:val="lowerRoman"/>
      <w:lvlText w:val="%6."/>
      <w:lvlJc w:val="right"/>
      <w:pPr>
        <w:ind w:left="4244" w:hanging="180"/>
      </w:pPr>
    </w:lvl>
    <w:lvl w:ilvl="6" w:tplc="1000000F" w:tentative="1">
      <w:start w:val="1"/>
      <w:numFmt w:val="decimal"/>
      <w:lvlText w:val="%7."/>
      <w:lvlJc w:val="left"/>
      <w:pPr>
        <w:ind w:left="4964" w:hanging="360"/>
      </w:pPr>
    </w:lvl>
    <w:lvl w:ilvl="7" w:tplc="10000019" w:tentative="1">
      <w:start w:val="1"/>
      <w:numFmt w:val="lowerLetter"/>
      <w:lvlText w:val="%8."/>
      <w:lvlJc w:val="left"/>
      <w:pPr>
        <w:ind w:left="5684" w:hanging="360"/>
      </w:pPr>
    </w:lvl>
    <w:lvl w:ilvl="8" w:tplc="1000001B" w:tentative="1">
      <w:start w:val="1"/>
      <w:numFmt w:val="lowerRoman"/>
      <w:lvlText w:val="%9."/>
      <w:lvlJc w:val="right"/>
      <w:pPr>
        <w:ind w:left="6404" w:hanging="180"/>
      </w:pPr>
    </w:lvl>
  </w:abstractNum>
  <w:abstractNum w:abstractNumId="18" w15:restartNumberingAfterBreak="0">
    <w:nsid w:val="5F2B4523"/>
    <w:multiLevelType w:val="hybridMultilevel"/>
    <w:tmpl w:val="6CFEE758"/>
    <w:lvl w:ilvl="0" w:tplc="4BAA2DB8">
      <w:start w:val="1"/>
      <w:numFmt w:val="lowerLetter"/>
      <w:lvlText w:val="%1."/>
      <w:lvlJc w:val="left"/>
      <w:pPr>
        <w:ind w:left="644" w:hanging="360"/>
      </w:pPr>
      <w:rPr>
        <w:rFonts w:hint="default"/>
      </w:rPr>
    </w:lvl>
    <w:lvl w:ilvl="1" w:tplc="10000019" w:tentative="1">
      <w:start w:val="1"/>
      <w:numFmt w:val="lowerLetter"/>
      <w:lvlText w:val="%2."/>
      <w:lvlJc w:val="left"/>
      <w:pPr>
        <w:ind w:left="1364" w:hanging="360"/>
      </w:pPr>
    </w:lvl>
    <w:lvl w:ilvl="2" w:tplc="1000001B" w:tentative="1">
      <w:start w:val="1"/>
      <w:numFmt w:val="lowerRoman"/>
      <w:lvlText w:val="%3."/>
      <w:lvlJc w:val="right"/>
      <w:pPr>
        <w:ind w:left="2084" w:hanging="180"/>
      </w:pPr>
    </w:lvl>
    <w:lvl w:ilvl="3" w:tplc="1000000F" w:tentative="1">
      <w:start w:val="1"/>
      <w:numFmt w:val="decimal"/>
      <w:lvlText w:val="%4."/>
      <w:lvlJc w:val="left"/>
      <w:pPr>
        <w:ind w:left="2804" w:hanging="360"/>
      </w:pPr>
    </w:lvl>
    <w:lvl w:ilvl="4" w:tplc="10000019" w:tentative="1">
      <w:start w:val="1"/>
      <w:numFmt w:val="lowerLetter"/>
      <w:lvlText w:val="%5."/>
      <w:lvlJc w:val="left"/>
      <w:pPr>
        <w:ind w:left="3524" w:hanging="360"/>
      </w:pPr>
    </w:lvl>
    <w:lvl w:ilvl="5" w:tplc="1000001B" w:tentative="1">
      <w:start w:val="1"/>
      <w:numFmt w:val="lowerRoman"/>
      <w:lvlText w:val="%6."/>
      <w:lvlJc w:val="right"/>
      <w:pPr>
        <w:ind w:left="4244" w:hanging="180"/>
      </w:pPr>
    </w:lvl>
    <w:lvl w:ilvl="6" w:tplc="1000000F" w:tentative="1">
      <w:start w:val="1"/>
      <w:numFmt w:val="decimal"/>
      <w:lvlText w:val="%7."/>
      <w:lvlJc w:val="left"/>
      <w:pPr>
        <w:ind w:left="4964" w:hanging="360"/>
      </w:pPr>
    </w:lvl>
    <w:lvl w:ilvl="7" w:tplc="10000019" w:tentative="1">
      <w:start w:val="1"/>
      <w:numFmt w:val="lowerLetter"/>
      <w:lvlText w:val="%8."/>
      <w:lvlJc w:val="left"/>
      <w:pPr>
        <w:ind w:left="5684" w:hanging="360"/>
      </w:pPr>
    </w:lvl>
    <w:lvl w:ilvl="8" w:tplc="1000001B" w:tentative="1">
      <w:start w:val="1"/>
      <w:numFmt w:val="lowerRoman"/>
      <w:lvlText w:val="%9."/>
      <w:lvlJc w:val="right"/>
      <w:pPr>
        <w:ind w:left="6404" w:hanging="180"/>
      </w:pPr>
    </w:lvl>
  </w:abstractNum>
  <w:abstractNum w:abstractNumId="19" w15:restartNumberingAfterBreak="0">
    <w:nsid w:val="6AFA5001"/>
    <w:multiLevelType w:val="multilevel"/>
    <w:tmpl w:val="5D82DA44"/>
    <w:lvl w:ilvl="0">
      <w:start w:val="1"/>
      <w:numFmt w:val="bullet"/>
      <w:lvlText w:val=""/>
      <w:lvlJc w:val="left"/>
      <w:pPr>
        <w:ind w:left="425" w:hanging="141"/>
      </w:pPr>
      <w:rPr>
        <w:rFonts w:ascii="Symbol" w:hAnsi="Symbol" w:hint="default"/>
        <w:color w:val="auto"/>
      </w:rPr>
    </w:lvl>
    <w:lvl w:ilvl="1">
      <w:start w:val="1"/>
      <w:numFmt w:val="bullet"/>
      <w:lvlText w:val=""/>
      <w:lvlJc w:val="left"/>
      <w:pPr>
        <w:ind w:left="709" w:hanging="141"/>
      </w:pPr>
      <w:rPr>
        <w:rFonts w:ascii="Symbol" w:hAnsi="Symbol" w:hint="default"/>
        <w:color w:val="auto"/>
      </w:rPr>
    </w:lvl>
    <w:lvl w:ilvl="2">
      <w:start w:val="1"/>
      <w:numFmt w:val="bullet"/>
      <w:lvlText w:val=""/>
      <w:lvlJc w:val="left"/>
      <w:pPr>
        <w:ind w:left="993" w:hanging="141"/>
      </w:pPr>
      <w:rPr>
        <w:rFonts w:ascii="Symbol" w:hAnsi="Symbol" w:hint="default"/>
        <w:color w:val="auto"/>
      </w:rPr>
    </w:lvl>
    <w:lvl w:ilvl="3">
      <w:start w:val="1"/>
      <w:numFmt w:val="bullet"/>
      <w:lvlText w:val=""/>
      <w:lvlJc w:val="left"/>
      <w:pPr>
        <w:ind w:left="1277" w:hanging="141"/>
      </w:pPr>
      <w:rPr>
        <w:rFonts w:ascii="Symbol" w:hAnsi="Symbol" w:hint="default"/>
        <w:color w:val="auto"/>
      </w:rPr>
    </w:lvl>
    <w:lvl w:ilvl="4">
      <w:start w:val="1"/>
      <w:numFmt w:val="bullet"/>
      <w:lvlText w:val=""/>
      <w:lvlJc w:val="left"/>
      <w:pPr>
        <w:ind w:left="1561" w:hanging="141"/>
      </w:pPr>
      <w:rPr>
        <w:rFonts w:ascii="Symbol" w:hAnsi="Symbol" w:hint="default"/>
        <w:color w:val="auto"/>
      </w:rPr>
    </w:lvl>
    <w:lvl w:ilvl="5">
      <w:start w:val="1"/>
      <w:numFmt w:val="bullet"/>
      <w:lvlText w:val=""/>
      <w:lvlJc w:val="left"/>
      <w:pPr>
        <w:ind w:left="1845" w:hanging="141"/>
      </w:pPr>
      <w:rPr>
        <w:rFonts w:ascii="Symbol" w:hAnsi="Symbol" w:hint="default"/>
        <w:color w:val="auto"/>
      </w:rPr>
    </w:lvl>
    <w:lvl w:ilvl="6">
      <w:start w:val="1"/>
      <w:numFmt w:val="bullet"/>
      <w:lvlText w:val=""/>
      <w:lvlJc w:val="left"/>
      <w:pPr>
        <w:ind w:left="2129" w:hanging="141"/>
      </w:pPr>
      <w:rPr>
        <w:rFonts w:ascii="Symbol" w:hAnsi="Symbol" w:hint="default"/>
        <w:color w:val="auto"/>
      </w:rPr>
    </w:lvl>
    <w:lvl w:ilvl="7">
      <w:start w:val="1"/>
      <w:numFmt w:val="bullet"/>
      <w:lvlText w:val=""/>
      <w:lvlJc w:val="left"/>
      <w:pPr>
        <w:ind w:left="2413" w:hanging="141"/>
      </w:pPr>
      <w:rPr>
        <w:rFonts w:ascii="Symbol" w:hAnsi="Symbol" w:hint="default"/>
        <w:color w:val="auto"/>
      </w:rPr>
    </w:lvl>
    <w:lvl w:ilvl="8">
      <w:start w:val="1"/>
      <w:numFmt w:val="bullet"/>
      <w:lvlText w:val=""/>
      <w:lvlJc w:val="left"/>
      <w:pPr>
        <w:ind w:left="2693" w:hanging="141"/>
      </w:pPr>
      <w:rPr>
        <w:rFonts w:ascii="Symbol" w:hAnsi="Symbol" w:hint="default"/>
        <w:color w:val="auto"/>
      </w:rPr>
    </w:lvl>
  </w:abstractNum>
  <w:abstractNum w:abstractNumId="20" w15:restartNumberingAfterBreak="0">
    <w:nsid w:val="6F9A2B26"/>
    <w:multiLevelType w:val="multilevel"/>
    <w:tmpl w:val="6DEC8882"/>
    <w:styleLink w:val="Althingi---"/>
    <w:lvl w:ilvl="0">
      <w:start w:val="1"/>
      <w:numFmt w:val="bullet"/>
      <w:lvlText w:val="—"/>
      <w:lvlJc w:val="left"/>
      <w:pPr>
        <w:tabs>
          <w:tab w:val="num" w:pos="425"/>
        </w:tabs>
        <w:ind w:left="425" w:hanging="283"/>
      </w:pPr>
      <w:rPr>
        <w:rFonts w:ascii="Times New Roman" w:hAnsi="Times New Roman" w:cs="Times New Roman" w:hint="default"/>
        <w:color w:val="auto"/>
      </w:rPr>
    </w:lvl>
    <w:lvl w:ilvl="1">
      <w:start w:val="1"/>
      <w:numFmt w:val="bullet"/>
      <w:lvlText w:val="—"/>
      <w:lvlJc w:val="left"/>
      <w:pPr>
        <w:tabs>
          <w:tab w:val="num" w:pos="709"/>
        </w:tabs>
        <w:ind w:left="709" w:hanging="283"/>
      </w:pPr>
      <w:rPr>
        <w:rFonts w:ascii="Calibri" w:hAnsi="Calibri" w:hint="default"/>
        <w:color w:val="auto"/>
      </w:rPr>
    </w:lvl>
    <w:lvl w:ilvl="2">
      <w:start w:val="1"/>
      <w:numFmt w:val="bullet"/>
      <w:lvlText w:val="—"/>
      <w:lvlJc w:val="left"/>
      <w:pPr>
        <w:tabs>
          <w:tab w:val="num" w:pos="993"/>
        </w:tabs>
        <w:ind w:left="993" w:hanging="283"/>
      </w:pPr>
      <w:rPr>
        <w:rFonts w:ascii="Calibri" w:hAnsi="Calibri" w:hint="default"/>
        <w:color w:val="auto"/>
      </w:rPr>
    </w:lvl>
    <w:lvl w:ilvl="3">
      <w:start w:val="1"/>
      <w:numFmt w:val="bullet"/>
      <w:lvlText w:val="—"/>
      <w:lvlJc w:val="left"/>
      <w:pPr>
        <w:tabs>
          <w:tab w:val="num" w:pos="1277"/>
        </w:tabs>
        <w:ind w:left="1277" w:hanging="283"/>
      </w:pPr>
      <w:rPr>
        <w:rFonts w:ascii="Calibri" w:hAnsi="Calibri" w:hint="default"/>
        <w:color w:val="auto"/>
      </w:rPr>
    </w:lvl>
    <w:lvl w:ilvl="4">
      <w:start w:val="1"/>
      <w:numFmt w:val="bullet"/>
      <w:lvlText w:val="—"/>
      <w:lvlJc w:val="left"/>
      <w:pPr>
        <w:tabs>
          <w:tab w:val="num" w:pos="1561"/>
        </w:tabs>
        <w:ind w:left="1561" w:hanging="283"/>
      </w:pPr>
      <w:rPr>
        <w:rFonts w:ascii="Calibri" w:hAnsi="Calibri" w:hint="default"/>
        <w:color w:val="auto"/>
      </w:rPr>
    </w:lvl>
    <w:lvl w:ilvl="5">
      <w:start w:val="1"/>
      <w:numFmt w:val="bullet"/>
      <w:lvlText w:val="—"/>
      <w:lvlJc w:val="left"/>
      <w:pPr>
        <w:tabs>
          <w:tab w:val="num" w:pos="1845"/>
        </w:tabs>
        <w:ind w:left="1845" w:hanging="283"/>
      </w:pPr>
      <w:rPr>
        <w:rFonts w:ascii="Calibri" w:hAnsi="Calibri" w:hint="default"/>
        <w:color w:val="auto"/>
      </w:rPr>
    </w:lvl>
    <w:lvl w:ilvl="6">
      <w:start w:val="1"/>
      <w:numFmt w:val="bullet"/>
      <w:lvlText w:val="—"/>
      <w:lvlJc w:val="left"/>
      <w:pPr>
        <w:tabs>
          <w:tab w:val="num" w:pos="2129"/>
        </w:tabs>
        <w:ind w:left="2129" w:hanging="283"/>
      </w:pPr>
      <w:rPr>
        <w:rFonts w:ascii="Calibri" w:hAnsi="Calibri" w:hint="default"/>
        <w:color w:val="auto"/>
      </w:rPr>
    </w:lvl>
    <w:lvl w:ilvl="7">
      <w:start w:val="1"/>
      <w:numFmt w:val="bullet"/>
      <w:lvlText w:val="—"/>
      <w:lvlJc w:val="left"/>
      <w:pPr>
        <w:tabs>
          <w:tab w:val="num" w:pos="2413"/>
        </w:tabs>
        <w:ind w:left="2413" w:hanging="283"/>
      </w:pPr>
      <w:rPr>
        <w:rFonts w:ascii="Calibri" w:hAnsi="Calibri" w:hint="default"/>
        <w:color w:val="auto"/>
      </w:rPr>
    </w:lvl>
    <w:lvl w:ilvl="8">
      <w:start w:val="1"/>
      <w:numFmt w:val="bullet"/>
      <w:lvlText w:val="—"/>
      <w:lvlJc w:val="left"/>
      <w:pPr>
        <w:tabs>
          <w:tab w:val="num" w:pos="2697"/>
        </w:tabs>
        <w:ind w:left="2697" w:hanging="283"/>
      </w:pPr>
      <w:rPr>
        <w:rFonts w:ascii="Calibri" w:hAnsi="Calibri" w:hint="default"/>
        <w:color w:val="auto"/>
      </w:rPr>
    </w:lvl>
  </w:abstractNum>
  <w:abstractNum w:abstractNumId="21" w15:restartNumberingAfterBreak="0">
    <w:nsid w:val="75D77CC0"/>
    <w:multiLevelType w:val="hybridMultilevel"/>
    <w:tmpl w:val="B1660FBC"/>
    <w:lvl w:ilvl="0" w:tplc="FAC01CFC">
      <w:start w:val="3"/>
      <w:numFmt w:val="bullet"/>
      <w:lvlText w:val="-"/>
      <w:lvlJc w:val="left"/>
      <w:pPr>
        <w:ind w:left="644" w:hanging="360"/>
      </w:pPr>
      <w:rPr>
        <w:rFonts w:ascii="Times New Roman" w:eastAsia="Calibri" w:hAnsi="Times New Roman" w:cs="Times New Roman" w:hint="default"/>
      </w:rPr>
    </w:lvl>
    <w:lvl w:ilvl="1" w:tplc="10000019" w:tentative="1">
      <w:start w:val="1"/>
      <w:numFmt w:val="lowerLetter"/>
      <w:lvlText w:val="%2."/>
      <w:lvlJc w:val="left"/>
      <w:pPr>
        <w:ind w:left="1364" w:hanging="360"/>
      </w:pPr>
    </w:lvl>
    <w:lvl w:ilvl="2" w:tplc="1000001B" w:tentative="1">
      <w:start w:val="1"/>
      <w:numFmt w:val="lowerRoman"/>
      <w:lvlText w:val="%3."/>
      <w:lvlJc w:val="right"/>
      <w:pPr>
        <w:ind w:left="2084" w:hanging="180"/>
      </w:pPr>
    </w:lvl>
    <w:lvl w:ilvl="3" w:tplc="1000000F" w:tentative="1">
      <w:start w:val="1"/>
      <w:numFmt w:val="decimal"/>
      <w:lvlText w:val="%4."/>
      <w:lvlJc w:val="left"/>
      <w:pPr>
        <w:ind w:left="2804" w:hanging="360"/>
      </w:pPr>
    </w:lvl>
    <w:lvl w:ilvl="4" w:tplc="10000019" w:tentative="1">
      <w:start w:val="1"/>
      <w:numFmt w:val="lowerLetter"/>
      <w:lvlText w:val="%5."/>
      <w:lvlJc w:val="left"/>
      <w:pPr>
        <w:ind w:left="3524" w:hanging="360"/>
      </w:pPr>
    </w:lvl>
    <w:lvl w:ilvl="5" w:tplc="1000001B" w:tentative="1">
      <w:start w:val="1"/>
      <w:numFmt w:val="lowerRoman"/>
      <w:lvlText w:val="%6."/>
      <w:lvlJc w:val="right"/>
      <w:pPr>
        <w:ind w:left="4244" w:hanging="180"/>
      </w:pPr>
    </w:lvl>
    <w:lvl w:ilvl="6" w:tplc="1000000F" w:tentative="1">
      <w:start w:val="1"/>
      <w:numFmt w:val="decimal"/>
      <w:lvlText w:val="%7."/>
      <w:lvlJc w:val="left"/>
      <w:pPr>
        <w:ind w:left="4964" w:hanging="360"/>
      </w:pPr>
    </w:lvl>
    <w:lvl w:ilvl="7" w:tplc="10000019" w:tentative="1">
      <w:start w:val="1"/>
      <w:numFmt w:val="lowerLetter"/>
      <w:lvlText w:val="%8."/>
      <w:lvlJc w:val="left"/>
      <w:pPr>
        <w:ind w:left="5684" w:hanging="360"/>
      </w:pPr>
    </w:lvl>
    <w:lvl w:ilvl="8" w:tplc="1000001B" w:tentative="1">
      <w:start w:val="1"/>
      <w:numFmt w:val="lowerRoman"/>
      <w:lvlText w:val="%9."/>
      <w:lvlJc w:val="right"/>
      <w:pPr>
        <w:ind w:left="6404" w:hanging="180"/>
      </w:pPr>
    </w:lvl>
  </w:abstractNum>
  <w:abstractNum w:abstractNumId="22" w15:restartNumberingAfterBreak="0">
    <w:nsid w:val="75F87127"/>
    <w:multiLevelType w:val="multilevel"/>
    <w:tmpl w:val="6F4C556E"/>
    <w:lvl w:ilvl="0">
      <w:start w:val="1"/>
      <w:numFmt w:val="decimal"/>
      <w:lvlText w:val="%1."/>
      <w:lvlJc w:val="right"/>
      <w:pPr>
        <w:tabs>
          <w:tab w:val="num" w:pos="425"/>
        </w:tabs>
        <w:ind w:left="425" w:hanging="141"/>
      </w:pPr>
      <w:rPr>
        <w:rFonts w:ascii="Times New Roman" w:hAnsi="Times New Roman"/>
        <w:b w:val="0"/>
        <w:i w:val="0"/>
        <w:color w:val="auto"/>
        <w:sz w:val="21"/>
        <w:u w:val="none"/>
      </w:rPr>
    </w:lvl>
    <w:lvl w:ilvl="1">
      <w:start w:val="1"/>
      <w:numFmt w:val="lowerLetter"/>
      <w:lvlText w:val="%2."/>
      <w:lvlJc w:val="right"/>
      <w:pPr>
        <w:tabs>
          <w:tab w:val="num" w:pos="709"/>
        </w:tabs>
        <w:ind w:left="709" w:hanging="141"/>
      </w:pPr>
      <w:rPr>
        <w:rFonts w:hint="default"/>
      </w:rPr>
    </w:lvl>
    <w:lvl w:ilvl="2">
      <w:start w:val="1"/>
      <w:numFmt w:val="decimal"/>
      <w:lvlText w:val="%3."/>
      <w:lvlJc w:val="right"/>
      <w:pPr>
        <w:tabs>
          <w:tab w:val="num" w:pos="993"/>
        </w:tabs>
        <w:ind w:left="993" w:hanging="141"/>
      </w:pPr>
      <w:rPr>
        <w:rFonts w:hint="default"/>
      </w:rPr>
    </w:lvl>
    <w:lvl w:ilvl="3">
      <w:start w:val="1"/>
      <w:numFmt w:val="lowerLetter"/>
      <w:lvlText w:val="%4."/>
      <w:lvlJc w:val="right"/>
      <w:pPr>
        <w:tabs>
          <w:tab w:val="num" w:pos="1277"/>
        </w:tabs>
        <w:ind w:left="1277" w:hanging="141"/>
      </w:pPr>
      <w:rPr>
        <w:rFonts w:hint="default"/>
      </w:rPr>
    </w:lvl>
    <w:lvl w:ilvl="4">
      <w:start w:val="1"/>
      <w:numFmt w:val="decimal"/>
      <w:lvlText w:val="%5."/>
      <w:lvlJc w:val="right"/>
      <w:pPr>
        <w:tabs>
          <w:tab w:val="num" w:pos="1561"/>
        </w:tabs>
        <w:ind w:left="1561" w:hanging="141"/>
      </w:pPr>
      <w:rPr>
        <w:rFonts w:hint="default"/>
      </w:rPr>
    </w:lvl>
    <w:lvl w:ilvl="5">
      <w:start w:val="1"/>
      <w:numFmt w:val="lowerLetter"/>
      <w:lvlText w:val="%6."/>
      <w:lvlJc w:val="right"/>
      <w:pPr>
        <w:tabs>
          <w:tab w:val="num" w:pos="1845"/>
        </w:tabs>
        <w:ind w:left="1845" w:hanging="144"/>
      </w:pPr>
      <w:rPr>
        <w:rFonts w:hint="default"/>
      </w:rPr>
    </w:lvl>
    <w:lvl w:ilvl="6">
      <w:start w:val="1"/>
      <w:numFmt w:val="decimal"/>
      <w:lvlText w:val="%7."/>
      <w:lvlJc w:val="right"/>
      <w:pPr>
        <w:tabs>
          <w:tab w:val="num" w:pos="2129"/>
        </w:tabs>
        <w:ind w:left="2129" w:hanging="144"/>
      </w:pPr>
      <w:rPr>
        <w:rFonts w:hint="default"/>
      </w:rPr>
    </w:lvl>
    <w:lvl w:ilvl="7">
      <w:start w:val="1"/>
      <w:numFmt w:val="lowerLetter"/>
      <w:lvlText w:val="%8."/>
      <w:lvlJc w:val="right"/>
      <w:pPr>
        <w:tabs>
          <w:tab w:val="num" w:pos="2410"/>
        </w:tabs>
        <w:ind w:left="2410" w:hanging="142"/>
      </w:pPr>
      <w:rPr>
        <w:rFonts w:hint="default"/>
      </w:rPr>
    </w:lvl>
    <w:lvl w:ilvl="8">
      <w:start w:val="1"/>
      <w:numFmt w:val="decimal"/>
      <w:lvlText w:val="%9."/>
      <w:lvlJc w:val="right"/>
      <w:pPr>
        <w:tabs>
          <w:tab w:val="num" w:pos="2693"/>
        </w:tabs>
        <w:ind w:left="2693" w:hanging="141"/>
      </w:pPr>
      <w:rPr>
        <w:rFonts w:hint="default"/>
      </w:rPr>
    </w:lvl>
  </w:abstractNum>
  <w:abstractNum w:abstractNumId="23" w15:restartNumberingAfterBreak="0">
    <w:nsid w:val="7E026E32"/>
    <w:multiLevelType w:val="multilevel"/>
    <w:tmpl w:val="7E5C0E42"/>
    <w:lvl w:ilvl="0">
      <w:start w:val="1"/>
      <w:numFmt w:val="bullet"/>
      <w:lvlText w:val=""/>
      <w:lvlJc w:val="left"/>
      <w:pPr>
        <w:ind w:left="425" w:hanging="141"/>
      </w:pPr>
      <w:rPr>
        <w:rFonts w:ascii="Symbol" w:hAnsi="Symbol" w:hint="default"/>
      </w:rPr>
    </w:lvl>
    <w:lvl w:ilvl="1">
      <w:start w:val="1"/>
      <w:numFmt w:val="bullet"/>
      <w:lvlText w:val=""/>
      <w:lvlJc w:val="left"/>
      <w:pPr>
        <w:ind w:left="709" w:hanging="141"/>
      </w:pPr>
      <w:rPr>
        <w:rFonts w:ascii="Symbol" w:hAnsi="Symbol" w:hint="default"/>
      </w:rPr>
    </w:lvl>
    <w:lvl w:ilvl="2">
      <w:start w:val="1"/>
      <w:numFmt w:val="bullet"/>
      <w:lvlText w:val=""/>
      <w:lvlJc w:val="left"/>
      <w:pPr>
        <w:ind w:left="993" w:hanging="141"/>
      </w:pPr>
      <w:rPr>
        <w:rFonts w:ascii="Symbol" w:hAnsi="Symbol" w:hint="default"/>
      </w:rPr>
    </w:lvl>
    <w:lvl w:ilvl="3">
      <w:start w:val="1"/>
      <w:numFmt w:val="bullet"/>
      <w:lvlText w:val=""/>
      <w:lvlJc w:val="left"/>
      <w:pPr>
        <w:ind w:left="1277" w:hanging="141"/>
      </w:pPr>
      <w:rPr>
        <w:rFonts w:ascii="Symbol" w:hAnsi="Symbol" w:hint="default"/>
      </w:rPr>
    </w:lvl>
    <w:lvl w:ilvl="4">
      <w:start w:val="1"/>
      <w:numFmt w:val="bullet"/>
      <w:lvlText w:val=""/>
      <w:lvlJc w:val="left"/>
      <w:pPr>
        <w:ind w:left="1561" w:hanging="141"/>
      </w:pPr>
      <w:rPr>
        <w:rFonts w:ascii="Symbol" w:hAnsi="Symbol" w:hint="default"/>
      </w:rPr>
    </w:lvl>
    <w:lvl w:ilvl="5">
      <w:start w:val="1"/>
      <w:numFmt w:val="bullet"/>
      <w:lvlText w:val=""/>
      <w:lvlJc w:val="left"/>
      <w:pPr>
        <w:ind w:left="1845" w:hanging="141"/>
      </w:pPr>
      <w:rPr>
        <w:rFonts w:ascii="Symbol" w:hAnsi="Symbol" w:hint="default"/>
      </w:rPr>
    </w:lvl>
    <w:lvl w:ilvl="6">
      <w:start w:val="1"/>
      <w:numFmt w:val="bullet"/>
      <w:lvlText w:val=""/>
      <w:lvlJc w:val="left"/>
      <w:pPr>
        <w:ind w:left="2129" w:hanging="141"/>
      </w:pPr>
      <w:rPr>
        <w:rFonts w:ascii="Symbol" w:hAnsi="Symbol" w:hint="default"/>
      </w:rPr>
    </w:lvl>
    <w:lvl w:ilvl="7">
      <w:start w:val="1"/>
      <w:numFmt w:val="bullet"/>
      <w:lvlText w:val=""/>
      <w:lvlJc w:val="left"/>
      <w:pPr>
        <w:ind w:left="2413" w:hanging="141"/>
      </w:pPr>
      <w:rPr>
        <w:rFonts w:ascii="Symbol" w:hAnsi="Symbol" w:hint="default"/>
      </w:rPr>
    </w:lvl>
    <w:lvl w:ilvl="8">
      <w:start w:val="1"/>
      <w:numFmt w:val="bullet"/>
      <w:lvlText w:val=""/>
      <w:lvlJc w:val="left"/>
      <w:pPr>
        <w:ind w:left="2693" w:hanging="141"/>
      </w:pPr>
      <w:rPr>
        <w:rFonts w:ascii="Symbol" w:hAnsi="Symbol" w:hint="default"/>
      </w:rPr>
    </w:lvl>
  </w:abstractNum>
  <w:num w:numId="1">
    <w:abstractNumId w:val="23"/>
  </w:num>
  <w:num w:numId="2">
    <w:abstractNumId w:val="19"/>
  </w:num>
  <w:num w:numId="3">
    <w:abstractNumId w:val="22"/>
  </w:num>
  <w:num w:numId="4">
    <w:abstractNumId w:val="5"/>
  </w:num>
  <w:num w:numId="5">
    <w:abstractNumId w:val="15"/>
  </w:num>
  <w:num w:numId="6">
    <w:abstractNumId w:val="20"/>
  </w:num>
  <w:num w:numId="7">
    <w:abstractNumId w:val="6"/>
  </w:num>
  <w:num w:numId="8">
    <w:abstractNumId w:val="3"/>
  </w:num>
  <w:num w:numId="9">
    <w:abstractNumId w:val="12"/>
  </w:num>
  <w:num w:numId="10">
    <w:abstractNumId w:val="7"/>
  </w:num>
  <w:num w:numId="11">
    <w:abstractNumId w:val="9"/>
  </w:num>
  <w:num w:numId="12">
    <w:abstractNumId w:val="16"/>
  </w:num>
  <w:num w:numId="13">
    <w:abstractNumId w:val="1"/>
  </w:num>
  <w:num w:numId="14">
    <w:abstractNumId w:val="0"/>
  </w:num>
  <w:num w:numId="15">
    <w:abstractNumId w:val="13"/>
  </w:num>
  <w:num w:numId="16">
    <w:abstractNumId w:val="4"/>
  </w:num>
  <w:num w:numId="17">
    <w:abstractNumId w:val="2"/>
  </w:num>
  <w:num w:numId="18">
    <w:abstractNumId w:val="18"/>
  </w:num>
  <w:num w:numId="19">
    <w:abstractNumId w:val="17"/>
  </w:num>
  <w:num w:numId="20">
    <w:abstractNumId w:val="14"/>
  </w:num>
  <w:num w:numId="21">
    <w:abstractNumId w:val="21"/>
  </w:num>
  <w:num w:numId="22">
    <w:abstractNumId w:val="11"/>
  </w:num>
  <w:num w:numId="23">
    <w:abstractNumId w:val="10"/>
  </w:num>
  <w:num w:numId="2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grammar="clean"/>
  <w:defaultTabStop w:val="284"/>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5574"/>
    <w:rsid w:val="000145B6"/>
    <w:rsid w:val="000262DA"/>
    <w:rsid w:val="000300CD"/>
    <w:rsid w:val="00030C42"/>
    <w:rsid w:val="00031B69"/>
    <w:rsid w:val="00036FAB"/>
    <w:rsid w:val="00055B22"/>
    <w:rsid w:val="000635B3"/>
    <w:rsid w:val="00090030"/>
    <w:rsid w:val="000A7096"/>
    <w:rsid w:val="000A76FE"/>
    <w:rsid w:val="000A7848"/>
    <w:rsid w:val="000B7C9F"/>
    <w:rsid w:val="000D40D8"/>
    <w:rsid w:val="000E16E7"/>
    <w:rsid w:val="000F2FFA"/>
    <w:rsid w:val="000F46B1"/>
    <w:rsid w:val="00117680"/>
    <w:rsid w:val="001222CE"/>
    <w:rsid w:val="00122EE4"/>
    <w:rsid w:val="00132E7E"/>
    <w:rsid w:val="001371CD"/>
    <w:rsid w:val="00137C82"/>
    <w:rsid w:val="00152134"/>
    <w:rsid w:val="0015772E"/>
    <w:rsid w:val="00181038"/>
    <w:rsid w:val="001B7636"/>
    <w:rsid w:val="001C2672"/>
    <w:rsid w:val="001F5A18"/>
    <w:rsid w:val="0020433C"/>
    <w:rsid w:val="0020661D"/>
    <w:rsid w:val="0022006D"/>
    <w:rsid w:val="002224E3"/>
    <w:rsid w:val="0023310A"/>
    <w:rsid w:val="002600CD"/>
    <w:rsid w:val="00260FE0"/>
    <w:rsid w:val="002675EE"/>
    <w:rsid w:val="00270A34"/>
    <w:rsid w:val="002864C3"/>
    <w:rsid w:val="0029101E"/>
    <w:rsid w:val="00293FEE"/>
    <w:rsid w:val="002954CE"/>
    <w:rsid w:val="002B1D84"/>
    <w:rsid w:val="002B3385"/>
    <w:rsid w:val="002C30F3"/>
    <w:rsid w:val="002D034E"/>
    <w:rsid w:val="002D0E12"/>
    <w:rsid w:val="002D340A"/>
    <w:rsid w:val="002E7193"/>
    <w:rsid w:val="002F3AFA"/>
    <w:rsid w:val="00301215"/>
    <w:rsid w:val="00313B24"/>
    <w:rsid w:val="003205AC"/>
    <w:rsid w:val="00322F35"/>
    <w:rsid w:val="0032704C"/>
    <w:rsid w:val="00335852"/>
    <w:rsid w:val="00335BDA"/>
    <w:rsid w:val="003602D2"/>
    <w:rsid w:val="003605BC"/>
    <w:rsid w:val="00367210"/>
    <w:rsid w:val="00381ECF"/>
    <w:rsid w:val="003917F4"/>
    <w:rsid w:val="003A0A09"/>
    <w:rsid w:val="003B68AB"/>
    <w:rsid w:val="003B7AF5"/>
    <w:rsid w:val="003D26E9"/>
    <w:rsid w:val="003D464E"/>
    <w:rsid w:val="003F5B37"/>
    <w:rsid w:val="003F74BD"/>
    <w:rsid w:val="0040692E"/>
    <w:rsid w:val="00436458"/>
    <w:rsid w:val="0044714F"/>
    <w:rsid w:val="00486509"/>
    <w:rsid w:val="004935DC"/>
    <w:rsid w:val="0049606B"/>
    <w:rsid w:val="004A2F09"/>
    <w:rsid w:val="004B088E"/>
    <w:rsid w:val="004B1530"/>
    <w:rsid w:val="004B3D9B"/>
    <w:rsid w:val="004B6907"/>
    <w:rsid w:val="004C4D11"/>
    <w:rsid w:val="004C568E"/>
    <w:rsid w:val="004D5979"/>
    <w:rsid w:val="004F37F2"/>
    <w:rsid w:val="0050458D"/>
    <w:rsid w:val="00507601"/>
    <w:rsid w:val="005303CF"/>
    <w:rsid w:val="005375B7"/>
    <w:rsid w:val="00540322"/>
    <w:rsid w:val="00564348"/>
    <w:rsid w:val="0057228A"/>
    <w:rsid w:val="00592BD6"/>
    <w:rsid w:val="005B4CD6"/>
    <w:rsid w:val="005D41F6"/>
    <w:rsid w:val="005D5AEE"/>
    <w:rsid w:val="005D7863"/>
    <w:rsid w:val="006147E8"/>
    <w:rsid w:val="006258D7"/>
    <w:rsid w:val="00645793"/>
    <w:rsid w:val="006514F9"/>
    <w:rsid w:val="00652C9A"/>
    <w:rsid w:val="006531A1"/>
    <w:rsid w:val="00655AEA"/>
    <w:rsid w:val="00655EE3"/>
    <w:rsid w:val="0066420A"/>
    <w:rsid w:val="00664CC5"/>
    <w:rsid w:val="00684633"/>
    <w:rsid w:val="00693175"/>
    <w:rsid w:val="00694627"/>
    <w:rsid w:val="006A2B62"/>
    <w:rsid w:val="006A31DF"/>
    <w:rsid w:val="006B6B37"/>
    <w:rsid w:val="006C6CC6"/>
    <w:rsid w:val="006F069F"/>
    <w:rsid w:val="006F4043"/>
    <w:rsid w:val="006F4D1E"/>
    <w:rsid w:val="006F74FF"/>
    <w:rsid w:val="0070552B"/>
    <w:rsid w:val="00706572"/>
    <w:rsid w:val="00707D37"/>
    <w:rsid w:val="007112B3"/>
    <w:rsid w:val="00717106"/>
    <w:rsid w:val="007176DC"/>
    <w:rsid w:val="007370D9"/>
    <w:rsid w:val="007555E3"/>
    <w:rsid w:val="00756691"/>
    <w:rsid w:val="00763FBC"/>
    <w:rsid w:val="007652B1"/>
    <w:rsid w:val="007928FB"/>
    <w:rsid w:val="007A08F8"/>
    <w:rsid w:val="007C75A6"/>
    <w:rsid w:val="007D4338"/>
    <w:rsid w:val="007F3B99"/>
    <w:rsid w:val="00803FAF"/>
    <w:rsid w:val="00817C0D"/>
    <w:rsid w:val="00833C03"/>
    <w:rsid w:val="00852033"/>
    <w:rsid w:val="00852FF3"/>
    <w:rsid w:val="0085649B"/>
    <w:rsid w:val="0085674C"/>
    <w:rsid w:val="008577B7"/>
    <w:rsid w:val="00882D45"/>
    <w:rsid w:val="00895423"/>
    <w:rsid w:val="008A4A88"/>
    <w:rsid w:val="008A54A4"/>
    <w:rsid w:val="008D0068"/>
    <w:rsid w:val="00921A4D"/>
    <w:rsid w:val="00941140"/>
    <w:rsid w:val="00943B67"/>
    <w:rsid w:val="00947F0E"/>
    <w:rsid w:val="00956676"/>
    <w:rsid w:val="009635D7"/>
    <w:rsid w:val="00971B80"/>
    <w:rsid w:val="00984BEF"/>
    <w:rsid w:val="009902B3"/>
    <w:rsid w:val="009926BA"/>
    <w:rsid w:val="00995085"/>
    <w:rsid w:val="0099581A"/>
    <w:rsid w:val="009D7D86"/>
    <w:rsid w:val="009E0B26"/>
    <w:rsid w:val="009F18FF"/>
    <w:rsid w:val="009F53AB"/>
    <w:rsid w:val="00A10AE9"/>
    <w:rsid w:val="00A141B9"/>
    <w:rsid w:val="00A2280D"/>
    <w:rsid w:val="00A24367"/>
    <w:rsid w:val="00A366EA"/>
    <w:rsid w:val="00A425DE"/>
    <w:rsid w:val="00A47471"/>
    <w:rsid w:val="00A651CC"/>
    <w:rsid w:val="00A74357"/>
    <w:rsid w:val="00A84C9D"/>
    <w:rsid w:val="00A90212"/>
    <w:rsid w:val="00AB4DB6"/>
    <w:rsid w:val="00AC061F"/>
    <w:rsid w:val="00AC7C2A"/>
    <w:rsid w:val="00AD0879"/>
    <w:rsid w:val="00AD7FB1"/>
    <w:rsid w:val="00AF581E"/>
    <w:rsid w:val="00AF70F3"/>
    <w:rsid w:val="00B01EAB"/>
    <w:rsid w:val="00B203DC"/>
    <w:rsid w:val="00B20E81"/>
    <w:rsid w:val="00B2346F"/>
    <w:rsid w:val="00B56947"/>
    <w:rsid w:val="00B93B76"/>
    <w:rsid w:val="00BA2E91"/>
    <w:rsid w:val="00BC31E7"/>
    <w:rsid w:val="00BC3809"/>
    <w:rsid w:val="00BE38CA"/>
    <w:rsid w:val="00BF2C1E"/>
    <w:rsid w:val="00BF3D23"/>
    <w:rsid w:val="00C13387"/>
    <w:rsid w:val="00C32A1E"/>
    <w:rsid w:val="00C34A72"/>
    <w:rsid w:val="00C350BA"/>
    <w:rsid w:val="00C35574"/>
    <w:rsid w:val="00C36086"/>
    <w:rsid w:val="00C433FF"/>
    <w:rsid w:val="00C5393B"/>
    <w:rsid w:val="00C710B1"/>
    <w:rsid w:val="00C73FE3"/>
    <w:rsid w:val="00C85DDA"/>
    <w:rsid w:val="00CA31D0"/>
    <w:rsid w:val="00CC4302"/>
    <w:rsid w:val="00CC7ED2"/>
    <w:rsid w:val="00CD359B"/>
    <w:rsid w:val="00CD54BE"/>
    <w:rsid w:val="00CF52C4"/>
    <w:rsid w:val="00D0740D"/>
    <w:rsid w:val="00D205B5"/>
    <w:rsid w:val="00D25E73"/>
    <w:rsid w:val="00D30781"/>
    <w:rsid w:val="00D337AE"/>
    <w:rsid w:val="00D35006"/>
    <w:rsid w:val="00D45F78"/>
    <w:rsid w:val="00D512A4"/>
    <w:rsid w:val="00D5679C"/>
    <w:rsid w:val="00D92F51"/>
    <w:rsid w:val="00DA0E37"/>
    <w:rsid w:val="00DB4961"/>
    <w:rsid w:val="00DC0BD0"/>
    <w:rsid w:val="00DD0264"/>
    <w:rsid w:val="00DD303D"/>
    <w:rsid w:val="00DE41CB"/>
    <w:rsid w:val="00E11B67"/>
    <w:rsid w:val="00E255CC"/>
    <w:rsid w:val="00E4009B"/>
    <w:rsid w:val="00E40E72"/>
    <w:rsid w:val="00E45CB1"/>
    <w:rsid w:val="00E61D77"/>
    <w:rsid w:val="00E71F27"/>
    <w:rsid w:val="00E7395A"/>
    <w:rsid w:val="00E92E2D"/>
    <w:rsid w:val="00EA3363"/>
    <w:rsid w:val="00EA4BBC"/>
    <w:rsid w:val="00EB08F0"/>
    <w:rsid w:val="00EB12F6"/>
    <w:rsid w:val="00EB3C39"/>
    <w:rsid w:val="00EB5F2B"/>
    <w:rsid w:val="00ED0D07"/>
    <w:rsid w:val="00ED0D0A"/>
    <w:rsid w:val="00ED1890"/>
    <w:rsid w:val="00EF776B"/>
    <w:rsid w:val="00F0592E"/>
    <w:rsid w:val="00F20E3E"/>
    <w:rsid w:val="00F54C9A"/>
    <w:rsid w:val="00F65DF3"/>
    <w:rsid w:val="00F72EF3"/>
    <w:rsid w:val="00F8678E"/>
    <w:rsid w:val="00FB6100"/>
    <w:rsid w:val="00FE15E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89DACC"/>
  <w15:docId w15:val="{3933B178-6321-431E-B2C5-AB50F2E291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2134"/>
    <w:pPr>
      <w:ind w:firstLine="284"/>
      <w:jc w:val="both"/>
    </w:pPr>
    <w:rPr>
      <w:rFonts w:ascii="Times New Roman" w:hAnsi="Times New Roman"/>
      <w:sz w:val="21"/>
      <w:szCs w:val="22"/>
      <w:lang w:val="is-I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mija">
    <w:name w:val="Normal/miðjað"/>
    <w:basedOn w:val="Normal"/>
    <w:qFormat/>
    <w:rsid w:val="007A08F8"/>
    <w:pPr>
      <w:ind w:firstLine="0"/>
      <w:jc w:val="center"/>
    </w:pPr>
  </w:style>
  <w:style w:type="paragraph" w:styleId="NoSpacing">
    <w:name w:val="No Spacing"/>
    <w:uiPriority w:val="1"/>
    <w:rsid w:val="00C35574"/>
    <w:pPr>
      <w:tabs>
        <w:tab w:val="left" w:pos="284"/>
        <w:tab w:val="left" w:pos="425"/>
        <w:tab w:val="left" w:pos="567"/>
        <w:tab w:val="left" w:pos="709"/>
        <w:tab w:val="left" w:pos="851"/>
        <w:tab w:val="left" w:pos="992"/>
        <w:tab w:val="left" w:pos="1134"/>
        <w:tab w:val="left" w:pos="1418"/>
        <w:tab w:val="decimal" w:pos="6804"/>
        <w:tab w:val="right" w:pos="7825"/>
      </w:tabs>
      <w:ind w:firstLine="284"/>
      <w:jc w:val="both"/>
    </w:pPr>
    <w:rPr>
      <w:rFonts w:ascii="Times New Roman" w:hAnsi="Times New Roman"/>
      <w:sz w:val="21"/>
      <w:szCs w:val="22"/>
      <w:lang w:val="is-IS"/>
    </w:rPr>
  </w:style>
  <w:style w:type="paragraph" w:customStyle="1" w:styleId="Strik">
    <w:name w:val="Strik"/>
    <w:basedOn w:val="Normal"/>
    <w:next w:val="Normal"/>
    <w:qFormat/>
    <w:rsid w:val="007A08F8"/>
    <w:pPr>
      <w:pBdr>
        <w:bottom w:val="single" w:sz="4" w:space="1" w:color="auto"/>
      </w:pBdr>
      <w:spacing w:before="120"/>
      <w:ind w:left="3402" w:right="3402" w:firstLine="0"/>
    </w:pPr>
  </w:style>
  <w:style w:type="paragraph" w:customStyle="1" w:styleId="Millifyrirsgn2">
    <w:name w:val="Millifyrirsögn 2"/>
    <w:basedOn w:val="Normal"/>
    <w:next w:val="Normal"/>
    <w:qFormat/>
    <w:rsid w:val="000F2FFA"/>
    <w:pPr>
      <w:keepNext/>
      <w:ind w:firstLine="0"/>
    </w:pPr>
    <w:rPr>
      <w:i/>
    </w:rPr>
  </w:style>
  <w:style w:type="paragraph" w:customStyle="1" w:styleId="Millifyrirsgn1">
    <w:name w:val="Millifyrirsögn 1"/>
    <w:basedOn w:val="Normal"/>
    <w:next w:val="Normal"/>
    <w:qFormat/>
    <w:rsid w:val="000F2FFA"/>
    <w:pPr>
      <w:keepNext/>
      <w:ind w:firstLine="0"/>
    </w:pPr>
    <w:rPr>
      <w:b/>
    </w:rPr>
  </w:style>
  <w:style w:type="paragraph" w:customStyle="1" w:styleId="Fyrirsgn-fylgiskjl">
    <w:name w:val="Fyrirsögn - fylgiskjöl"/>
    <w:basedOn w:val="Normal"/>
    <w:next w:val="Normal"/>
    <w:qFormat/>
    <w:rsid w:val="00322F35"/>
    <w:pPr>
      <w:ind w:firstLine="0"/>
      <w:jc w:val="left"/>
    </w:pPr>
    <w:rPr>
      <w:b/>
      <w:u w:val="single"/>
    </w:rPr>
  </w:style>
  <w:style w:type="paragraph" w:customStyle="1" w:styleId="Fyrirsgn-athugasemdir">
    <w:name w:val="Fyrirsögn - athugasemdir"/>
    <w:basedOn w:val="Normal"/>
    <w:next w:val="Normal"/>
    <w:qFormat/>
    <w:rsid w:val="00C35574"/>
    <w:pPr>
      <w:ind w:firstLine="0"/>
      <w:jc w:val="center"/>
    </w:pPr>
    <w:rPr>
      <w:spacing w:val="44"/>
    </w:rPr>
  </w:style>
  <w:style w:type="paragraph" w:customStyle="1" w:styleId="Fyrirsgn-skjalategund">
    <w:name w:val="Fyrirsögn - skjalategund"/>
    <w:basedOn w:val="Normal"/>
    <w:next w:val="Normal"/>
    <w:rsid w:val="007F3B99"/>
    <w:pPr>
      <w:spacing w:before="480" w:after="240"/>
      <w:ind w:firstLine="0"/>
      <w:jc w:val="center"/>
      <w:outlineLvl w:val="0"/>
    </w:pPr>
    <w:rPr>
      <w:rFonts w:eastAsiaTheme="minorHAnsi" w:cstheme="minorBidi"/>
      <w:b/>
      <w:sz w:val="32"/>
    </w:rPr>
  </w:style>
  <w:style w:type="paragraph" w:customStyle="1" w:styleId="Fyrirsgn-undirfyrirsgn">
    <w:name w:val="Fyrirsögn - undirfyrirsögn"/>
    <w:basedOn w:val="Normal"/>
    <w:next w:val="Normal"/>
    <w:qFormat/>
    <w:rsid w:val="002675EE"/>
    <w:pPr>
      <w:ind w:firstLine="0"/>
      <w:jc w:val="center"/>
    </w:pPr>
    <w:rPr>
      <w:rFonts w:eastAsiaTheme="minorHAnsi" w:cstheme="minorBidi"/>
      <w:b/>
    </w:rPr>
  </w:style>
  <w:style w:type="paragraph" w:styleId="Header">
    <w:name w:val="header"/>
    <w:basedOn w:val="Normal"/>
    <w:link w:val="HeaderChar"/>
    <w:uiPriority w:val="99"/>
    <w:unhideWhenUsed/>
    <w:rsid w:val="006258D7"/>
    <w:pPr>
      <w:tabs>
        <w:tab w:val="center" w:pos="4536"/>
        <w:tab w:val="right" w:pos="9072"/>
      </w:tabs>
    </w:pPr>
  </w:style>
  <w:style w:type="paragraph" w:customStyle="1" w:styleId="Greinarnmer">
    <w:name w:val="Greinarnúmer"/>
    <w:basedOn w:val="Normal"/>
    <w:next w:val="Normal"/>
    <w:qFormat/>
    <w:rsid w:val="000F2FFA"/>
    <w:pPr>
      <w:keepNext/>
      <w:ind w:firstLine="0"/>
      <w:jc w:val="center"/>
    </w:pPr>
  </w:style>
  <w:style w:type="paragraph" w:customStyle="1" w:styleId="Greinarfyrirsgn">
    <w:name w:val="Greinarfyrirsögn"/>
    <w:basedOn w:val="Normal"/>
    <w:next w:val="Normal"/>
    <w:qFormat/>
    <w:rsid w:val="000F2FFA"/>
    <w:pPr>
      <w:keepNext/>
      <w:ind w:firstLine="0"/>
      <w:jc w:val="center"/>
    </w:pPr>
    <w:rPr>
      <w:i/>
    </w:rPr>
  </w:style>
  <w:style w:type="paragraph" w:customStyle="1" w:styleId="Kaflafyrirsgn">
    <w:name w:val="Kaflafyrirsögn"/>
    <w:basedOn w:val="Normal"/>
    <w:next w:val="Normal"/>
    <w:qFormat/>
    <w:rsid w:val="000F2FFA"/>
    <w:pPr>
      <w:keepNext/>
      <w:ind w:firstLine="0"/>
      <w:jc w:val="center"/>
    </w:pPr>
    <w:rPr>
      <w:b/>
    </w:rPr>
  </w:style>
  <w:style w:type="paragraph" w:customStyle="1" w:styleId="Kaflanmer">
    <w:name w:val="Kaflanúmer"/>
    <w:basedOn w:val="Normal"/>
    <w:next w:val="Normal"/>
    <w:qFormat/>
    <w:rsid w:val="000F2FFA"/>
    <w:pPr>
      <w:keepNext/>
      <w:ind w:firstLine="0"/>
      <w:jc w:val="center"/>
    </w:pPr>
    <w:rPr>
      <w:caps/>
    </w:rPr>
  </w:style>
  <w:style w:type="character" w:customStyle="1" w:styleId="HeaderChar">
    <w:name w:val="Header Char"/>
    <w:link w:val="Header"/>
    <w:uiPriority w:val="99"/>
    <w:rsid w:val="006258D7"/>
    <w:rPr>
      <w:rFonts w:ascii="Times New Roman" w:hAnsi="Times New Roman"/>
      <w:sz w:val="21"/>
      <w:szCs w:val="22"/>
      <w:lang w:eastAsia="en-US"/>
    </w:rPr>
  </w:style>
  <w:style w:type="paragraph" w:styleId="Footer">
    <w:name w:val="footer"/>
    <w:basedOn w:val="Normal"/>
    <w:link w:val="FooterChar"/>
    <w:uiPriority w:val="99"/>
    <w:unhideWhenUsed/>
    <w:rsid w:val="006258D7"/>
    <w:pPr>
      <w:tabs>
        <w:tab w:val="center" w:pos="4536"/>
        <w:tab w:val="right" w:pos="9072"/>
      </w:tabs>
    </w:pPr>
  </w:style>
  <w:style w:type="character" w:customStyle="1" w:styleId="FooterChar">
    <w:name w:val="Footer Char"/>
    <w:link w:val="Footer"/>
    <w:uiPriority w:val="99"/>
    <w:rsid w:val="006258D7"/>
    <w:rPr>
      <w:rFonts w:ascii="Times New Roman" w:hAnsi="Times New Roman"/>
      <w:sz w:val="21"/>
      <w:szCs w:val="22"/>
      <w:lang w:eastAsia="en-US"/>
    </w:rPr>
  </w:style>
  <w:style w:type="character" w:styleId="Hyperlink">
    <w:name w:val="Hyperlink"/>
    <w:basedOn w:val="DefaultParagraphFont"/>
    <w:uiPriority w:val="99"/>
    <w:unhideWhenUsed/>
    <w:rsid w:val="00D512A4"/>
  </w:style>
  <w:style w:type="paragraph" w:styleId="FootnoteText">
    <w:name w:val="footnote text"/>
    <w:basedOn w:val="Normal"/>
    <w:link w:val="FootnoteTextChar"/>
    <w:uiPriority w:val="99"/>
    <w:semiHidden/>
    <w:unhideWhenUsed/>
    <w:rsid w:val="005B4CD6"/>
    <w:pPr>
      <w:ind w:left="284" w:hanging="284"/>
    </w:pPr>
    <w:rPr>
      <w:sz w:val="18"/>
      <w:szCs w:val="20"/>
    </w:rPr>
  </w:style>
  <w:style w:type="character" w:customStyle="1" w:styleId="FootnoteTextChar">
    <w:name w:val="Footnote Text Char"/>
    <w:link w:val="FootnoteText"/>
    <w:uiPriority w:val="99"/>
    <w:semiHidden/>
    <w:rsid w:val="005B4CD6"/>
    <w:rPr>
      <w:rFonts w:ascii="Times New Roman" w:hAnsi="Times New Roman"/>
      <w:sz w:val="18"/>
      <w:lang w:eastAsia="en-US"/>
    </w:rPr>
  </w:style>
  <w:style w:type="character" w:styleId="FootnoteReference">
    <w:name w:val="footnote reference"/>
    <w:uiPriority w:val="99"/>
    <w:semiHidden/>
    <w:unhideWhenUsed/>
    <w:rsid w:val="005B4CD6"/>
    <w:rPr>
      <w:vertAlign w:val="superscript"/>
    </w:rPr>
  </w:style>
  <w:style w:type="numbering" w:customStyle="1" w:styleId="Althingi---">
    <w:name w:val="Althingi - - -"/>
    <w:uiPriority w:val="99"/>
    <w:rsid w:val="00995085"/>
    <w:pPr>
      <w:numPr>
        <w:numId w:val="6"/>
      </w:numPr>
    </w:pPr>
  </w:style>
  <w:style w:type="numbering" w:customStyle="1" w:styleId="Althingi">
    <w:name w:val="Althingi • • •"/>
    <w:uiPriority w:val="99"/>
    <w:rsid w:val="00995085"/>
    <w:pPr>
      <w:numPr>
        <w:numId w:val="7"/>
      </w:numPr>
    </w:pPr>
  </w:style>
  <w:style w:type="numbering" w:customStyle="1" w:styleId="Althingi1-a-1-a">
    <w:name w:val="Althingi 1 - a - 1 -a"/>
    <w:uiPriority w:val="99"/>
    <w:rsid w:val="00A10AE9"/>
    <w:pPr>
      <w:numPr>
        <w:numId w:val="8"/>
      </w:numPr>
    </w:pPr>
  </w:style>
  <w:style w:type="numbering" w:customStyle="1" w:styleId="Althingia-1-a-1">
    <w:name w:val="Althingi a - 1 - a - 1"/>
    <w:uiPriority w:val="99"/>
    <w:rsid w:val="00A10AE9"/>
    <w:pPr>
      <w:numPr>
        <w:numId w:val="9"/>
      </w:numPr>
    </w:pPr>
  </w:style>
  <w:style w:type="numbering" w:customStyle="1" w:styleId="Althingii-1-i-1">
    <w:name w:val="Althingi i - 1 - i - 1"/>
    <w:uiPriority w:val="99"/>
    <w:rsid w:val="00A10AE9"/>
    <w:pPr>
      <w:numPr>
        <w:numId w:val="10"/>
      </w:numPr>
    </w:pPr>
  </w:style>
  <w:style w:type="paragraph" w:customStyle="1" w:styleId="Nmeringsskjalsmls">
    <w:name w:val="Númer þings/skjals/máls"/>
    <w:basedOn w:val="Normal"/>
    <w:next w:val="Normal"/>
    <w:qFormat/>
    <w:rsid w:val="00270A34"/>
    <w:pPr>
      <w:ind w:firstLine="0"/>
    </w:pPr>
    <w:rPr>
      <w:b/>
    </w:rPr>
  </w:style>
  <w:style w:type="paragraph" w:customStyle="1" w:styleId="Default">
    <w:name w:val="Default"/>
    <w:rsid w:val="00D0740D"/>
    <w:pPr>
      <w:autoSpaceDE w:val="0"/>
      <w:autoSpaceDN w:val="0"/>
      <w:adjustRightInd w:val="0"/>
    </w:pPr>
    <w:rPr>
      <w:rFonts w:ascii="Times New Roman" w:hAnsi="Times New Roman"/>
      <w:color w:val="000000"/>
      <w:sz w:val="24"/>
      <w:szCs w:val="24"/>
    </w:rPr>
  </w:style>
  <w:style w:type="paragraph" w:styleId="ListParagraph">
    <w:name w:val="List Paragraph"/>
    <w:basedOn w:val="Normal"/>
    <w:uiPriority w:val="34"/>
    <w:unhideWhenUsed/>
    <w:qFormat/>
    <w:rsid w:val="00B20E81"/>
    <w:pPr>
      <w:ind w:left="720"/>
      <w:contextualSpacing/>
    </w:pPr>
  </w:style>
  <w:style w:type="paragraph" w:customStyle="1" w:styleId="Frrherra">
    <w:name w:val="Frá ...ráðherra."/>
    <w:basedOn w:val="Normal"/>
    <w:next w:val="Normal"/>
    <w:qFormat/>
    <w:rsid w:val="00E71F27"/>
    <w:pPr>
      <w:ind w:firstLine="0"/>
      <w:jc w:val="center"/>
    </w:pPr>
    <w:rPr>
      <w:rFonts w:eastAsiaTheme="minorHAnsi" w:cstheme="minorBidi"/>
    </w:rPr>
  </w:style>
  <w:style w:type="paragraph" w:customStyle="1" w:styleId="Fyrirsgn-greinarger">
    <w:name w:val="Fyrirsögn - greinargerð"/>
    <w:basedOn w:val="Normal"/>
    <w:next w:val="Normal"/>
    <w:qFormat/>
    <w:rsid w:val="00E71F27"/>
    <w:pPr>
      <w:ind w:firstLine="0"/>
      <w:jc w:val="center"/>
      <w:outlineLvl w:val="0"/>
    </w:pPr>
    <w:rPr>
      <w:rFonts w:eastAsiaTheme="minorHAnsi" w:cstheme="minorBidi"/>
      <w:spacing w:val="44"/>
    </w:rPr>
  </w:style>
  <w:style w:type="numbering" w:customStyle="1" w:styleId="Thingskjala-1-a-1">
    <w:name w:val="Thingskjal a-1-a-1"/>
    <w:uiPriority w:val="99"/>
    <w:rsid w:val="00E71F27"/>
    <w:pPr>
      <w:numPr>
        <w:numId w:val="13"/>
      </w:numPr>
    </w:pPr>
  </w:style>
  <w:style w:type="paragraph" w:styleId="BalloonText">
    <w:name w:val="Balloon Text"/>
    <w:basedOn w:val="Normal"/>
    <w:link w:val="BalloonTextChar"/>
    <w:uiPriority w:val="99"/>
    <w:semiHidden/>
    <w:unhideWhenUsed/>
    <w:rsid w:val="007370D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370D9"/>
    <w:rPr>
      <w:rFonts w:ascii="Segoe UI" w:hAnsi="Segoe UI" w:cs="Segoe UI"/>
      <w:sz w:val="18"/>
      <w:szCs w:val="18"/>
      <w:lang w:val="is-IS"/>
    </w:rPr>
  </w:style>
  <w:style w:type="character" w:styleId="CommentReference">
    <w:name w:val="annotation reference"/>
    <w:basedOn w:val="DefaultParagraphFont"/>
    <w:uiPriority w:val="99"/>
    <w:semiHidden/>
    <w:unhideWhenUsed/>
    <w:rsid w:val="007370D9"/>
    <w:rPr>
      <w:sz w:val="16"/>
      <w:szCs w:val="16"/>
    </w:rPr>
  </w:style>
  <w:style w:type="paragraph" w:styleId="CommentText">
    <w:name w:val="annotation text"/>
    <w:basedOn w:val="Normal"/>
    <w:link w:val="CommentTextChar"/>
    <w:uiPriority w:val="99"/>
    <w:unhideWhenUsed/>
    <w:rsid w:val="007370D9"/>
    <w:rPr>
      <w:sz w:val="20"/>
      <w:szCs w:val="20"/>
    </w:rPr>
  </w:style>
  <w:style w:type="character" w:customStyle="1" w:styleId="CommentTextChar">
    <w:name w:val="Comment Text Char"/>
    <w:basedOn w:val="DefaultParagraphFont"/>
    <w:link w:val="CommentText"/>
    <w:uiPriority w:val="99"/>
    <w:rsid w:val="007370D9"/>
    <w:rPr>
      <w:rFonts w:ascii="Times New Roman" w:hAnsi="Times New Roman"/>
      <w:lang w:val="is-IS"/>
    </w:rPr>
  </w:style>
  <w:style w:type="paragraph" w:styleId="CommentSubject">
    <w:name w:val="annotation subject"/>
    <w:basedOn w:val="CommentText"/>
    <w:next w:val="CommentText"/>
    <w:link w:val="CommentSubjectChar"/>
    <w:uiPriority w:val="99"/>
    <w:semiHidden/>
    <w:unhideWhenUsed/>
    <w:rsid w:val="007370D9"/>
    <w:rPr>
      <w:b/>
      <w:bCs/>
    </w:rPr>
  </w:style>
  <w:style w:type="character" w:customStyle="1" w:styleId="CommentSubjectChar">
    <w:name w:val="Comment Subject Char"/>
    <w:basedOn w:val="CommentTextChar"/>
    <w:link w:val="CommentSubject"/>
    <w:uiPriority w:val="99"/>
    <w:semiHidden/>
    <w:rsid w:val="007370D9"/>
    <w:rPr>
      <w:rFonts w:ascii="Times New Roman" w:hAnsi="Times New Roman"/>
      <w:b/>
      <w:bCs/>
      <w:lang w:val="is-IS"/>
    </w:rPr>
  </w:style>
  <w:style w:type="paragraph" w:styleId="Revision">
    <w:name w:val="Revision"/>
    <w:hidden/>
    <w:uiPriority w:val="99"/>
    <w:semiHidden/>
    <w:rsid w:val="003605BC"/>
    <w:rPr>
      <w:rFonts w:ascii="Times New Roman" w:hAnsi="Times New Roman"/>
      <w:sz w:val="21"/>
      <w:szCs w:val="22"/>
      <w:lang w:val="is-IS"/>
    </w:rPr>
  </w:style>
  <w:style w:type="character" w:styleId="UnresolvedMention">
    <w:name w:val="Unresolved Mention"/>
    <w:basedOn w:val="DefaultParagraphFont"/>
    <w:uiPriority w:val="99"/>
    <w:semiHidden/>
    <w:unhideWhenUsed/>
    <w:rsid w:val="00EA3363"/>
    <w:rPr>
      <w:color w:val="605E5C"/>
      <w:shd w:val="clear" w:color="auto" w:fill="E1DFDD"/>
    </w:rPr>
  </w:style>
  <w:style w:type="character" w:customStyle="1" w:styleId="normaltextrun">
    <w:name w:val="normaltextrun"/>
    <w:basedOn w:val="DefaultParagraphFont"/>
    <w:rsid w:val="004A2F09"/>
  </w:style>
  <w:style w:type="paragraph" w:customStyle="1" w:styleId="oj-sti-art">
    <w:name w:val="oj-sti-art"/>
    <w:basedOn w:val="Normal"/>
    <w:rsid w:val="004A2F09"/>
    <w:pPr>
      <w:spacing w:before="100" w:beforeAutospacing="1" w:after="100" w:afterAutospacing="1"/>
      <w:ind w:firstLine="0"/>
      <w:jc w:val="left"/>
    </w:pPr>
    <w:rPr>
      <w:rFonts w:eastAsia="Times New Roman"/>
      <w:sz w:val="24"/>
      <w:szCs w:val="24"/>
    </w:rPr>
  </w:style>
  <w:style w:type="paragraph" w:customStyle="1" w:styleId="oj-normal">
    <w:name w:val="oj-normal"/>
    <w:basedOn w:val="Normal"/>
    <w:rsid w:val="004A2F09"/>
    <w:pPr>
      <w:spacing w:before="100" w:beforeAutospacing="1" w:after="100" w:afterAutospacing="1"/>
      <w:ind w:firstLine="0"/>
      <w:jc w:val="left"/>
    </w:pPr>
    <w:rPr>
      <w:rFonts w:eastAsia="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14898979">
      <w:bodyDiv w:val="1"/>
      <w:marLeft w:val="0"/>
      <w:marRight w:val="0"/>
      <w:marTop w:val="0"/>
      <w:marBottom w:val="0"/>
      <w:divBdr>
        <w:top w:val="none" w:sz="0" w:space="0" w:color="auto"/>
        <w:left w:val="none" w:sz="0" w:space="0" w:color="auto"/>
        <w:bottom w:val="none" w:sz="0" w:space="0" w:color="auto"/>
        <w:right w:val="none" w:sz="0" w:space="0" w:color="auto"/>
      </w:divBdr>
    </w:div>
    <w:div w:id="638413778">
      <w:bodyDiv w:val="1"/>
      <w:marLeft w:val="0"/>
      <w:marRight w:val="0"/>
      <w:marTop w:val="0"/>
      <w:marBottom w:val="0"/>
      <w:divBdr>
        <w:top w:val="none" w:sz="0" w:space="0" w:color="auto"/>
        <w:left w:val="none" w:sz="0" w:space="0" w:color="auto"/>
        <w:bottom w:val="none" w:sz="0" w:space="0" w:color="auto"/>
        <w:right w:val="none" w:sz="0" w:space="0" w:color="auto"/>
      </w:divBdr>
    </w:div>
    <w:div w:id="698823923">
      <w:bodyDiv w:val="1"/>
      <w:marLeft w:val="0"/>
      <w:marRight w:val="0"/>
      <w:marTop w:val="0"/>
      <w:marBottom w:val="0"/>
      <w:divBdr>
        <w:top w:val="none" w:sz="0" w:space="0" w:color="auto"/>
        <w:left w:val="none" w:sz="0" w:space="0" w:color="auto"/>
        <w:bottom w:val="none" w:sz="0" w:space="0" w:color="auto"/>
        <w:right w:val="none" w:sz="0" w:space="0" w:color="auto"/>
      </w:divBdr>
    </w:div>
    <w:div w:id="1406025175">
      <w:bodyDiv w:val="1"/>
      <w:marLeft w:val="0"/>
      <w:marRight w:val="0"/>
      <w:marTop w:val="0"/>
      <w:marBottom w:val="0"/>
      <w:divBdr>
        <w:top w:val="none" w:sz="0" w:space="0" w:color="auto"/>
        <w:left w:val="none" w:sz="0" w:space="0" w:color="auto"/>
        <w:bottom w:val="none" w:sz="0" w:space="0" w:color="auto"/>
        <w:right w:val="none" w:sz="0" w:space="0" w:color="auto"/>
      </w:divBdr>
    </w:div>
    <w:div w:id="1430194680">
      <w:bodyDiv w:val="1"/>
      <w:marLeft w:val="0"/>
      <w:marRight w:val="0"/>
      <w:marTop w:val="0"/>
      <w:marBottom w:val="0"/>
      <w:divBdr>
        <w:top w:val="none" w:sz="0" w:space="0" w:color="auto"/>
        <w:left w:val="none" w:sz="0" w:space="0" w:color="auto"/>
        <w:bottom w:val="none" w:sz="0" w:space="0" w:color="auto"/>
        <w:right w:val="none" w:sz="0" w:space="0" w:color="auto"/>
      </w:divBdr>
    </w:div>
    <w:div w:id="1722245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lthingi.is/lagas/152c/2005015.html"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s://www.althingi.is/lagas/152c/1993002.html"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s://finance.ec.europa.eu/news/capital-markets-union-2024-10-30_en" TargetMode="External"/><Relationship Id="rId1" Type="http://schemas.openxmlformats.org/officeDocument/2006/relationships/hyperlink" Target="https://eur-lex.europa.eu/legal-content/EN/ALL/?uri=celex:52021PC072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13</Pages>
  <Words>6371</Words>
  <Characters>36316</Characters>
  <Application>Microsoft Office Word</Application>
  <DocSecurity>0</DocSecurity>
  <Lines>302</Lines>
  <Paragraphs>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stjornarskjol@althingi.is</dc:creator>
  <cp:keywords/>
  <cp:lastModifiedBy>Elísabet Júlíusdóttir</cp:lastModifiedBy>
  <cp:revision>5</cp:revision>
  <dcterms:created xsi:type="dcterms:W3CDTF">2025-04-22T15:55:00Z</dcterms:created>
  <dcterms:modified xsi:type="dcterms:W3CDTF">2025-04-25T09:55:00Z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6b9d89c-b30e-4009-8981-3a5a616d21de_Enabled">
    <vt:lpwstr>true</vt:lpwstr>
  </property>
  <property fmtid="{D5CDD505-2E9C-101B-9397-08002B2CF9AE}" pid="3" name="MSIP_Label_76b9d89c-b30e-4009-8981-3a5a616d21de_SetDate">
    <vt:lpwstr>2024-05-16T11:13:23Z</vt:lpwstr>
  </property>
  <property fmtid="{D5CDD505-2E9C-101B-9397-08002B2CF9AE}" pid="4" name="MSIP_Label_76b9d89c-b30e-4009-8981-3a5a616d21de_Method">
    <vt:lpwstr>Standard</vt:lpwstr>
  </property>
  <property fmtid="{D5CDD505-2E9C-101B-9397-08002B2CF9AE}" pid="5" name="MSIP_Label_76b9d89c-b30e-4009-8981-3a5a616d21de_Name">
    <vt:lpwstr>Varin - AL</vt:lpwstr>
  </property>
  <property fmtid="{D5CDD505-2E9C-101B-9397-08002B2CF9AE}" pid="6" name="MSIP_Label_76b9d89c-b30e-4009-8981-3a5a616d21de_SiteId">
    <vt:lpwstr>05a20268-aaea-4bb5-bb78-960b0462185e</vt:lpwstr>
  </property>
  <property fmtid="{D5CDD505-2E9C-101B-9397-08002B2CF9AE}" pid="7" name="MSIP_Label_76b9d89c-b30e-4009-8981-3a5a616d21de_ActionId">
    <vt:lpwstr>ae1c0dd2-e171-4131-83d2-9c152b2e3662</vt:lpwstr>
  </property>
  <property fmtid="{D5CDD505-2E9C-101B-9397-08002B2CF9AE}" pid="8" name="MSIP_Label_76b9d89c-b30e-4009-8981-3a5a616d21de_ContentBits">
    <vt:lpwstr>0</vt:lpwstr>
  </property>
</Properties>
</file>