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400002E1"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69BC666D" w14:textId="77777777" w:rsidR="00883508" w:rsidRPr="00C16582" w:rsidRDefault="00883508" w:rsidP="00881864">
            <w:pPr>
              <w:spacing w:before="120" w:after="120"/>
              <w:jc w:val="center"/>
              <w:rPr>
                <w:rFonts w:ascii="Times New Roman" w:hAnsi="Times New Roman" w:cs="Times New Roman"/>
                <w:b/>
                <w:sz w:val="32"/>
                <w:szCs w:val="32"/>
                <w:lang w:val="is-IS"/>
              </w:rPr>
            </w:pPr>
            <w:bookmarkStart w:id="0" w:name="_GoBack"/>
            <w:bookmarkEnd w:id="0"/>
            <w:r>
              <w:rPr>
                <w:rFonts w:ascii="Times New Roman" w:hAnsi="Times New Roman" w:cs="Times New Roman"/>
                <w:i/>
                <w:noProof/>
                <w:lang w:val="en-US"/>
              </w:rPr>
              <w:drawing>
                <wp:inline distT="0" distB="0" distL="0" distR="0" wp14:anchorId="5E8F01AD" wp14:editId="2F40305A">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BB25C9B"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04978D90"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451E8C7A"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4C4FF72D"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B7B546B" w14:textId="77777777" w:rsidR="00135B40" w:rsidRPr="004E0E11" w:rsidRDefault="00135B40" w:rsidP="00851A99">
            <w:pPr>
              <w:spacing w:before="60" w:after="60"/>
              <w:rPr>
                <w:rFonts w:ascii="Times New Roman" w:hAnsi="Times New Roman" w:cs="Times New Roman"/>
                <w:b/>
                <w:lang w:val="is-IS"/>
              </w:rPr>
            </w:pPr>
            <w:permStart w:id="2147029025" w:edGrp="everyone" w:colFirst="1" w:colLast="1"/>
            <w:r w:rsidRPr="004E0E11">
              <w:rPr>
                <w:rFonts w:ascii="Times New Roman" w:hAnsi="Times New Roman" w:cs="Times New Roman"/>
                <w:b/>
                <w:lang w:val="is-IS"/>
              </w:rPr>
              <w:t>Málsheiti og nr.</w:t>
            </w:r>
          </w:p>
        </w:tc>
        <w:tc>
          <w:tcPr>
            <w:tcW w:w="7479" w:type="dxa"/>
            <w:tcBorders>
              <w:top w:val="single" w:sz="4" w:space="0" w:color="auto"/>
              <w:bottom w:val="single" w:sz="4" w:space="0" w:color="auto"/>
            </w:tcBorders>
          </w:tcPr>
          <w:p w14:paraId="25626F2E" w14:textId="325E86C1" w:rsidR="00135B40" w:rsidRPr="004E0E11" w:rsidRDefault="00E52E18" w:rsidP="00682403">
            <w:pPr>
              <w:spacing w:before="60"/>
              <w:rPr>
                <w:rFonts w:ascii="Times New Roman" w:hAnsi="Times New Roman" w:cs="Times New Roman"/>
                <w:lang w:val="is-IS"/>
              </w:rPr>
            </w:pPr>
            <w:sdt>
              <w:sdtPr>
                <w:rPr>
                  <w:rFonts w:ascii="Times New Roman" w:hAnsi="Times New Roman" w:cs="Times New Roman"/>
                  <w:lang w:val="is-IS"/>
                </w:rPr>
                <w:id w:val="764192880"/>
                <w:placeholder>
                  <w:docPart w:val="E6A1A9D79D4C4506BAC2993B662C1273"/>
                </w:placeholder>
              </w:sdtPr>
              <w:sdtEndPr/>
              <w:sdtContent>
                <w:r w:rsidR="00135B40" w:rsidRPr="004E0E11">
                  <w:rPr>
                    <w:rFonts w:ascii="Times New Roman" w:hAnsi="Times New Roman" w:cs="Times New Roman"/>
                    <w:lang w:val="is-IS"/>
                  </w:rPr>
                  <w:t xml:space="preserve"> </w:t>
                </w:r>
                <w:sdt>
                  <w:sdtPr>
                    <w:rPr>
                      <w:rFonts w:ascii="Times New Roman" w:hAnsi="Times New Roman" w:cs="Times New Roman"/>
                    </w:rPr>
                    <w:id w:val="-1933347648"/>
                    <w:placeholder>
                      <w:docPart w:val="5BADE54B3CF74BFEB0D01DF077472085"/>
                    </w:placeholder>
                  </w:sdtPr>
                  <w:sdtEndPr/>
                  <w:sdtContent>
                    <w:r w:rsidR="0080567D" w:rsidRPr="00682403">
                      <w:rPr>
                        <w:rFonts w:ascii="Times New Roman" w:hAnsi="Times New Roman" w:cs="Times New Roman"/>
                      </w:rPr>
                      <w:t>Frumvarp til lag</w:t>
                    </w:r>
                    <w:r w:rsidR="0080567D">
                      <w:rPr>
                        <w:rFonts w:ascii="Times New Roman" w:hAnsi="Times New Roman" w:cs="Times New Roman"/>
                      </w:rPr>
                      <w:t xml:space="preserve">a </w:t>
                    </w:r>
                    <w:r w:rsidR="0080567D" w:rsidRPr="00682403">
                      <w:rPr>
                        <w:rFonts w:ascii="Times New Roman" w:hAnsi="Times New Roman" w:cs="Times New Roman"/>
                      </w:rPr>
                      <w:t xml:space="preserve">um </w:t>
                    </w:r>
                    <w:r w:rsidR="004A3E4B">
                      <w:rPr>
                        <w:rFonts w:ascii="Times New Roman" w:hAnsi="Times New Roman" w:cs="Times New Roman"/>
                      </w:rPr>
                      <w:t>mannanöfn -</w:t>
                    </w:r>
                    <w:r w:rsidR="0080567D">
                      <w:rPr>
                        <w:rFonts w:ascii="Times New Roman" w:hAnsi="Times New Roman" w:cs="Times New Roman"/>
                      </w:rPr>
                      <w:t xml:space="preserve"> 150. löggjafarþing </w:t>
                    </w:r>
                    <w:r w:rsidR="004A3E4B">
                      <w:rPr>
                        <w:rFonts w:ascii="Times New Roman" w:hAnsi="Times New Roman" w:cs="Times New Roman"/>
                      </w:rPr>
                      <w:t xml:space="preserve">2019 – 2020 </w:t>
                    </w:r>
                    <w:r w:rsidR="0080567D">
                      <w:rPr>
                        <w:rFonts w:ascii="Times New Roman" w:hAnsi="Times New Roman" w:cs="Times New Roman"/>
                      </w:rPr>
                      <w:t>DMR</w:t>
                    </w:r>
                  </w:sdtContent>
                </w:sdt>
                <w:r w:rsidR="004A3E4B">
                  <w:rPr>
                    <w:rFonts w:ascii="Times New Roman" w:hAnsi="Times New Roman" w:cs="Times New Roman"/>
                  </w:rPr>
                  <w:t>19100127</w:t>
                </w:r>
                <w:r w:rsidR="0080567D">
                  <w:rPr>
                    <w:rFonts w:ascii="Times New Roman" w:hAnsi="Times New Roman" w:cs="Times New Roman"/>
                  </w:rPr>
                  <w:t xml:space="preserve"> </w:t>
                </w:r>
              </w:sdtContent>
            </w:sdt>
            <w:r w:rsidR="00234083">
              <w:rPr>
                <w:rFonts w:ascii="Times New Roman" w:hAnsi="Times New Roman" w:cs="Times New Roman"/>
                <w:lang w:val="is-IS"/>
              </w:rPr>
              <w:t xml:space="preserve"> </w:t>
            </w:r>
          </w:p>
        </w:tc>
      </w:tr>
      <w:tr w:rsidR="00135B40" w:rsidRPr="00BF5ACD" w14:paraId="6BBC73FA"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2CA4D6B" w14:textId="77777777" w:rsidR="00135B40" w:rsidRPr="004E0E11" w:rsidRDefault="004E0E11" w:rsidP="0012646E">
            <w:pPr>
              <w:spacing w:before="60" w:after="60"/>
              <w:rPr>
                <w:rFonts w:ascii="Times New Roman" w:hAnsi="Times New Roman" w:cs="Times New Roman"/>
                <w:b/>
                <w:lang w:val="is-IS"/>
              </w:rPr>
            </w:pPr>
            <w:permStart w:id="1214465954" w:edGrp="everyone" w:colFirst="1" w:colLast="1"/>
            <w:permEnd w:id="2147029025"/>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608D412" w14:textId="77777777"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074C6D">
                  <w:rPr>
                    <w:rFonts w:ascii="Times New Roman" w:hAnsi="Times New Roman" w:cs="Times New Roman"/>
                    <w:lang w:val="is-IS"/>
                  </w:rPr>
                  <w:t>Dómsmálaráðuneyti</w:t>
                </w:r>
              </w:p>
            </w:tc>
          </w:sdtContent>
        </w:sdt>
      </w:tr>
      <w:tr w:rsidR="00135B40" w:rsidRPr="00BF5ACD" w14:paraId="6624C614"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7BA3BED" w14:textId="77777777" w:rsidR="00135B40" w:rsidRPr="004E0E11" w:rsidRDefault="005176D0" w:rsidP="0012646E">
            <w:pPr>
              <w:spacing w:before="60" w:after="60"/>
              <w:rPr>
                <w:rFonts w:ascii="Times New Roman" w:hAnsi="Times New Roman" w:cs="Times New Roman"/>
                <w:b/>
                <w:lang w:val="is-IS"/>
              </w:rPr>
            </w:pPr>
            <w:permStart w:id="442714807" w:edGrp="everyone" w:colFirst="1" w:colLast="1"/>
            <w:permEnd w:id="1214465954"/>
            <w:r w:rsidRPr="004E0E11">
              <w:rPr>
                <w:rFonts w:ascii="Times New Roman" w:hAnsi="Times New Roman" w:cs="Times New Roman"/>
                <w:b/>
                <w:lang w:val="is-IS"/>
              </w:rPr>
              <w:t>Stig mats</w:t>
            </w:r>
          </w:p>
        </w:tc>
        <w:tc>
          <w:tcPr>
            <w:tcW w:w="7479" w:type="dxa"/>
            <w:tcBorders>
              <w:bottom w:val="nil"/>
            </w:tcBorders>
          </w:tcPr>
          <w:p w14:paraId="7E99C18B" w14:textId="77777777" w:rsidR="00135B40" w:rsidRPr="004E0E11" w:rsidRDefault="00E52E18"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2F4B06">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6BA2F884" w14:textId="77777777" w:rsidR="00135B40" w:rsidRPr="004E0E11" w:rsidRDefault="00E52E18"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2F4B06">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37863FB6"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2BCFDD49" w14:textId="77777777" w:rsidR="00135B40" w:rsidRPr="004E0E11" w:rsidRDefault="00135B40" w:rsidP="000D6E33">
            <w:pPr>
              <w:spacing w:before="60" w:after="60"/>
              <w:rPr>
                <w:rFonts w:ascii="Times New Roman" w:hAnsi="Times New Roman" w:cs="Times New Roman"/>
                <w:b/>
                <w:lang w:val="is-IS"/>
              </w:rPr>
            </w:pPr>
            <w:permStart w:id="290918681" w:edGrp="everyone" w:colFirst="1" w:colLast="1"/>
            <w:permEnd w:id="442714807"/>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60690233" w14:textId="071DA1F9" w:rsidR="00135B40" w:rsidRPr="004E0E11" w:rsidRDefault="00135B40" w:rsidP="00682403">
                <w:pPr>
                  <w:spacing w:before="60"/>
                  <w:rPr>
                    <w:rFonts w:ascii="Times New Roman" w:hAnsi="Times New Roman" w:cs="Times New Roman"/>
                    <w:lang w:val="is-IS"/>
                  </w:rPr>
                </w:pPr>
                <w:r w:rsidRPr="004E0E11">
                  <w:rPr>
                    <w:rFonts w:ascii="Times New Roman" w:hAnsi="Times New Roman" w:cs="Times New Roman"/>
                    <w:lang w:val="is-IS"/>
                  </w:rPr>
                  <w:t xml:space="preserve"> </w:t>
                </w:r>
                <w:r w:rsidR="004A3E4B">
                  <w:rPr>
                    <w:rFonts w:ascii="Times New Roman" w:hAnsi="Times New Roman" w:cs="Times New Roman"/>
                    <w:lang w:val="is-IS"/>
                  </w:rPr>
                  <w:t>8</w:t>
                </w:r>
                <w:r w:rsidR="00074C6D">
                  <w:rPr>
                    <w:rFonts w:ascii="Times New Roman" w:hAnsi="Times New Roman" w:cs="Times New Roman"/>
                    <w:lang w:val="is-IS"/>
                  </w:rPr>
                  <w:t>.</w:t>
                </w:r>
                <w:r w:rsidR="00492AB8">
                  <w:rPr>
                    <w:rFonts w:ascii="Times New Roman" w:hAnsi="Times New Roman" w:cs="Times New Roman"/>
                    <w:lang w:val="is-IS"/>
                  </w:rPr>
                  <w:t>11</w:t>
                </w:r>
                <w:r w:rsidR="009F63D5">
                  <w:rPr>
                    <w:rFonts w:ascii="Times New Roman" w:hAnsi="Times New Roman" w:cs="Times New Roman"/>
                    <w:lang w:val="is-IS"/>
                  </w:rPr>
                  <w:t>.201</w:t>
                </w:r>
                <w:r w:rsidR="00941A1C">
                  <w:rPr>
                    <w:rFonts w:ascii="Times New Roman" w:hAnsi="Times New Roman" w:cs="Times New Roman"/>
                    <w:lang w:val="is-IS"/>
                  </w:rPr>
                  <w:t>9</w:t>
                </w:r>
              </w:p>
            </w:tc>
          </w:sdtContent>
        </w:sdt>
      </w:tr>
      <w:permEnd w:id="290918681"/>
    </w:tbl>
    <w:p w14:paraId="3446F326"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6886794E" w14:textId="77777777" w:rsidTr="007414CB">
        <w:tc>
          <w:tcPr>
            <w:tcW w:w="9288" w:type="dxa"/>
            <w:shd w:val="clear" w:color="auto" w:fill="92CDDC" w:themeFill="accent5" w:themeFillTint="99"/>
          </w:tcPr>
          <w:p w14:paraId="20EABDF7"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58E8BC09"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9900663" w:edGrp="everyone" w:displacedByCustomXml="prev"/>
              <w:p w14:paraId="09E8979B" w14:textId="77777777" w:rsidR="0043227F" w:rsidRP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3B0CC8DC" w14:textId="20FEFC5D" w:rsidR="00D96089"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7482788F"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p>
              <w:p w14:paraId="4C580195"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p>
              <w:p w14:paraId="67417FE0"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p>
              <w:p w14:paraId="56D3B0E8"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Aðskilin umfjöllun um brúttóáhrif á tekjuhlið og gjaldahlið en einnig tilgreind nettóáhrif á afkomu</w:t>
                </w:r>
              </w:p>
              <w:p w14:paraId="123689C7"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5150546F" w14:textId="77777777" w:rsidR="00D96089" w:rsidRDefault="002F5A2D" w:rsidP="00237053">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p>
              <w:p w14:paraId="28890E72"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2CFC039B" w14:textId="77777777" w:rsidR="00D96089"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p>
              <w:p w14:paraId="0666A9D4" w14:textId="098B4A7A" w:rsidR="00D222DE" w:rsidRDefault="004A3E4B" w:rsidP="004A3E4B">
                <w:pPr>
                  <w:pStyle w:val="Mlsgreinlista"/>
                  <w:spacing w:before="60" w:after="60"/>
                  <w:ind w:left="1080"/>
                  <w:jc w:val="both"/>
                  <w:rPr>
                    <w:rFonts w:ascii="Times New Roman" w:hAnsi="Times New Roman" w:cs="Times New Roman"/>
                    <w:noProof/>
                  </w:rPr>
                </w:pPr>
                <w:r>
                  <w:rPr>
                    <w:rFonts w:ascii="Times New Roman" w:hAnsi="Times New Roman" w:cs="Times New Roman"/>
                    <w:lang w:val="is-IS"/>
                  </w:rPr>
                  <w:t>Með f</w:t>
                </w:r>
                <w:r w:rsidR="002F4B06">
                  <w:rPr>
                    <w:rFonts w:ascii="Times New Roman" w:hAnsi="Times New Roman" w:cs="Times New Roman"/>
                    <w:lang w:val="is-IS"/>
                  </w:rPr>
                  <w:t>rumvarp</w:t>
                </w:r>
                <w:r>
                  <w:rPr>
                    <w:rFonts w:ascii="Times New Roman" w:hAnsi="Times New Roman" w:cs="Times New Roman"/>
                    <w:lang w:val="is-IS"/>
                  </w:rPr>
                  <w:t>i því</w:t>
                </w:r>
                <w:r w:rsidR="00F65C5F">
                  <w:rPr>
                    <w:rFonts w:ascii="Times New Roman" w:hAnsi="Times New Roman" w:cs="Times New Roman"/>
                    <w:lang w:val="is-IS"/>
                  </w:rPr>
                  <w:t xml:space="preserve"> </w:t>
                </w:r>
                <w:r w:rsidR="002F4B06">
                  <w:rPr>
                    <w:rFonts w:ascii="Times New Roman" w:hAnsi="Times New Roman" w:cs="Times New Roman"/>
                    <w:lang w:val="is-IS"/>
                  </w:rPr>
                  <w:t xml:space="preserve">sem hér um ræðir er </w:t>
                </w:r>
                <w:r>
                  <w:rPr>
                    <w:rFonts w:ascii="Times New Roman" w:hAnsi="Times New Roman" w:cs="Times New Roman"/>
                    <w:lang w:val="is-IS"/>
                  </w:rPr>
                  <w:t>áætlað að afnema eða rýmka eins og mögulegt er þær takmarkanir sem núgildandi löggjöf setur um skráningu nafna. Ekki er gert ráð fyrir að frumvarpið hafi í för með sér útgjaldabreytingar sem nokkru nemur</w:t>
                </w:r>
                <w:r w:rsidR="009C462D">
                  <w:rPr>
                    <w:rFonts w:ascii="Times New Roman" w:hAnsi="Times New Roman" w:cs="Times New Roman"/>
                    <w:lang w:val="is-IS"/>
                  </w:rPr>
                  <w:t xml:space="preserve">, annað en það sem lýtur að breytingu á þjóðskrárkerfi Þjóðskrár Íslands. </w:t>
                </w:r>
                <w:r w:rsidR="005957D7">
                  <w:rPr>
                    <w:rFonts w:ascii="Times New Roman" w:hAnsi="Times New Roman" w:cs="Times New Roman"/>
                    <w:lang w:val="is-IS"/>
                  </w:rPr>
                  <w:t xml:space="preserve">Um ræðir tímabundinn kostnað sem </w:t>
                </w:r>
                <w:r w:rsidR="009C462D">
                  <w:rPr>
                    <w:rFonts w:ascii="Times New Roman" w:hAnsi="Times New Roman" w:cs="Times New Roman"/>
                    <w:lang w:val="is-IS"/>
                  </w:rPr>
                  <w:t>tengist margþættum endurbótum sem nauðsynlegar eru á þjóðskrárkerfinu</w:t>
                </w:r>
                <w:r w:rsidR="005957D7">
                  <w:rPr>
                    <w:rFonts w:ascii="Times New Roman" w:hAnsi="Times New Roman" w:cs="Times New Roman"/>
                    <w:lang w:val="is-IS"/>
                  </w:rPr>
                  <w:t>. H</w:t>
                </w:r>
                <w:r w:rsidR="009C462D">
                  <w:rPr>
                    <w:rFonts w:ascii="Times New Roman" w:hAnsi="Times New Roman" w:cs="Times New Roman"/>
                    <w:lang w:val="is-IS"/>
                  </w:rPr>
                  <w:t xml:space="preserve">efur heildarkostnaður við kerfisbreytinguna verið metinn á 60 m.kr. sem tengist málum sem eru á ábyrgðarsviði annarra ráðuneyta. </w:t>
                </w:r>
                <w:r w:rsidR="009C462D" w:rsidRPr="009C462D">
                  <w:rPr>
                    <w:rFonts w:ascii="Times New Roman" w:hAnsi="Times New Roman" w:cs="Times New Roman"/>
                    <w:lang w:val="is-IS"/>
                  </w:rPr>
                  <w:t>Má þar nefna tiltekin ákvæði laga um lögheimili og aðsetur nr. 80/2018</w:t>
                </w:r>
                <w:r w:rsidR="00CC4EBD">
                  <w:rPr>
                    <w:rFonts w:ascii="Times New Roman" w:hAnsi="Times New Roman" w:cs="Times New Roman"/>
                    <w:lang w:val="is-IS"/>
                  </w:rPr>
                  <w:t xml:space="preserve"> og laga um kynrænt sjálfræði nr. 80/2019,</w:t>
                </w:r>
                <w:r w:rsidR="009C462D" w:rsidRPr="009C462D">
                  <w:rPr>
                    <w:rFonts w:ascii="Times New Roman" w:hAnsi="Times New Roman" w:cs="Times New Roman"/>
                    <w:lang w:val="is-IS"/>
                  </w:rPr>
                  <w:t xml:space="preserve"> sem ekki hafa enn tekið gildi, frumvarp til laga um skráningu einstaklinga og fleiri frumvörp sem fela öll í sér að gera þurfi breytingar á kerfi Þjóðskrár</w:t>
                </w:r>
                <w:r w:rsidR="00CC4EBD">
                  <w:rPr>
                    <w:rFonts w:ascii="Times New Roman" w:hAnsi="Times New Roman" w:cs="Times New Roman"/>
                    <w:lang w:val="is-IS"/>
                  </w:rPr>
                  <w:t xml:space="preserve"> Íslands</w:t>
                </w:r>
                <w:r w:rsidR="009C462D" w:rsidRPr="009C462D">
                  <w:rPr>
                    <w:rFonts w:ascii="Times New Roman" w:hAnsi="Times New Roman" w:cs="Times New Roman"/>
                    <w:lang w:val="is-IS"/>
                  </w:rPr>
                  <w:t>. Því þarf að skoða málið heildstætt.</w:t>
                </w:r>
              </w:p>
              <w:p w14:paraId="2865F2C0" w14:textId="77777777" w:rsidR="00D222DE" w:rsidRDefault="00D222DE" w:rsidP="00D222DE">
                <w:pPr>
                  <w:pStyle w:val="Mlsgreinlista"/>
                  <w:spacing w:before="60" w:after="60"/>
                  <w:ind w:left="1080"/>
                  <w:jc w:val="both"/>
                  <w:rPr>
                    <w:rFonts w:ascii="Times New Roman" w:hAnsi="Times New Roman" w:cs="Times New Roman"/>
                    <w:noProof/>
                  </w:rPr>
                </w:pPr>
              </w:p>
              <w:p w14:paraId="6E079050" w14:textId="26410B94" w:rsidR="00D96089" w:rsidRDefault="00AD6D06" w:rsidP="00D222DE">
                <w:pPr>
                  <w:pStyle w:val="Mlsgreinlista"/>
                  <w:spacing w:before="60" w:after="60"/>
                  <w:ind w:left="1080"/>
                  <w:jc w:val="both"/>
                  <w:rPr>
                    <w:rFonts w:ascii="Times New Roman" w:hAnsi="Times New Roman" w:cs="Times New Roman"/>
                    <w:b/>
                    <w:lang w:val="is-IS"/>
                  </w:rPr>
                </w:pPr>
                <w:r w:rsidRPr="00AD6D06">
                  <w:rPr>
                    <w:rFonts w:ascii="Times New Roman" w:hAnsi="Times New Roman" w:cs="Times New Roman"/>
                    <w:b/>
                    <w:lang w:val="is-IS"/>
                  </w:rPr>
                  <w:t>Eignabreytingar</w:t>
                </w:r>
              </w:p>
              <w:p w14:paraId="33383969" w14:textId="77777777" w:rsidR="00D96089"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D96089" w:rsidRPr="00A72ECC">
                  <w:rPr>
                    <w:rFonts w:ascii="Times New Roman" w:hAnsi="Times New Roman" w:cs="Times New Roman"/>
                    <w:lang w:val="is-IS"/>
                  </w:rPr>
                  <w:t>Sjá sérstakan gátlista fyrir mat á fjárhagsáhrifum</w:t>
                </w:r>
              </w:p>
              <w:p w14:paraId="0EFF3DCD"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70F28DFA"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243DABFB"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6CFB6EE8"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04DAB95D"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5605DAA8"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Rekstrarform ríkisstarfsemi</w:t>
                </w:r>
              </w:p>
              <w:p w14:paraId="39A24FE0"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22DF0CFC"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6201D365" w14:textId="40AA0DCF"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r w:rsidR="00492AB8">
                  <w:rPr>
                    <w:rFonts w:ascii="Times New Roman" w:hAnsi="Times New Roman" w:cs="Times New Roman"/>
                    <w:lang w:val="is-IS"/>
                  </w:rPr>
                  <w:t xml:space="preserve"> ATH??</w:t>
                </w:r>
              </w:p>
              <w:p w14:paraId="7B17BE34" w14:textId="77777777" w:rsidR="00CA3381" w:rsidRPr="00E648AA"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sdtContent>
          </w:sdt>
          <w:permEnd w:id="9900663" w:displacedByCustomXml="prev"/>
        </w:tc>
      </w:tr>
      <w:tr w:rsidR="00263F72" w:rsidRPr="00BF5ACD" w14:paraId="74A2F52E" w14:textId="77777777" w:rsidTr="007414CB">
        <w:tc>
          <w:tcPr>
            <w:tcW w:w="9288" w:type="dxa"/>
            <w:shd w:val="clear" w:color="auto" w:fill="92CDDC" w:themeFill="accent5" w:themeFillTint="99"/>
          </w:tcPr>
          <w:p w14:paraId="73829BE1"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0D00CA9E" w14:textId="77777777" w:rsidTr="00FD2097">
        <w:trPr>
          <w:trHeight w:val="826"/>
        </w:trPr>
        <w:tc>
          <w:tcPr>
            <w:tcW w:w="9288" w:type="dxa"/>
          </w:tcPr>
          <w:permStart w:id="603879042" w:edGrp="everyone" w:colFirst="0" w:colLast="0" w:displacedByCustomXml="next"/>
          <w:sdt>
            <w:sdtPr>
              <w:rPr>
                <w:rFonts w:ascii="Times New Roman" w:hAnsi="Times New Roman" w:cs="Times New Roman"/>
                <w:b/>
                <w:lang w:val="is-IS"/>
              </w:rPr>
              <w:id w:val="-197159978"/>
            </w:sdtPr>
            <w:sdtEndPr/>
            <w:sdtContent>
              <w:p w14:paraId="2AA4DC06"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1199A4D4" w14:textId="7BDD9C0C" w:rsidR="00963103" w:rsidRPr="0069548D" w:rsidRDefault="00237053" w:rsidP="0069548D">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r w:rsidR="009C462D">
                  <w:rPr>
                    <w:rFonts w:ascii="Times New Roman" w:hAnsi="Times New Roman" w:cs="Times New Roman"/>
                    <w:lang w:val="is-IS"/>
                  </w:rPr>
                  <w:t>. Nei.</w:t>
                </w:r>
              </w:p>
              <w:p w14:paraId="4E5519E7" w14:textId="573AB85E" w:rsidR="009A500B" w:rsidRPr="0069548D" w:rsidRDefault="00237053" w:rsidP="0069548D">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r w:rsidR="009C462D">
                  <w:rPr>
                    <w:rFonts w:ascii="Times New Roman" w:hAnsi="Times New Roman" w:cs="Times New Roman"/>
                    <w:lang w:val="is-IS"/>
                  </w:rPr>
                  <w:t>. Nei.</w:t>
                </w:r>
              </w:p>
              <w:p w14:paraId="31CF984C" w14:textId="155133B6" w:rsidR="009A500B" w:rsidRPr="0069548D" w:rsidRDefault="00237053" w:rsidP="0069548D">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r w:rsidR="009C462D">
                  <w:rPr>
                    <w:rFonts w:ascii="Times New Roman" w:hAnsi="Times New Roman" w:cs="Times New Roman"/>
                    <w:lang w:val="is-IS"/>
                  </w:rPr>
                  <w:t>. Nei.</w:t>
                </w:r>
              </w:p>
              <w:p w14:paraId="04126C3C" w14:textId="6FFD6EBD"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688E4E41" w14:textId="3B1CB504" w:rsidR="009C462D" w:rsidRPr="009C462D" w:rsidRDefault="009C462D" w:rsidP="009C462D">
                <w:pPr>
                  <w:pStyle w:val="Mlsgreinlista"/>
                  <w:spacing w:before="60" w:after="60"/>
                  <w:contextualSpacing w:val="0"/>
                  <w:rPr>
                    <w:rFonts w:ascii="Times New Roman" w:hAnsi="Times New Roman" w:cs="Times New Roman"/>
                    <w:lang w:val="is-IS"/>
                  </w:rPr>
                </w:pPr>
                <w:r w:rsidRPr="009C462D">
                  <w:rPr>
                    <w:rFonts w:ascii="Times New Roman" w:hAnsi="Times New Roman" w:cs="Times New Roman"/>
                    <w:lang w:val="is-IS"/>
                  </w:rPr>
                  <w:t xml:space="preserve">Áætlaður 60 m.kr. </w:t>
                </w:r>
                <w:r w:rsidR="005957D7">
                  <w:rPr>
                    <w:rFonts w:ascii="Times New Roman" w:hAnsi="Times New Roman" w:cs="Times New Roman"/>
                    <w:lang w:val="is-IS"/>
                  </w:rPr>
                  <w:t xml:space="preserve">tímabundinn </w:t>
                </w:r>
                <w:r w:rsidRPr="009C462D">
                  <w:rPr>
                    <w:rFonts w:ascii="Times New Roman" w:hAnsi="Times New Roman" w:cs="Times New Roman"/>
                    <w:lang w:val="is-IS"/>
                  </w:rPr>
                  <w:t>kostnaður við kerfisbreytingar hjá Þjóðskrá Íslands tengist fleiri málum sem eru á ábyrgðarsviði annarra ráðuneyta.</w:t>
                </w:r>
                <w:r w:rsidR="00CC4EBD">
                  <w:rPr>
                    <w:rFonts w:ascii="Times New Roman" w:hAnsi="Times New Roman" w:cs="Times New Roman"/>
                    <w:lang w:val="is-IS"/>
                  </w:rPr>
                  <w:t xml:space="preserve"> </w:t>
                </w:r>
                <w:r w:rsidRPr="009C462D">
                  <w:rPr>
                    <w:rFonts w:ascii="Times New Roman" w:hAnsi="Times New Roman" w:cs="Times New Roman"/>
                    <w:lang w:val="is-IS"/>
                  </w:rPr>
                  <w:t xml:space="preserve"> Má þar nefna tiltekin ákvæði laga um lögheimili og aðsetur nr. 80/2018 </w:t>
                </w:r>
                <w:r w:rsidR="00CC4EBD">
                  <w:rPr>
                    <w:rFonts w:ascii="Times New Roman" w:hAnsi="Times New Roman" w:cs="Times New Roman"/>
                    <w:lang w:val="is-IS"/>
                  </w:rPr>
                  <w:t xml:space="preserve">og laga um kynrænt sjálfræði nr. 80/2019, </w:t>
                </w:r>
                <w:r w:rsidRPr="009C462D">
                  <w:rPr>
                    <w:rFonts w:ascii="Times New Roman" w:hAnsi="Times New Roman" w:cs="Times New Roman"/>
                    <w:lang w:val="is-IS"/>
                  </w:rPr>
                  <w:t>sem ekki hafa enn tekið gildi, frumvarp til laga um skráningu einstaklinga og fleiri frumvörp sem fela öll í sér að gera þurfi breytingar á kerfi Þjóðskrár</w:t>
                </w:r>
                <w:r w:rsidR="00CC4EBD">
                  <w:rPr>
                    <w:rFonts w:ascii="Times New Roman" w:hAnsi="Times New Roman" w:cs="Times New Roman"/>
                    <w:lang w:val="is-IS"/>
                  </w:rPr>
                  <w:t xml:space="preserve"> Íslands</w:t>
                </w:r>
                <w:r w:rsidRPr="009C462D">
                  <w:rPr>
                    <w:rFonts w:ascii="Times New Roman" w:hAnsi="Times New Roman" w:cs="Times New Roman"/>
                    <w:lang w:val="is-IS"/>
                  </w:rPr>
                  <w:t>. Því þarf að skoða málið heildstætt.</w:t>
                </w:r>
              </w:p>
              <w:p w14:paraId="51CEFE5B" w14:textId="77777777" w:rsidR="00CA3381" w:rsidRPr="000D6E3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sdtContent>
          </w:sdt>
        </w:tc>
      </w:tr>
      <w:permEnd w:id="603879042"/>
      <w:tr w:rsidR="00263F72" w:rsidRPr="00BF5ACD" w14:paraId="613FFC32" w14:textId="77777777" w:rsidTr="007414CB">
        <w:tc>
          <w:tcPr>
            <w:tcW w:w="9288" w:type="dxa"/>
            <w:shd w:val="clear" w:color="auto" w:fill="92CDDC" w:themeFill="accent5" w:themeFillTint="99"/>
          </w:tcPr>
          <w:p w14:paraId="7269D5E7"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6D6D3F85" w14:textId="77777777" w:rsidTr="00FD2097">
        <w:trPr>
          <w:trHeight w:val="826"/>
        </w:trPr>
        <w:tc>
          <w:tcPr>
            <w:tcW w:w="9288" w:type="dxa"/>
          </w:tcPr>
          <w:permStart w:id="1818259439"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6EBAFEFA" w14:textId="77777777" w:rsidR="00FD2097" w:rsidRPr="00CA338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16D49D7B"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75AA3772" w14:textId="77777777" w:rsidR="00FD2097" w:rsidRPr="004E0E11" w:rsidRDefault="001B69DD" w:rsidP="001B69DD">
                <w:pPr>
                  <w:pStyle w:val="Mlsgreinlista"/>
                  <w:spacing w:before="60" w:after="60"/>
                  <w:contextualSpacing w:val="0"/>
                  <w:rPr>
                    <w:rFonts w:ascii="Times New Roman" w:hAnsi="Times New Roman" w:cs="Times New Roman"/>
                    <w:b/>
                    <w:lang w:val="is-IS"/>
                  </w:rPr>
                </w:pPr>
                <w:r w:rsidRPr="004E0E11">
                  <w:rPr>
                    <w:rFonts w:ascii="Times New Roman" w:hAnsi="Times New Roman" w:cs="Times New Roman"/>
                    <w:lang w:val="is-IS"/>
                  </w:rPr>
                  <w:t>– Sjá leiðarvísinn „Grunnmat á eftirlitsreglum“</w:t>
                </w:r>
              </w:p>
              <w:p w14:paraId="1E1E005C"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00008B4A" w14:textId="77777777" w:rsidR="00A410EA" w:rsidRPr="004433F4"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2FEC3C66" w14:textId="77777777" w:rsidR="00301FF8" w:rsidRPr="00A72ECC"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14D5D679" w14:textId="77777777"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6A9190CF" w14:textId="77777777" w:rsidR="00CA3381" w:rsidRP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sdtContent>
          </w:sdt>
        </w:tc>
      </w:tr>
      <w:permEnd w:id="1818259439"/>
      <w:tr w:rsidR="000D6E33" w:rsidRPr="00BF5ACD" w14:paraId="6B41DDD2" w14:textId="77777777" w:rsidTr="007414CB">
        <w:tc>
          <w:tcPr>
            <w:tcW w:w="9288" w:type="dxa"/>
            <w:shd w:val="clear" w:color="auto" w:fill="92CDDC" w:themeFill="accent5" w:themeFillTint="99"/>
          </w:tcPr>
          <w:p w14:paraId="132AC7DB"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CA3381" w14:paraId="02CD55CC"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975265472" w:edGrp="everyone" w:displacedByCustomXml="prev"/>
              <w:p w14:paraId="58E7A325"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496AA4F9" w14:textId="77777777"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p>
              <w:p w14:paraId="1B47B8D4" w14:textId="3ED2F844" w:rsidR="007B4865" w:rsidRPr="004E0E11" w:rsidRDefault="007B4865"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Frumvarpið </w:t>
                </w:r>
                <w:r w:rsidR="00F668B9">
                  <w:rPr>
                    <w:rFonts w:ascii="Times New Roman" w:hAnsi="Times New Roman" w:cs="Times New Roman"/>
                    <w:lang w:val="is-IS"/>
                  </w:rPr>
                  <w:t>er ekki talið hafa</w:t>
                </w:r>
                <w:r>
                  <w:rPr>
                    <w:rFonts w:ascii="Times New Roman" w:hAnsi="Times New Roman" w:cs="Times New Roman"/>
                    <w:lang w:val="is-IS"/>
                  </w:rPr>
                  <w:t xml:space="preserve"> áhrif á fjárhag sveitarfélaga</w:t>
                </w:r>
                <w:r w:rsidR="0069548D">
                  <w:rPr>
                    <w:rFonts w:ascii="Times New Roman" w:hAnsi="Times New Roman" w:cs="Times New Roman"/>
                    <w:lang w:val="is-IS"/>
                  </w:rPr>
                  <w:t>.</w:t>
                </w:r>
              </w:p>
              <w:p w14:paraId="298A64B9"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lastRenderedPageBreak/>
                  <w:t>Áhrif á frelsi til að veita þjónustu (</w:t>
                </w:r>
                <w:r w:rsidR="008734A0" w:rsidRPr="004E0E11">
                  <w:rPr>
                    <w:rFonts w:ascii="Times New Roman" w:hAnsi="Times New Roman" w:cs="Times New Roman"/>
                    <w:b/>
                    <w:lang w:val="is-IS"/>
                  </w:rPr>
                  <w:t>með eða án staðfestu á Íslandi)</w:t>
                </w:r>
              </w:p>
              <w:p w14:paraId="3D46E087" w14:textId="77777777" w:rsidR="00AC19E3" w:rsidRPr="004E0E11"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63207448"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tæknilegar reglur um vöru og fjarþjónustu, sbr. lög nr. 57/2000</w:t>
                </w:r>
                <w:r w:rsidR="008734A0" w:rsidRPr="004E0E11">
                  <w:rPr>
                    <w:rFonts w:ascii="Times New Roman" w:hAnsi="Times New Roman" w:cs="Times New Roman"/>
                    <w:b/>
                    <w:lang w:val="is-IS"/>
                  </w:rPr>
                  <w:t xml:space="preserve">  </w:t>
                </w:r>
              </w:p>
              <w:p w14:paraId="6F19D4CE" w14:textId="77777777" w:rsidR="00AC19E3" w:rsidRPr="004E0E11"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4D05DD32"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75039277"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2516CE20"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76EE74DE" w14:textId="2C4A1D99" w:rsidR="00AC19E3" w:rsidRDefault="00886857" w:rsidP="003C66CA">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Sjá </w:t>
                </w:r>
                <w:r w:rsidR="003C66CA" w:rsidRPr="004E0E11">
                  <w:rPr>
                    <w:rFonts w:ascii="Times New Roman" w:hAnsi="Times New Roman" w:cs="Times New Roman"/>
                    <w:lang w:val="is-IS"/>
                  </w:rPr>
                  <w:t>leiðarvísi fyrir mat á jafnréttisáhrifum</w:t>
                </w:r>
              </w:p>
              <w:p w14:paraId="325E3F43" w14:textId="1FECF1F8" w:rsidR="00186E56" w:rsidRPr="004E0E11" w:rsidRDefault="00E4344B" w:rsidP="003C66CA">
                <w:pPr>
                  <w:pStyle w:val="Mlsgreinlista"/>
                  <w:spacing w:before="60" w:after="60"/>
                  <w:contextualSpacing w:val="0"/>
                  <w:rPr>
                    <w:rFonts w:ascii="Times New Roman" w:hAnsi="Times New Roman" w:cs="Times New Roman"/>
                    <w:lang w:val="is-IS"/>
                  </w:rPr>
                </w:pPr>
                <w:r w:rsidRPr="00E4344B">
                  <w:rPr>
                    <w:rFonts w:ascii="Times New Roman" w:hAnsi="Times New Roman" w:cs="Times New Roman"/>
                    <w:lang w:val="is-IS"/>
                  </w:rPr>
                  <w:t>Ekki er gert ráð fyrir að frumvarpið hafi mismunandi áhrif á einstaklinga eftir kyni og muni því hvorki hafa áhrif á jafnrétti eða stöðu kynjanna.</w:t>
                </w:r>
              </w:p>
              <w:p w14:paraId="35066149"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50CEF214"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2E29CAD3"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1456C72A" w14:textId="5D95E52B"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r w:rsidR="00EF1B67">
                  <w:rPr>
                    <w:rFonts w:ascii="Times New Roman" w:hAnsi="Times New Roman" w:cs="Times New Roman"/>
                    <w:b/>
                    <w:lang w:val="is-IS"/>
                  </w:rPr>
                  <w:t xml:space="preserve">. </w:t>
                </w:r>
                <w:r w:rsidR="00E71A84">
                  <w:rPr>
                    <w:rFonts w:ascii="Times New Roman" w:hAnsi="Times New Roman" w:cs="Times New Roman"/>
                    <w:lang w:val="is-IS"/>
                  </w:rPr>
                  <w:t xml:space="preserve">Tryggja þarf að </w:t>
                </w:r>
                <w:r w:rsidR="00EF1B67">
                  <w:rPr>
                    <w:rFonts w:ascii="Times New Roman" w:hAnsi="Times New Roman" w:cs="Times New Roman"/>
                    <w:lang w:val="is-IS"/>
                  </w:rPr>
                  <w:t xml:space="preserve">Þjóðskrá Íslands </w:t>
                </w:r>
                <w:r w:rsidR="00E71A84">
                  <w:rPr>
                    <w:rFonts w:ascii="Times New Roman" w:hAnsi="Times New Roman" w:cs="Times New Roman"/>
                    <w:lang w:val="is-IS"/>
                  </w:rPr>
                  <w:t>verði</w:t>
                </w:r>
                <w:r w:rsidR="00EF1B67">
                  <w:rPr>
                    <w:rFonts w:ascii="Times New Roman" w:hAnsi="Times New Roman" w:cs="Times New Roman"/>
                    <w:lang w:val="is-IS"/>
                  </w:rPr>
                  <w:t xml:space="preserve"> í stakk búin til að sinna skráningu og taka upp verklag í samræmi við áformin. </w:t>
                </w:r>
              </w:p>
              <w:p w14:paraId="2C6109F0" w14:textId="54E95337" w:rsidR="00492AB8" w:rsidRPr="00492AB8" w:rsidRDefault="00346619" w:rsidP="00492AB8">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r w:rsidR="00EF1B67">
                  <w:rPr>
                    <w:rFonts w:ascii="Times New Roman" w:hAnsi="Times New Roman" w:cs="Times New Roman"/>
                    <w:b/>
                    <w:lang w:val="is-IS"/>
                  </w:rPr>
                  <w:t xml:space="preserve">. </w:t>
                </w:r>
                <w:r w:rsidR="00EF1B67">
                  <w:rPr>
                    <w:rFonts w:ascii="Times New Roman" w:hAnsi="Times New Roman" w:cs="Times New Roman"/>
                    <w:lang w:val="is-IS"/>
                  </w:rPr>
                  <w:t>Gert er ráð fyrir víðtækari heimildum til skráningar nafna en núgildandi lög gera ráð fyrir.</w:t>
                </w:r>
              </w:p>
              <w:p w14:paraId="5DCC545D" w14:textId="77777777" w:rsidR="000D6E33" w:rsidRPr="00346619"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Pr>
                    <w:rFonts w:ascii="Times New Roman" w:hAnsi="Times New Roman" w:cs="Times New Roman"/>
                    <w:b/>
                    <w:lang w:val="is-IS"/>
                  </w:rPr>
                  <w:t xml:space="preserve"> </w:t>
                </w:r>
              </w:p>
              <w:permEnd w:id="1975265472" w:displacedByCustomXml="next"/>
            </w:sdtContent>
          </w:sdt>
        </w:tc>
      </w:tr>
      <w:tr w:rsidR="00311838" w:rsidRPr="0047580A" w14:paraId="19B0B596" w14:textId="77777777" w:rsidTr="007414CB">
        <w:tc>
          <w:tcPr>
            <w:tcW w:w="9288" w:type="dxa"/>
            <w:shd w:val="clear" w:color="auto" w:fill="92CDDC" w:themeFill="accent5" w:themeFillTint="99"/>
          </w:tcPr>
          <w:p w14:paraId="1A6116B4"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7ECCBB09"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711274362" w:edGrp="everyone" w:displacedByCustomXml="prev"/>
              <w:p w14:paraId="2B32FCD5"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137AD2AB" w14:textId="3356B310" w:rsidR="00C82C97" w:rsidRPr="00D222DE" w:rsidRDefault="00C82C97" w:rsidP="00C82C97">
                <w:pPr>
                  <w:pStyle w:val="Mlsgreinlista"/>
                  <w:spacing w:before="60" w:after="60"/>
                  <w:jc w:val="both"/>
                  <w:rPr>
                    <w:rFonts w:ascii="Times New Roman" w:hAnsi="Times New Roman" w:cs="Times New Roman"/>
                    <w:lang w:val="is-IS"/>
                  </w:rPr>
                </w:pPr>
                <w:r>
                  <w:rPr>
                    <w:rFonts w:ascii="Times New Roman" w:hAnsi="Times New Roman" w:cs="Times New Roman"/>
                    <w:lang w:val="is-IS"/>
                  </w:rPr>
                  <w:t>Breytingar þær sem lagðar verða til í frumvarpinu</w:t>
                </w:r>
                <w:r w:rsidR="00D222DE">
                  <w:rPr>
                    <w:rFonts w:ascii="Times New Roman" w:hAnsi="Times New Roman" w:cs="Times New Roman"/>
                    <w:lang w:val="is-IS"/>
                  </w:rPr>
                  <w:t xml:space="preserve"> </w:t>
                </w:r>
                <w:r>
                  <w:rPr>
                    <w:rFonts w:ascii="Times New Roman" w:hAnsi="Times New Roman" w:cs="Times New Roman"/>
                    <w:lang w:val="is-IS"/>
                  </w:rPr>
                  <w:t>hafa það markmið að afnema eða rýmka eins og mögulegt er þær takmarkanir sem felast í núgildandi löggjöf um mannanöfn.</w:t>
                </w:r>
              </w:p>
              <w:p w14:paraId="69F09FD8" w14:textId="2B071AAE" w:rsidR="00D222DE" w:rsidRPr="00D222DE" w:rsidRDefault="00D222DE" w:rsidP="00D222DE">
                <w:pPr>
                  <w:pStyle w:val="Mlsgreinlista"/>
                  <w:spacing w:before="60" w:after="60"/>
                  <w:jc w:val="both"/>
                  <w:rPr>
                    <w:rFonts w:ascii="Times New Roman" w:hAnsi="Times New Roman" w:cs="Times New Roman"/>
                    <w:lang w:val="is-IS"/>
                  </w:rPr>
                </w:pPr>
                <w:r w:rsidRPr="00D222DE">
                  <w:rPr>
                    <w:rFonts w:ascii="Times New Roman" w:hAnsi="Times New Roman" w:cs="Times New Roman"/>
                    <w:lang w:val="is-IS"/>
                  </w:rPr>
                  <w:t xml:space="preserve">Verði frumvarpið </w:t>
                </w:r>
                <w:r w:rsidR="00C82C97">
                  <w:rPr>
                    <w:rFonts w:ascii="Times New Roman" w:hAnsi="Times New Roman" w:cs="Times New Roman"/>
                    <w:lang w:val="is-IS"/>
                  </w:rPr>
                  <w:t>þess efnis</w:t>
                </w:r>
                <w:r w:rsidRPr="00D222DE">
                  <w:rPr>
                    <w:rFonts w:ascii="Times New Roman" w:hAnsi="Times New Roman" w:cs="Times New Roman"/>
                    <w:lang w:val="is-IS"/>
                  </w:rPr>
                  <w:t xml:space="preserve"> að lögum er ekki að sjá að innleiðing þess hafi fjárhagsleg áhrif á ríkissjóð</w:t>
                </w:r>
                <w:r w:rsidR="007F45E0">
                  <w:rPr>
                    <w:rFonts w:ascii="Times New Roman" w:hAnsi="Times New Roman" w:cs="Times New Roman"/>
                    <w:lang w:val="is-IS"/>
                  </w:rPr>
                  <w:t xml:space="preserve"> sem nokkru nemur.</w:t>
                </w:r>
                <w:r w:rsidRPr="00D222DE">
                  <w:rPr>
                    <w:rFonts w:ascii="Times New Roman" w:hAnsi="Times New Roman" w:cs="Times New Roman"/>
                    <w:lang w:val="is-IS"/>
                  </w:rPr>
                  <w:t xml:space="preserve"> </w:t>
                </w:r>
                <w:r w:rsidR="005957D7">
                  <w:rPr>
                    <w:rFonts w:ascii="Times New Roman" w:hAnsi="Times New Roman" w:cs="Times New Roman"/>
                    <w:lang w:val="is-IS"/>
                  </w:rPr>
                  <w:t>Hins vegar er tímabundinn kostnaður við kerfisbreytingar þjóðskrárkerfis</w:t>
                </w:r>
                <w:r w:rsidR="00CC4EBD">
                  <w:rPr>
                    <w:rFonts w:ascii="Times New Roman" w:hAnsi="Times New Roman" w:cs="Times New Roman"/>
                    <w:lang w:val="is-IS"/>
                  </w:rPr>
                  <w:t>,</w:t>
                </w:r>
                <w:r w:rsidR="005957D7">
                  <w:rPr>
                    <w:rFonts w:ascii="Times New Roman" w:hAnsi="Times New Roman" w:cs="Times New Roman"/>
                    <w:lang w:val="is-IS"/>
                  </w:rPr>
                  <w:t xml:space="preserve"> m.a. til að hægt sé að innleiða frumvarpið</w:t>
                </w:r>
                <w:r w:rsidR="00CC4EBD">
                  <w:rPr>
                    <w:rFonts w:ascii="Times New Roman" w:hAnsi="Times New Roman" w:cs="Times New Roman"/>
                    <w:lang w:val="is-IS"/>
                  </w:rPr>
                  <w:t>,</w:t>
                </w:r>
                <w:r w:rsidR="005957D7">
                  <w:rPr>
                    <w:rFonts w:ascii="Times New Roman" w:hAnsi="Times New Roman" w:cs="Times New Roman"/>
                    <w:lang w:val="is-IS"/>
                  </w:rPr>
                  <w:t xml:space="preserve"> áætlaður um 60 m.kr.</w:t>
                </w:r>
                <w:r w:rsidR="00CC4EBD">
                  <w:rPr>
                    <w:rFonts w:ascii="Times New Roman" w:hAnsi="Times New Roman" w:cs="Times New Roman"/>
                    <w:lang w:val="is-IS"/>
                  </w:rPr>
                  <w:t>,</w:t>
                </w:r>
                <w:r w:rsidR="005957D7">
                  <w:rPr>
                    <w:rFonts w:ascii="Times New Roman" w:hAnsi="Times New Roman" w:cs="Times New Roman"/>
                    <w:lang w:val="is-IS"/>
                  </w:rPr>
                  <w:t xml:space="preserve"> en um ræðir aðgerðir sem m.a. eru á ábyrgðarsviði annarra ráðuneyta.</w:t>
                </w:r>
              </w:p>
              <w:p w14:paraId="716B9BF4" w14:textId="77777777" w:rsidR="00787BC1" w:rsidRPr="00963103" w:rsidRDefault="00787BC1" w:rsidP="00787BC1">
                <w:pPr>
                  <w:pStyle w:val="Mlsgreinlista"/>
                  <w:spacing w:before="60" w:after="60"/>
                  <w:contextualSpacing w:val="0"/>
                  <w:rPr>
                    <w:rFonts w:ascii="Times New Roman" w:hAnsi="Times New Roman" w:cs="Times New Roman"/>
                    <w:lang w:val="is-IS"/>
                  </w:rPr>
                </w:pPr>
              </w:p>
              <w:p w14:paraId="484AD26E" w14:textId="77777777"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7977AA49" w14:textId="20F0A8DC" w:rsidR="00CA3381" w:rsidRPr="00F33A33"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7B4865">
                  <w:rPr>
                    <w:rFonts w:ascii="Times New Roman" w:hAnsi="Times New Roman" w:cs="Times New Roman"/>
                    <w:b/>
                    <w:lang w:val="is-IS"/>
                  </w:rPr>
                  <w:t xml:space="preserve"> .</w:t>
                </w:r>
              </w:p>
              <w:permEnd w:id="711274362" w:displacedByCustomXml="next"/>
            </w:sdtContent>
          </w:sdt>
        </w:tc>
      </w:tr>
      <w:tr w:rsidR="00EB6651" w:rsidRPr="0047580A" w14:paraId="4A141ECF" w14:textId="77777777" w:rsidTr="00EB6651">
        <w:tc>
          <w:tcPr>
            <w:tcW w:w="9288" w:type="dxa"/>
            <w:shd w:val="clear" w:color="auto" w:fill="92CDDC" w:themeFill="accent5" w:themeFillTint="99"/>
          </w:tcPr>
          <w:p w14:paraId="0F3046AD"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1A90861B" w14:textId="77777777" w:rsidTr="00EB6651">
        <w:tc>
          <w:tcPr>
            <w:tcW w:w="9288" w:type="dxa"/>
          </w:tcPr>
          <w:sdt>
            <w:sdtPr>
              <w:rPr>
                <w:rFonts w:ascii="Times New Roman" w:hAnsi="Times New Roman" w:cs="Times New Roman"/>
                <w:b/>
                <w:lang w:val="is-IS"/>
              </w:rPr>
              <w:id w:val="-1269299813"/>
            </w:sdtPr>
            <w:sdtEndPr/>
            <w:sdtContent>
              <w:permStart w:id="715683468" w:edGrp="everyone" w:displacedByCustomXml="prev"/>
              <w:p w14:paraId="00EEBB60" w14:textId="77777777" w:rsidR="00EB6651"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619712FC" w14:textId="77777777" w:rsidR="00EB6651" w:rsidRPr="001B60F1" w:rsidRDefault="00D64A3D" w:rsidP="00D64A3D">
                <w:pPr>
                  <w:pStyle w:val="Mlsgreinlista"/>
                  <w:numPr>
                    <w:ilvl w:val="0"/>
                    <w:numId w:val="24"/>
                  </w:numPr>
                  <w:spacing w:before="60" w:after="60"/>
                  <w:contextualSpacing w:val="0"/>
                  <w:rPr>
                    <w:rFonts w:ascii="Times New Roman" w:hAnsi="Times New Roman" w:cs="Times New Roman"/>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7BC047D4"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715683468" w:displacedByCustomXml="next"/>
            </w:sdtContent>
          </w:sdt>
        </w:tc>
      </w:tr>
    </w:tbl>
    <w:p w14:paraId="3575777A" w14:textId="77777777" w:rsidR="00263F72" w:rsidRDefault="00263F72">
      <w:pPr>
        <w:rPr>
          <w:rFonts w:ascii="Times New Roman" w:hAnsi="Times New Roman" w:cs="Times New Roman"/>
          <w:lang w:val="is-IS"/>
        </w:rPr>
      </w:pPr>
    </w:p>
    <w:p w14:paraId="7675499A" w14:textId="77777777" w:rsidR="00E568F6" w:rsidRDefault="00E568F6" w:rsidP="00E568F6">
      <w:pPr>
        <w:rPr>
          <w:rFonts w:ascii="Times New Roman" w:hAnsi="Times New Roman" w:cs="Times New Roman"/>
          <w:lang w:val="is-IS"/>
        </w:rPr>
      </w:pPr>
    </w:p>
    <w:p w14:paraId="0C958153"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F59D4" w14:textId="77777777" w:rsidR="00F668B9" w:rsidRDefault="00F668B9" w:rsidP="007478E0">
      <w:pPr>
        <w:spacing w:after="0" w:line="240" w:lineRule="auto"/>
      </w:pPr>
      <w:r>
        <w:separator/>
      </w:r>
    </w:p>
  </w:endnote>
  <w:endnote w:type="continuationSeparator" w:id="0">
    <w:p w14:paraId="4737E0EB" w14:textId="77777777" w:rsidR="00F668B9" w:rsidRDefault="00F668B9"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6ACB6537" w14:textId="26321F48" w:rsidR="00F668B9" w:rsidRDefault="00F668B9" w:rsidP="002A4788">
        <w:pPr>
          <w:pStyle w:val="Suftur"/>
          <w:jc w:val="center"/>
        </w:pPr>
        <w:r>
          <w:fldChar w:fldCharType="begin"/>
        </w:r>
        <w:r>
          <w:instrText>PAGE   \* MERGEFORMAT</w:instrText>
        </w:r>
        <w:r>
          <w:fldChar w:fldCharType="separate"/>
        </w:r>
        <w:r w:rsidR="00E52E18" w:rsidRPr="00E52E18">
          <w:rPr>
            <w:noProof/>
            <w:lang w:val="is-IS"/>
          </w:rPr>
          <w:t>1</w:t>
        </w:r>
        <w:r>
          <w:rPr>
            <w:noProof/>
          </w:rPr>
          <w:fldChar w:fldCharType="end"/>
        </w:r>
      </w:p>
    </w:sdtContent>
  </w:sdt>
  <w:p w14:paraId="17F6E7D8" w14:textId="77777777" w:rsidR="00F668B9" w:rsidRPr="00063E97" w:rsidRDefault="00F668B9"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1</w:t>
    </w:r>
    <w:r w:rsidRPr="00063E97">
      <w:rPr>
        <w:rFonts w:ascii="Times New Roman" w:hAnsi="Times New Roman" w:cs="Times New Roman"/>
        <w:noProof/>
        <w:sz w:val="20"/>
        <w:szCs w:val="20"/>
      </w:rPr>
      <w:t xml:space="preserve"> – </w:t>
    </w:r>
    <w:r>
      <w:rPr>
        <w:rFonts w:ascii="Times New Roman" w:hAnsi="Times New Roman" w:cs="Times New Roman"/>
        <w:noProof/>
        <w:sz w:val="20"/>
        <w:szCs w:val="20"/>
      </w:rPr>
      <w:t>Ágúst</w:t>
    </w:r>
    <w:r w:rsidRPr="00063E97">
      <w:rPr>
        <w:rFonts w:ascii="Times New Roman" w:hAnsi="Times New Roman" w:cs="Times New Roman"/>
        <w:noProof/>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64D12" w14:textId="77777777" w:rsidR="00F668B9" w:rsidRDefault="00F668B9" w:rsidP="007478E0">
      <w:pPr>
        <w:spacing w:after="0" w:line="240" w:lineRule="auto"/>
      </w:pPr>
      <w:r>
        <w:separator/>
      </w:r>
    </w:p>
  </w:footnote>
  <w:footnote w:type="continuationSeparator" w:id="0">
    <w:p w14:paraId="384E5095" w14:textId="77777777" w:rsidR="00F668B9" w:rsidRDefault="00F668B9"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readOnly" w:enforcement="1" w:cryptProviderType="rsaFull" w:cryptAlgorithmClass="hash" w:cryptAlgorithmType="typeAny" w:cryptAlgorithmSid="4" w:cryptSpinCount="100000" w:hash="ovMPgZfD/s4mmAc76JQO8+rn12Y=" w:salt="nxkSRBtERt9kfNoXlWurIg=="/>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72"/>
    <w:rsid w:val="00000C39"/>
    <w:rsid w:val="00005502"/>
    <w:rsid w:val="000073F7"/>
    <w:rsid w:val="000212D2"/>
    <w:rsid w:val="00050DAE"/>
    <w:rsid w:val="00051DC6"/>
    <w:rsid w:val="00063E97"/>
    <w:rsid w:val="00074C6D"/>
    <w:rsid w:val="000829E4"/>
    <w:rsid w:val="0008494B"/>
    <w:rsid w:val="00085AB0"/>
    <w:rsid w:val="00096B1D"/>
    <w:rsid w:val="000A540B"/>
    <w:rsid w:val="000A7176"/>
    <w:rsid w:val="000B043D"/>
    <w:rsid w:val="000B3C73"/>
    <w:rsid w:val="000C58BD"/>
    <w:rsid w:val="000D5AA9"/>
    <w:rsid w:val="000D6E33"/>
    <w:rsid w:val="000E1312"/>
    <w:rsid w:val="000E34DF"/>
    <w:rsid w:val="000E6A46"/>
    <w:rsid w:val="000F304B"/>
    <w:rsid w:val="000F7A26"/>
    <w:rsid w:val="00100138"/>
    <w:rsid w:val="0011293C"/>
    <w:rsid w:val="00122723"/>
    <w:rsid w:val="0012646E"/>
    <w:rsid w:val="00126525"/>
    <w:rsid w:val="00131859"/>
    <w:rsid w:val="00131FEF"/>
    <w:rsid w:val="00133146"/>
    <w:rsid w:val="00135B40"/>
    <w:rsid w:val="0013710B"/>
    <w:rsid w:val="00143B7A"/>
    <w:rsid w:val="00176943"/>
    <w:rsid w:val="00186E56"/>
    <w:rsid w:val="00187E36"/>
    <w:rsid w:val="001972B9"/>
    <w:rsid w:val="001A7A87"/>
    <w:rsid w:val="001B60F1"/>
    <w:rsid w:val="001B69DD"/>
    <w:rsid w:val="001D117E"/>
    <w:rsid w:val="001D278A"/>
    <w:rsid w:val="001D30D8"/>
    <w:rsid w:val="001D5BCE"/>
    <w:rsid w:val="001E2499"/>
    <w:rsid w:val="001E7950"/>
    <w:rsid w:val="001F7268"/>
    <w:rsid w:val="002039F7"/>
    <w:rsid w:val="00204605"/>
    <w:rsid w:val="002115E6"/>
    <w:rsid w:val="0021293B"/>
    <w:rsid w:val="00234083"/>
    <w:rsid w:val="00237053"/>
    <w:rsid w:val="00242342"/>
    <w:rsid w:val="00244413"/>
    <w:rsid w:val="00244F3D"/>
    <w:rsid w:val="002632D2"/>
    <w:rsid w:val="00263F72"/>
    <w:rsid w:val="002666DE"/>
    <w:rsid w:val="00267F64"/>
    <w:rsid w:val="002704D7"/>
    <w:rsid w:val="00281D86"/>
    <w:rsid w:val="002A4788"/>
    <w:rsid w:val="002B70B7"/>
    <w:rsid w:val="002C2C53"/>
    <w:rsid w:val="002C76B6"/>
    <w:rsid w:val="002F1F8D"/>
    <w:rsid w:val="002F4B06"/>
    <w:rsid w:val="002F5A2D"/>
    <w:rsid w:val="00301FF8"/>
    <w:rsid w:val="003025EB"/>
    <w:rsid w:val="00311838"/>
    <w:rsid w:val="00332D49"/>
    <w:rsid w:val="00335A2A"/>
    <w:rsid w:val="00346619"/>
    <w:rsid w:val="00350CD3"/>
    <w:rsid w:val="0035270D"/>
    <w:rsid w:val="0036173A"/>
    <w:rsid w:val="00364D97"/>
    <w:rsid w:val="003711B1"/>
    <w:rsid w:val="003A1821"/>
    <w:rsid w:val="003B784E"/>
    <w:rsid w:val="003C66CA"/>
    <w:rsid w:val="003D01BF"/>
    <w:rsid w:val="003D1515"/>
    <w:rsid w:val="003E4A38"/>
    <w:rsid w:val="003E611E"/>
    <w:rsid w:val="003F530A"/>
    <w:rsid w:val="00403139"/>
    <w:rsid w:val="0043227F"/>
    <w:rsid w:val="004433F4"/>
    <w:rsid w:val="00450029"/>
    <w:rsid w:val="004604F4"/>
    <w:rsid w:val="0047580A"/>
    <w:rsid w:val="00492AB8"/>
    <w:rsid w:val="004978E5"/>
    <w:rsid w:val="004A3002"/>
    <w:rsid w:val="004A3E4B"/>
    <w:rsid w:val="004A515F"/>
    <w:rsid w:val="004E0322"/>
    <w:rsid w:val="004E0E11"/>
    <w:rsid w:val="004E4F53"/>
    <w:rsid w:val="004F0024"/>
    <w:rsid w:val="004F142F"/>
    <w:rsid w:val="004F1C38"/>
    <w:rsid w:val="004F5331"/>
    <w:rsid w:val="00510388"/>
    <w:rsid w:val="00515BF1"/>
    <w:rsid w:val="005176D0"/>
    <w:rsid w:val="00532D45"/>
    <w:rsid w:val="00535EC4"/>
    <w:rsid w:val="00541B45"/>
    <w:rsid w:val="005641B1"/>
    <w:rsid w:val="00564856"/>
    <w:rsid w:val="00592E19"/>
    <w:rsid w:val="005957D7"/>
    <w:rsid w:val="005A2A30"/>
    <w:rsid w:val="005A4B5B"/>
    <w:rsid w:val="005B46C8"/>
    <w:rsid w:val="005C123A"/>
    <w:rsid w:val="005C1548"/>
    <w:rsid w:val="005C1678"/>
    <w:rsid w:val="005D1C17"/>
    <w:rsid w:val="005E44E3"/>
    <w:rsid w:val="00613815"/>
    <w:rsid w:val="00614FAD"/>
    <w:rsid w:val="00676A80"/>
    <w:rsid w:val="00682403"/>
    <w:rsid w:val="00684A13"/>
    <w:rsid w:val="00694183"/>
    <w:rsid w:val="0069548D"/>
    <w:rsid w:val="006960C1"/>
    <w:rsid w:val="00697B19"/>
    <w:rsid w:val="006C5CA8"/>
    <w:rsid w:val="006C6EA3"/>
    <w:rsid w:val="006D57B5"/>
    <w:rsid w:val="006D5876"/>
    <w:rsid w:val="006D76C1"/>
    <w:rsid w:val="006F0215"/>
    <w:rsid w:val="006F69D7"/>
    <w:rsid w:val="00700AB1"/>
    <w:rsid w:val="00704B91"/>
    <w:rsid w:val="00730F7B"/>
    <w:rsid w:val="00731AD2"/>
    <w:rsid w:val="007365C0"/>
    <w:rsid w:val="007414CB"/>
    <w:rsid w:val="007478E0"/>
    <w:rsid w:val="00761AFD"/>
    <w:rsid w:val="00784383"/>
    <w:rsid w:val="00787BC1"/>
    <w:rsid w:val="00795B16"/>
    <w:rsid w:val="00796FBB"/>
    <w:rsid w:val="007A02FD"/>
    <w:rsid w:val="007A1E7C"/>
    <w:rsid w:val="007A7816"/>
    <w:rsid w:val="007B4865"/>
    <w:rsid w:val="007B71B2"/>
    <w:rsid w:val="007C6EFB"/>
    <w:rsid w:val="007C7454"/>
    <w:rsid w:val="007F45E0"/>
    <w:rsid w:val="007F4E59"/>
    <w:rsid w:val="007F64AB"/>
    <w:rsid w:val="0080567D"/>
    <w:rsid w:val="00811BB0"/>
    <w:rsid w:val="00811C11"/>
    <w:rsid w:val="00813003"/>
    <w:rsid w:val="00820DCE"/>
    <w:rsid w:val="008218F2"/>
    <w:rsid w:val="00825BD9"/>
    <w:rsid w:val="00826B1C"/>
    <w:rsid w:val="00827CA7"/>
    <w:rsid w:val="0085019B"/>
    <w:rsid w:val="00851A99"/>
    <w:rsid w:val="008538DA"/>
    <w:rsid w:val="0085582C"/>
    <w:rsid w:val="0085776D"/>
    <w:rsid w:val="00863BC9"/>
    <w:rsid w:val="00872634"/>
    <w:rsid w:val="008734A0"/>
    <w:rsid w:val="00881864"/>
    <w:rsid w:val="008831B4"/>
    <w:rsid w:val="00883508"/>
    <w:rsid w:val="00886857"/>
    <w:rsid w:val="0088731A"/>
    <w:rsid w:val="008A2C75"/>
    <w:rsid w:val="008D09FC"/>
    <w:rsid w:val="008E14CF"/>
    <w:rsid w:val="008E4EEE"/>
    <w:rsid w:val="008E6194"/>
    <w:rsid w:val="00906F10"/>
    <w:rsid w:val="00924C69"/>
    <w:rsid w:val="00927155"/>
    <w:rsid w:val="009304E2"/>
    <w:rsid w:val="00931452"/>
    <w:rsid w:val="00932BC6"/>
    <w:rsid w:val="00933946"/>
    <w:rsid w:val="00941142"/>
    <w:rsid w:val="00941A1C"/>
    <w:rsid w:val="009439F8"/>
    <w:rsid w:val="00944199"/>
    <w:rsid w:val="009449CA"/>
    <w:rsid w:val="00951F81"/>
    <w:rsid w:val="00956B33"/>
    <w:rsid w:val="009602BA"/>
    <w:rsid w:val="00960D10"/>
    <w:rsid w:val="00961770"/>
    <w:rsid w:val="00963103"/>
    <w:rsid w:val="009631BF"/>
    <w:rsid w:val="00986DC2"/>
    <w:rsid w:val="00993115"/>
    <w:rsid w:val="00994012"/>
    <w:rsid w:val="009941D2"/>
    <w:rsid w:val="009A500B"/>
    <w:rsid w:val="009B7A52"/>
    <w:rsid w:val="009C2DA3"/>
    <w:rsid w:val="009C3565"/>
    <w:rsid w:val="009C462D"/>
    <w:rsid w:val="009D72AE"/>
    <w:rsid w:val="009F43E8"/>
    <w:rsid w:val="009F63D5"/>
    <w:rsid w:val="009F64EA"/>
    <w:rsid w:val="00A01DD4"/>
    <w:rsid w:val="00A21D19"/>
    <w:rsid w:val="00A30C51"/>
    <w:rsid w:val="00A3629C"/>
    <w:rsid w:val="00A40657"/>
    <w:rsid w:val="00A410EA"/>
    <w:rsid w:val="00A51298"/>
    <w:rsid w:val="00A64F53"/>
    <w:rsid w:val="00A6722A"/>
    <w:rsid w:val="00A72ECC"/>
    <w:rsid w:val="00A77160"/>
    <w:rsid w:val="00A820BD"/>
    <w:rsid w:val="00A82EC5"/>
    <w:rsid w:val="00AA2EFD"/>
    <w:rsid w:val="00AB3CC3"/>
    <w:rsid w:val="00AB5511"/>
    <w:rsid w:val="00AB6474"/>
    <w:rsid w:val="00AB7771"/>
    <w:rsid w:val="00AB7DCB"/>
    <w:rsid w:val="00AC19E3"/>
    <w:rsid w:val="00AC1AE9"/>
    <w:rsid w:val="00AC47A3"/>
    <w:rsid w:val="00AD6D06"/>
    <w:rsid w:val="00AE50E5"/>
    <w:rsid w:val="00B04900"/>
    <w:rsid w:val="00B339AF"/>
    <w:rsid w:val="00B63200"/>
    <w:rsid w:val="00B65214"/>
    <w:rsid w:val="00B677F5"/>
    <w:rsid w:val="00B77813"/>
    <w:rsid w:val="00B82720"/>
    <w:rsid w:val="00B863E2"/>
    <w:rsid w:val="00BA4BB1"/>
    <w:rsid w:val="00BA5089"/>
    <w:rsid w:val="00BA5B20"/>
    <w:rsid w:val="00BB2B30"/>
    <w:rsid w:val="00BC37F4"/>
    <w:rsid w:val="00BD69E0"/>
    <w:rsid w:val="00BE1D1C"/>
    <w:rsid w:val="00BF0A19"/>
    <w:rsid w:val="00BF3B4A"/>
    <w:rsid w:val="00BF3F59"/>
    <w:rsid w:val="00BF5ACD"/>
    <w:rsid w:val="00C10C94"/>
    <w:rsid w:val="00C10D1B"/>
    <w:rsid w:val="00C171B2"/>
    <w:rsid w:val="00C209C4"/>
    <w:rsid w:val="00C22E8B"/>
    <w:rsid w:val="00C24145"/>
    <w:rsid w:val="00C3045B"/>
    <w:rsid w:val="00C344E1"/>
    <w:rsid w:val="00C412C9"/>
    <w:rsid w:val="00C5037E"/>
    <w:rsid w:val="00C55589"/>
    <w:rsid w:val="00C67F5E"/>
    <w:rsid w:val="00C7397C"/>
    <w:rsid w:val="00C75EAE"/>
    <w:rsid w:val="00C82C97"/>
    <w:rsid w:val="00C854AE"/>
    <w:rsid w:val="00C9677C"/>
    <w:rsid w:val="00CA3381"/>
    <w:rsid w:val="00CC343A"/>
    <w:rsid w:val="00CC4EBD"/>
    <w:rsid w:val="00CC774F"/>
    <w:rsid w:val="00CD60E4"/>
    <w:rsid w:val="00CE06FC"/>
    <w:rsid w:val="00CE190D"/>
    <w:rsid w:val="00CF477F"/>
    <w:rsid w:val="00D03E7A"/>
    <w:rsid w:val="00D0424B"/>
    <w:rsid w:val="00D121DE"/>
    <w:rsid w:val="00D148DB"/>
    <w:rsid w:val="00D205E0"/>
    <w:rsid w:val="00D222DE"/>
    <w:rsid w:val="00D23EAD"/>
    <w:rsid w:val="00D44159"/>
    <w:rsid w:val="00D503AC"/>
    <w:rsid w:val="00D508EA"/>
    <w:rsid w:val="00D53AA7"/>
    <w:rsid w:val="00D62AAC"/>
    <w:rsid w:val="00D62CC3"/>
    <w:rsid w:val="00D64A3D"/>
    <w:rsid w:val="00D74D0E"/>
    <w:rsid w:val="00D87B33"/>
    <w:rsid w:val="00D913A8"/>
    <w:rsid w:val="00D96089"/>
    <w:rsid w:val="00DD7EA1"/>
    <w:rsid w:val="00DF2AA7"/>
    <w:rsid w:val="00E02D04"/>
    <w:rsid w:val="00E231B6"/>
    <w:rsid w:val="00E31C26"/>
    <w:rsid w:val="00E40F87"/>
    <w:rsid w:val="00E4344B"/>
    <w:rsid w:val="00E52E18"/>
    <w:rsid w:val="00E568F6"/>
    <w:rsid w:val="00E57920"/>
    <w:rsid w:val="00E606DD"/>
    <w:rsid w:val="00E648AA"/>
    <w:rsid w:val="00E664C8"/>
    <w:rsid w:val="00E67F09"/>
    <w:rsid w:val="00E71099"/>
    <w:rsid w:val="00E71A84"/>
    <w:rsid w:val="00E832C9"/>
    <w:rsid w:val="00E8379D"/>
    <w:rsid w:val="00E868BC"/>
    <w:rsid w:val="00EB6651"/>
    <w:rsid w:val="00ED27B5"/>
    <w:rsid w:val="00EE007D"/>
    <w:rsid w:val="00EE1E75"/>
    <w:rsid w:val="00EE7DC8"/>
    <w:rsid w:val="00EF1B67"/>
    <w:rsid w:val="00EF25FE"/>
    <w:rsid w:val="00F12D1F"/>
    <w:rsid w:val="00F33A33"/>
    <w:rsid w:val="00F47980"/>
    <w:rsid w:val="00F51F2D"/>
    <w:rsid w:val="00F619D4"/>
    <w:rsid w:val="00F656C4"/>
    <w:rsid w:val="00F65C5F"/>
    <w:rsid w:val="00F668B9"/>
    <w:rsid w:val="00F7438A"/>
    <w:rsid w:val="00F841D8"/>
    <w:rsid w:val="00F92D2C"/>
    <w:rsid w:val="00F9305A"/>
    <w:rsid w:val="00F93B5C"/>
    <w:rsid w:val="00F9608F"/>
    <w:rsid w:val="00FA7664"/>
    <w:rsid w:val="00FC7B48"/>
    <w:rsid w:val="00FD2097"/>
    <w:rsid w:val="00FD3ECF"/>
    <w:rsid w:val="00FD5C8B"/>
    <w:rsid w:val="00FD666A"/>
    <w:rsid w:val="00FD798D"/>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9FD8DB8"/>
  <w15:docId w15:val="{BDB0AD44-4CFE-42D2-B988-861286A3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5BADE54B3CF74BFEB0D01DF077472085"/>
        <w:category>
          <w:name w:val="Almennt"/>
          <w:gallery w:val="placeholder"/>
        </w:category>
        <w:types>
          <w:type w:val="bbPlcHdr"/>
        </w:types>
        <w:behaviors>
          <w:behavior w:val="content"/>
        </w:behaviors>
        <w:guid w:val="{A0283359-5B6E-4DD7-BE1B-B247001B1126}"/>
      </w:docPartPr>
      <w:docPartBody>
        <w:p w:rsidR="00103A99" w:rsidRDefault="001F015F" w:rsidP="001F015F">
          <w:pPr>
            <w:pStyle w:val="5BADE54B3CF74BFEB0D01DF077472085"/>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72D55"/>
    <w:rsid w:val="000D2969"/>
    <w:rsid w:val="000E4421"/>
    <w:rsid w:val="00103A99"/>
    <w:rsid w:val="00131062"/>
    <w:rsid w:val="0014208B"/>
    <w:rsid w:val="001525B0"/>
    <w:rsid w:val="001A3FD6"/>
    <w:rsid w:val="001C5BB7"/>
    <w:rsid w:val="001F015F"/>
    <w:rsid w:val="00261A33"/>
    <w:rsid w:val="002A3015"/>
    <w:rsid w:val="002C7EC4"/>
    <w:rsid w:val="002F7912"/>
    <w:rsid w:val="003044D5"/>
    <w:rsid w:val="0062144B"/>
    <w:rsid w:val="006B17C6"/>
    <w:rsid w:val="006D157A"/>
    <w:rsid w:val="006F1B63"/>
    <w:rsid w:val="0070759F"/>
    <w:rsid w:val="0074164A"/>
    <w:rsid w:val="00757EF8"/>
    <w:rsid w:val="00805AC3"/>
    <w:rsid w:val="00823CBA"/>
    <w:rsid w:val="008E61E5"/>
    <w:rsid w:val="0095447C"/>
    <w:rsid w:val="009556D3"/>
    <w:rsid w:val="00983C8A"/>
    <w:rsid w:val="009F53A8"/>
    <w:rsid w:val="00C15123"/>
    <w:rsid w:val="00C56D52"/>
    <w:rsid w:val="00D5050E"/>
    <w:rsid w:val="00DE4646"/>
    <w:rsid w:val="00DE681D"/>
    <w:rsid w:val="00E641C6"/>
    <w:rsid w:val="00E817A6"/>
    <w:rsid w:val="00EC50E5"/>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 w:type="paragraph" w:customStyle="1" w:styleId="5BADE54B3CF74BFEB0D01DF077472085">
    <w:name w:val="5BADE54B3CF74BFEB0D01DF077472085"/>
    <w:rsid w:val="001F0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82CE-A253-49D7-A03E-280BC587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6748</Characters>
  <Application>Microsoft Office Word</Application>
  <DocSecurity>8</DocSecurity>
  <Lines>56</Lines>
  <Paragraphs>15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Fanney Óskarsdóttir</cp:lastModifiedBy>
  <cp:revision>2</cp:revision>
  <cp:lastPrinted>2017-01-12T13:13:00Z</cp:lastPrinted>
  <dcterms:created xsi:type="dcterms:W3CDTF">2019-11-29T15:00:00Z</dcterms:created>
  <dcterms:modified xsi:type="dcterms:W3CDTF">2019-11-29T15:00:00Z</dcterms:modified>
</cp:coreProperties>
</file>