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57535C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57535C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57535C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57535C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0057535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0057535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0057535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0057535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0057535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Pr="0057535C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57535C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57535C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57535C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57535C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57535C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57535C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 w:rsidRPr="0057535C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57535C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 w:rsidRPr="0057535C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57535C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 w:rsidRPr="0057535C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57535C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 w:rsidRPr="0057535C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57535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57535C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57535C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57535C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57535C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57535C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493EB6E8" w:rsidR="00135B40" w:rsidRPr="0057535C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015873" w:rsidRPr="0057535C">
                  <w:rPr>
                    <w:rFonts w:ascii="Times New Roman" w:hAnsi="Times New Roman" w:cs="Times New Roman"/>
                    <w:lang w:val="is-IS"/>
                  </w:rPr>
                  <w:t xml:space="preserve">Frumvarp til laga um breytingu á lögum um evrópskt eftirlitskerfi á fjármálamarkaði o.fl. / </w:t>
                </w:r>
                <w:r w:rsidR="00015873" w:rsidRPr="0057535C">
                  <w:rPr>
                    <w:rStyle w:val="ui-provider"/>
                    <w:rFonts w:ascii="Times New Roman" w:hAnsi="Times New Roman" w:cs="Times New Roman"/>
                    <w:lang w:val="is-IS"/>
                  </w:rPr>
                  <w:t>FJR24050107</w:t>
                </w:r>
              </w:p>
            </w:tc>
          </w:sdtContent>
        </w:sdt>
      </w:tr>
      <w:tr w:rsidR="00135B40" w:rsidRPr="0057535C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57535C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57535C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4D0CA493" w:rsidR="00135B40" w:rsidRPr="0057535C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lang w:val="is-IS"/>
                    </w:rPr>
                    <w:id w:val="2090812246"/>
                    <w:placeholder>
                      <w:docPart w:val="24E04D1E13EA458688DE79FF696FC28F"/>
                    </w:placeholder>
                  </w:sdtPr>
                  <w:sdtEndPr/>
                  <w:sdtContent>
                    <w:r w:rsidR="00015873" w:rsidRPr="0057535C">
                      <w:rPr>
                        <w:rFonts w:ascii="Times New Roman" w:hAnsi="Times New Roman" w:cs="Times New Roman"/>
                        <w:lang w:val="is-IS"/>
                      </w:rPr>
                      <w:t xml:space="preserve">Fjármála- og efnahagsráðuneytið / Elísabet Júlíusdóttir </w:t>
                    </w:r>
                  </w:sdtContent>
                </w:sdt>
              </w:p>
            </w:tc>
          </w:sdtContent>
        </w:sdt>
      </w:tr>
      <w:tr w:rsidR="00135B40" w:rsidRPr="0057535C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57535C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57535C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212401E5" w:rsidR="00135B40" w:rsidRPr="0057535C" w:rsidRDefault="00963C38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73" w:rsidRPr="0057535C">
                  <w:rPr>
                    <w:rFonts w:ascii="MS Gothic" w:eastAsia="MS Gothic" w:hAnsi="MS Gothic" w:cs="Times New Roman"/>
                    <w:lang w:val="is-IS"/>
                  </w:rPr>
                  <w:t>☒</w:t>
                </w:r>
              </w:sdtContent>
            </w:sdt>
            <w:r w:rsidR="00135B40" w:rsidRPr="0057535C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57535C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57535C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57535C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57535C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57535C" w:rsidRDefault="00963C38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57535C">
                  <w:rPr>
                    <w:rFonts w:ascii="MS Gothic" w:eastAsia="MS Gothic" w:hAnsi="MS Gothic" w:cs="Times New Roman"/>
                    <w:lang w:val="is-IS"/>
                  </w:rPr>
                  <w:t>☐</w:t>
                </w:r>
              </w:sdtContent>
            </w:sdt>
            <w:r w:rsidR="00135B40" w:rsidRPr="0057535C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57535C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57535C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57535C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57535C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57535C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57535C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57535C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57535C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13A77DF5" w:rsidR="00135B40" w:rsidRPr="0057535C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71DA7">
                  <w:rPr>
                    <w:rFonts w:ascii="Times New Roman" w:hAnsi="Times New Roman" w:cs="Times New Roman"/>
                    <w:lang w:val="is-IS"/>
                  </w:rPr>
                  <w:t>10. júní 2024</w:t>
                </w:r>
              </w:p>
            </w:tc>
          </w:sdtContent>
        </w:sdt>
      </w:tr>
      <w:permEnd w:id="35279516"/>
    </w:tbl>
    <w:p w14:paraId="0A37501D" w14:textId="77777777" w:rsidR="000073F7" w:rsidRPr="0057535C" w:rsidRDefault="000073F7" w:rsidP="007414CB">
      <w:pPr>
        <w:spacing w:after="0" w:line="240" w:lineRule="auto"/>
        <w:rPr>
          <w:sz w:val="20"/>
          <w:szCs w:val="20"/>
          <w:lang w:val="is-IS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57535C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57535C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 w:rsidRPr="0057535C"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57535C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Pr="0057535C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 w:rsidRPr="0057535C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 w:rsidRPr="0057535C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D07C588" w14:textId="1F502378" w:rsidR="00377EE9" w:rsidRPr="0057535C" w:rsidRDefault="00D96089" w:rsidP="00377EE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55380D" w:rsidRPr="0057535C">
                  <w:rPr>
                    <w:rFonts w:ascii="Times New Roman" w:hAnsi="Times New Roman" w:cs="Times New Roman"/>
                    <w:lang w:val="is-IS"/>
                  </w:rPr>
                  <w:t>Ekki er á þessu stigi gert ráð fyrir áhrifum á fjárhag ríkisins.</w:t>
                </w:r>
                <w:r w:rsidR="00377EE9" w:rsidRPr="0057535C">
                  <w:rPr>
                    <w:rFonts w:ascii="Times New Roman" w:hAnsi="Times New Roman" w:cs="Times New Roman"/>
                    <w:lang w:val="is-IS"/>
                  </w:rPr>
                  <w:t xml:space="preserve"> Fjármálaeftirlit Seðlabanka Íslands hefur lagt mat á þann kostnað sem hlýst af framfylgd fyrirhugaðra laga</w:t>
                </w:r>
                <w:r w:rsidR="001D3FA7">
                  <w:rPr>
                    <w:rFonts w:ascii="Times New Roman" w:hAnsi="Times New Roman" w:cs="Times New Roman"/>
                    <w:lang w:val="is-IS"/>
                  </w:rPr>
                  <w:t xml:space="preserve"> og er ekki talið að af hljótist aukinn kostnaður</w:t>
                </w:r>
                <w:r w:rsidR="00377EE9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387721C" w14:textId="77777777" w:rsidR="0055380D" w:rsidRPr="0057535C" w:rsidRDefault="0055380D" w:rsidP="0055380D">
                <w:pPr>
                  <w:pStyle w:val="ListParagraph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642DB6C9" w14:textId="73C3865D" w:rsidR="00D96089" w:rsidRPr="0057535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D3FA7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1CCB0705" w14:textId="77777777" w:rsidR="0055380D" w:rsidRPr="0057535C" w:rsidRDefault="0055380D" w:rsidP="0055380D">
                <w:pPr>
                  <w:pStyle w:val="ListParagrap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4808874D" w14:textId="21B39979" w:rsidR="00D96089" w:rsidRPr="0057535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D3FA7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305A913B" w14:textId="77777777" w:rsidR="0055380D" w:rsidRPr="0057535C" w:rsidRDefault="0055380D" w:rsidP="0055380D">
                <w:pPr>
                  <w:pStyle w:val="ListParagrap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75DB58A8" w14:textId="6793C333" w:rsidR="00D96089" w:rsidRPr="0057535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55380D" w:rsidRPr="0057535C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24F44F32" w14:textId="77777777" w:rsidR="0055380D" w:rsidRPr="0057535C" w:rsidRDefault="0055380D" w:rsidP="0055380D">
                <w:pPr>
                  <w:pStyle w:val="ListParagrap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64C00391" w14:textId="11DA7EF2" w:rsidR="00D96089" w:rsidRPr="0057535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57535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55380D" w:rsidRPr="0057535C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1FD9AFF2" w14:textId="77777777" w:rsidR="0055380D" w:rsidRPr="0057535C" w:rsidRDefault="0055380D" w:rsidP="0055380D">
                <w:pPr>
                  <w:pStyle w:val="ListParagrap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13E742A9" w14:textId="77777777" w:rsidR="00377EE9" w:rsidRPr="0057535C" w:rsidRDefault="00AD6D06" w:rsidP="00377EE9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E187C5D" w14:textId="18A163BD" w:rsidR="0055380D" w:rsidRPr="0057535C" w:rsidRDefault="0055380D" w:rsidP="00377EE9">
                <w:pPr>
                  <w:pStyle w:val="ListParagraph"/>
                  <w:spacing w:before="60" w:after="60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Ekki er á þessu stigi gert ráð fyrir því að samþykkt frumvarpsins kalli á breytingu á eftirlitsgjaldi til Seðlabanka Íslands, </w:t>
                </w:r>
                <w:r w:rsidRPr="0057535C">
                  <w:rPr>
                    <w:rFonts w:ascii="Times New Roman" w:hAnsi="Times New Roman" w:cs="Times New Roman"/>
                    <w:lang w:val="is-IS"/>
                  </w:rPr>
                  <w:t>sbr. lög nr. 99/1999 um greiðslu kostnaðar við opinber eftirlit með fjármálastarfsemi og skilavald</w:t>
                </w:r>
                <w:r w:rsidR="00963C38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 eða hafi önnur áhrif á tekjur ríkisins.</w:t>
                </w:r>
                <w:r w:rsidR="00377EE9"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 </w:t>
                </w:r>
                <w:r w:rsidR="00377EE9" w:rsidRPr="0057535C">
                  <w:rPr>
                    <w:rFonts w:ascii="Times New Roman" w:hAnsi="Times New Roman" w:cs="Times New Roman"/>
                    <w:lang w:val="is-IS"/>
                  </w:rPr>
                  <w:t xml:space="preserve">Við mat á eftirlitsgjaldi hvers árs er tekið tillit til þess hver áætlaður rekstrarkostnaður Fjármálaeftirlits Seðlabanka Íslands verður. Líkt og segir í lið 1a) metur Fjármálaeftirlitið það sem svo að </w:t>
                </w:r>
                <w:r w:rsidR="001D3FA7">
                  <w:rPr>
                    <w:rFonts w:ascii="Times New Roman" w:hAnsi="Times New Roman" w:cs="Times New Roman"/>
                    <w:lang w:val="is-IS"/>
                  </w:rPr>
                  <w:t>ekki sé talinn hljótast aukinn kostnaður af framfylgd fyrirhugaðra laga</w:t>
                </w:r>
                <w:r w:rsidR="00377EE9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52EE9A18" w14:textId="77777777" w:rsidR="00C643BC" w:rsidRPr="0057535C" w:rsidRDefault="00C643BC" w:rsidP="00377EE9">
                <w:pPr>
                  <w:pStyle w:val="ListParagraph"/>
                  <w:spacing w:before="60" w:after="60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 w14:paraId="011C60D4" w14:textId="68A73561" w:rsidR="000212D2" w:rsidRPr="0057535C" w:rsidRDefault="00AD6D06" w:rsidP="00EE7DC8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6E256DD2" w14:textId="057F9336" w:rsidR="00BD03E4" w:rsidRPr="0057535C" w:rsidRDefault="0055380D" w:rsidP="0055380D">
                <w:pPr>
                  <w:pStyle w:val="ListParagraph"/>
                  <w:spacing w:before="60" w:after="60"/>
                  <w:contextualSpacing w:val="0"/>
                  <w:jc w:val="both"/>
                  <w:rPr>
                    <w:rFonts w:ascii="Times New Roman" w:hAnsi="Times New Roman" w:cs="Times New Roman"/>
                    <w:color w:val="000000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Ekki er á þessu stigi gert ráð fyrir því að samþykkt frumvarpsins auki útgjöld ríkisins.</w:t>
                </w:r>
              </w:p>
              <w:p w14:paraId="0A3F4295" w14:textId="77777777" w:rsidR="0055380D" w:rsidRPr="0057535C" w:rsidRDefault="0055380D" w:rsidP="0055380D">
                <w:pPr>
                  <w:pStyle w:val="ListParagraph"/>
                  <w:spacing w:before="60" w:after="60"/>
                  <w:contextualSpacing w:val="0"/>
                  <w:jc w:val="both"/>
                  <w:rPr>
                    <w:rFonts w:ascii="Times New Roman" w:hAnsi="Times New Roman" w:cs="Times New Roman"/>
                    <w:sz w:val="18"/>
                    <w:szCs w:val="18"/>
                    <w:lang w:val="is-IS"/>
                  </w:rPr>
                </w:pPr>
              </w:p>
              <w:p w14:paraId="3AECE235" w14:textId="71B7C711" w:rsidR="00D96089" w:rsidRPr="0057535C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>Eignabreytingar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2208EA99" w:rsidR="00D96089" w:rsidRPr="0057535C" w:rsidRDefault="0055380D" w:rsidP="0055380D">
                <w:pPr>
                  <w:pStyle w:val="ListParagraph"/>
                  <w:spacing w:before="60" w:after="60"/>
                  <w:contextualSpacing w:val="0"/>
                  <w:jc w:val="both"/>
                  <w:rPr>
                    <w:rFonts w:ascii="Times New Roman" w:hAnsi="Times New Roman" w:cs="Times New Roman"/>
                    <w:sz w:val="18"/>
                    <w:szCs w:val="18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Ekki er gert ráð fyrir því að samþykkt frumvarpsins hafi áhrif á eignir ríkisins.</w:t>
                </w:r>
              </w:p>
              <w:p w14:paraId="43CF6A88" w14:textId="77777777" w:rsidR="00BD03E4" w:rsidRPr="0057535C" w:rsidRDefault="00BD03E4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4286C444" w14:textId="325CC88B" w:rsidR="00813003" w:rsidRPr="0057535C" w:rsidRDefault="00AD6D06" w:rsidP="00813003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A5DE4B8" w14:textId="59638D85" w:rsidR="00CA3381" w:rsidRPr="0057535C" w:rsidRDefault="0055380D" w:rsidP="0055380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Nei.</w:t>
                </w:r>
              </w:p>
            </w:sdtContent>
          </w:sdt>
          <w:permEnd w:id="2082035854" w:displacedByCustomXml="prev"/>
        </w:tc>
      </w:tr>
      <w:tr w:rsidR="00263F72" w:rsidRPr="0057535C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57535C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 w:rsidRPr="0057535C"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57535C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Pr="0057535C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3514BF9B" w14:textId="1386FC92" w:rsidR="00237053" w:rsidRPr="0057535C" w:rsidRDefault="0055380D" w:rsidP="0055380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  <w:r w:rsidR="00C643BC" w:rsidRPr="0057535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71F700FB" w14:textId="51D50A38" w:rsidR="00FD2097" w:rsidRPr="0057535C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3B61669A" w:rsidR="00BD03E4" w:rsidRPr="0057535C" w:rsidRDefault="001D3FA7" w:rsidP="00A777F4">
                <w:pPr>
                  <w:spacing w:before="60" w:after="60"/>
                  <w:ind w:left="72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55380D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59743E5F" w14:textId="77777777" w:rsidR="00BD03E4" w:rsidRPr="0057535C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3EB29920" w:rsidR="00CA3381" w:rsidRPr="0057535C" w:rsidRDefault="0055380D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</w:sdtContent>
          </w:sdt>
        </w:tc>
      </w:tr>
      <w:permEnd w:id="2142716198"/>
      <w:tr w:rsidR="00263F72" w:rsidRPr="0057535C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57535C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 w:rsidRPr="0057535C"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57535C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Pr="0057535C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28C057" w14:textId="7565312E" w:rsidR="005611D5" w:rsidRDefault="00AE4FD2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Þær breytingar á evrópsku eftirlitskerfi með fjármálamarkaði sem felast í þeim gerðum sem til stendur að innleiða í íslenskan rétt fela m.a. í sér að tiltekin aukin verkefni eru færð til evrópsku eftirlitsstofnananna í þeim tilgangi að </w:t>
                </w:r>
                <w:r w:rsidR="005611D5">
                  <w:rPr>
                    <w:rFonts w:ascii="Times New Roman" w:hAnsi="Times New Roman" w:cs="Times New Roman"/>
                    <w:bCs/>
                    <w:lang w:val="is-IS"/>
                  </w:rPr>
                  <w:t>gera eftirlit með fjármálamörkuðum á EES skilvirkara og stöðugra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  <w:r w:rsidR="005611D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Það kerfi sem við lýði er við eftirlit á fjármálamörkuðum var komið á með lögum um evrópskt eftirlitskerfi á fjármálamarkaði, nr. 24/2017, sem tóku gildi um mitt ár 2017. Þær breytingar sem nú er verið að gera eru ekki </w:t>
                </w:r>
                <w:proofErr w:type="spellStart"/>
                <w:r w:rsidR="005611D5">
                  <w:rPr>
                    <w:rFonts w:ascii="Times New Roman" w:hAnsi="Times New Roman" w:cs="Times New Roman"/>
                    <w:bCs/>
                    <w:lang w:val="is-IS"/>
                  </w:rPr>
                  <w:t>stórvægilegar</w:t>
                </w:r>
                <w:proofErr w:type="spellEnd"/>
                <w:r w:rsidR="005611D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varða m.a. stjórnkerfi eftirlitsstofnana Evrópusambandsins. EES-/EFTA-ríkin fá nú formlega fulla aðild að Evrópska kerfisáhætturáðinu, en hingað til hafa þau haft möguleika á þátttöku. Sú breyting hefur því lítil áhrif í framkvæmd.</w:t>
                </w:r>
              </w:p>
              <w:p w14:paraId="3ADD87B1" w14:textId="7FDEF5E0" w:rsidR="00FD2097" w:rsidRPr="0057535C" w:rsidRDefault="001D21E6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Þeir aðilar sem munu heyra undir það beina eftirlit sem kveðið er á um</w:t>
                </w:r>
                <w:r w:rsidR="003F4E47">
                  <w:rPr>
                    <w:rFonts w:ascii="Times New Roman" w:hAnsi="Times New Roman" w:cs="Times New Roman"/>
                    <w:bCs/>
                    <w:lang w:val="is-IS"/>
                  </w:rPr>
                  <w:t>, þ.e. veitendur gagnaskýrsluþjónustu og mikilvægar fjárhagslegar viðmiðanir og stjórnendur þeirra,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koma til með að greiða fyrir þann kostnað sem af því eftirliti hlýst sjálfir </w:t>
                </w:r>
                <w:r w:rsidR="003F4E47">
                  <w:rPr>
                    <w:rFonts w:ascii="Times New Roman" w:hAnsi="Times New Roman" w:cs="Times New Roman"/>
                    <w:bCs/>
                    <w:lang w:val="is-IS"/>
                  </w:rPr>
                  <w:t>og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dreifist </w:t>
                </w:r>
                <w:r w:rsidR="00026BE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hann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á aðra markaðsaðila.</w:t>
                </w:r>
                <w:r w:rsidR="005765E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 stendur eru engir slíkir aðilar hér á landi.</w:t>
                </w:r>
              </w:p>
              <w:p w14:paraId="40049170" w14:textId="715A97DA" w:rsidR="001B69DD" w:rsidRPr="0057535C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 w:rsidRPr="0057535C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61BAD2B" w14:textId="616B2FC7" w:rsidR="005611D5" w:rsidRPr="00994A85" w:rsidRDefault="00994A85" w:rsidP="001B69DD">
                <w:pPr>
                  <w:pStyle w:val="ListParagraph"/>
                  <w:spacing w:before="60" w:after="60"/>
                  <w:contextualSpacing w:val="0"/>
                  <w:rPr>
                    <w:color w:val="000000"/>
                    <w:sz w:val="27"/>
                    <w:szCs w:val="27"/>
                    <w:lang w:val="is-IS"/>
                  </w:rPr>
                </w:pPr>
                <w:r w:rsidRPr="00994A85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Á heildina litið er gert ráð fyrir því að innleiðing Evrópugerðanna hafi </w:t>
                </w:r>
                <w:r w:rsidR="00026BE0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lítil </w:t>
                </w:r>
                <w:r w:rsidRPr="00994A85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áhrif á reglubyrði </w:t>
                </w:r>
                <w:r w:rsidR="00026BE0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eftirlitsskyldra aðila á </w:t>
                </w:r>
                <w:r w:rsidRPr="00994A85">
                  <w:rPr>
                    <w:rFonts w:ascii="Times New Roman" w:hAnsi="Times New Roman" w:cs="Times New Roman"/>
                    <w:color w:val="000000"/>
                    <w:lang w:val="is-IS"/>
                  </w:rPr>
                  <w:t>íslensk</w:t>
                </w:r>
                <w:r w:rsidR="00026BE0">
                  <w:rPr>
                    <w:rFonts w:ascii="Times New Roman" w:hAnsi="Times New Roman" w:cs="Times New Roman"/>
                    <w:color w:val="000000"/>
                    <w:lang w:val="is-IS"/>
                  </w:rPr>
                  <w:t>um fjármálamarkaði</w:t>
                </w:r>
                <w:r w:rsidRPr="00994A85">
                  <w:rPr>
                    <w:rFonts w:ascii="Times New Roman" w:hAnsi="Times New Roman" w:cs="Times New Roman"/>
                    <w:color w:val="000000"/>
                    <w:lang w:val="is-IS"/>
                  </w:rPr>
                  <w:t>.</w:t>
                </w:r>
                <w:r w:rsidR="00264E13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 </w:t>
                </w:r>
                <w:r w:rsidR="005611D5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Reglurnar varða alla eftirlitsskylda aðila á íslenskum fjármálamarkaði, nema lífeyrissjóði. </w:t>
                </w:r>
              </w:p>
              <w:p w14:paraId="5CF956E4" w14:textId="68D82A35" w:rsidR="00994A85" w:rsidRPr="0057535C" w:rsidRDefault="00994A85" w:rsidP="001B69DD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hefur verið leitað umsagnar ráðgjafarnefndar um opinberar eftirlitsreglur.</w:t>
                </w:r>
              </w:p>
              <w:p w14:paraId="28431DFF" w14:textId="3EE44640" w:rsidR="00A410EA" w:rsidRPr="0057535C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785E94F5" w:rsidR="00A410EA" w:rsidRPr="0057535C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Líkur á því að fjöldi fyrirtækja á markaði takmarkist með beinum hætti vegna </w:t>
                </w:r>
                <w:proofErr w:type="spellStart"/>
                <w:r w:rsidRPr="0057535C">
                  <w:rPr>
                    <w:rFonts w:ascii="Times New Roman" w:hAnsi="Times New Roman" w:cs="Times New Roman"/>
                    <w:lang w:val="is-IS"/>
                  </w:rPr>
                  <w:t>reglusetningar</w:t>
                </w:r>
                <w:proofErr w:type="spellEnd"/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(líklegt ef aðgerðin felur í sér einhvers konar einkarétt, leyfiskerfi eða kvóta)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96884" w:rsidRPr="0057535C">
                  <w:rPr>
                    <w:rFonts w:ascii="Times New Roman" w:hAnsi="Times New Roman" w:cs="Times New Roman"/>
                    <w:lang w:val="is-IS"/>
                  </w:rPr>
                  <w:t>Ekki eru taldar líkur á því að fjöldi fyrirtækja á markaði takmarkist vegna fyrirhugaðrar lagasetningar.</w:t>
                </w:r>
              </w:p>
              <w:p w14:paraId="05C73860" w14:textId="11FEAB67" w:rsidR="00301FF8" w:rsidRPr="0057535C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Líkur á því að fyrirtækjum á markaði fækki með óbeinum hætti vegna </w:t>
                </w:r>
                <w:proofErr w:type="spellStart"/>
                <w:r w:rsidRPr="0057535C">
                  <w:rPr>
                    <w:rFonts w:ascii="Times New Roman" w:hAnsi="Times New Roman" w:cs="Times New Roman"/>
                    <w:lang w:val="is-IS"/>
                  </w:rPr>
                  <w:t>reglusetningar</w:t>
                </w:r>
                <w:proofErr w:type="spellEnd"/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(líklegt ef aðgerðin felur í sér aukinn kostnað við inngöngu á markað eða tekur aðeins til hluta starfandi fyrirtækja)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96884" w:rsidRPr="0057535C">
                  <w:rPr>
                    <w:rFonts w:ascii="Times New Roman" w:hAnsi="Times New Roman" w:cs="Times New Roman"/>
                    <w:lang w:val="is-IS"/>
                  </w:rPr>
                  <w:t>Ekki eru taldar líkur á því að fyrirtækjum á markaði fækki með óbeinum hætti vegna fyrirhugaðrar lagasetningar.</w:t>
                </w:r>
              </w:p>
              <w:p w14:paraId="11012B77" w14:textId="66389EAA" w:rsidR="003F530A" w:rsidRPr="0057535C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Takmarkanir á möguleikum fyrirtækja til þess að mæta samkeppni vegna </w:t>
                </w:r>
                <w:proofErr w:type="spellStart"/>
                <w:r w:rsidRPr="0057535C">
                  <w:rPr>
                    <w:rFonts w:ascii="Times New Roman" w:hAnsi="Times New Roman" w:cs="Times New Roman"/>
                    <w:lang w:val="is-IS"/>
                  </w:rPr>
                  <w:t>reglusetningar</w:t>
                </w:r>
                <w:proofErr w:type="spellEnd"/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(líklegt ef aðgerðin hefur áhrif á verð fyrirtækja eða eðli vörunnar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t.d. staðlar eða ef aðgerðin takmarkar sölusvæði, svigrúm til að auglýsa eða til að ákveða hvernig vara er framleidd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94A85">
                  <w:rPr>
                    <w:rFonts w:ascii="Times New Roman" w:hAnsi="Times New Roman" w:cs="Times New Roman"/>
                    <w:lang w:val="is-IS"/>
                  </w:rPr>
                  <w:t xml:space="preserve">Ekki eru taldar líkur á takmörkun á möguleika fyrirtækja til þess að mæta samkeppni vegna </w:t>
                </w:r>
                <w:proofErr w:type="spellStart"/>
                <w:r w:rsidR="00994A85">
                  <w:rPr>
                    <w:rFonts w:ascii="Times New Roman" w:hAnsi="Times New Roman" w:cs="Times New Roman"/>
                    <w:lang w:val="is-IS"/>
                  </w:rPr>
                  <w:t>reglusetningar</w:t>
                </w:r>
                <w:proofErr w:type="spellEnd"/>
                <w:r w:rsidR="00994A85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3A35C1E" w14:textId="59AE1C48" w:rsidR="00CA3381" w:rsidRPr="0057535C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 w:rsidRPr="0057535C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samkeppni vegna </w:t>
                </w:r>
                <w:proofErr w:type="spellStart"/>
                <w:r w:rsidRPr="0057535C">
                  <w:rPr>
                    <w:rFonts w:ascii="Times New Roman" w:hAnsi="Times New Roman" w:cs="Times New Roman"/>
                    <w:lang w:val="is-IS"/>
                  </w:rPr>
                  <w:t>reglusetningar</w:t>
                </w:r>
                <w:proofErr w:type="spellEnd"/>
                <w:r w:rsidRPr="0057535C">
                  <w:rPr>
                    <w:rFonts w:ascii="Times New Roman" w:hAnsi="Times New Roman" w:cs="Times New Roman"/>
                    <w:lang w:val="is-IS"/>
                  </w:rPr>
                  <w:t xml:space="preserve"> (líklegt ef aðgerðin felur í sér að fyrirtæki verði undanþegin samkeppnislögum eða ef fyrirtæki bera skyldu eða eru hvött til að skipta með sér hvers konar viðskiptalegum upplýsingum)</w:t>
                </w:r>
                <w:r w:rsidR="00C16C66" w:rsidRPr="0057535C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94A85">
                  <w:rPr>
                    <w:rFonts w:ascii="Times New Roman" w:hAnsi="Times New Roman" w:cs="Times New Roman"/>
                    <w:lang w:val="is-IS"/>
                  </w:rPr>
                  <w:t xml:space="preserve">Ekki eru taldar líkur á takmörkun á frumkvæði fyrirtækja til að stunda virka samkeppni vegna </w:t>
                </w:r>
                <w:proofErr w:type="spellStart"/>
                <w:r w:rsidR="00994A85">
                  <w:rPr>
                    <w:rFonts w:ascii="Times New Roman" w:hAnsi="Times New Roman" w:cs="Times New Roman"/>
                    <w:lang w:val="is-IS"/>
                  </w:rPr>
                  <w:t>reglusetningar</w:t>
                </w:r>
                <w:proofErr w:type="spellEnd"/>
                <w:r w:rsidR="00994A85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permEnd w:id="2028099852"/>
      <w:tr w:rsidR="000D6E33" w:rsidRPr="0057535C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57535C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 w:rsidRPr="0057535C"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57535C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57535C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2F903E03" w:rsidR="000D6E33" w:rsidRPr="0057535C" w:rsidRDefault="007560D6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Ekki er gert ráð fyrir áhrifum á fjárhag sveitarfélaga</w:t>
                </w:r>
                <w:r w:rsidR="00C16C66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145B43A" w14:textId="62EF2A18" w:rsidR="00CE06FC" w:rsidRPr="0057535C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57535C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067B1A9C" w:rsidR="00AC19E3" w:rsidRPr="0057535C" w:rsidRDefault="007560D6" w:rsidP="007560D6">
                <w:pPr>
                  <w:pStyle w:val="ListParagraph"/>
                  <w:spacing w:before="60" w:after="60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proofErr w:type="spellStart"/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Samræming</w:t>
                </w:r>
                <w:proofErr w:type="spellEnd"/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 við reglur annars staðar á Evrópska efnahagssvæðinu er til þess fallin að greiða fyrir veitingu þjónustu þvert á landamæri</w:t>
                </w:r>
                <w:r w:rsidR="00C16C66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F933ABF" w14:textId="76A0C5D1" w:rsidR="00CE06FC" w:rsidRPr="0057535C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38CD8831" w:rsidR="00AC19E3" w:rsidRPr="0057535C" w:rsidRDefault="007560D6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C16C66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0533F4" w14:textId="059FA65B" w:rsidR="00AC19E3" w:rsidRPr="0057535C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E5B5544" w14:textId="77777777" w:rsidR="007560D6" w:rsidRPr="0057535C" w:rsidRDefault="007560D6" w:rsidP="007560D6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3CFDCD51" w14:textId="13CC5C4F" w:rsidR="00AC19E3" w:rsidRPr="0057535C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0E2D6F1" w14:textId="77777777" w:rsidR="007560D6" w:rsidRPr="0057535C" w:rsidRDefault="007560D6" w:rsidP="007560D6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3E1BBD6F" w14:textId="54C76E82" w:rsidR="003C66CA" w:rsidRPr="0057535C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BDD65C9" w14:textId="612B451E" w:rsidR="00193979" w:rsidRPr="0057535C" w:rsidRDefault="007560D6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Ekki er gert ráð fyrir áhrifum á jafnrétti kynjanna</w:t>
                </w:r>
                <w:r w:rsidR="00193979" w:rsidRPr="0057535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88DA598" w14:textId="5DEB42B0" w:rsidR="00346619" w:rsidRPr="0057535C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0A3E947B" w:rsidR="00193979" w:rsidRPr="0057535C" w:rsidRDefault="007560D6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color w:val="000000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Ekki er gert ráð fyrir áhrifum á lýðheilsu.</w:t>
                </w:r>
              </w:p>
              <w:p w14:paraId="4732EDF5" w14:textId="00FF440C" w:rsidR="00346619" w:rsidRPr="0057535C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3CA06D16" w:rsidR="00193979" w:rsidRPr="0057535C" w:rsidRDefault="007560D6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76338615" w14:textId="18004EBC" w:rsidR="00346619" w:rsidRPr="0057535C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70FC8475" w:rsidR="00193979" w:rsidRPr="0057535C" w:rsidRDefault="007560D6" w:rsidP="007560D6">
                <w:pPr>
                  <w:pStyle w:val="ListParagraph"/>
                  <w:jc w:val="both"/>
                  <w:rPr>
                    <w:rFonts w:ascii="Times New Roman" w:hAnsi="Times New Roman" w:cs="Times New Roman"/>
                    <w:color w:val="000000"/>
                    <w:lang w:val="is-IS"/>
                  </w:rPr>
                </w:pPr>
                <w:proofErr w:type="spellStart"/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Samræming</w:t>
                </w:r>
                <w:proofErr w:type="spellEnd"/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 við reglur annars staðar á Norðurlöndum er til þess fallin að greiða fyrir veitingu þjónustu þvert á norræn landamæri.</w:t>
                </w:r>
              </w:p>
              <w:p w14:paraId="1EAB7D34" w14:textId="78E05B20" w:rsidR="00346619" w:rsidRPr="0057535C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19A5454" w14:textId="62641838" w:rsidR="007560D6" w:rsidRPr="0057535C" w:rsidRDefault="007560D6" w:rsidP="00264E13">
                <w:pPr>
                  <w:pStyle w:val="ListParagraph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Ekki er gert ráð að innleiðing Evrópugerðanna hafi </w:t>
                </w:r>
                <w:r w:rsidR="00264E13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mikil </w:t>
                </w: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áhrif á </w:t>
                </w:r>
                <w:r w:rsidR="00264E13">
                  <w:rPr>
                    <w:rFonts w:ascii="Times New Roman" w:hAnsi="Times New Roman" w:cs="Times New Roman"/>
                    <w:color w:val="000000"/>
                    <w:lang w:val="is-IS"/>
                  </w:rPr>
                  <w:t>núverandi verkefni Fjármálaeftirlitsins.</w:t>
                </w:r>
              </w:p>
              <w:p w14:paraId="52F604BA" w14:textId="65A6A3D1" w:rsidR="00346619" w:rsidRPr="0057535C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57535C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57535C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008EACE1" w:rsidR="00193979" w:rsidRPr="0057535C" w:rsidRDefault="007560D6" w:rsidP="00193979">
                <w:pPr>
                  <w:pStyle w:val="ListParagraph"/>
                  <w:rPr>
                    <w:rFonts w:ascii="Times New Roman" w:hAnsi="Times New Roman" w:cs="Times New Roman"/>
                    <w:color w:val="000000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Ekki er gert ráð fyrir áhrifum á stöðu tiltekinna þjóðfélagshópa.</w:t>
                </w:r>
              </w:p>
              <w:p w14:paraId="10635864" w14:textId="77777777" w:rsidR="00193979" w:rsidRPr="0057535C" w:rsidRDefault="00346619" w:rsidP="008831B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2BB28149" w:rsidR="000D6E33" w:rsidRPr="0057535C" w:rsidRDefault="007560D6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color w:val="000000"/>
                    <w:lang w:val="is-IS"/>
                  </w:rPr>
                  <w:t>Ekki er gert ráð fyrir áhrifum á umhverfi og sjálfbæra þróun.</w:t>
                </w:r>
                <w:r w:rsidR="00346619" w:rsidRPr="0057535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57535C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57535C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 w:rsidRPr="0057535C">
              <w:rPr>
                <w:rFonts w:ascii="Times New Roman" w:hAnsi="Times New Roman" w:cs="Times New Roman"/>
                <w:b/>
                <w:lang w:val="is-IS"/>
              </w:rPr>
              <w:t>Niðurstaða mats</w:t>
            </w:r>
            <w:r w:rsidR="00A3629C" w:rsidRPr="0057535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 w:rsidRPr="0057535C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57535C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Pr="0057535C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0F52EF82" w:rsidR="00193979" w:rsidRPr="0057535C" w:rsidRDefault="000E04B6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lang w:val="is-IS"/>
                  </w:rPr>
                  <w:lastRenderedPageBreak/>
                  <w:t>Ekki er gert ráð fyrir áhrifum á fjárhag ríkisins</w:t>
                </w:r>
                <w:r w:rsidR="00264E13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F35D677" w14:textId="77777777" w:rsidR="000E04B6" w:rsidRPr="0057535C" w:rsidRDefault="000E04B6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6C7C3DC8" w14:textId="040E1813" w:rsidR="000073F7" w:rsidRPr="0057535C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Önnur áhrif en bein fjárhagsáhrif, álitamál eða fyrirvarar sem ástæða þykir til að vekja athygli á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74E1498C" w:rsidR="00193979" w:rsidRPr="0057535C" w:rsidRDefault="000E04B6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01CF66D1" w14:textId="77777777" w:rsidR="000E04B6" w:rsidRPr="0057535C" w:rsidRDefault="000E04B6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7980F45" w14:textId="77777777" w:rsidR="00193979" w:rsidRPr="0057535C" w:rsidRDefault="00346619" w:rsidP="00F33A33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 w:rsidRPr="0057535C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 w:rsidRPr="0057535C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964699272"/>
              <w:p w14:paraId="6B09DAA3" w14:textId="3D6F46FF" w:rsidR="00CA3381" w:rsidRPr="0057535C" w:rsidRDefault="003B0BBF" w:rsidP="003B0BBF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B0BBF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Innleiðing gerðanna er ekki talin hafa </w:t>
                </w:r>
                <w:r w:rsidR="00D9148F">
                  <w:rPr>
                    <w:rFonts w:ascii="Times New Roman" w:hAnsi="Times New Roman" w:cs="Times New Roman"/>
                    <w:color w:val="000000"/>
                    <w:lang w:val="is-IS"/>
                  </w:rPr>
                  <w:t>mikil</w:t>
                </w:r>
                <w:r w:rsidRPr="003B0BBF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 áhrif hér á land</w:t>
                </w:r>
                <w:r w:rsidR="0060330A">
                  <w:rPr>
                    <w:rFonts w:ascii="Times New Roman" w:hAnsi="Times New Roman" w:cs="Times New Roman"/>
                    <w:color w:val="000000"/>
                    <w:lang w:val="is-IS"/>
                  </w:rPr>
                  <w:t>i</w:t>
                </w:r>
                <w:r w:rsidRPr="003B0BBF">
                  <w:rPr>
                    <w:rFonts w:ascii="Times New Roman" w:hAnsi="Times New Roman" w:cs="Times New Roman"/>
                    <w:color w:val="000000"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 Með gerðunum eru reglur sem gilda um eftirlit á fjármálamarkaði samræmdar </w:t>
                </w:r>
                <w:r w:rsidR="00D9148F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enn </w:t>
                </w:r>
                <w:r>
                  <w:rPr>
                    <w:rFonts w:ascii="Times New Roman" w:hAnsi="Times New Roman" w:cs="Times New Roman"/>
                    <w:color w:val="000000"/>
                    <w:lang w:val="is-IS"/>
                  </w:rPr>
                  <w:t>frekar á EES. Kostnaður og fyrirhöfn við að innleiða löggjöfina er ekki talin vera mikil.</w:t>
                </w:r>
                <w:r w:rsidRPr="003B0BBF">
                  <w:rPr>
                    <w:rFonts w:ascii="Times New Roman" w:hAnsi="Times New Roman" w:cs="Times New Roman"/>
                    <w:color w:val="000000"/>
                    <w:lang w:val="is-IS"/>
                  </w:rPr>
                  <w:t xml:space="preserve"> </w:t>
                </w:r>
              </w:p>
            </w:sdtContent>
          </w:sdt>
        </w:tc>
      </w:tr>
      <w:tr w:rsidR="00EB6651" w:rsidRPr="0057535C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57535C" w:rsidRDefault="00D64A3D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57535C">
              <w:rPr>
                <w:rFonts w:ascii="Times New Roman" w:hAnsi="Times New Roman" w:cs="Times New Roman"/>
                <w:b/>
                <w:lang w:val="is-IS"/>
              </w:rPr>
              <w:lastRenderedPageBreak/>
              <w:t>Til útfyllingar vegna endanlegs mats – breytingar frá frummati</w:t>
            </w:r>
          </w:p>
        </w:tc>
      </w:tr>
      <w:tr w:rsidR="00EB6651" w:rsidRPr="0057535C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Pr="0057535C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57535C" w:rsidRDefault="00193979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Pr="0057535C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57535C" w:rsidRDefault="00193979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Pr="0057535C" w:rsidRDefault="00D64A3D" w:rsidP="000073F7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57535C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57535C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57535C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 w:rsidRPr="0057535C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57535C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57535C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7535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Pr="0057535C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Pr="0057535C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57535C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57535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BBE3" w14:textId="77777777" w:rsidR="00002CD4" w:rsidRDefault="00002CD4" w:rsidP="007478E0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02CD4" w:rsidRDefault="00002CD4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D3EC" w14:textId="77777777" w:rsidR="00002CD4" w:rsidRDefault="00002CD4" w:rsidP="007478E0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02CD4" w:rsidRDefault="00002CD4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7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8"/>
  </w:num>
  <w:num w:numId="16">
    <w:abstractNumId w:val="0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25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15873"/>
    <w:rsid w:val="000212D2"/>
    <w:rsid w:val="00026BE0"/>
    <w:rsid w:val="00050DAE"/>
    <w:rsid w:val="00051DC6"/>
    <w:rsid w:val="00063E97"/>
    <w:rsid w:val="000829E4"/>
    <w:rsid w:val="0008494B"/>
    <w:rsid w:val="00096884"/>
    <w:rsid w:val="00096B1D"/>
    <w:rsid w:val="000A7176"/>
    <w:rsid w:val="000B043D"/>
    <w:rsid w:val="000B3C73"/>
    <w:rsid w:val="000C58BD"/>
    <w:rsid w:val="000D5AA9"/>
    <w:rsid w:val="000D6E33"/>
    <w:rsid w:val="000E04B6"/>
    <w:rsid w:val="000E1312"/>
    <w:rsid w:val="000E34DF"/>
    <w:rsid w:val="000E6A46"/>
    <w:rsid w:val="000F304B"/>
    <w:rsid w:val="000F7A26"/>
    <w:rsid w:val="00100138"/>
    <w:rsid w:val="00103613"/>
    <w:rsid w:val="0011293C"/>
    <w:rsid w:val="00121873"/>
    <w:rsid w:val="0012646E"/>
    <w:rsid w:val="00126525"/>
    <w:rsid w:val="00131859"/>
    <w:rsid w:val="00133146"/>
    <w:rsid w:val="00135B40"/>
    <w:rsid w:val="0013710B"/>
    <w:rsid w:val="00143B7A"/>
    <w:rsid w:val="001615F2"/>
    <w:rsid w:val="00171DA7"/>
    <w:rsid w:val="00176943"/>
    <w:rsid w:val="00187E36"/>
    <w:rsid w:val="00193979"/>
    <w:rsid w:val="001972B9"/>
    <w:rsid w:val="001B69DD"/>
    <w:rsid w:val="001C5BB7"/>
    <w:rsid w:val="001D117E"/>
    <w:rsid w:val="001D21E6"/>
    <w:rsid w:val="001D278A"/>
    <w:rsid w:val="001D30D8"/>
    <w:rsid w:val="001D3FA7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4E13"/>
    <w:rsid w:val="002666DE"/>
    <w:rsid w:val="00267F64"/>
    <w:rsid w:val="002704D7"/>
    <w:rsid w:val="00272C3F"/>
    <w:rsid w:val="00281D86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079F"/>
    <w:rsid w:val="00342BDC"/>
    <w:rsid w:val="00346619"/>
    <w:rsid w:val="00350CD3"/>
    <w:rsid w:val="0035270D"/>
    <w:rsid w:val="00364D97"/>
    <w:rsid w:val="003711B1"/>
    <w:rsid w:val="00377EE9"/>
    <w:rsid w:val="003A1821"/>
    <w:rsid w:val="003B0BBF"/>
    <w:rsid w:val="003B784E"/>
    <w:rsid w:val="003C66CA"/>
    <w:rsid w:val="003D01BF"/>
    <w:rsid w:val="003D1515"/>
    <w:rsid w:val="003E611E"/>
    <w:rsid w:val="003F4E47"/>
    <w:rsid w:val="003F530A"/>
    <w:rsid w:val="00403139"/>
    <w:rsid w:val="004265D7"/>
    <w:rsid w:val="0043227F"/>
    <w:rsid w:val="004433F4"/>
    <w:rsid w:val="00450029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5380D"/>
    <w:rsid w:val="005611D5"/>
    <w:rsid w:val="005641B1"/>
    <w:rsid w:val="00564856"/>
    <w:rsid w:val="0057535C"/>
    <w:rsid w:val="005765E9"/>
    <w:rsid w:val="00592E19"/>
    <w:rsid w:val="005A2A30"/>
    <w:rsid w:val="005B46C8"/>
    <w:rsid w:val="005C123A"/>
    <w:rsid w:val="005C1678"/>
    <w:rsid w:val="005E44E3"/>
    <w:rsid w:val="0060330A"/>
    <w:rsid w:val="00613815"/>
    <w:rsid w:val="00614FAD"/>
    <w:rsid w:val="00676A8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4B91"/>
    <w:rsid w:val="00730F7B"/>
    <w:rsid w:val="00731AD2"/>
    <w:rsid w:val="007365C0"/>
    <w:rsid w:val="007414CB"/>
    <w:rsid w:val="007478E0"/>
    <w:rsid w:val="007560D6"/>
    <w:rsid w:val="00761AFD"/>
    <w:rsid w:val="00784383"/>
    <w:rsid w:val="00795B16"/>
    <w:rsid w:val="00796FBB"/>
    <w:rsid w:val="007A02FD"/>
    <w:rsid w:val="007B71B2"/>
    <w:rsid w:val="007C7454"/>
    <w:rsid w:val="007F64AB"/>
    <w:rsid w:val="00810E31"/>
    <w:rsid w:val="00811BB0"/>
    <w:rsid w:val="00811C11"/>
    <w:rsid w:val="00813003"/>
    <w:rsid w:val="00820DCE"/>
    <w:rsid w:val="008218F2"/>
    <w:rsid w:val="00826B1C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C75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63C38"/>
    <w:rsid w:val="00986DC2"/>
    <w:rsid w:val="00993115"/>
    <w:rsid w:val="00994012"/>
    <w:rsid w:val="009941D2"/>
    <w:rsid w:val="00994A85"/>
    <w:rsid w:val="009B7A52"/>
    <w:rsid w:val="009C2DA3"/>
    <w:rsid w:val="009C3565"/>
    <w:rsid w:val="009F43E8"/>
    <w:rsid w:val="009F64EA"/>
    <w:rsid w:val="00A01DD4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777F4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4FD2"/>
    <w:rsid w:val="00AE50E5"/>
    <w:rsid w:val="00B339AF"/>
    <w:rsid w:val="00B65214"/>
    <w:rsid w:val="00B677F5"/>
    <w:rsid w:val="00B863E2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35660"/>
    <w:rsid w:val="00C37BDD"/>
    <w:rsid w:val="00C412C9"/>
    <w:rsid w:val="00C5037E"/>
    <w:rsid w:val="00C55589"/>
    <w:rsid w:val="00C643BC"/>
    <w:rsid w:val="00C67F5E"/>
    <w:rsid w:val="00C7397C"/>
    <w:rsid w:val="00CA3381"/>
    <w:rsid w:val="00CC343A"/>
    <w:rsid w:val="00CC774F"/>
    <w:rsid w:val="00CD60E4"/>
    <w:rsid w:val="00CE06FC"/>
    <w:rsid w:val="00CE190D"/>
    <w:rsid w:val="00CF477F"/>
    <w:rsid w:val="00D03E7A"/>
    <w:rsid w:val="00D0424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4D0E"/>
    <w:rsid w:val="00D87B33"/>
    <w:rsid w:val="00D913A8"/>
    <w:rsid w:val="00D9148F"/>
    <w:rsid w:val="00D96089"/>
    <w:rsid w:val="00DD7EA1"/>
    <w:rsid w:val="00DF2AA7"/>
    <w:rsid w:val="00E02D04"/>
    <w:rsid w:val="00E231B6"/>
    <w:rsid w:val="00E31C26"/>
    <w:rsid w:val="00E40F87"/>
    <w:rsid w:val="00E568F6"/>
    <w:rsid w:val="00E57920"/>
    <w:rsid w:val="00E648AA"/>
    <w:rsid w:val="00E664C8"/>
    <w:rsid w:val="00E67F09"/>
    <w:rsid w:val="00E71099"/>
    <w:rsid w:val="00E832C9"/>
    <w:rsid w:val="00E8379D"/>
    <w:rsid w:val="00EB6651"/>
    <w:rsid w:val="00EE7DC8"/>
    <w:rsid w:val="00EF25FE"/>
    <w:rsid w:val="00F078F7"/>
    <w:rsid w:val="00F33A33"/>
    <w:rsid w:val="00F51F2D"/>
    <w:rsid w:val="00F55F5D"/>
    <w:rsid w:val="00F656C4"/>
    <w:rsid w:val="00F7438A"/>
    <w:rsid w:val="00F841D8"/>
    <w:rsid w:val="00F873AB"/>
    <w:rsid w:val="00F92D2C"/>
    <w:rsid w:val="00F93B5C"/>
    <w:rsid w:val="00F9608F"/>
    <w:rsid w:val="00FA7664"/>
    <w:rsid w:val="00FC1BBA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00FF72D9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C4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E0"/>
  </w:style>
  <w:style w:type="paragraph" w:styleId="Footer">
    <w:name w:val="footer"/>
    <w:basedOn w:val="Normal"/>
    <w:link w:val="Foot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E0"/>
  </w:style>
  <w:style w:type="character" w:styleId="PlaceholderText">
    <w:name w:val="Placeholder Text"/>
    <w:basedOn w:val="DefaultParagraphFont"/>
    <w:uiPriority w:val="99"/>
    <w:semiHidden/>
    <w:rsid w:val="002A478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3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3F7"/>
    <w:rPr>
      <w:vertAlign w:val="superscript"/>
    </w:rPr>
  </w:style>
  <w:style w:type="character" w:customStyle="1" w:styleId="ui-provider">
    <w:name w:val="ui-provider"/>
    <w:basedOn w:val="DefaultParagraphFont"/>
    <w:rsid w:val="00015873"/>
  </w:style>
  <w:style w:type="paragraph" w:styleId="NormalWeb">
    <w:name w:val="Normal (Web)"/>
    <w:basedOn w:val="Normal"/>
    <w:uiPriority w:val="99"/>
    <w:semiHidden/>
    <w:unhideWhenUsed/>
    <w:rsid w:val="0055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4E04D1E13EA458688DE79FF696F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2404-81E2-4D69-A9D1-F25DA23ADA9C}"/>
      </w:docPartPr>
      <w:docPartBody>
        <w:p w:rsidR="00BA362E" w:rsidRDefault="003E51E0" w:rsidP="003E51E0">
          <w:pPr>
            <w:pStyle w:val="24E04D1E13EA458688DE79FF696FC28F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3E51E0"/>
    <w:rsid w:val="0062144B"/>
    <w:rsid w:val="006B17C6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A362E"/>
    <w:rsid w:val="00BD2B03"/>
    <w:rsid w:val="00C15123"/>
    <w:rsid w:val="00D5050E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24E04D1E13EA458688DE79FF696FC28F">
    <w:name w:val="24E04D1E13EA458688DE79FF696FC28F"/>
    <w:rsid w:val="003E5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Elísabet Júlíusdóttir</cp:lastModifiedBy>
  <cp:revision>2</cp:revision>
  <cp:lastPrinted>2024-05-28T14:08:00Z</cp:lastPrinted>
  <dcterms:created xsi:type="dcterms:W3CDTF">2024-07-02T10:27:00Z</dcterms:created>
  <dcterms:modified xsi:type="dcterms:W3CDTF">2024-07-02T10:27:00Z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