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4A" w:rsidRPr="00190F77" w:rsidRDefault="00B305D4" w:rsidP="00190F77">
      <w:pPr>
        <w:spacing w:after="0"/>
        <w:ind w:left="142"/>
        <w:jc w:val="center"/>
        <w:rPr>
          <w:rFonts w:cstheme="minorHAnsi"/>
          <w:sz w:val="24"/>
          <w:szCs w:val="24"/>
        </w:rPr>
      </w:pPr>
      <w:r w:rsidRPr="00190F77">
        <w:rPr>
          <w:rFonts w:cstheme="minorHAnsi"/>
          <w:b/>
          <w:sz w:val="24"/>
          <w:szCs w:val="24"/>
        </w:rPr>
        <w:t>Comments and Recommendations for Benthic and Water Quality Standards for Potential Inclusion in Marine Fish Aquaculture</w:t>
      </w:r>
      <w:r w:rsidR="00204E4A" w:rsidRPr="00190F77">
        <w:rPr>
          <w:rFonts w:cstheme="minorHAnsi"/>
          <w:b/>
          <w:sz w:val="24"/>
          <w:szCs w:val="24"/>
        </w:rPr>
        <w:t xml:space="preserve"> </w:t>
      </w:r>
      <w:r w:rsidR="00AB5328" w:rsidRPr="00190F77">
        <w:rPr>
          <w:rFonts w:cstheme="minorHAnsi"/>
          <w:b/>
          <w:sz w:val="24"/>
          <w:szCs w:val="24"/>
        </w:rPr>
        <w:t>Model Standards for Iceland</w:t>
      </w:r>
    </w:p>
    <w:p w:rsidR="00190F77" w:rsidRDefault="00190F77" w:rsidP="00494309">
      <w:pPr>
        <w:pStyle w:val="NoSpacing"/>
        <w:jc w:val="center"/>
      </w:pPr>
      <w:r w:rsidRPr="00B55B2F">
        <w:t xml:space="preserve">Prepared by Inka </w:t>
      </w:r>
      <w:proofErr w:type="spellStart"/>
      <w:r w:rsidRPr="00B55B2F">
        <w:t>Milewski</w:t>
      </w:r>
      <w:proofErr w:type="spellEnd"/>
    </w:p>
    <w:p w:rsidR="00494309" w:rsidRDefault="00494309" w:rsidP="00494309">
      <w:pPr>
        <w:pStyle w:val="NoSpacing"/>
        <w:jc w:val="center"/>
      </w:pPr>
      <w:r>
        <w:t>Dalhousie University, Halifax, Nova Scotia</w:t>
      </w:r>
    </w:p>
    <w:p w:rsidR="00494309" w:rsidRPr="00B55B2F" w:rsidRDefault="00494309" w:rsidP="00494309">
      <w:pPr>
        <w:pStyle w:val="NoSpacing"/>
        <w:jc w:val="center"/>
      </w:pPr>
    </w:p>
    <w:p w:rsidR="00204E4A" w:rsidRDefault="00AB5328" w:rsidP="00866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5B2F">
        <w:rPr>
          <w:rFonts w:cstheme="minorHAnsi"/>
        </w:rPr>
        <w:t xml:space="preserve">The magnitude of potential environmental </w:t>
      </w:r>
      <w:r w:rsidR="00866DFD" w:rsidRPr="00B55B2F">
        <w:rPr>
          <w:rFonts w:cstheme="minorHAnsi"/>
        </w:rPr>
        <w:t xml:space="preserve">(benthic and water quality) </w:t>
      </w:r>
      <w:r w:rsidRPr="00B55B2F">
        <w:rPr>
          <w:rFonts w:cstheme="minorHAnsi"/>
        </w:rPr>
        <w:t xml:space="preserve">impacts </w:t>
      </w:r>
      <w:r w:rsidR="00515357" w:rsidRPr="00B55B2F">
        <w:rPr>
          <w:rFonts w:cstheme="minorHAnsi"/>
        </w:rPr>
        <w:t>from</w:t>
      </w:r>
      <w:r w:rsidRPr="00B55B2F">
        <w:rPr>
          <w:rFonts w:cstheme="minorHAnsi"/>
        </w:rPr>
        <w:t xml:space="preserve"> sea-cage finfish aquaculture will </w:t>
      </w:r>
      <w:r w:rsidR="00515357" w:rsidRPr="00B55B2F">
        <w:rPr>
          <w:rFonts w:cstheme="minorHAnsi"/>
        </w:rPr>
        <w:t xml:space="preserve">vary </w:t>
      </w:r>
      <w:r w:rsidRPr="00B55B2F">
        <w:rPr>
          <w:rFonts w:cstheme="minorHAnsi"/>
        </w:rPr>
        <w:t>depend</w:t>
      </w:r>
      <w:r w:rsidR="00515357" w:rsidRPr="00B55B2F">
        <w:rPr>
          <w:rFonts w:cstheme="minorHAnsi"/>
        </w:rPr>
        <w:t xml:space="preserve">ing on </w:t>
      </w:r>
      <w:r w:rsidR="00866DFD" w:rsidRPr="00B55B2F">
        <w:rPr>
          <w:rFonts w:cstheme="minorHAnsi"/>
        </w:rPr>
        <w:t xml:space="preserve">local </w:t>
      </w:r>
      <w:r w:rsidR="00515357" w:rsidRPr="00B55B2F">
        <w:rPr>
          <w:rFonts w:cstheme="minorHAnsi"/>
        </w:rPr>
        <w:t>current speeds, substrate</w:t>
      </w:r>
      <w:r w:rsidR="00866DFD" w:rsidRPr="00B55B2F">
        <w:rPr>
          <w:rFonts w:cstheme="minorHAnsi"/>
        </w:rPr>
        <w:t xml:space="preserve"> (soft/mud, mixed, gravel/cobble bottom)</w:t>
      </w:r>
      <w:r w:rsidR="00515357" w:rsidRPr="00B55B2F">
        <w:rPr>
          <w:rFonts w:cstheme="minorHAnsi"/>
        </w:rPr>
        <w:t xml:space="preserve"> type, water depth,</w:t>
      </w:r>
      <w:r w:rsidR="00405913">
        <w:rPr>
          <w:rFonts w:cstheme="minorHAnsi"/>
        </w:rPr>
        <w:t xml:space="preserve"> bathymetry</w:t>
      </w:r>
      <w:r w:rsidR="00A02A56">
        <w:rPr>
          <w:rFonts w:cstheme="minorHAnsi"/>
        </w:rPr>
        <w:t>,</w:t>
      </w:r>
      <w:r w:rsidR="00515357" w:rsidRPr="00B55B2F">
        <w:rPr>
          <w:rFonts w:cstheme="minorHAnsi"/>
        </w:rPr>
        <w:t xml:space="preserve"> </w:t>
      </w:r>
      <w:r w:rsidR="00D3598B" w:rsidRPr="00B55B2F">
        <w:rPr>
          <w:rFonts w:cstheme="minorHAnsi"/>
        </w:rPr>
        <w:t>latitude (temperate</w:t>
      </w:r>
      <w:r w:rsidR="008C662A">
        <w:rPr>
          <w:rFonts w:cstheme="minorHAnsi"/>
        </w:rPr>
        <w:t>,</w:t>
      </w:r>
      <w:r w:rsidR="00D3598B" w:rsidRPr="00B55B2F">
        <w:rPr>
          <w:rFonts w:cstheme="minorHAnsi"/>
        </w:rPr>
        <w:t xml:space="preserve"> tropical), </w:t>
      </w:r>
      <w:r w:rsidR="00515357" w:rsidRPr="00B55B2F">
        <w:rPr>
          <w:rFonts w:cstheme="minorHAnsi"/>
        </w:rPr>
        <w:t>farm size and husbandry methods (</w:t>
      </w:r>
      <w:proofErr w:type="spellStart"/>
      <w:r w:rsidR="00866DFD" w:rsidRPr="00B55B2F">
        <w:rPr>
          <w:rFonts w:cstheme="minorHAnsi"/>
        </w:rPr>
        <w:t>Holmer</w:t>
      </w:r>
      <w:proofErr w:type="spellEnd"/>
      <w:r w:rsidR="00866DFD" w:rsidRPr="00B55B2F">
        <w:rPr>
          <w:rFonts w:cstheme="minorHAnsi"/>
        </w:rPr>
        <w:t xml:space="preserve"> et al. 2008; </w:t>
      </w:r>
      <w:r w:rsidR="00515357" w:rsidRPr="00B55B2F">
        <w:rPr>
          <w:rFonts w:cstheme="minorHAnsi"/>
        </w:rPr>
        <w:t>Borja et al.2009</w:t>
      </w:r>
      <w:r w:rsidR="00866DFD" w:rsidRPr="00B55B2F">
        <w:rPr>
          <w:rFonts w:cstheme="minorHAnsi"/>
        </w:rPr>
        <w:t>;</w:t>
      </w:r>
      <w:r w:rsidR="00515357" w:rsidRPr="00B55B2F">
        <w:rPr>
          <w:rFonts w:cstheme="minorHAnsi"/>
        </w:rPr>
        <w:t xml:space="preserve"> Hargrave 2010</w:t>
      </w:r>
      <w:r w:rsidR="00D3598B" w:rsidRPr="00B55B2F">
        <w:rPr>
          <w:rFonts w:cstheme="minorHAnsi"/>
        </w:rPr>
        <w:t>, Price et al. 2015</w:t>
      </w:r>
      <w:r w:rsidR="00866DFD" w:rsidRPr="00B55B2F">
        <w:rPr>
          <w:rFonts w:cstheme="minorHAnsi"/>
        </w:rPr>
        <w:t xml:space="preserve">). </w:t>
      </w:r>
      <w:r w:rsidR="00494309">
        <w:rPr>
          <w:rFonts w:cstheme="minorHAnsi"/>
        </w:rPr>
        <w:t xml:space="preserve">The importance of using an ecosystem-based approach as the process for evaluating site suitability for marine finfish aquaculture </w:t>
      </w:r>
      <w:proofErr w:type="gramStart"/>
      <w:r w:rsidR="00494309">
        <w:rPr>
          <w:rFonts w:cstheme="minorHAnsi"/>
        </w:rPr>
        <w:t>operation</w:t>
      </w:r>
      <w:r w:rsidR="00405913">
        <w:rPr>
          <w:rFonts w:cstheme="minorHAnsi"/>
        </w:rPr>
        <w:t>s</w:t>
      </w:r>
      <w:r w:rsidR="00494309">
        <w:rPr>
          <w:rFonts w:cstheme="minorHAnsi"/>
        </w:rPr>
        <w:t xml:space="preserve">  cannot</w:t>
      </w:r>
      <w:proofErr w:type="gramEnd"/>
      <w:r w:rsidR="00494309">
        <w:rPr>
          <w:rFonts w:cstheme="minorHAnsi"/>
        </w:rPr>
        <w:t xml:space="preserve"> be overstated.</w:t>
      </w:r>
      <w:r w:rsidR="00CF23FC">
        <w:rPr>
          <w:rFonts w:cstheme="minorHAnsi"/>
        </w:rPr>
        <w:t xml:space="preserve"> </w:t>
      </w:r>
      <w:r w:rsidR="00CF23FC" w:rsidRPr="00CF23FC">
        <w:rPr>
          <w:rFonts w:cstheme="minorHAnsi"/>
        </w:rPr>
        <w:t>This approach includes: the protection of non</w:t>
      </w:r>
      <w:r w:rsidR="00CF23FC">
        <w:rPr>
          <w:rFonts w:cstheme="minorHAnsi"/>
        </w:rPr>
        <w:t>-</w:t>
      </w:r>
      <w:r w:rsidR="00CF23FC" w:rsidRPr="00CF23FC">
        <w:rPr>
          <w:rFonts w:cstheme="minorHAnsi"/>
        </w:rPr>
        <w:t>target species, vulnerable species, habitats and trophic interactions; the protection of essential habitats to sustain species diversity and abundance; and the protection of endangered and threatened species.</w:t>
      </w:r>
      <w:r w:rsidR="00CF23FC">
        <w:rPr>
          <w:rFonts w:cstheme="minorHAnsi"/>
        </w:rPr>
        <w:t xml:space="preserve"> Estimates of carrying capacity, robust site selection processes and the use of local ecological knowledge are key tools in implementing an ecosystem-based approach.</w:t>
      </w:r>
    </w:p>
    <w:p w:rsidR="00B66238" w:rsidRDefault="00B66238" w:rsidP="00866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6238" w:rsidRPr="00CF23FC" w:rsidRDefault="00D75F24" w:rsidP="00866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f</w:t>
      </w:r>
      <w:r w:rsidR="00B66238">
        <w:rPr>
          <w:rFonts w:cstheme="minorHAnsi"/>
        </w:rPr>
        <w:t xml:space="preserve">ollowing comments and recommendations are made in relation to the benthic and water quality standards established by the Aquaculture Stewardship Council (version 3.1). </w:t>
      </w:r>
    </w:p>
    <w:p w:rsidR="00BE58EF" w:rsidRPr="00B55B2F" w:rsidRDefault="00BE58EF" w:rsidP="00204E4A">
      <w:pPr>
        <w:rPr>
          <w:rFonts w:cstheme="minorHAnsi"/>
        </w:rPr>
      </w:pPr>
    </w:p>
    <w:p w:rsidR="00BE58EF" w:rsidRPr="00B86908" w:rsidRDefault="00D3598B" w:rsidP="00204E4A">
      <w:pPr>
        <w:rPr>
          <w:rFonts w:cstheme="minorHAnsi"/>
          <w:b/>
          <w:u w:val="single"/>
        </w:rPr>
      </w:pPr>
      <w:r w:rsidRPr="00B86908">
        <w:rPr>
          <w:rFonts w:cstheme="minorHAnsi"/>
          <w:b/>
          <w:u w:val="single"/>
        </w:rPr>
        <w:t>Benthic Indicators</w:t>
      </w:r>
    </w:p>
    <w:p w:rsidR="00D3598B" w:rsidRPr="00B55B2F" w:rsidRDefault="00D3598B" w:rsidP="00B55B2F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55B2F">
        <w:rPr>
          <w:rFonts w:cstheme="minorHAnsi"/>
        </w:rPr>
        <w:t>Redox Potential (</w:t>
      </w:r>
      <w:proofErr w:type="spellStart"/>
      <w:r w:rsidRPr="00B55B2F">
        <w:rPr>
          <w:rFonts w:cstheme="minorHAnsi"/>
        </w:rPr>
        <w:t>Eh</w:t>
      </w:r>
      <w:r w:rsidRPr="00B55B2F">
        <w:rPr>
          <w:rFonts w:cstheme="minorHAnsi"/>
          <w:vertAlign w:val="subscript"/>
        </w:rPr>
        <w:t>NHE</w:t>
      </w:r>
      <w:proofErr w:type="spellEnd"/>
      <w:r w:rsidRPr="00B55B2F">
        <w:rPr>
          <w:rFonts w:cstheme="minorHAnsi"/>
        </w:rPr>
        <w:t xml:space="preserve">) </w:t>
      </w:r>
      <w:r w:rsidR="00883C05" w:rsidRPr="00883C05">
        <w:rPr>
          <w:rFonts w:cstheme="minorHAnsi"/>
        </w:rPr>
        <w:t>is a measure of oxidation</w:t>
      </w:r>
      <w:r w:rsidR="00883C05">
        <w:rPr>
          <w:rFonts w:cstheme="minorHAnsi"/>
        </w:rPr>
        <w:t>-</w:t>
      </w:r>
      <w:r w:rsidR="00883C05" w:rsidRPr="00883C05">
        <w:rPr>
          <w:rFonts w:cstheme="minorHAnsi"/>
        </w:rPr>
        <w:t>reduction potential in sediments and is an indirect indicator of aerobic versus anaerobic conditions</w:t>
      </w:r>
      <w:r w:rsidRPr="00B55B2F">
        <w:rPr>
          <w:rFonts w:cstheme="minorHAnsi"/>
        </w:rPr>
        <w:t xml:space="preserve"> </w:t>
      </w:r>
    </w:p>
    <w:p w:rsidR="00D3598B" w:rsidRPr="00B55B2F" w:rsidRDefault="00D3598B" w:rsidP="00B55B2F">
      <w:pPr>
        <w:spacing w:line="240" w:lineRule="auto"/>
        <w:rPr>
          <w:rFonts w:cstheme="minorHAnsi"/>
        </w:rPr>
      </w:pPr>
      <w:proofErr w:type="gramStart"/>
      <w:r w:rsidRPr="00B55B2F">
        <w:rPr>
          <w:rFonts w:cstheme="minorHAnsi"/>
        </w:rPr>
        <w:t xml:space="preserve">A </w:t>
      </w:r>
      <w:r w:rsidR="00A02A56">
        <w:rPr>
          <w:rFonts w:cstheme="minorHAnsi"/>
        </w:rPr>
        <w:t xml:space="preserve"> redox</w:t>
      </w:r>
      <w:proofErr w:type="gramEnd"/>
      <w:r w:rsidR="00A02A56">
        <w:rPr>
          <w:rFonts w:cstheme="minorHAnsi"/>
        </w:rPr>
        <w:t xml:space="preserve"> </w:t>
      </w:r>
      <w:r w:rsidRPr="00B55B2F">
        <w:rPr>
          <w:rFonts w:cstheme="minorHAnsi"/>
        </w:rPr>
        <w:t xml:space="preserve">value of </w:t>
      </w:r>
      <w:r w:rsidR="00A02A56">
        <w:rPr>
          <w:rFonts w:cstheme="minorHAnsi"/>
        </w:rPr>
        <w:t xml:space="preserve"> &lt;</w:t>
      </w:r>
      <w:r w:rsidRPr="00B55B2F">
        <w:rPr>
          <w:rFonts w:cstheme="minorHAnsi"/>
        </w:rPr>
        <w:t xml:space="preserve"> </w:t>
      </w:r>
      <w:r w:rsidR="00A02A56">
        <w:rPr>
          <w:rFonts w:cstheme="minorHAnsi"/>
        </w:rPr>
        <w:t xml:space="preserve">0 </w:t>
      </w:r>
      <w:r w:rsidRPr="00B55B2F">
        <w:rPr>
          <w:rFonts w:cstheme="minorHAnsi"/>
        </w:rPr>
        <w:t>mV (</w:t>
      </w:r>
      <w:proofErr w:type="spellStart"/>
      <w:r w:rsidRPr="00B55B2F">
        <w:rPr>
          <w:rFonts w:cstheme="minorHAnsi"/>
        </w:rPr>
        <w:t>milliVolt</w:t>
      </w:r>
      <w:proofErr w:type="spellEnd"/>
      <w:r w:rsidRPr="00B55B2F">
        <w:rPr>
          <w:rFonts w:cstheme="minorHAnsi"/>
        </w:rPr>
        <w:t>) is widely accepted as a threshold value that reflects the transition from normal benthic status to polluted status (Hargrave 2010)</w:t>
      </w:r>
      <w:r w:rsidR="00A02A56">
        <w:rPr>
          <w:rFonts w:cstheme="minorHAnsi"/>
        </w:rPr>
        <w:t>. Maintaining redox value</w:t>
      </w:r>
      <w:r w:rsidR="00E93E49">
        <w:rPr>
          <w:rFonts w:cstheme="minorHAnsi"/>
        </w:rPr>
        <w:t>s at</w:t>
      </w:r>
      <w:r w:rsidR="00A02A56">
        <w:rPr>
          <w:rFonts w:cstheme="minorHAnsi"/>
        </w:rPr>
        <w:t xml:space="preserve"> &gt; 0</w:t>
      </w:r>
      <w:r w:rsidR="00A02A56" w:rsidRPr="00A02A56">
        <w:rPr>
          <w:rFonts w:cstheme="minorHAnsi"/>
        </w:rPr>
        <w:t xml:space="preserve"> </w:t>
      </w:r>
      <w:r w:rsidR="00A02A56" w:rsidRPr="00B55B2F">
        <w:rPr>
          <w:rFonts w:cstheme="minorHAnsi"/>
        </w:rPr>
        <w:t xml:space="preserve">mV </w:t>
      </w:r>
      <w:r w:rsidR="00A02A56">
        <w:rPr>
          <w:rFonts w:cstheme="minorHAnsi"/>
        </w:rPr>
        <w:t>is a widely accepted standard.</w:t>
      </w:r>
      <w:r w:rsidR="00A02A56" w:rsidRPr="00B55B2F">
        <w:rPr>
          <w:rFonts w:cstheme="minorHAnsi"/>
        </w:rPr>
        <w:t xml:space="preserve"> </w:t>
      </w:r>
      <w:r w:rsidR="00A02A56">
        <w:rPr>
          <w:rFonts w:cstheme="minorHAnsi"/>
        </w:rPr>
        <w:t xml:space="preserve"> </w:t>
      </w:r>
    </w:p>
    <w:p w:rsidR="00BE58EF" w:rsidRPr="00B55B2F" w:rsidRDefault="00D3598B" w:rsidP="00B55B2F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55B2F">
        <w:rPr>
          <w:rFonts w:cstheme="minorHAnsi"/>
        </w:rPr>
        <w:t xml:space="preserve">Sulphide </w:t>
      </w:r>
      <w:r w:rsidR="00DD13C6">
        <w:rPr>
          <w:rFonts w:cstheme="minorHAnsi"/>
        </w:rPr>
        <w:t>l</w:t>
      </w:r>
      <w:r w:rsidRPr="00B55B2F">
        <w:rPr>
          <w:rFonts w:cstheme="minorHAnsi"/>
        </w:rPr>
        <w:t xml:space="preserve">evel </w:t>
      </w:r>
      <w:r w:rsidR="00DD13C6">
        <w:rPr>
          <w:rFonts w:cstheme="minorHAnsi"/>
        </w:rPr>
        <w:t>reported</w:t>
      </w:r>
      <w:r w:rsidR="00246CA7" w:rsidRPr="00B55B2F">
        <w:rPr>
          <w:rFonts w:cstheme="minorHAnsi"/>
        </w:rPr>
        <w:t xml:space="preserve"> </w:t>
      </w:r>
      <w:r w:rsidRPr="00B55B2F">
        <w:rPr>
          <w:rFonts w:cstheme="minorHAnsi"/>
        </w:rPr>
        <w:t>in µ</w:t>
      </w:r>
      <w:r w:rsidR="00246CA7" w:rsidRPr="00B55B2F">
        <w:rPr>
          <w:rFonts w:cstheme="minorHAnsi"/>
        </w:rPr>
        <w:t>M (micro</w:t>
      </w:r>
      <w:r w:rsidR="00883C05">
        <w:rPr>
          <w:rFonts w:cstheme="minorHAnsi"/>
        </w:rPr>
        <w:t>m</w:t>
      </w:r>
      <w:r w:rsidR="00246CA7" w:rsidRPr="00B55B2F">
        <w:rPr>
          <w:rFonts w:cstheme="minorHAnsi"/>
        </w:rPr>
        <w:t>olar</w:t>
      </w:r>
      <w:r w:rsidR="00883C05">
        <w:rPr>
          <w:rFonts w:cstheme="minorHAnsi"/>
        </w:rPr>
        <w:t xml:space="preserve">) is a measure of the accumulation of </w:t>
      </w:r>
      <w:r w:rsidRPr="00B55B2F">
        <w:rPr>
          <w:rFonts w:cstheme="minorHAnsi"/>
        </w:rPr>
        <w:t xml:space="preserve">'free' dissolved sulphides </w:t>
      </w:r>
      <w:r w:rsidR="00190F77" w:rsidRPr="00B55B2F">
        <w:rPr>
          <w:rFonts w:cstheme="minorHAnsi"/>
        </w:rPr>
        <w:t xml:space="preserve">that </w:t>
      </w:r>
      <w:r w:rsidRPr="00B55B2F">
        <w:rPr>
          <w:rFonts w:cstheme="minorHAnsi"/>
        </w:rPr>
        <w:t>include Σ S</w:t>
      </w:r>
      <w:r w:rsidRPr="00B55B2F">
        <w:rPr>
          <w:rFonts w:cstheme="minorHAnsi"/>
          <w:vertAlign w:val="superscript"/>
        </w:rPr>
        <w:t>2-</w:t>
      </w:r>
      <w:r w:rsidRPr="00B55B2F">
        <w:rPr>
          <w:rFonts w:cstheme="minorHAnsi"/>
        </w:rPr>
        <w:t>, HS</w:t>
      </w:r>
      <w:r w:rsidRPr="00B55B2F">
        <w:rPr>
          <w:rFonts w:cstheme="minorHAnsi"/>
          <w:vertAlign w:val="superscript"/>
        </w:rPr>
        <w:t>-</w:t>
      </w:r>
      <w:r w:rsidRPr="00B55B2F">
        <w:rPr>
          <w:rFonts w:cstheme="minorHAnsi"/>
        </w:rPr>
        <w:t>, H</w:t>
      </w:r>
      <w:r w:rsidRPr="00B55B2F">
        <w:rPr>
          <w:rFonts w:cstheme="minorHAnsi"/>
          <w:vertAlign w:val="subscript"/>
        </w:rPr>
        <w:t>2</w:t>
      </w:r>
      <w:r w:rsidRPr="00B55B2F">
        <w:rPr>
          <w:rFonts w:cstheme="minorHAnsi"/>
        </w:rPr>
        <w:t>S</w:t>
      </w:r>
      <w:r w:rsidR="00DD13C6">
        <w:rPr>
          <w:rFonts w:cstheme="minorHAnsi"/>
        </w:rPr>
        <w:t>. Sulphides are</w:t>
      </w:r>
      <w:r w:rsidR="00883C05" w:rsidRPr="00883C05">
        <w:rPr>
          <w:rFonts w:cstheme="minorHAnsi"/>
        </w:rPr>
        <w:t xml:space="preserve"> a major product of </w:t>
      </w:r>
      <w:proofErr w:type="spellStart"/>
      <w:r w:rsidR="00883C05" w:rsidRPr="00883C05">
        <w:rPr>
          <w:rFonts w:cstheme="minorHAnsi"/>
        </w:rPr>
        <w:t>sulfate</w:t>
      </w:r>
      <w:proofErr w:type="spellEnd"/>
      <w:r w:rsidR="00883C05" w:rsidRPr="00883C05">
        <w:rPr>
          <w:rFonts w:cstheme="minorHAnsi"/>
        </w:rPr>
        <w:t xml:space="preserve"> reduction that occurs under anaerobic conditions. This is a sensitive indicator of habitat degradation due to organic loading and currently the main indicator currently used to determine direct impact of an aquaculture operation</w:t>
      </w:r>
      <w:r w:rsidR="00883C05">
        <w:rPr>
          <w:rFonts w:cstheme="minorHAnsi"/>
        </w:rPr>
        <w:t>.</w:t>
      </w:r>
    </w:p>
    <w:p w:rsidR="00A02A56" w:rsidRPr="00B55B2F" w:rsidRDefault="00190F77" w:rsidP="00A02A56">
      <w:pPr>
        <w:spacing w:line="240" w:lineRule="auto"/>
        <w:rPr>
          <w:rFonts w:cstheme="minorHAnsi"/>
        </w:rPr>
      </w:pPr>
      <w:r w:rsidRPr="00B55B2F">
        <w:rPr>
          <w:rFonts w:cstheme="minorHAnsi"/>
        </w:rPr>
        <w:t xml:space="preserve">A </w:t>
      </w:r>
      <w:r w:rsidR="00883C05">
        <w:rPr>
          <w:rFonts w:cstheme="minorHAnsi"/>
        </w:rPr>
        <w:t>sulphide level</w:t>
      </w:r>
      <w:r w:rsidRPr="00B55B2F">
        <w:rPr>
          <w:rFonts w:cstheme="minorHAnsi"/>
        </w:rPr>
        <w:t xml:space="preserve"> of ≥ 1500 µM is widely accepted as a threshold value </w:t>
      </w:r>
      <w:r w:rsidR="00637229" w:rsidRPr="00B55B2F">
        <w:rPr>
          <w:rFonts w:cstheme="minorHAnsi"/>
        </w:rPr>
        <w:t xml:space="preserve">indicating organic enrichment (pollution) impacts </w:t>
      </w:r>
      <w:r w:rsidR="00B55B2F">
        <w:rPr>
          <w:rFonts w:cstheme="minorHAnsi"/>
        </w:rPr>
        <w:t>from fish farms on</w:t>
      </w:r>
      <w:r w:rsidRPr="00B55B2F">
        <w:rPr>
          <w:rFonts w:cstheme="minorHAnsi"/>
        </w:rPr>
        <w:t xml:space="preserve"> </w:t>
      </w:r>
      <w:r w:rsidRPr="008C662A">
        <w:rPr>
          <w:rFonts w:cstheme="minorHAnsi"/>
          <w:u w:val="single"/>
        </w:rPr>
        <w:t>soft-bottom benthic habitats</w:t>
      </w:r>
      <w:r w:rsidRPr="00B55B2F">
        <w:rPr>
          <w:rFonts w:cstheme="minorHAnsi"/>
        </w:rPr>
        <w:t xml:space="preserve">. </w:t>
      </w:r>
      <w:r w:rsidR="00A02A56">
        <w:rPr>
          <w:rFonts w:cstheme="minorHAnsi"/>
        </w:rPr>
        <w:t xml:space="preserve">Maintaining benthic sulphide </w:t>
      </w:r>
      <w:proofErr w:type="gramStart"/>
      <w:r w:rsidR="00A02A56">
        <w:rPr>
          <w:rFonts w:cstheme="minorHAnsi"/>
        </w:rPr>
        <w:t xml:space="preserve">levels  </w:t>
      </w:r>
      <w:r w:rsidR="00E93E49">
        <w:rPr>
          <w:rFonts w:cstheme="minorHAnsi"/>
        </w:rPr>
        <w:t>at</w:t>
      </w:r>
      <w:proofErr w:type="gramEnd"/>
      <w:r w:rsidR="00E93E49">
        <w:rPr>
          <w:rFonts w:cstheme="minorHAnsi"/>
        </w:rPr>
        <w:t xml:space="preserve"> </w:t>
      </w:r>
      <w:r w:rsidR="00A02A56">
        <w:rPr>
          <w:rFonts w:cstheme="minorHAnsi"/>
        </w:rPr>
        <w:t>≤ 1500 µM is a widely accepted standard.</w:t>
      </w:r>
      <w:r w:rsidR="00A02A56" w:rsidRPr="00B55B2F">
        <w:rPr>
          <w:rFonts w:cstheme="minorHAnsi"/>
        </w:rPr>
        <w:t xml:space="preserve"> </w:t>
      </w:r>
      <w:r w:rsidR="00A02A56">
        <w:rPr>
          <w:rFonts w:cstheme="minorHAnsi"/>
        </w:rPr>
        <w:t xml:space="preserve"> </w:t>
      </w:r>
    </w:p>
    <w:p w:rsidR="00246CA7" w:rsidRDefault="00EC28FE" w:rsidP="00B55B2F">
      <w:pPr>
        <w:spacing w:line="240" w:lineRule="auto"/>
        <w:rPr>
          <w:rFonts w:cstheme="minorHAnsi"/>
        </w:rPr>
      </w:pPr>
      <w:r w:rsidRPr="00B55B2F">
        <w:rPr>
          <w:rFonts w:cstheme="minorHAnsi"/>
        </w:rPr>
        <w:t xml:space="preserve">For hard bottom (cobble, rock) or patchy (soft sediment and bedrock) </w:t>
      </w:r>
      <w:r w:rsidR="008B35A3">
        <w:rPr>
          <w:rFonts w:cstheme="minorHAnsi"/>
        </w:rPr>
        <w:t xml:space="preserve">benthic </w:t>
      </w:r>
      <w:r w:rsidRPr="00B55B2F">
        <w:rPr>
          <w:rFonts w:cstheme="minorHAnsi"/>
        </w:rPr>
        <w:t>habitats,</w:t>
      </w:r>
      <w:r w:rsidR="00DD13C6">
        <w:rPr>
          <w:rFonts w:cstheme="minorHAnsi"/>
        </w:rPr>
        <w:t xml:space="preserve"> it is often difficult to obtain consistent and sufficient volumes </w:t>
      </w:r>
      <w:proofErr w:type="gramStart"/>
      <w:r w:rsidR="00DD13C6">
        <w:rPr>
          <w:rFonts w:cstheme="minorHAnsi"/>
        </w:rPr>
        <w:t xml:space="preserve">of </w:t>
      </w:r>
      <w:r w:rsidRPr="00B55B2F">
        <w:rPr>
          <w:rFonts w:cstheme="minorHAnsi"/>
        </w:rPr>
        <w:t xml:space="preserve"> </w:t>
      </w:r>
      <w:r w:rsidR="00DD13C6">
        <w:rPr>
          <w:rFonts w:cstheme="minorHAnsi"/>
        </w:rPr>
        <w:t>benthic</w:t>
      </w:r>
      <w:proofErr w:type="gramEnd"/>
      <w:r w:rsidR="00DD13C6">
        <w:rPr>
          <w:rFonts w:cstheme="minorHAnsi"/>
        </w:rPr>
        <w:t xml:space="preserve"> </w:t>
      </w:r>
      <w:r w:rsidRPr="00B55B2F">
        <w:rPr>
          <w:rFonts w:cstheme="minorHAnsi"/>
        </w:rPr>
        <w:t>sediment</w:t>
      </w:r>
      <w:r w:rsidR="00DD13C6">
        <w:rPr>
          <w:rFonts w:cstheme="minorHAnsi"/>
        </w:rPr>
        <w:t xml:space="preserve"> needed to measure </w:t>
      </w:r>
      <w:r w:rsidR="00491EBB" w:rsidRPr="00B55B2F">
        <w:rPr>
          <w:rFonts w:cstheme="minorHAnsi"/>
        </w:rPr>
        <w:t>redox potential and sulphide</w:t>
      </w:r>
      <w:r w:rsidR="00DD13C6">
        <w:rPr>
          <w:rFonts w:cstheme="minorHAnsi"/>
        </w:rPr>
        <w:t>s.</w:t>
      </w:r>
      <w:r w:rsidRPr="00B55B2F">
        <w:rPr>
          <w:rFonts w:cstheme="minorHAnsi"/>
        </w:rPr>
        <w:t xml:space="preserve">  </w:t>
      </w:r>
      <w:r w:rsidR="009939DC">
        <w:rPr>
          <w:rFonts w:cstheme="minorHAnsi"/>
        </w:rPr>
        <w:t>Consequently,</w:t>
      </w:r>
      <w:r w:rsidR="00AA2EE0">
        <w:rPr>
          <w:rFonts w:cstheme="minorHAnsi"/>
        </w:rPr>
        <w:t xml:space="preserve"> j</w:t>
      </w:r>
      <w:r w:rsidR="00491EBB" w:rsidRPr="00B55B2F">
        <w:rPr>
          <w:rFonts w:cstheme="minorHAnsi"/>
        </w:rPr>
        <w:t xml:space="preserve">urisdictions such as Canada, US (Maine) and Norway utilize visual </w:t>
      </w:r>
      <w:r w:rsidR="00EF4298">
        <w:rPr>
          <w:rFonts w:cstheme="minorHAnsi"/>
        </w:rPr>
        <w:t xml:space="preserve">(video) </w:t>
      </w:r>
      <w:r w:rsidR="00491EBB" w:rsidRPr="00B55B2F">
        <w:rPr>
          <w:rFonts w:cstheme="minorHAnsi"/>
        </w:rPr>
        <w:t xml:space="preserve">monitoring methods to assess </w:t>
      </w:r>
      <w:r w:rsidR="00AA2EE0">
        <w:rPr>
          <w:rFonts w:cstheme="minorHAnsi"/>
        </w:rPr>
        <w:t xml:space="preserve">benthic impact </w:t>
      </w:r>
      <w:r w:rsidR="00491EBB" w:rsidRPr="00B55B2F">
        <w:rPr>
          <w:rFonts w:cstheme="minorHAnsi"/>
        </w:rPr>
        <w:t>(</w:t>
      </w:r>
      <w:proofErr w:type="spellStart"/>
      <w:r w:rsidR="00491EBB" w:rsidRPr="00B55B2F">
        <w:rPr>
          <w:rFonts w:cstheme="minorHAnsi"/>
        </w:rPr>
        <w:t>Hamoutene</w:t>
      </w:r>
      <w:proofErr w:type="spellEnd"/>
      <w:r w:rsidR="00491EBB" w:rsidRPr="00B55B2F">
        <w:rPr>
          <w:rFonts w:cstheme="minorHAnsi"/>
        </w:rPr>
        <w:t xml:space="preserve"> et al</w:t>
      </w:r>
      <w:r w:rsidR="00B16E84">
        <w:rPr>
          <w:rFonts w:cstheme="minorHAnsi"/>
        </w:rPr>
        <w:t>.</w:t>
      </w:r>
      <w:r w:rsidR="00491EBB" w:rsidRPr="00B55B2F">
        <w:rPr>
          <w:rFonts w:cstheme="minorHAnsi"/>
        </w:rPr>
        <w:t xml:space="preserve"> 2018; </w:t>
      </w:r>
      <w:proofErr w:type="spellStart"/>
      <w:r w:rsidR="00491EBB" w:rsidRPr="00B55B2F">
        <w:rPr>
          <w:rFonts w:cstheme="minorHAnsi"/>
        </w:rPr>
        <w:t>Hamoutene</w:t>
      </w:r>
      <w:proofErr w:type="spellEnd"/>
      <w:r w:rsidR="00491EBB" w:rsidRPr="00B55B2F">
        <w:rPr>
          <w:rFonts w:cstheme="minorHAnsi"/>
        </w:rPr>
        <w:t xml:space="preserve"> 2014). </w:t>
      </w:r>
      <w:r w:rsidR="004123C3" w:rsidRPr="00B55B2F">
        <w:rPr>
          <w:rFonts w:cstheme="minorHAnsi"/>
        </w:rPr>
        <w:t xml:space="preserve">In Canada, operators cannot restock sites if visual monitoring reveals </w:t>
      </w:r>
      <w:r w:rsidR="009939DC" w:rsidRPr="00B55B2F">
        <w:rPr>
          <w:rFonts w:cstheme="minorHAnsi"/>
        </w:rPr>
        <w:t>70% of the</w:t>
      </w:r>
      <w:r w:rsidR="009939DC">
        <w:rPr>
          <w:rFonts w:cstheme="minorHAnsi"/>
        </w:rPr>
        <w:t xml:space="preserve"> sea bottom</w:t>
      </w:r>
      <w:r w:rsidR="009939DC" w:rsidRPr="00B55B2F">
        <w:rPr>
          <w:rFonts w:cstheme="minorHAnsi"/>
        </w:rPr>
        <w:t xml:space="preserve"> locations specified in the monitoring </w:t>
      </w:r>
      <w:proofErr w:type="gramStart"/>
      <w:r w:rsidR="009939DC" w:rsidRPr="00B55B2F">
        <w:rPr>
          <w:rFonts w:cstheme="minorHAnsi"/>
        </w:rPr>
        <w:t xml:space="preserve">standard </w:t>
      </w:r>
      <w:r w:rsidR="009939DC">
        <w:rPr>
          <w:rFonts w:cstheme="minorHAnsi"/>
        </w:rPr>
        <w:t xml:space="preserve"> is</w:t>
      </w:r>
      <w:proofErr w:type="gramEnd"/>
      <w:r w:rsidR="009939DC">
        <w:rPr>
          <w:rFonts w:cstheme="minorHAnsi"/>
        </w:rPr>
        <w:t xml:space="preserve"> </w:t>
      </w:r>
      <w:r w:rsidR="00AA2EE0" w:rsidRPr="00B55B2F">
        <w:rPr>
          <w:rFonts w:cstheme="minorHAnsi"/>
        </w:rPr>
        <w:t>cover</w:t>
      </w:r>
      <w:r w:rsidR="009939DC">
        <w:rPr>
          <w:rFonts w:cstheme="minorHAnsi"/>
        </w:rPr>
        <w:t>ed by</w:t>
      </w:r>
      <w:r w:rsidR="00AA2EE0" w:rsidRPr="00B55B2F">
        <w:rPr>
          <w:rFonts w:cstheme="minorHAnsi"/>
        </w:rPr>
        <w:t xml:space="preserve"> white mats of sulphide oxidizing bacteria (</w:t>
      </w:r>
      <w:proofErr w:type="spellStart"/>
      <w:r w:rsidR="00AA2EE0" w:rsidRPr="00B55B2F">
        <w:rPr>
          <w:rFonts w:cstheme="minorHAnsi"/>
          <w:i/>
        </w:rPr>
        <w:t>Beggiatoa</w:t>
      </w:r>
      <w:proofErr w:type="spellEnd"/>
      <w:r w:rsidR="00AA2EE0" w:rsidRPr="00B55B2F">
        <w:rPr>
          <w:rFonts w:cstheme="minorHAnsi"/>
          <w:i/>
        </w:rPr>
        <w:t xml:space="preserve"> </w:t>
      </w:r>
      <w:r w:rsidR="00AA2EE0" w:rsidRPr="001A488E">
        <w:rPr>
          <w:rFonts w:cstheme="minorHAnsi"/>
        </w:rPr>
        <w:t>spp.</w:t>
      </w:r>
      <w:r w:rsidR="00AA2EE0" w:rsidRPr="00B55B2F">
        <w:rPr>
          <w:rFonts w:cstheme="minorHAnsi"/>
        </w:rPr>
        <w:t>), opportunistic polychaete</w:t>
      </w:r>
      <w:r w:rsidR="00AA2EE0">
        <w:rPr>
          <w:rFonts w:cstheme="minorHAnsi"/>
        </w:rPr>
        <w:t xml:space="preserve"> complexes (OPC)</w:t>
      </w:r>
      <w:r w:rsidR="00AA2EE0" w:rsidRPr="00B55B2F">
        <w:rPr>
          <w:rFonts w:cstheme="minorHAnsi"/>
        </w:rPr>
        <w:t>, and/or barren substrates (i.e., with no visible epifauna)</w:t>
      </w:r>
      <w:r w:rsidR="004123C3" w:rsidRPr="00B55B2F">
        <w:rPr>
          <w:rFonts w:cstheme="minorHAnsi"/>
        </w:rPr>
        <w:t xml:space="preserve"> (</w:t>
      </w:r>
      <w:r w:rsidR="009F2B51">
        <w:rPr>
          <w:rFonts w:cstheme="minorHAnsi"/>
        </w:rPr>
        <w:t>AAR</w:t>
      </w:r>
      <w:r w:rsidR="004123C3" w:rsidRPr="00B55B2F">
        <w:rPr>
          <w:rFonts w:cstheme="minorHAnsi"/>
        </w:rPr>
        <w:t xml:space="preserve"> 2015</w:t>
      </w:r>
      <w:r w:rsidR="00637229" w:rsidRPr="00B55B2F">
        <w:rPr>
          <w:rFonts w:cstheme="minorHAnsi"/>
        </w:rPr>
        <w:t>).</w:t>
      </w:r>
    </w:p>
    <w:p w:rsidR="008F4116" w:rsidRPr="0010301E" w:rsidRDefault="00EC39F0" w:rsidP="00EC3A8F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lastRenderedPageBreak/>
        <w:t>Hamoutene</w:t>
      </w:r>
      <w:proofErr w:type="spellEnd"/>
      <w:r>
        <w:rPr>
          <w:rFonts w:cstheme="minorHAnsi"/>
        </w:rPr>
        <w:t xml:space="preserve"> et al (2018) examine the video monitoring data collected for 12 sea-cage aquaculture operations in Newfoundland </w:t>
      </w:r>
      <w:r w:rsidR="008F4116">
        <w:rPr>
          <w:rFonts w:cstheme="minorHAnsi"/>
        </w:rPr>
        <w:t xml:space="preserve">as per the </w:t>
      </w:r>
      <w:r w:rsidR="008F4116" w:rsidRPr="008F4116">
        <w:rPr>
          <w:rFonts w:cstheme="minorHAnsi"/>
        </w:rPr>
        <w:t xml:space="preserve">protocols established </w:t>
      </w:r>
      <w:r w:rsidR="008F4116">
        <w:rPr>
          <w:rFonts w:cstheme="minorHAnsi"/>
        </w:rPr>
        <w:t>in</w:t>
      </w:r>
      <w:r w:rsidR="009939DC">
        <w:rPr>
          <w:rFonts w:cstheme="minorHAnsi"/>
        </w:rPr>
        <w:t xml:space="preserve"> Canadian</w:t>
      </w:r>
      <w:r w:rsidR="008F4116">
        <w:rPr>
          <w:rFonts w:cstheme="minorHAnsi"/>
        </w:rPr>
        <w:t xml:space="preserve"> </w:t>
      </w:r>
      <w:r w:rsidR="008F4116" w:rsidRPr="008F4116">
        <w:rPr>
          <w:rFonts w:cstheme="minorHAnsi"/>
        </w:rPr>
        <w:t>regulatory and advisory documents</w:t>
      </w:r>
      <w:r w:rsidR="008F4116">
        <w:rPr>
          <w:rFonts w:cstheme="minorHAnsi"/>
        </w:rPr>
        <w:t xml:space="preserve"> (DFO 2012). They found that </w:t>
      </w:r>
      <w:r w:rsidR="008F4116" w:rsidRPr="008F4116">
        <w:rPr>
          <w:rFonts w:cstheme="minorHAnsi"/>
        </w:rPr>
        <w:t xml:space="preserve">the present Canadian regulatory threshold (70%) </w:t>
      </w:r>
      <w:r w:rsidR="009939DC">
        <w:rPr>
          <w:rFonts w:cstheme="minorHAnsi"/>
        </w:rPr>
        <w:t xml:space="preserve">for hard bottoms </w:t>
      </w:r>
      <w:r w:rsidR="008F4116" w:rsidRPr="008F4116">
        <w:rPr>
          <w:rFonts w:cstheme="minorHAnsi"/>
        </w:rPr>
        <w:t xml:space="preserve">would likely correspond to a 100% reduction in </w:t>
      </w:r>
      <w:r w:rsidR="008F4116">
        <w:rPr>
          <w:rFonts w:cstheme="minorHAnsi"/>
        </w:rPr>
        <w:t xml:space="preserve">taxonomic </w:t>
      </w:r>
      <w:r w:rsidR="008F4116" w:rsidRPr="008F4116">
        <w:rPr>
          <w:rFonts w:cstheme="minorHAnsi"/>
        </w:rPr>
        <w:t xml:space="preserve">richness </w:t>
      </w:r>
      <w:r w:rsidR="008F4116">
        <w:rPr>
          <w:rFonts w:cstheme="minorHAnsi"/>
        </w:rPr>
        <w:t xml:space="preserve">(number of species) </w:t>
      </w:r>
      <w:r w:rsidR="008F4116" w:rsidRPr="008F4116">
        <w:rPr>
          <w:rFonts w:cstheme="minorHAnsi"/>
        </w:rPr>
        <w:t>in the near-cage area</w:t>
      </w:r>
      <w:r w:rsidR="009939DC">
        <w:rPr>
          <w:rFonts w:cstheme="minorHAnsi"/>
        </w:rPr>
        <w:t xml:space="preserve"> </w:t>
      </w:r>
      <w:r w:rsidR="008F4116" w:rsidRPr="008F4116">
        <w:rPr>
          <w:rFonts w:cstheme="minorHAnsi"/>
        </w:rPr>
        <w:t>(within</w:t>
      </w:r>
      <w:r w:rsidR="008F4116">
        <w:rPr>
          <w:rFonts w:cstheme="minorHAnsi"/>
        </w:rPr>
        <w:t xml:space="preserve"> </w:t>
      </w:r>
      <w:r w:rsidR="008F4116" w:rsidRPr="008F4116">
        <w:rPr>
          <w:rFonts w:cstheme="minorHAnsi"/>
        </w:rPr>
        <w:t>50m</w:t>
      </w:r>
      <w:r w:rsidR="008F4116">
        <w:rPr>
          <w:rFonts w:cstheme="minorHAnsi"/>
        </w:rPr>
        <w:t xml:space="preserve"> </w:t>
      </w:r>
      <w:r w:rsidR="008F4116" w:rsidRPr="008F4116">
        <w:rPr>
          <w:rFonts w:cstheme="minorHAnsi"/>
        </w:rPr>
        <w:t>from</w:t>
      </w:r>
      <w:r w:rsidR="008F4116">
        <w:rPr>
          <w:rFonts w:cstheme="minorHAnsi"/>
        </w:rPr>
        <w:t xml:space="preserve"> </w:t>
      </w:r>
      <w:proofErr w:type="spellStart"/>
      <w:r w:rsidR="008F4116" w:rsidRPr="008F4116">
        <w:rPr>
          <w:rFonts w:cstheme="minorHAnsi"/>
        </w:rPr>
        <w:t>netpens</w:t>
      </w:r>
      <w:proofErr w:type="spellEnd"/>
      <w:r w:rsidR="008F4116" w:rsidRPr="008F4116">
        <w:rPr>
          <w:rFonts w:cstheme="minorHAnsi"/>
        </w:rPr>
        <w:t>)</w:t>
      </w:r>
      <w:r w:rsidR="008F4116">
        <w:rPr>
          <w:rFonts w:cstheme="minorHAnsi"/>
        </w:rPr>
        <w:t xml:space="preserve"> (</w:t>
      </w:r>
      <w:proofErr w:type="spellStart"/>
      <w:r w:rsidR="008F4116">
        <w:rPr>
          <w:rFonts w:cstheme="minorHAnsi"/>
        </w:rPr>
        <w:t>Harmoutene</w:t>
      </w:r>
      <w:proofErr w:type="spellEnd"/>
      <w:r w:rsidR="008F4116">
        <w:rPr>
          <w:rFonts w:cstheme="minorHAnsi"/>
        </w:rPr>
        <w:t xml:space="preserve"> et al. 2018)</w:t>
      </w:r>
      <w:r w:rsidR="008F4116" w:rsidRPr="008F4116">
        <w:rPr>
          <w:rFonts w:cstheme="minorHAnsi"/>
        </w:rPr>
        <w:t>.</w:t>
      </w:r>
      <w:r w:rsidR="00E35566">
        <w:rPr>
          <w:rFonts w:cstheme="minorHAnsi"/>
        </w:rPr>
        <w:t xml:space="preserve">  Verhoeven et al</w:t>
      </w:r>
      <w:r w:rsidR="00B16E84">
        <w:rPr>
          <w:rFonts w:cstheme="minorHAnsi"/>
        </w:rPr>
        <w:t>.</w:t>
      </w:r>
      <w:r w:rsidR="009939DC">
        <w:rPr>
          <w:rFonts w:cstheme="minorHAnsi"/>
        </w:rPr>
        <w:t xml:space="preserve"> (</w:t>
      </w:r>
      <w:r w:rsidR="00E35566">
        <w:rPr>
          <w:rFonts w:cstheme="minorHAnsi"/>
        </w:rPr>
        <w:t>2018</w:t>
      </w:r>
      <w:r w:rsidR="009939DC">
        <w:rPr>
          <w:rFonts w:cstheme="minorHAnsi"/>
        </w:rPr>
        <w:t>)</w:t>
      </w:r>
      <w:r w:rsidR="00E35566">
        <w:rPr>
          <w:rFonts w:cstheme="minorHAnsi"/>
        </w:rPr>
        <w:t xml:space="preserve"> </w:t>
      </w:r>
      <w:r w:rsidR="009939DC">
        <w:rPr>
          <w:rFonts w:cstheme="minorHAnsi"/>
        </w:rPr>
        <w:t xml:space="preserve">examined the bacterial community composition in </w:t>
      </w:r>
      <w:r w:rsidR="009939DC" w:rsidRPr="0056622F">
        <w:rPr>
          <w:rFonts w:cstheme="minorHAnsi"/>
        </w:rPr>
        <w:t xml:space="preserve">ﬂocculent matter </w:t>
      </w:r>
      <w:r w:rsidR="009939DC">
        <w:rPr>
          <w:rFonts w:cstheme="minorHAnsi"/>
        </w:rPr>
        <w:t xml:space="preserve">(loose clumps or aggregation of </w:t>
      </w:r>
      <w:r w:rsidR="009939DC" w:rsidRPr="0056622F">
        <w:rPr>
          <w:rFonts w:cstheme="minorHAnsi"/>
        </w:rPr>
        <w:t>decaying ﬁsh-feed pellets, ﬁsh fecal matter, microbes and other organic matter</w:t>
      </w:r>
      <w:r w:rsidR="009939DC">
        <w:rPr>
          <w:rFonts w:cstheme="minorHAnsi"/>
        </w:rPr>
        <w:t xml:space="preserve">) on hard bottoms around fish farms in </w:t>
      </w:r>
      <w:proofErr w:type="gramStart"/>
      <w:r w:rsidR="009939DC">
        <w:rPr>
          <w:rFonts w:cstheme="minorHAnsi"/>
        </w:rPr>
        <w:t>Newfoundland .</w:t>
      </w:r>
      <w:proofErr w:type="gramEnd"/>
      <w:r w:rsidR="009939DC">
        <w:rPr>
          <w:rFonts w:cstheme="minorHAnsi"/>
        </w:rPr>
        <w:t xml:space="preserve">  Using</w:t>
      </w:r>
      <w:r w:rsidR="0056622F" w:rsidRPr="0056622F">
        <w:rPr>
          <w:rFonts w:cstheme="minorHAnsi"/>
        </w:rPr>
        <w:t xml:space="preserve"> 16S rRNA gene high</w:t>
      </w:r>
      <w:r w:rsidR="0056622F">
        <w:rPr>
          <w:rFonts w:cstheme="minorHAnsi"/>
        </w:rPr>
        <w:t xml:space="preserve"> </w:t>
      </w:r>
      <w:proofErr w:type="gramStart"/>
      <w:r w:rsidR="0056622F" w:rsidRPr="0056622F">
        <w:rPr>
          <w:rFonts w:cstheme="minorHAnsi"/>
        </w:rPr>
        <w:t xml:space="preserve">throughput </w:t>
      </w:r>
      <w:r w:rsidR="0056622F">
        <w:rPr>
          <w:rFonts w:cstheme="minorHAnsi"/>
        </w:rPr>
        <w:t xml:space="preserve"> </w:t>
      </w:r>
      <w:r w:rsidR="0056622F" w:rsidRPr="0056622F">
        <w:rPr>
          <w:rFonts w:cstheme="minorHAnsi"/>
        </w:rPr>
        <w:t>sequencing</w:t>
      </w:r>
      <w:proofErr w:type="gramEnd"/>
      <w:r w:rsidR="0056622F" w:rsidRPr="0056622F">
        <w:rPr>
          <w:rFonts w:cstheme="minorHAnsi"/>
        </w:rPr>
        <w:t xml:space="preserve"> </w:t>
      </w:r>
      <w:r w:rsidR="009939DC">
        <w:rPr>
          <w:rFonts w:cstheme="minorHAnsi"/>
        </w:rPr>
        <w:t xml:space="preserve">,  they </w:t>
      </w:r>
      <w:r w:rsidR="0056622F" w:rsidRPr="0056622F">
        <w:rPr>
          <w:rFonts w:cstheme="minorHAnsi"/>
        </w:rPr>
        <w:t>characterize</w:t>
      </w:r>
      <w:r w:rsidR="009939DC">
        <w:rPr>
          <w:rFonts w:cstheme="minorHAnsi"/>
        </w:rPr>
        <w:t>d the</w:t>
      </w:r>
      <w:r w:rsidR="0056622F" w:rsidRPr="0056622F">
        <w:rPr>
          <w:rFonts w:cstheme="minorHAnsi"/>
        </w:rPr>
        <w:t xml:space="preserve"> bacterial communities in samples collected over a period of 3 years and at various distances from cages (0–200 meters) at production and fallow (3–35 months) salmon aquaculture sites</w:t>
      </w:r>
      <w:r w:rsidR="009939DC">
        <w:rPr>
          <w:rFonts w:cstheme="minorHAnsi"/>
        </w:rPr>
        <w:t xml:space="preserve">. </w:t>
      </w:r>
      <w:r w:rsidR="0056622F" w:rsidRPr="0056622F">
        <w:rPr>
          <w:rFonts w:cstheme="minorHAnsi"/>
        </w:rPr>
        <w:t xml:space="preserve"> </w:t>
      </w:r>
      <w:r w:rsidR="0056622F" w:rsidRPr="0010301E">
        <w:rPr>
          <w:rFonts w:cstheme="minorHAnsi"/>
        </w:rPr>
        <w:t>Bacteria associated with "high impacts" were still found under net pens that had been fallowed for 35 months indicating a lack of benthic recover (Verhoeven et al. 2018)</w:t>
      </w:r>
      <w:r w:rsidR="004F2816" w:rsidRPr="0010301E">
        <w:rPr>
          <w:rFonts w:cstheme="minorHAnsi"/>
        </w:rPr>
        <w:t>.</w:t>
      </w:r>
    </w:p>
    <w:p w:rsidR="004F2816" w:rsidRPr="0010301E" w:rsidRDefault="004F2816" w:rsidP="00EC3A8F">
      <w:pPr>
        <w:spacing w:line="240" w:lineRule="auto"/>
        <w:rPr>
          <w:rFonts w:cstheme="minorHAnsi"/>
        </w:rPr>
      </w:pPr>
      <w:r w:rsidRPr="0010301E">
        <w:rPr>
          <w:rFonts w:cstheme="minorHAnsi"/>
        </w:rPr>
        <w:t xml:space="preserve">Limited research suggests that a monitoring threshold of 70% coverage of bacteria mats, barren stations and opportunistic polychaete complexes (OPC) </w:t>
      </w:r>
      <w:r w:rsidR="002C7134" w:rsidRPr="0010301E">
        <w:rPr>
          <w:rFonts w:cstheme="minorHAnsi"/>
        </w:rPr>
        <w:t xml:space="preserve">on hard bottom environments </w:t>
      </w:r>
      <w:r w:rsidRPr="0010301E">
        <w:rPr>
          <w:rFonts w:cstheme="minorHAnsi"/>
        </w:rPr>
        <w:t xml:space="preserve">is </w:t>
      </w:r>
      <w:r w:rsidR="008B35A3">
        <w:rPr>
          <w:rFonts w:cstheme="minorHAnsi"/>
        </w:rPr>
        <w:t xml:space="preserve">likely </w:t>
      </w:r>
      <w:r w:rsidRPr="0010301E">
        <w:rPr>
          <w:rFonts w:cstheme="minorHAnsi"/>
        </w:rPr>
        <w:t>too high to sufficiently protect local biodiversity and habitat quality</w:t>
      </w:r>
      <w:r w:rsidR="002C7134" w:rsidRPr="0010301E">
        <w:rPr>
          <w:rFonts w:cstheme="minorHAnsi"/>
        </w:rPr>
        <w:t xml:space="preserve"> and that hard bottoms may be prone to slow recovery</w:t>
      </w:r>
      <w:r w:rsidR="00C5423D">
        <w:rPr>
          <w:rFonts w:cstheme="minorHAnsi"/>
        </w:rPr>
        <w:t xml:space="preserve"> </w:t>
      </w:r>
      <w:r w:rsidR="00FC753C">
        <w:rPr>
          <w:rFonts w:cstheme="minorHAnsi"/>
        </w:rPr>
        <w:t>(</w:t>
      </w:r>
      <w:r w:rsidR="00C5423D">
        <w:rPr>
          <w:rFonts w:cstheme="minorHAnsi"/>
        </w:rPr>
        <w:t xml:space="preserve">Salvo et al. </w:t>
      </w:r>
      <w:r w:rsidR="00582ABF">
        <w:rPr>
          <w:rFonts w:cstheme="minorHAnsi"/>
        </w:rPr>
        <w:t>20</w:t>
      </w:r>
      <w:r w:rsidR="00C5423D">
        <w:rPr>
          <w:rFonts w:cstheme="minorHAnsi"/>
        </w:rPr>
        <w:t>17</w:t>
      </w:r>
      <w:r w:rsidR="00725EFF">
        <w:rPr>
          <w:rFonts w:cstheme="minorHAnsi"/>
        </w:rPr>
        <w:t>; Verhoeven et al. 2018)</w:t>
      </w:r>
      <w:r w:rsidRPr="0010301E">
        <w:rPr>
          <w:rFonts w:cstheme="minorHAnsi"/>
        </w:rPr>
        <w:t>.</w:t>
      </w:r>
      <w:r w:rsidR="00EC3A8F">
        <w:rPr>
          <w:rFonts w:cstheme="minorHAnsi"/>
        </w:rPr>
        <w:t xml:space="preserve"> </w:t>
      </w:r>
    </w:p>
    <w:p w:rsidR="004F2816" w:rsidRPr="00693884" w:rsidRDefault="002C7134" w:rsidP="00C27C5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i/>
        </w:rPr>
      </w:pPr>
      <w:r w:rsidRPr="002C7134">
        <w:rPr>
          <w:rFonts w:ascii="Times-Roman" w:hAnsi="Times-Roman" w:cs="Times-Roman"/>
          <w:b/>
          <w:i/>
          <w:sz w:val="20"/>
          <w:szCs w:val="20"/>
        </w:rPr>
        <w:t>Recommendation</w:t>
      </w:r>
      <w:r>
        <w:rPr>
          <w:rFonts w:ascii="Times-Roman" w:hAnsi="Times-Roman" w:cs="Times-Roman"/>
          <w:b/>
          <w:i/>
          <w:sz w:val="20"/>
          <w:szCs w:val="20"/>
        </w:rPr>
        <w:t xml:space="preserve"> - </w:t>
      </w:r>
      <w:r w:rsidR="0036110F">
        <w:rPr>
          <w:rFonts w:ascii="Times-Roman" w:hAnsi="Times-Roman" w:cs="Times-Roman"/>
          <w:b/>
          <w:i/>
          <w:sz w:val="20"/>
          <w:szCs w:val="20"/>
        </w:rPr>
        <w:t>U</w:t>
      </w:r>
      <w:r>
        <w:rPr>
          <w:rFonts w:ascii="Times-Roman" w:hAnsi="Times-Roman" w:cs="Times-Roman"/>
          <w:b/>
          <w:i/>
          <w:sz w:val="20"/>
          <w:szCs w:val="20"/>
        </w:rPr>
        <w:t xml:space="preserve">ntil further research is done to </w:t>
      </w:r>
      <w:r w:rsidRPr="002C7134">
        <w:rPr>
          <w:rFonts w:ascii="Times-Roman" w:hAnsi="Times-Roman" w:cs="Times-Roman"/>
          <w:b/>
          <w:i/>
          <w:sz w:val="20"/>
          <w:szCs w:val="20"/>
        </w:rPr>
        <w:t xml:space="preserve">detail </w:t>
      </w:r>
      <w:r>
        <w:rPr>
          <w:rFonts w:ascii="Times-Roman" w:hAnsi="Times-Roman" w:cs="Times-Roman"/>
          <w:b/>
          <w:i/>
          <w:sz w:val="20"/>
          <w:szCs w:val="20"/>
        </w:rPr>
        <w:t>the bio</w:t>
      </w:r>
      <w:r w:rsidR="0010301E">
        <w:rPr>
          <w:rFonts w:ascii="Times-Roman" w:hAnsi="Times-Roman" w:cs="Times-Roman"/>
          <w:b/>
          <w:i/>
          <w:sz w:val="20"/>
          <w:szCs w:val="20"/>
        </w:rPr>
        <w:t>logical</w:t>
      </w:r>
      <w:r>
        <w:rPr>
          <w:rFonts w:ascii="Times-Roman" w:hAnsi="Times-Roman" w:cs="Times-Roman"/>
          <w:b/>
          <w:i/>
          <w:sz w:val="20"/>
          <w:szCs w:val="20"/>
        </w:rPr>
        <w:t xml:space="preserve"> </w:t>
      </w:r>
      <w:r w:rsidR="00390B39">
        <w:rPr>
          <w:rFonts w:ascii="Times-Roman" w:hAnsi="Times-Roman" w:cs="Times-Roman"/>
          <w:b/>
          <w:i/>
          <w:sz w:val="20"/>
          <w:szCs w:val="20"/>
        </w:rPr>
        <w:t xml:space="preserve">community </w:t>
      </w:r>
      <w:r>
        <w:rPr>
          <w:rFonts w:ascii="Times-Roman" w:hAnsi="Times-Roman" w:cs="Times-Roman"/>
          <w:b/>
          <w:i/>
          <w:sz w:val="20"/>
          <w:szCs w:val="20"/>
        </w:rPr>
        <w:t>response and recovery</w:t>
      </w:r>
      <w:r w:rsidR="00390B39">
        <w:rPr>
          <w:rFonts w:ascii="Times-Roman" w:hAnsi="Times-Roman" w:cs="Times-Roman"/>
          <w:b/>
          <w:i/>
          <w:sz w:val="20"/>
          <w:szCs w:val="20"/>
        </w:rPr>
        <w:t xml:space="preserve"> </w:t>
      </w:r>
      <w:r>
        <w:rPr>
          <w:rFonts w:ascii="Times-Roman" w:hAnsi="Times-Roman" w:cs="Times-Roman"/>
          <w:b/>
          <w:i/>
          <w:sz w:val="20"/>
          <w:szCs w:val="20"/>
        </w:rPr>
        <w:t>to organic loading associated with sea-cage aquaculture</w:t>
      </w:r>
      <w:r w:rsidR="0010301E">
        <w:rPr>
          <w:rFonts w:ascii="Times-Roman" w:hAnsi="Times-Roman" w:cs="Times-Roman"/>
          <w:b/>
          <w:i/>
          <w:sz w:val="20"/>
          <w:szCs w:val="20"/>
        </w:rPr>
        <w:t xml:space="preserve"> on hard bottom </w:t>
      </w:r>
      <w:r w:rsidR="00144033">
        <w:rPr>
          <w:rFonts w:ascii="Times-Roman" w:hAnsi="Times-Roman" w:cs="Times-Roman"/>
          <w:b/>
          <w:i/>
          <w:sz w:val="20"/>
          <w:szCs w:val="20"/>
        </w:rPr>
        <w:t xml:space="preserve">benthic </w:t>
      </w:r>
      <w:r w:rsidR="0010301E">
        <w:rPr>
          <w:rFonts w:ascii="Times-Roman" w:hAnsi="Times-Roman" w:cs="Times-Roman"/>
          <w:b/>
          <w:i/>
          <w:sz w:val="20"/>
          <w:szCs w:val="20"/>
        </w:rPr>
        <w:t>communities</w:t>
      </w:r>
      <w:r>
        <w:rPr>
          <w:rFonts w:ascii="Times-Roman" w:hAnsi="Times-Roman" w:cs="Times-Roman"/>
          <w:b/>
          <w:i/>
          <w:sz w:val="20"/>
          <w:szCs w:val="20"/>
        </w:rPr>
        <w:t xml:space="preserve">, the regulatory threshold for compliance should be set at a precautionary level of </w:t>
      </w:r>
      <w:r w:rsidRPr="00EF4298">
        <w:rPr>
          <w:rFonts w:ascii="Times-Roman" w:hAnsi="Times-Roman" w:cs="Times-Roman"/>
          <w:b/>
          <w:i/>
          <w:sz w:val="20"/>
          <w:szCs w:val="20"/>
        </w:rPr>
        <w:t>25</w:t>
      </w:r>
      <w:r w:rsidRPr="00EF4298">
        <w:rPr>
          <w:rFonts w:cstheme="minorHAnsi"/>
          <w:b/>
          <w:i/>
        </w:rPr>
        <w:t>%</w:t>
      </w:r>
      <w:r w:rsidR="00EF4298" w:rsidRPr="00EF4298">
        <w:rPr>
          <w:rFonts w:cstheme="minorHAnsi"/>
          <w:b/>
          <w:i/>
        </w:rPr>
        <w:t xml:space="preserve"> cover by bacterial mats, aggregates of OPC, and/or barren substrates</w:t>
      </w:r>
      <w:r w:rsidR="00693884">
        <w:rPr>
          <w:rFonts w:cstheme="minorHAnsi"/>
          <w:b/>
          <w:i/>
        </w:rPr>
        <w:t xml:space="preserve">. </w:t>
      </w:r>
    </w:p>
    <w:p w:rsidR="00693884" w:rsidRPr="00EF4298" w:rsidRDefault="00693884" w:rsidP="00693884">
      <w:pPr>
        <w:pStyle w:val="ListParagraph"/>
        <w:spacing w:line="240" w:lineRule="auto"/>
        <w:rPr>
          <w:rFonts w:cstheme="minorHAnsi"/>
          <w:b/>
          <w:i/>
        </w:rPr>
      </w:pPr>
    </w:p>
    <w:p w:rsidR="0010301E" w:rsidRDefault="00BE58EF" w:rsidP="00C27C56">
      <w:pPr>
        <w:spacing w:line="240" w:lineRule="auto"/>
        <w:rPr>
          <w:rFonts w:cstheme="minorHAnsi"/>
          <w:b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  <w:r w:rsidR="0010301E" w:rsidRPr="0010301E">
        <w:rPr>
          <w:rFonts w:cstheme="minorHAnsi"/>
          <w:b/>
        </w:rPr>
        <w:t>Faunal Index Scor</w:t>
      </w:r>
      <w:r w:rsidR="0010301E">
        <w:rPr>
          <w:rFonts w:cstheme="minorHAnsi"/>
          <w:b/>
        </w:rPr>
        <w:t>e</w:t>
      </w:r>
      <w:r w:rsidR="008B35A3">
        <w:rPr>
          <w:rFonts w:cstheme="minorHAnsi"/>
          <w:b/>
        </w:rPr>
        <w:t>s</w:t>
      </w:r>
    </w:p>
    <w:p w:rsidR="0010301E" w:rsidRPr="0010301E" w:rsidRDefault="0010301E" w:rsidP="0010301E">
      <w:pPr>
        <w:pStyle w:val="ListParagraph"/>
        <w:numPr>
          <w:ilvl w:val="0"/>
          <w:numId w:val="2"/>
        </w:numPr>
        <w:rPr>
          <w:rFonts w:cstheme="minorHAnsi"/>
        </w:rPr>
      </w:pPr>
      <w:r w:rsidRPr="0010301E">
        <w:rPr>
          <w:rFonts w:eastAsia="Times New Roman" w:cstheme="minorHAnsi"/>
          <w:color w:val="000000"/>
          <w:lang w:val="en-US"/>
        </w:rPr>
        <w:t>AZTI Marine Biotic Index</w:t>
      </w:r>
      <w:r>
        <w:rPr>
          <w:rFonts w:eastAsia="Times New Roman" w:cstheme="minorHAnsi"/>
          <w:color w:val="000000"/>
          <w:lang w:val="en-US"/>
        </w:rPr>
        <w:t xml:space="preserve"> (AMBI)</w:t>
      </w:r>
      <w:r w:rsidRPr="0010301E">
        <w:rPr>
          <w:rFonts w:eastAsia="Times New Roman" w:cstheme="minorHAnsi"/>
          <w:color w:val="000000"/>
          <w:lang w:val="en-US"/>
        </w:rPr>
        <w:t xml:space="preserve"> Score ≤ 3.3</w:t>
      </w:r>
    </w:p>
    <w:p w:rsidR="0010301E" w:rsidRPr="0010301E" w:rsidRDefault="0010301E" w:rsidP="0010301E">
      <w:pPr>
        <w:pStyle w:val="ListParagraph"/>
        <w:rPr>
          <w:rFonts w:eastAsia="Times New Roman" w:cstheme="minorHAnsi"/>
          <w:color w:val="000000"/>
          <w:lang w:val="en-US"/>
        </w:rPr>
      </w:pPr>
      <w:r w:rsidRPr="0010301E">
        <w:rPr>
          <w:rFonts w:eastAsia="Times New Roman" w:cstheme="minorHAnsi"/>
          <w:color w:val="000000"/>
          <w:lang w:val="en-US"/>
        </w:rPr>
        <w:t>Shannon-Weiner Index Score &gt; 3</w:t>
      </w:r>
    </w:p>
    <w:p w:rsidR="0010301E" w:rsidRPr="0010301E" w:rsidRDefault="0010301E" w:rsidP="0010301E">
      <w:pPr>
        <w:pStyle w:val="ListParagraph"/>
        <w:rPr>
          <w:rFonts w:eastAsia="Times New Roman" w:cstheme="minorHAnsi"/>
          <w:color w:val="000000"/>
          <w:lang w:val="en-US"/>
        </w:rPr>
      </w:pPr>
      <w:r w:rsidRPr="0010301E">
        <w:rPr>
          <w:rFonts w:eastAsia="Times New Roman" w:cstheme="minorHAnsi"/>
          <w:color w:val="000000"/>
          <w:lang w:val="en-US"/>
        </w:rPr>
        <w:t>Benthic Quality Index</w:t>
      </w:r>
      <w:r>
        <w:rPr>
          <w:rFonts w:eastAsia="Times New Roman" w:cstheme="minorHAnsi"/>
          <w:color w:val="000000"/>
          <w:lang w:val="en-US"/>
        </w:rPr>
        <w:t xml:space="preserve"> (BQI)</w:t>
      </w:r>
      <w:r w:rsidRPr="0010301E">
        <w:rPr>
          <w:rFonts w:eastAsia="Times New Roman" w:cstheme="minorHAnsi"/>
          <w:color w:val="000000"/>
          <w:lang w:val="en-US"/>
        </w:rPr>
        <w:t xml:space="preserve"> score ≥ 15</w:t>
      </w:r>
    </w:p>
    <w:p w:rsidR="0010301E" w:rsidRDefault="0010301E" w:rsidP="0010301E">
      <w:pPr>
        <w:pStyle w:val="ListParagraph"/>
        <w:rPr>
          <w:rFonts w:eastAsia="Courier New" w:cstheme="minorHAnsi"/>
          <w:color w:val="000000"/>
          <w:lang w:val="en-US"/>
        </w:rPr>
      </w:pPr>
      <w:proofErr w:type="spellStart"/>
      <w:r w:rsidRPr="0010301E">
        <w:rPr>
          <w:rFonts w:eastAsia="Courier New" w:cstheme="minorHAnsi"/>
          <w:color w:val="000000"/>
          <w:lang w:val="en-US"/>
        </w:rPr>
        <w:t>Infaunal</w:t>
      </w:r>
      <w:proofErr w:type="spellEnd"/>
      <w:r w:rsidRPr="0010301E">
        <w:rPr>
          <w:rFonts w:eastAsia="Courier New" w:cstheme="minorHAnsi"/>
          <w:color w:val="000000"/>
          <w:lang w:val="en-US"/>
        </w:rPr>
        <w:t xml:space="preserve"> Trophic Index (ITI) score ≥ 25</w:t>
      </w:r>
    </w:p>
    <w:p w:rsidR="00390B39" w:rsidRPr="0010301E" w:rsidRDefault="00390B39" w:rsidP="0010301E">
      <w:pPr>
        <w:pStyle w:val="ListParagraph"/>
        <w:rPr>
          <w:rFonts w:eastAsia="Courier New" w:cstheme="minorHAnsi"/>
          <w:color w:val="000000"/>
          <w:lang w:val="en-US"/>
        </w:rPr>
      </w:pPr>
    </w:p>
    <w:p w:rsidR="00EF5895" w:rsidRDefault="00EF5895" w:rsidP="00EC3A8F">
      <w:pPr>
        <w:pStyle w:val="ListParagraph"/>
        <w:spacing w:line="240" w:lineRule="auto"/>
        <w:ind w:left="0"/>
        <w:rPr>
          <w:rFonts w:eastAsia="Courier New" w:cstheme="minorHAnsi"/>
          <w:color w:val="000000"/>
          <w:lang w:val="en-US"/>
        </w:rPr>
      </w:pPr>
      <w:r w:rsidRPr="00390B39">
        <w:rPr>
          <w:rFonts w:eastAsia="Courier New" w:cstheme="minorHAnsi"/>
          <w:color w:val="000000"/>
          <w:lang w:val="en-US"/>
        </w:rPr>
        <w:t xml:space="preserve">These indices are </w:t>
      </w:r>
      <w:r w:rsidR="00676DE1">
        <w:rPr>
          <w:rFonts w:eastAsia="Courier New" w:cstheme="minorHAnsi"/>
          <w:color w:val="000000"/>
          <w:lang w:val="en-US"/>
        </w:rPr>
        <w:t>mea</w:t>
      </w:r>
      <w:r w:rsidR="00A6593D">
        <w:rPr>
          <w:rFonts w:eastAsia="Courier New" w:cstheme="minorHAnsi"/>
          <w:color w:val="000000"/>
          <w:lang w:val="en-US"/>
        </w:rPr>
        <w:t>s</w:t>
      </w:r>
      <w:r w:rsidR="00676DE1">
        <w:rPr>
          <w:rFonts w:eastAsia="Courier New" w:cstheme="minorHAnsi"/>
          <w:color w:val="000000"/>
          <w:lang w:val="en-US"/>
        </w:rPr>
        <w:t>ures</w:t>
      </w:r>
      <w:r w:rsidRPr="00390B39">
        <w:rPr>
          <w:rFonts w:eastAsia="Courier New" w:cstheme="minorHAnsi"/>
          <w:color w:val="000000"/>
          <w:lang w:val="en-US"/>
        </w:rPr>
        <w:t xml:space="preserve"> of the response of the benthic biological community in soft bottom environments to organic pollution (loading</w:t>
      </w:r>
      <w:r w:rsidR="00676DE1">
        <w:rPr>
          <w:rFonts w:eastAsia="Courier New" w:cstheme="minorHAnsi"/>
          <w:color w:val="000000"/>
          <w:lang w:val="en-US"/>
        </w:rPr>
        <w:t>/enrichment</w:t>
      </w:r>
      <w:r w:rsidRPr="00390B39">
        <w:rPr>
          <w:rFonts w:eastAsia="Courier New" w:cstheme="minorHAnsi"/>
          <w:color w:val="000000"/>
          <w:lang w:val="en-US"/>
        </w:rPr>
        <w:t xml:space="preserve">). Indices can be simple measure such as Shannon-Weiner Index which </w:t>
      </w:r>
      <w:r w:rsidR="00676DE1">
        <w:rPr>
          <w:rFonts w:eastAsia="Courier New" w:cstheme="minorHAnsi"/>
          <w:color w:val="000000"/>
          <w:lang w:val="en-US"/>
        </w:rPr>
        <w:t xml:space="preserve">is </w:t>
      </w:r>
      <w:r w:rsidRPr="00390B39">
        <w:rPr>
          <w:rFonts w:eastAsia="Courier New" w:cstheme="minorHAnsi"/>
          <w:color w:val="000000"/>
          <w:lang w:val="en-US"/>
        </w:rPr>
        <w:t xml:space="preserve">a measure of species diversity (abundance and </w:t>
      </w:r>
      <w:proofErr w:type="spellStart"/>
      <w:r w:rsidRPr="00390B39">
        <w:rPr>
          <w:rFonts w:eastAsia="Courier New" w:cstheme="minorHAnsi"/>
          <w:color w:val="000000"/>
          <w:lang w:val="en-US"/>
        </w:rPr>
        <w:t>eveness</w:t>
      </w:r>
      <w:proofErr w:type="spellEnd"/>
      <w:r w:rsidRPr="00390B39">
        <w:rPr>
          <w:rFonts w:eastAsia="Courier New" w:cstheme="minorHAnsi"/>
          <w:color w:val="000000"/>
          <w:lang w:val="en-US"/>
        </w:rPr>
        <w:t xml:space="preserve">) or complex multi-metric measures such as BQI and AMBI.  </w:t>
      </w:r>
      <w:r w:rsidR="00EC3A8F">
        <w:rPr>
          <w:rFonts w:eastAsia="Courier New" w:cstheme="minorHAnsi"/>
          <w:color w:val="000000"/>
          <w:lang w:val="en-US"/>
        </w:rPr>
        <w:t xml:space="preserve">These indices </w:t>
      </w:r>
      <w:r w:rsidR="00EC3A8F" w:rsidRPr="00EC3A8F">
        <w:rPr>
          <w:rFonts w:eastAsia="Courier New" w:cstheme="minorHAnsi"/>
          <w:color w:val="000000"/>
          <w:lang w:val="en-US"/>
        </w:rPr>
        <w:t>rely on the collection and</w:t>
      </w:r>
      <w:r w:rsidR="00723EC7">
        <w:rPr>
          <w:rFonts w:eastAsia="Courier New" w:cstheme="minorHAnsi"/>
          <w:color w:val="000000"/>
          <w:lang w:val="en-US"/>
        </w:rPr>
        <w:t xml:space="preserve"> identification </w:t>
      </w:r>
      <w:r w:rsidR="00EC3A8F" w:rsidRPr="00EC3A8F">
        <w:rPr>
          <w:rFonts w:eastAsia="Courier New" w:cstheme="minorHAnsi"/>
          <w:color w:val="000000"/>
          <w:lang w:val="en-US"/>
        </w:rPr>
        <w:t>of benthic macroinvertebrate indicator species</w:t>
      </w:r>
      <w:r w:rsidR="00723EC7">
        <w:rPr>
          <w:rFonts w:eastAsia="Courier New" w:cstheme="minorHAnsi"/>
          <w:color w:val="000000"/>
          <w:lang w:val="en-US"/>
        </w:rPr>
        <w:t xml:space="preserve"> which is time consuming</w:t>
      </w:r>
      <w:r w:rsidR="005826A7">
        <w:rPr>
          <w:rFonts w:eastAsia="Courier New" w:cstheme="minorHAnsi"/>
          <w:color w:val="000000"/>
          <w:lang w:val="en-US"/>
        </w:rPr>
        <w:t>,</w:t>
      </w:r>
      <w:r w:rsidR="00676DE1">
        <w:rPr>
          <w:rFonts w:eastAsia="Courier New" w:cstheme="minorHAnsi"/>
          <w:color w:val="000000"/>
          <w:lang w:val="en-US"/>
        </w:rPr>
        <w:t xml:space="preserve"> expensive</w:t>
      </w:r>
      <w:r w:rsidR="005826A7">
        <w:rPr>
          <w:rFonts w:eastAsia="Courier New" w:cstheme="minorHAnsi"/>
          <w:color w:val="000000"/>
          <w:lang w:val="en-US"/>
        </w:rPr>
        <w:t xml:space="preserve"> and requires taxonomic expertise</w:t>
      </w:r>
      <w:r w:rsidR="00723EC7">
        <w:rPr>
          <w:rFonts w:eastAsia="Courier New" w:cstheme="minorHAnsi"/>
          <w:color w:val="000000"/>
          <w:lang w:val="en-US"/>
        </w:rPr>
        <w:t xml:space="preserve">. Because of the </w:t>
      </w:r>
      <w:r w:rsidR="00723EC7" w:rsidRPr="00723EC7">
        <w:rPr>
          <w:rFonts w:eastAsia="Courier New" w:cstheme="minorHAnsi"/>
          <w:color w:val="000000"/>
          <w:lang w:val="en-US"/>
        </w:rPr>
        <w:t>high costs per unit/</w:t>
      </w:r>
      <w:r w:rsidR="008D2961">
        <w:rPr>
          <w:rFonts w:eastAsia="Courier New" w:cstheme="minorHAnsi"/>
          <w:color w:val="000000"/>
          <w:lang w:val="en-US"/>
        </w:rPr>
        <w:t>a</w:t>
      </w:r>
      <w:r w:rsidR="00723EC7" w:rsidRPr="00723EC7">
        <w:rPr>
          <w:rFonts w:eastAsia="Courier New" w:cstheme="minorHAnsi"/>
          <w:color w:val="000000"/>
          <w:lang w:val="en-US"/>
        </w:rPr>
        <w:t>rea</w:t>
      </w:r>
      <w:r w:rsidR="00676DE1">
        <w:rPr>
          <w:rFonts w:eastAsia="Courier New" w:cstheme="minorHAnsi"/>
          <w:color w:val="000000"/>
          <w:lang w:val="en-US"/>
        </w:rPr>
        <w:t xml:space="preserve"> sampled</w:t>
      </w:r>
      <w:r w:rsidR="00723EC7">
        <w:rPr>
          <w:rFonts w:eastAsia="Courier New" w:cstheme="minorHAnsi"/>
          <w:color w:val="000000"/>
          <w:lang w:val="en-US"/>
        </w:rPr>
        <w:t>,</w:t>
      </w:r>
      <w:r w:rsidR="00723EC7" w:rsidRPr="00723EC7">
        <w:rPr>
          <w:rFonts w:eastAsia="Courier New" w:cstheme="minorHAnsi"/>
          <w:color w:val="000000"/>
          <w:lang w:val="en-US"/>
        </w:rPr>
        <w:t xml:space="preserve"> </w:t>
      </w:r>
      <w:r w:rsidR="00723EC7">
        <w:rPr>
          <w:rFonts w:eastAsia="Courier New" w:cstheme="minorHAnsi"/>
          <w:color w:val="000000"/>
          <w:lang w:val="en-US"/>
        </w:rPr>
        <w:t xml:space="preserve">compliance monitoring generally involves collecting only a few samples </w:t>
      </w:r>
      <w:r w:rsidR="00676DE1">
        <w:rPr>
          <w:rFonts w:eastAsia="Courier New" w:cstheme="minorHAnsi"/>
          <w:color w:val="000000"/>
          <w:lang w:val="en-US"/>
        </w:rPr>
        <w:t xml:space="preserve">per farm site </w:t>
      </w:r>
      <w:r w:rsidR="00723EC7">
        <w:rPr>
          <w:rFonts w:eastAsia="Courier New" w:cstheme="minorHAnsi"/>
          <w:color w:val="000000"/>
          <w:lang w:val="en-US"/>
        </w:rPr>
        <w:t>once a year</w:t>
      </w:r>
      <w:r w:rsidR="00676DE1">
        <w:rPr>
          <w:rFonts w:eastAsia="Courier New" w:cstheme="minorHAnsi"/>
          <w:color w:val="000000"/>
          <w:lang w:val="en-US"/>
        </w:rPr>
        <w:t xml:space="preserve"> and therefore providing </w:t>
      </w:r>
      <w:r w:rsidR="00723EC7" w:rsidRPr="00723EC7">
        <w:rPr>
          <w:rFonts w:eastAsia="Courier New" w:cstheme="minorHAnsi"/>
          <w:color w:val="000000"/>
          <w:lang w:val="en-US"/>
        </w:rPr>
        <w:t xml:space="preserve">low spatial and temporal resolution </w:t>
      </w:r>
      <w:r w:rsidR="00723EC7">
        <w:rPr>
          <w:rFonts w:eastAsia="Courier New" w:cstheme="minorHAnsi"/>
          <w:color w:val="000000"/>
          <w:lang w:val="en-US"/>
        </w:rPr>
        <w:t xml:space="preserve">to </w:t>
      </w:r>
      <w:r w:rsidR="00723EC7" w:rsidRPr="00723EC7">
        <w:rPr>
          <w:rFonts w:eastAsia="Courier New" w:cstheme="minorHAnsi"/>
          <w:color w:val="000000"/>
          <w:lang w:val="en-US"/>
        </w:rPr>
        <w:t>the environmental monitoring</w:t>
      </w:r>
      <w:r w:rsidR="008D2961">
        <w:rPr>
          <w:rFonts w:eastAsia="Courier New" w:cstheme="minorHAnsi"/>
          <w:color w:val="000000"/>
          <w:lang w:val="en-US"/>
        </w:rPr>
        <w:t xml:space="preserve"> (Pawlowski et al. 2016; </w:t>
      </w:r>
      <w:proofErr w:type="spellStart"/>
      <w:r w:rsidR="008D2961">
        <w:rPr>
          <w:rFonts w:eastAsia="Courier New" w:cstheme="minorHAnsi"/>
          <w:color w:val="000000"/>
          <w:lang w:val="en-US"/>
        </w:rPr>
        <w:t>Stoeck</w:t>
      </w:r>
      <w:proofErr w:type="spellEnd"/>
      <w:r w:rsidR="008D2961">
        <w:rPr>
          <w:rFonts w:eastAsia="Courier New" w:cstheme="minorHAnsi"/>
          <w:color w:val="000000"/>
          <w:lang w:val="en-US"/>
        </w:rPr>
        <w:t xml:space="preserve"> et al. 2018)</w:t>
      </w:r>
      <w:r w:rsidR="00723EC7">
        <w:rPr>
          <w:rFonts w:eastAsia="Courier New" w:cstheme="minorHAnsi"/>
          <w:color w:val="000000"/>
          <w:lang w:val="en-US"/>
        </w:rPr>
        <w:t>.</w:t>
      </w:r>
    </w:p>
    <w:p w:rsidR="00E8329F" w:rsidRDefault="00723EC7" w:rsidP="00A31723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</w:rPr>
      </w:pPr>
      <w:r>
        <w:t>S</w:t>
      </w:r>
      <w:r w:rsidR="00EC3A8F">
        <w:t xml:space="preserve">everal studies have evaluated the suitability of various indices for assessing benthic </w:t>
      </w:r>
      <w:r w:rsidR="008D74D0">
        <w:t xml:space="preserve">environment quality </w:t>
      </w:r>
      <w:r w:rsidR="00B21748">
        <w:t>(</w:t>
      </w:r>
      <w:proofErr w:type="spellStart"/>
      <w:r w:rsidR="00C27C56">
        <w:t>Gr</w:t>
      </w:r>
      <w:r w:rsidR="00C27C56">
        <w:rPr>
          <w:rFonts w:cstheme="minorHAnsi"/>
        </w:rPr>
        <w:t>é</w:t>
      </w:r>
      <w:r w:rsidR="00C27C56">
        <w:t>mare</w:t>
      </w:r>
      <w:proofErr w:type="spellEnd"/>
      <w:r w:rsidR="00C27C56">
        <w:t xml:space="preserve"> et al. 2009; </w:t>
      </w:r>
      <w:r w:rsidR="00C27C56" w:rsidRPr="0036110F">
        <w:rPr>
          <w:rFonts w:eastAsia="GulliverRM" w:cstheme="minorHAnsi"/>
        </w:rPr>
        <w:t>Mart</w:t>
      </w:r>
      <w:r w:rsidR="00C27C56">
        <w:rPr>
          <w:rFonts w:eastAsia="GulliverRM" w:cstheme="minorHAnsi"/>
        </w:rPr>
        <w:t>í</w:t>
      </w:r>
      <w:r w:rsidR="00C27C56" w:rsidRPr="0036110F">
        <w:rPr>
          <w:rFonts w:eastAsia="GulliverRM" w:cstheme="minorHAnsi"/>
        </w:rPr>
        <w:t>nez-</w:t>
      </w:r>
      <w:proofErr w:type="spellStart"/>
      <w:r w:rsidR="00C27C56" w:rsidRPr="0036110F">
        <w:rPr>
          <w:rFonts w:eastAsia="GulliverRM" w:cstheme="minorHAnsi"/>
        </w:rPr>
        <w:t>Crego</w:t>
      </w:r>
      <w:proofErr w:type="spellEnd"/>
      <w:r w:rsidR="00C27C56">
        <w:rPr>
          <w:rFonts w:eastAsia="GulliverRM" w:cstheme="minorHAnsi"/>
        </w:rPr>
        <w:t xml:space="preserve"> et al</w:t>
      </w:r>
      <w:r w:rsidR="00B16E84">
        <w:rPr>
          <w:rFonts w:eastAsia="GulliverRM" w:cstheme="minorHAnsi"/>
        </w:rPr>
        <w:t>.</w:t>
      </w:r>
      <w:r w:rsidR="00C27C56">
        <w:rPr>
          <w:rFonts w:eastAsia="GulliverRM" w:cstheme="minorHAnsi"/>
        </w:rPr>
        <w:t xml:space="preserve"> 2011; </w:t>
      </w:r>
      <w:r w:rsidR="00B21748">
        <w:t>Borja et al. 2015; Berthelsen et al. 2018</w:t>
      </w:r>
      <w:r w:rsidR="00C27C56">
        <w:t xml:space="preserve">) </w:t>
      </w:r>
      <w:r w:rsidR="008D74D0">
        <w:t xml:space="preserve">including </w:t>
      </w:r>
      <w:r w:rsidR="00EC3A8F">
        <w:t>impacts of aquaculture</w:t>
      </w:r>
      <w:r w:rsidR="008D74D0">
        <w:t xml:space="preserve"> </w:t>
      </w:r>
      <w:r w:rsidR="00EC3A8F">
        <w:t>(Borja et al. 2009</w:t>
      </w:r>
      <w:r w:rsidR="00C27C56">
        <w:t>;</w:t>
      </w:r>
      <w:r w:rsidR="00EC3A8F">
        <w:t xml:space="preserve"> Keeley et al. 2012</w:t>
      </w:r>
      <w:r w:rsidR="00C27C56">
        <w:t>)</w:t>
      </w:r>
      <w:r>
        <w:t>.</w:t>
      </w:r>
      <w:r w:rsidR="008D74D0">
        <w:t xml:space="preserve"> </w:t>
      </w:r>
      <w:r w:rsidR="005826A7">
        <w:t xml:space="preserve">Each index has strengths and weakness </w:t>
      </w:r>
      <w:r w:rsidR="00A6593D">
        <w:t xml:space="preserve">in </w:t>
      </w:r>
      <w:r w:rsidR="008D2961">
        <w:t xml:space="preserve">different </w:t>
      </w:r>
      <w:proofErr w:type="gramStart"/>
      <w:r w:rsidR="008D2961">
        <w:t xml:space="preserve">environmental </w:t>
      </w:r>
      <w:r w:rsidR="00A6593D">
        <w:t xml:space="preserve"> conditions</w:t>
      </w:r>
      <w:proofErr w:type="gramEnd"/>
      <w:r w:rsidR="00A6593D">
        <w:t xml:space="preserve"> </w:t>
      </w:r>
      <w:r w:rsidR="008D2961">
        <w:t>(e.g. low vs high current flow regimes), biogeographic provinces (e.g. Arctic, cold temperate northeast Atlantic, tropical Atlantic)</w:t>
      </w:r>
      <w:r w:rsidR="00A6593D">
        <w:t xml:space="preserve"> and transitional waters (e.g., coastal, estuarine, lagoons). </w:t>
      </w:r>
      <w:r w:rsidR="008D2961">
        <w:t xml:space="preserve"> </w:t>
      </w:r>
      <w:proofErr w:type="spellStart"/>
      <w:r w:rsidR="007E25E9">
        <w:t>Gr</w:t>
      </w:r>
      <w:r w:rsidR="009D0DD7">
        <w:rPr>
          <w:rFonts w:cstheme="minorHAnsi"/>
        </w:rPr>
        <w:t>é</w:t>
      </w:r>
      <w:r w:rsidR="007E25E9">
        <w:t>m</w:t>
      </w:r>
      <w:r w:rsidR="00A31723">
        <w:t>a</w:t>
      </w:r>
      <w:r w:rsidR="007E25E9">
        <w:t>re</w:t>
      </w:r>
      <w:proofErr w:type="spellEnd"/>
      <w:r w:rsidR="007E25E9">
        <w:t xml:space="preserve"> et al. </w:t>
      </w:r>
      <w:r w:rsidR="009D0DD7">
        <w:t>(</w:t>
      </w:r>
      <w:r w:rsidR="007E25E9">
        <w:t>2009</w:t>
      </w:r>
      <w:r w:rsidR="009D0DD7">
        <w:t>)</w:t>
      </w:r>
      <w:r w:rsidR="007E25E9">
        <w:t xml:space="preserve"> compared </w:t>
      </w:r>
      <w:r w:rsidR="00A31723">
        <w:t xml:space="preserve">the </w:t>
      </w:r>
      <w:r w:rsidR="007E25E9">
        <w:t>performance of two of the more widely used indices (AMBI and BQI</w:t>
      </w:r>
      <w:r w:rsidR="007E25E9" w:rsidRPr="00A31723">
        <w:rPr>
          <w:rFonts w:cstheme="minorHAnsi"/>
        </w:rPr>
        <w:t>)</w:t>
      </w:r>
      <w:r w:rsidR="00A31723" w:rsidRPr="00A31723">
        <w:rPr>
          <w:rFonts w:eastAsia="Candida-Roman" w:cstheme="minorHAnsi"/>
          <w:color w:val="231F20"/>
        </w:rPr>
        <w:t xml:space="preserve"> </w:t>
      </w:r>
      <w:r w:rsidR="00A31723" w:rsidRPr="00A31723">
        <w:rPr>
          <w:rFonts w:eastAsia="Candida-Roman" w:cstheme="minorHAnsi"/>
        </w:rPr>
        <w:t>on a pan-European scale that included 2158 marine stations located in the Celtic-Biscay Shelf, the Mediterranean, the North Sea and the Norway and Barents Seas).</w:t>
      </w:r>
      <w:r w:rsidR="007E25E9" w:rsidRPr="00A31723">
        <w:rPr>
          <w:rFonts w:cstheme="minorHAnsi"/>
        </w:rPr>
        <w:t xml:space="preserve"> They found </w:t>
      </w:r>
      <w:r w:rsidR="00A31723" w:rsidRPr="00A31723">
        <w:rPr>
          <w:rFonts w:eastAsia="Candida-Roman" w:cstheme="minorHAnsi"/>
        </w:rPr>
        <w:t>major differences in the way</w:t>
      </w:r>
      <w:r w:rsidR="009D0DD7">
        <w:rPr>
          <w:rFonts w:eastAsia="Candida-Roman" w:cstheme="minorHAnsi"/>
        </w:rPr>
        <w:t xml:space="preserve"> these indices </w:t>
      </w:r>
      <w:r w:rsidR="00A31723" w:rsidRPr="00A31723">
        <w:rPr>
          <w:rFonts w:eastAsia="Candida-Roman" w:cstheme="minorHAnsi"/>
        </w:rPr>
        <w:t>assess</w:t>
      </w:r>
      <w:r w:rsidR="009D0DD7">
        <w:rPr>
          <w:rFonts w:eastAsia="Candida-Roman" w:cstheme="minorHAnsi"/>
        </w:rPr>
        <w:t>ed</w:t>
      </w:r>
      <w:r w:rsidR="00A31723" w:rsidRPr="00A31723">
        <w:rPr>
          <w:rFonts w:eastAsia="Candida-Roman" w:cstheme="minorHAnsi"/>
        </w:rPr>
        <w:t xml:space="preserve"> the sensitivity/tolerance level of individual</w:t>
      </w:r>
      <w:r w:rsidR="00A31723">
        <w:rPr>
          <w:rFonts w:eastAsia="Candida-Roman" w:cstheme="minorHAnsi"/>
        </w:rPr>
        <w:t xml:space="preserve"> </w:t>
      </w:r>
      <w:proofErr w:type="gramStart"/>
      <w:r w:rsidR="009D0DD7">
        <w:rPr>
          <w:rFonts w:eastAsia="Candida-Roman" w:cstheme="minorHAnsi"/>
        </w:rPr>
        <w:lastRenderedPageBreak/>
        <w:t>species</w:t>
      </w:r>
      <w:r w:rsidR="00A31723" w:rsidRPr="00A31723">
        <w:rPr>
          <w:rFonts w:eastAsia="Candida-Roman" w:cstheme="minorHAnsi"/>
        </w:rPr>
        <w:t xml:space="preserve"> </w:t>
      </w:r>
      <w:r w:rsidR="00E93E49">
        <w:rPr>
          <w:rFonts w:eastAsia="Candida-Roman" w:cstheme="minorHAnsi"/>
        </w:rPr>
        <w:t xml:space="preserve"> and</w:t>
      </w:r>
      <w:proofErr w:type="gramEnd"/>
      <w:r w:rsidR="00E93E49">
        <w:rPr>
          <w:rFonts w:eastAsia="Candida-Roman" w:cstheme="minorHAnsi"/>
        </w:rPr>
        <w:t xml:space="preserve"> </w:t>
      </w:r>
      <w:r w:rsidR="00D14C79">
        <w:rPr>
          <w:rFonts w:eastAsia="Candida-Roman" w:cstheme="minorHAnsi"/>
        </w:rPr>
        <w:t xml:space="preserve">indices </w:t>
      </w:r>
      <w:r w:rsidR="00E93E49">
        <w:rPr>
          <w:rFonts w:eastAsia="Candida-Roman" w:cstheme="minorHAnsi"/>
        </w:rPr>
        <w:t xml:space="preserve">were </w:t>
      </w:r>
      <w:r w:rsidR="00A31723" w:rsidRPr="00A31723">
        <w:rPr>
          <w:rFonts w:eastAsia="Candida-Roman" w:cstheme="minorHAnsi"/>
        </w:rPr>
        <w:t>shown to locally</w:t>
      </w:r>
      <w:r w:rsidR="00A31723">
        <w:rPr>
          <w:rFonts w:eastAsia="Candida-Roman" w:cstheme="minorHAnsi"/>
        </w:rPr>
        <w:t xml:space="preserve"> </w:t>
      </w:r>
      <w:r w:rsidR="00A31723" w:rsidRPr="00A31723">
        <w:rPr>
          <w:rFonts w:eastAsia="Candida-Roman" w:cstheme="minorHAnsi"/>
        </w:rPr>
        <w:t>result in different ecological status assessments</w:t>
      </w:r>
      <w:r w:rsidR="009D0DD7">
        <w:rPr>
          <w:rFonts w:eastAsia="Candida-Roman" w:cstheme="minorHAnsi"/>
        </w:rPr>
        <w:t xml:space="preserve"> (</w:t>
      </w:r>
      <w:proofErr w:type="spellStart"/>
      <w:r w:rsidR="009D0DD7">
        <w:t>Gr</w:t>
      </w:r>
      <w:r w:rsidR="009D0DD7">
        <w:rPr>
          <w:rFonts w:cstheme="minorHAnsi"/>
        </w:rPr>
        <w:t>é</w:t>
      </w:r>
      <w:r w:rsidR="009D0DD7">
        <w:t>mare</w:t>
      </w:r>
      <w:proofErr w:type="spellEnd"/>
      <w:r w:rsidR="009D0DD7">
        <w:t xml:space="preserve"> et al. 2009)</w:t>
      </w:r>
      <w:r w:rsidR="00A31723" w:rsidRPr="00A31723">
        <w:rPr>
          <w:rFonts w:eastAsia="Candida-Roman" w:cstheme="minorHAnsi"/>
        </w:rPr>
        <w:t>.</w:t>
      </w:r>
      <w:r w:rsidR="00A31723">
        <w:rPr>
          <w:rFonts w:eastAsia="Candida-Roman" w:cstheme="minorHAnsi"/>
        </w:rPr>
        <w:t xml:space="preserve"> </w:t>
      </w:r>
      <w:r w:rsidR="00E8329F">
        <w:rPr>
          <w:rFonts w:eastAsia="Candida-Roman" w:cstheme="minorHAnsi"/>
        </w:rPr>
        <w:t>Consequently, a</w:t>
      </w:r>
      <w:r w:rsidR="00E8329F">
        <w:t xml:space="preserve"> combination of indices is generally </w:t>
      </w:r>
      <w:proofErr w:type="gramStart"/>
      <w:r w:rsidR="00E8329F">
        <w:t>recommended  (</w:t>
      </w:r>
      <w:proofErr w:type="gramEnd"/>
      <w:r w:rsidR="00E8329F">
        <w:t xml:space="preserve">Keeley et al. 2012). </w:t>
      </w:r>
      <w:r w:rsidR="009D0DD7">
        <w:rPr>
          <w:rFonts w:eastAsia="Candida-Roman" w:cstheme="minorHAnsi"/>
        </w:rPr>
        <w:t xml:space="preserve">A major weakness in the calculation of faunal indices is </w:t>
      </w:r>
      <w:r w:rsidR="00387A7E">
        <w:rPr>
          <w:rFonts w:eastAsia="Candida-Roman" w:cstheme="minorHAnsi"/>
        </w:rPr>
        <w:t>the</w:t>
      </w:r>
      <w:r w:rsidR="00AD658F">
        <w:rPr>
          <w:rFonts w:eastAsia="Candida-Roman" w:cstheme="minorHAnsi"/>
        </w:rPr>
        <w:t xml:space="preserve"> lack </w:t>
      </w:r>
      <w:proofErr w:type="gramStart"/>
      <w:r w:rsidR="00AD658F">
        <w:rPr>
          <w:rFonts w:eastAsia="Candida-Roman" w:cstheme="minorHAnsi"/>
        </w:rPr>
        <w:t xml:space="preserve">of </w:t>
      </w:r>
      <w:r w:rsidR="00387A7E">
        <w:rPr>
          <w:rFonts w:eastAsia="Candida-Roman" w:cstheme="minorHAnsi"/>
        </w:rPr>
        <w:t xml:space="preserve"> definition</w:t>
      </w:r>
      <w:proofErr w:type="gramEnd"/>
      <w:r w:rsidR="00387A7E">
        <w:rPr>
          <w:rFonts w:eastAsia="Candida-Roman" w:cstheme="minorHAnsi"/>
        </w:rPr>
        <w:t xml:space="preserve"> of reference or baseline conditions (</w:t>
      </w:r>
      <w:r w:rsidR="00387A7E" w:rsidRPr="0036110F">
        <w:rPr>
          <w:rFonts w:eastAsia="GulliverRM" w:cstheme="minorHAnsi"/>
        </w:rPr>
        <w:t>Mart</w:t>
      </w:r>
      <w:r w:rsidR="00387A7E">
        <w:rPr>
          <w:rFonts w:eastAsia="GulliverRM" w:cstheme="minorHAnsi"/>
        </w:rPr>
        <w:t>í</w:t>
      </w:r>
      <w:r w:rsidR="00387A7E" w:rsidRPr="0036110F">
        <w:rPr>
          <w:rFonts w:eastAsia="GulliverRM" w:cstheme="minorHAnsi"/>
        </w:rPr>
        <w:t>nez-</w:t>
      </w:r>
      <w:proofErr w:type="spellStart"/>
      <w:r w:rsidR="00387A7E" w:rsidRPr="0036110F">
        <w:rPr>
          <w:rFonts w:eastAsia="GulliverRM" w:cstheme="minorHAnsi"/>
        </w:rPr>
        <w:t>Crego</w:t>
      </w:r>
      <w:proofErr w:type="spellEnd"/>
      <w:r w:rsidR="00387A7E">
        <w:rPr>
          <w:rFonts w:eastAsia="GulliverRM" w:cstheme="minorHAnsi"/>
        </w:rPr>
        <w:t xml:space="preserve"> et al</w:t>
      </w:r>
      <w:r w:rsidR="00EA3ABD">
        <w:rPr>
          <w:rFonts w:eastAsia="GulliverRM" w:cstheme="minorHAnsi"/>
        </w:rPr>
        <w:t>.</w:t>
      </w:r>
      <w:r w:rsidR="00387A7E">
        <w:rPr>
          <w:rFonts w:eastAsia="GulliverRM" w:cstheme="minorHAnsi"/>
        </w:rPr>
        <w:t xml:space="preserve"> 2011)</w:t>
      </w:r>
      <w:r w:rsidR="00387A7E">
        <w:rPr>
          <w:rFonts w:eastAsia="Candida-Roman" w:cstheme="minorHAnsi"/>
        </w:rPr>
        <w:t xml:space="preserve">. Faunal indices for aquaculture operation </w:t>
      </w:r>
      <w:r w:rsidR="00F636AC">
        <w:rPr>
          <w:rFonts w:eastAsia="Candida-Roman" w:cstheme="minorHAnsi"/>
        </w:rPr>
        <w:t>are calculated and compared to each other during production cycles rather than against baseline, pre-production values</w:t>
      </w:r>
      <w:r w:rsidR="00387A7E">
        <w:rPr>
          <w:rFonts w:eastAsia="Candida-Roman" w:cstheme="minorHAnsi"/>
        </w:rPr>
        <w:t>.</w:t>
      </w:r>
      <w:r w:rsidR="0036110F">
        <w:rPr>
          <w:rFonts w:eastAsia="Candida-Roman" w:cstheme="minorHAnsi"/>
        </w:rPr>
        <w:t xml:space="preserve"> </w:t>
      </w:r>
    </w:p>
    <w:p w:rsidR="00387A7E" w:rsidRDefault="00387A7E" w:rsidP="00A31723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</w:rPr>
      </w:pPr>
    </w:p>
    <w:p w:rsidR="00202A10" w:rsidRPr="0036110F" w:rsidRDefault="00E8329F" w:rsidP="00E832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36110F">
        <w:rPr>
          <w:rFonts w:eastAsia="Candida-Roman" w:cstheme="minorHAnsi"/>
          <w:b/>
          <w:i/>
        </w:rPr>
        <w:t xml:space="preserve">Recommendation - Pre-production </w:t>
      </w:r>
      <w:proofErr w:type="gramStart"/>
      <w:r w:rsidRPr="0036110F">
        <w:rPr>
          <w:rFonts w:eastAsia="Candida-Roman" w:cstheme="minorHAnsi"/>
          <w:b/>
          <w:i/>
        </w:rPr>
        <w:t>faunal  indices</w:t>
      </w:r>
      <w:proofErr w:type="gramEnd"/>
      <w:r w:rsidRPr="0036110F">
        <w:rPr>
          <w:rFonts w:eastAsia="Candida-Roman" w:cstheme="minorHAnsi"/>
          <w:b/>
          <w:i/>
        </w:rPr>
        <w:t xml:space="preserve"> should be calculated using a </w:t>
      </w:r>
      <w:r w:rsidR="00202A10" w:rsidRPr="0036110F">
        <w:rPr>
          <w:b/>
          <w:i/>
        </w:rPr>
        <w:t>combination of indices</w:t>
      </w:r>
      <w:r w:rsidRPr="0036110F">
        <w:rPr>
          <w:b/>
          <w:i/>
        </w:rPr>
        <w:t>. Farm</w:t>
      </w:r>
      <w:r w:rsidR="0036110F" w:rsidRPr="0036110F">
        <w:rPr>
          <w:b/>
          <w:i/>
        </w:rPr>
        <w:t>-derived</w:t>
      </w:r>
      <w:r w:rsidRPr="0036110F">
        <w:rPr>
          <w:b/>
          <w:i/>
        </w:rPr>
        <w:t xml:space="preserve"> faunal ind</w:t>
      </w:r>
      <w:r w:rsidR="0036110F" w:rsidRPr="0036110F">
        <w:rPr>
          <w:b/>
          <w:i/>
        </w:rPr>
        <w:t>ices</w:t>
      </w:r>
      <w:r w:rsidRPr="0036110F">
        <w:rPr>
          <w:b/>
          <w:i/>
        </w:rPr>
        <w:t xml:space="preserve"> and ecological status should be </w:t>
      </w:r>
      <w:r w:rsidR="0036110F" w:rsidRPr="0036110F">
        <w:rPr>
          <w:b/>
          <w:i/>
        </w:rPr>
        <w:t>evaluated</w:t>
      </w:r>
      <w:r w:rsidRPr="0036110F">
        <w:rPr>
          <w:b/>
          <w:i/>
        </w:rPr>
        <w:t xml:space="preserve"> against baseline </w:t>
      </w:r>
      <w:r w:rsidR="00D14C79">
        <w:rPr>
          <w:b/>
          <w:i/>
        </w:rPr>
        <w:t>faunal scores</w:t>
      </w:r>
      <w:r w:rsidRPr="0036110F">
        <w:rPr>
          <w:b/>
          <w:i/>
        </w:rPr>
        <w:t>.</w:t>
      </w:r>
      <w:r w:rsidR="00A6593D" w:rsidRPr="0036110F">
        <w:rPr>
          <w:b/>
          <w:i/>
        </w:rPr>
        <w:t xml:space="preserve"> </w:t>
      </w:r>
      <w:r w:rsidR="00202A10" w:rsidRPr="0036110F">
        <w:rPr>
          <w:i/>
        </w:rPr>
        <w:t xml:space="preserve"> </w:t>
      </w:r>
    </w:p>
    <w:p w:rsidR="00A31723" w:rsidRPr="00A31723" w:rsidRDefault="00A31723" w:rsidP="00A31723">
      <w:pPr>
        <w:autoSpaceDE w:val="0"/>
        <w:autoSpaceDN w:val="0"/>
        <w:adjustRightInd w:val="0"/>
        <w:spacing w:after="0" w:line="240" w:lineRule="auto"/>
      </w:pPr>
    </w:p>
    <w:p w:rsidR="0049509B" w:rsidRDefault="00202A10" w:rsidP="00C5423D">
      <w:pPr>
        <w:spacing w:line="240" w:lineRule="auto"/>
      </w:pPr>
      <w:r>
        <w:rPr>
          <w:rFonts w:cstheme="minorHAnsi"/>
        </w:rPr>
        <w:t xml:space="preserve">As indicated earlier, these indices apply to assessing </w:t>
      </w:r>
      <w:r w:rsidR="00EF4298">
        <w:rPr>
          <w:rFonts w:cstheme="minorHAnsi"/>
        </w:rPr>
        <w:t xml:space="preserve">benthic community </w:t>
      </w:r>
      <w:r>
        <w:rPr>
          <w:rFonts w:cstheme="minorHAnsi"/>
        </w:rPr>
        <w:t>impact</w:t>
      </w:r>
      <w:r w:rsidR="00EF4298">
        <w:rPr>
          <w:rFonts w:cstheme="minorHAnsi"/>
        </w:rPr>
        <w:t>s</w:t>
      </w:r>
      <w:r w:rsidR="008B35A3">
        <w:rPr>
          <w:rFonts w:cstheme="minorHAnsi"/>
        </w:rPr>
        <w:t xml:space="preserve"> on soft bottom environments where </w:t>
      </w:r>
      <w:r w:rsidR="004A2ECC">
        <w:rPr>
          <w:rFonts w:cstheme="minorHAnsi"/>
        </w:rPr>
        <w:t>samples are collected using grabs or cores. In hard bottom environments, it is more difficult to get a consistent sample volume</w:t>
      </w:r>
      <w:r w:rsidR="0049509B">
        <w:rPr>
          <w:rFonts w:cstheme="minorHAnsi"/>
        </w:rPr>
        <w:t xml:space="preserve"> using these methods</w:t>
      </w:r>
      <w:r w:rsidR="004A2ECC">
        <w:rPr>
          <w:rFonts w:cstheme="minorHAnsi"/>
        </w:rPr>
        <w:t>.  Over the past few years b</w:t>
      </w:r>
      <w:r w:rsidR="00EC3A8F" w:rsidRPr="00EC3A8F">
        <w:rPr>
          <w:rFonts w:cstheme="minorHAnsi"/>
        </w:rPr>
        <w:t>acterial</w:t>
      </w:r>
      <w:r w:rsidR="00455377">
        <w:rPr>
          <w:rFonts w:cstheme="minorHAnsi"/>
        </w:rPr>
        <w:t xml:space="preserve"> and </w:t>
      </w:r>
      <w:r w:rsidR="004A2ECC">
        <w:rPr>
          <w:rFonts w:cstheme="minorHAnsi"/>
        </w:rPr>
        <w:t>foramin</w:t>
      </w:r>
      <w:r w:rsidR="00455377">
        <w:rPr>
          <w:rFonts w:cstheme="minorHAnsi"/>
        </w:rPr>
        <w:t>ife</w:t>
      </w:r>
      <w:r w:rsidR="004A2ECC">
        <w:rPr>
          <w:rFonts w:cstheme="minorHAnsi"/>
        </w:rPr>
        <w:t>ra</w:t>
      </w:r>
      <w:r w:rsidR="006972EB">
        <w:rPr>
          <w:rFonts w:cstheme="minorHAnsi"/>
        </w:rPr>
        <w:t>l</w:t>
      </w:r>
      <w:r w:rsidR="00455377">
        <w:rPr>
          <w:rFonts w:cstheme="minorHAnsi"/>
        </w:rPr>
        <w:t xml:space="preserve"> (amoeboid protists)</w:t>
      </w:r>
      <w:r w:rsidR="00EC3A8F" w:rsidRPr="00EC3A8F">
        <w:rPr>
          <w:rFonts w:cstheme="minorHAnsi"/>
        </w:rPr>
        <w:t xml:space="preserve"> eDNA metabarcoding </w:t>
      </w:r>
      <w:r w:rsidR="0049509B">
        <w:rPr>
          <w:rFonts w:cstheme="minorHAnsi"/>
        </w:rPr>
        <w:t xml:space="preserve">have been examined as </w:t>
      </w:r>
      <w:r w:rsidR="00EF4298">
        <w:rPr>
          <w:rFonts w:cstheme="minorHAnsi"/>
        </w:rPr>
        <w:t>an</w:t>
      </w:r>
      <w:r w:rsidR="00EC3A8F" w:rsidRPr="00EC3A8F">
        <w:rPr>
          <w:rFonts w:cstheme="minorHAnsi"/>
        </w:rPr>
        <w:t xml:space="preserve"> alternative cost-eﬀective </w:t>
      </w:r>
      <w:r w:rsidR="00EC3A8F">
        <w:rPr>
          <w:rFonts w:cstheme="minorHAnsi"/>
        </w:rPr>
        <w:t xml:space="preserve">tool for assessing benthic </w:t>
      </w:r>
      <w:r w:rsidR="0049509B">
        <w:rPr>
          <w:rFonts w:cstheme="minorHAnsi"/>
        </w:rPr>
        <w:t xml:space="preserve">community </w:t>
      </w:r>
      <w:r w:rsidR="00EC3A8F">
        <w:rPr>
          <w:rFonts w:cstheme="minorHAnsi"/>
        </w:rPr>
        <w:t>impacts from aquaculture</w:t>
      </w:r>
      <w:r w:rsidR="00EF4298" w:rsidRPr="00EF4298">
        <w:rPr>
          <w:rFonts w:cstheme="minorHAnsi"/>
        </w:rPr>
        <w:t xml:space="preserve"> </w:t>
      </w:r>
      <w:r w:rsidR="00EF4298">
        <w:rPr>
          <w:rFonts w:cstheme="minorHAnsi"/>
        </w:rPr>
        <w:t>(</w:t>
      </w:r>
      <w:r w:rsidR="00E41BFB">
        <w:rPr>
          <w:rFonts w:cstheme="minorHAnsi"/>
        </w:rPr>
        <w:t xml:space="preserve">Pawlowski et al. 2016; </w:t>
      </w:r>
      <w:proofErr w:type="spellStart"/>
      <w:r w:rsidR="00EF4298">
        <w:rPr>
          <w:rFonts w:cstheme="minorHAnsi"/>
        </w:rPr>
        <w:t>Stoeck</w:t>
      </w:r>
      <w:proofErr w:type="spellEnd"/>
      <w:r w:rsidR="00EF4298">
        <w:rPr>
          <w:rFonts w:cstheme="minorHAnsi"/>
        </w:rPr>
        <w:t xml:space="preserve"> et al. 2018; Rubio-Portillo et al. 2019),</w:t>
      </w:r>
      <w:r w:rsidR="00E41BFB">
        <w:rPr>
          <w:rFonts w:cstheme="minorHAnsi"/>
        </w:rPr>
        <w:t xml:space="preserve"> including</w:t>
      </w:r>
      <w:r w:rsidR="00EF4298">
        <w:rPr>
          <w:rFonts w:cstheme="minorHAnsi"/>
        </w:rPr>
        <w:t xml:space="preserve"> hard bottom environments</w:t>
      </w:r>
      <w:r w:rsidR="00EC3A8F">
        <w:rPr>
          <w:rFonts w:cstheme="minorHAnsi"/>
        </w:rPr>
        <w:t xml:space="preserve"> (</w:t>
      </w:r>
      <w:r w:rsidR="00EF4298">
        <w:rPr>
          <w:rFonts w:cstheme="minorHAnsi"/>
        </w:rPr>
        <w:t>Verhoeven et al. 2018)</w:t>
      </w:r>
      <w:r w:rsidR="00EC3A8F" w:rsidRPr="00EC3A8F">
        <w:rPr>
          <w:rFonts w:cstheme="minorHAnsi"/>
        </w:rPr>
        <w:t>.</w:t>
      </w:r>
      <w:r w:rsidR="004A2ECC" w:rsidRPr="004A2ECC">
        <w:t xml:space="preserve"> </w:t>
      </w:r>
      <w:r w:rsidR="004A2ECC">
        <w:t xml:space="preserve">This method </w:t>
      </w:r>
      <w:r w:rsidR="004A2ECC" w:rsidRPr="004A2ECC">
        <w:t>uses taxonomically informative genes obtained from environmental samples and high-throughput sequencing to inform the composition of</w:t>
      </w:r>
      <w:r w:rsidR="00455377">
        <w:t xml:space="preserve"> either bacterial or </w:t>
      </w:r>
      <w:proofErr w:type="spellStart"/>
      <w:r w:rsidR="00455377">
        <w:t>formanifera</w:t>
      </w:r>
      <w:r w:rsidR="006972EB">
        <w:t>l</w:t>
      </w:r>
      <w:proofErr w:type="spellEnd"/>
      <w:r w:rsidR="004A2ECC" w:rsidRPr="004A2ECC">
        <w:t xml:space="preserve"> communities in environmental samples</w:t>
      </w:r>
      <w:r w:rsidR="00455377">
        <w:t>.</w:t>
      </w:r>
      <w:r w:rsidR="0049509B">
        <w:t xml:space="preserve">  Samples can be analyzed quickly, at a low</w:t>
      </w:r>
      <w:r w:rsidR="00EF4298">
        <w:t>er</w:t>
      </w:r>
      <w:r w:rsidR="0049509B">
        <w:t xml:space="preserve"> cost than traditional monitoring of macrofaunal communities and data can be analyzed in days rather than months (</w:t>
      </w:r>
      <w:proofErr w:type="spellStart"/>
      <w:r w:rsidR="0049509B">
        <w:t>Stoeck</w:t>
      </w:r>
      <w:proofErr w:type="spellEnd"/>
      <w:r w:rsidR="0049509B">
        <w:t xml:space="preserve"> et al. 2018).</w:t>
      </w:r>
      <w:r w:rsidR="001961A4">
        <w:t xml:space="preserve"> However, </w:t>
      </w:r>
      <w:r w:rsidR="001961A4" w:rsidRPr="001961A4">
        <w:t xml:space="preserve">several issues will have to be addressed before the implementation of bacterial </w:t>
      </w:r>
      <w:proofErr w:type="spellStart"/>
      <w:r w:rsidR="001961A4" w:rsidRPr="001961A4">
        <w:t>metabarcodes</w:t>
      </w:r>
      <w:proofErr w:type="spellEnd"/>
      <w:r w:rsidR="001961A4" w:rsidRPr="001961A4">
        <w:t xml:space="preserve"> into routine monitoring programs becomes feasible</w:t>
      </w:r>
      <w:r w:rsidR="001961A4">
        <w:t xml:space="preserve"> (</w:t>
      </w:r>
      <w:proofErr w:type="spellStart"/>
      <w:r w:rsidR="001961A4">
        <w:t>Stoeck</w:t>
      </w:r>
      <w:proofErr w:type="spellEnd"/>
      <w:r w:rsidR="001961A4">
        <w:t xml:space="preserve"> et al. 2018)</w:t>
      </w:r>
      <w:r w:rsidR="001961A4" w:rsidRPr="001961A4">
        <w:t>.</w:t>
      </w:r>
    </w:p>
    <w:p w:rsidR="001961A4" w:rsidRPr="00E41BFB" w:rsidRDefault="001961A4" w:rsidP="00C5423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i/>
        </w:rPr>
      </w:pPr>
      <w:r w:rsidRPr="001961A4">
        <w:rPr>
          <w:rFonts w:cstheme="minorHAnsi"/>
          <w:b/>
          <w:i/>
        </w:rPr>
        <w:t>Recommendation</w:t>
      </w:r>
      <w:r>
        <w:rPr>
          <w:rFonts w:cstheme="minorHAnsi"/>
          <w:b/>
          <w:i/>
        </w:rPr>
        <w:t xml:space="preserve"> - given the lack of </w:t>
      </w:r>
      <w:proofErr w:type="gramStart"/>
      <w:r>
        <w:rPr>
          <w:rFonts w:cstheme="minorHAnsi"/>
          <w:b/>
          <w:i/>
        </w:rPr>
        <w:t>faunal  indices</w:t>
      </w:r>
      <w:proofErr w:type="gramEnd"/>
      <w:r w:rsidRPr="001961A4">
        <w:rPr>
          <w:rFonts w:cstheme="minorHAnsi"/>
          <w:b/>
          <w:i/>
        </w:rPr>
        <w:t xml:space="preserve"> of benthic community change on hard bottom communities and the potential for hard bottoms environment to be prone to slow recovery, a regulatory threshold for environmental compliance of 25% cover by bacterial mats, aggregates of OPC, and/or barren substrates </w:t>
      </w:r>
      <w:r w:rsidR="00E41BFB">
        <w:rPr>
          <w:rFonts w:cstheme="minorHAnsi"/>
          <w:b/>
          <w:i/>
        </w:rPr>
        <w:t xml:space="preserve">will be </w:t>
      </w:r>
      <w:r w:rsidRPr="001961A4">
        <w:rPr>
          <w:rFonts w:cstheme="minorHAnsi"/>
          <w:b/>
          <w:i/>
        </w:rPr>
        <w:t>even more critical to protect</w:t>
      </w:r>
      <w:r w:rsidR="00E41BFB">
        <w:rPr>
          <w:rFonts w:cstheme="minorHAnsi"/>
          <w:b/>
          <w:i/>
        </w:rPr>
        <w:t>ing</w:t>
      </w:r>
      <w:r w:rsidRPr="001961A4">
        <w:rPr>
          <w:rFonts w:cstheme="minorHAnsi"/>
          <w:b/>
          <w:i/>
        </w:rPr>
        <w:t xml:space="preserve"> local biodiversity and environmental quality.</w:t>
      </w:r>
      <w:r w:rsidRPr="00E41BFB">
        <w:rPr>
          <w:rFonts w:cstheme="minorHAnsi"/>
          <w:b/>
          <w:i/>
        </w:rPr>
        <w:t xml:space="preserve">  </w:t>
      </w:r>
    </w:p>
    <w:p w:rsidR="0049509B" w:rsidRDefault="0049509B" w:rsidP="00C5423D">
      <w:pPr>
        <w:pStyle w:val="ListParagraph"/>
        <w:spacing w:line="240" w:lineRule="auto"/>
      </w:pPr>
    </w:p>
    <w:p w:rsidR="00E41BFB" w:rsidRPr="00E41BFB" w:rsidRDefault="0049509B" w:rsidP="00EC3A8F">
      <w:pPr>
        <w:spacing w:line="240" w:lineRule="auto"/>
        <w:rPr>
          <w:b/>
        </w:rPr>
      </w:pPr>
      <w:r w:rsidRPr="00E41BFB">
        <w:rPr>
          <w:b/>
        </w:rPr>
        <w:t xml:space="preserve"> </w:t>
      </w:r>
      <w:r w:rsidR="00E41BFB" w:rsidRPr="00E41BFB">
        <w:rPr>
          <w:b/>
        </w:rPr>
        <w:t xml:space="preserve">Copper </w:t>
      </w:r>
    </w:p>
    <w:p w:rsidR="00E41BFB" w:rsidRPr="00E41BFB" w:rsidRDefault="00E41BFB" w:rsidP="00E41BF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E41BFB">
        <w:rPr>
          <w:rFonts w:eastAsia="Times New Roman" w:cstheme="minorHAnsi"/>
          <w:color w:val="000000"/>
          <w:lang w:val="en-US"/>
        </w:rPr>
        <w:t>&lt; 34 mg Cu / kg dry sediment weigh</w:t>
      </w:r>
    </w:p>
    <w:p w:rsidR="00E41BFB" w:rsidRPr="00E41BFB" w:rsidRDefault="00E41BFB" w:rsidP="00215FAA">
      <w:pPr>
        <w:pStyle w:val="ListParagraph"/>
        <w:spacing w:line="240" w:lineRule="auto"/>
        <w:rPr>
          <w:rFonts w:cstheme="minorHAnsi"/>
        </w:rPr>
      </w:pPr>
    </w:p>
    <w:p w:rsidR="00FC1170" w:rsidRDefault="006A3700" w:rsidP="00FC11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Algae, molluscs and crustaceans are among the most sensitive species to copper (Burridge et al, 2010), hence its use as an antifoulant in nets and paint. Copper is also a trace element used in fish feed. </w:t>
      </w:r>
      <w:r w:rsidR="00215FAA" w:rsidRPr="004B10C6">
        <w:rPr>
          <w:rFonts w:cstheme="minorHAnsi"/>
          <w:bCs/>
        </w:rPr>
        <w:t xml:space="preserve">The </w:t>
      </w:r>
      <w:r w:rsidR="0017565B" w:rsidRPr="004B10C6">
        <w:rPr>
          <w:rFonts w:cstheme="minorHAnsi"/>
          <w:bCs/>
        </w:rPr>
        <w:t xml:space="preserve">Canadian Council of Ministers for the </w:t>
      </w:r>
      <w:proofErr w:type="gramStart"/>
      <w:r w:rsidR="0017565B" w:rsidRPr="004B10C6">
        <w:rPr>
          <w:rFonts w:cstheme="minorHAnsi"/>
          <w:bCs/>
        </w:rPr>
        <w:t>Environment  (</w:t>
      </w:r>
      <w:proofErr w:type="gramEnd"/>
      <w:r w:rsidR="0017565B" w:rsidRPr="004B10C6">
        <w:rPr>
          <w:rFonts w:cstheme="minorHAnsi"/>
          <w:bCs/>
        </w:rPr>
        <w:t xml:space="preserve">CCME) have set an interim copper sediment (top 5 cm) guideline </w:t>
      </w:r>
      <w:r w:rsidR="00215FAA" w:rsidRPr="004B10C6">
        <w:rPr>
          <w:rFonts w:cstheme="minorHAnsi"/>
          <w:bCs/>
        </w:rPr>
        <w:t xml:space="preserve">of </w:t>
      </w:r>
      <w:r w:rsidR="0017565B" w:rsidRPr="004B10C6">
        <w:rPr>
          <w:rFonts w:cstheme="minorHAnsi"/>
          <w:bCs/>
        </w:rPr>
        <w:t>18.7 mg</w:t>
      </w:r>
      <w:r w:rsidR="00215FAA" w:rsidRPr="004B10C6">
        <w:rPr>
          <w:rFonts w:cstheme="minorHAnsi"/>
          <w:bCs/>
        </w:rPr>
        <w:t xml:space="preserve">/kg </w:t>
      </w:r>
      <w:r w:rsidR="0017565B" w:rsidRPr="004B10C6">
        <w:rPr>
          <w:rFonts w:cstheme="minorHAnsi"/>
          <w:bCs/>
        </w:rPr>
        <w:t>Cu</w:t>
      </w:r>
      <w:r w:rsidR="00215FAA" w:rsidRPr="004B10C6">
        <w:rPr>
          <w:rFonts w:cstheme="minorHAnsi"/>
          <w:bCs/>
        </w:rPr>
        <w:t xml:space="preserve"> dry weight</w:t>
      </w:r>
      <w:r w:rsidR="0017565B" w:rsidRPr="004B10C6">
        <w:rPr>
          <w:rFonts w:cstheme="minorHAnsi"/>
          <w:bCs/>
        </w:rPr>
        <w:t xml:space="preserve"> to protect marine life and a probable effects level of 108 mg/kg Cu dry weight</w:t>
      </w:r>
      <w:r w:rsidR="00215FAA" w:rsidRPr="004B10C6">
        <w:rPr>
          <w:rFonts w:cstheme="minorHAnsi"/>
          <w:bCs/>
        </w:rPr>
        <w:t xml:space="preserve"> (</w:t>
      </w:r>
      <w:r w:rsidR="0017565B" w:rsidRPr="004B10C6">
        <w:rPr>
          <w:rFonts w:cstheme="minorHAnsi"/>
          <w:bCs/>
        </w:rPr>
        <w:t>CCME 1999).</w:t>
      </w:r>
      <w:r w:rsidR="0017565B" w:rsidRPr="004B10C6">
        <w:rPr>
          <w:rFonts w:cstheme="minorHAnsi"/>
        </w:rPr>
        <w:t xml:space="preserve"> </w:t>
      </w:r>
      <w:r w:rsidR="00154DB3" w:rsidRPr="004B10C6">
        <w:rPr>
          <w:rFonts w:cstheme="minorHAnsi"/>
        </w:rPr>
        <w:t xml:space="preserve">In Canada, copper levels of 100-150 mg/kg dry weight have generally been reported </w:t>
      </w:r>
      <w:r w:rsidR="00B66238">
        <w:rPr>
          <w:rFonts w:cstheme="minorHAnsi"/>
        </w:rPr>
        <w:t xml:space="preserve">at fish farms in southwest New Brunswick </w:t>
      </w:r>
      <w:r w:rsidR="00154DB3" w:rsidRPr="004B10C6">
        <w:rPr>
          <w:rFonts w:cstheme="minorHAnsi"/>
        </w:rPr>
        <w:t xml:space="preserve">(Burridge et al. </w:t>
      </w:r>
      <w:r w:rsidR="00B66238">
        <w:rPr>
          <w:rFonts w:cstheme="minorHAnsi"/>
        </w:rPr>
        <w:t>2010</w:t>
      </w:r>
      <w:r w:rsidR="00154DB3" w:rsidRPr="004B10C6">
        <w:rPr>
          <w:rFonts w:cstheme="minorHAnsi"/>
        </w:rPr>
        <w:t>).</w:t>
      </w:r>
      <w:r w:rsidR="00FC1170" w:rsidRPr="004B10C6">
        <w:rPr>
          <w:rFonts w:cstheme="minorHAnsi"/>
        </w:rPr>
        <w:t xml:space="preserve"> </w:t>
      </w:r>
      <w:r w:rsidR="00F87B48">
        <w:rPr>
          <w:rFonts w:cstheme="minorHAnsi"/>
        </w:rPr>
        <w:t>In</w:t>
      </w:r>
      <w:r w:rsidR="00FC1170" w:rsidRPr="004B10C6">
        <w:rPr>
          <w:rFonts w:cstheme="minorHAnsi"/>
        </w:rPr>
        <w:t xml:space="preserve"> Scotland, t</w:t>
      </w:r>
      <w:r w:rsidR="00FC1170" w:rsidRPr="004B10C6">
        <w:rPr>
          <w:rFonts w:cstheme="minorHAnsi"/>
          <w:color w:val="000000"/>
        </w:rPr>
        <w:t xml:space="preserve">he concentration </w:t>
      </w:r>
      <w:proofErr w:type="gramStart"/>
      <w:r w:rsidR="00FC1170" w:rsidRPr="004B10C6">
        <w:rPr>
          <w:rFonts w:cstheme="minorHAnsi"/>
          <w:color w:val="000000"/>
        </w:rPr>
        <w:t>of  copper</w:t>
      </w:r>
      <w:proofErr w:type="gramEnd"/>
      <w:r w:rsidR="00FC1170" w:rsidRPr="004B10C6">
        <w:rPr>
          <w:rFonts w:cstheme="minorHAnsi"/>
          <w:color w:val="000000"/>
        </w:rPr>
        <w:t xml:space="preserve"> (and zinc) in 5 cm depth exceeded the Scottish Sediment Quality Criteria at both the upper 270 mg/kg </w:t>
      </w:r>
      <w:r w:rsidR="001602D8" w:rsidRPr="004B10C6">
        <w:rPr>
          <w:rFonts w:cstheme="minorHAnsi"/>
          <w:color w:val="000000"/>
        </w:rPr>
        <w:t xml:space="preserve">dry weight and </w:t>
      </w:r>
      <w:r w:rsidR="00FC1170" w:rsidRPr="004B10C6">
        <w:rPr>
          <w:rFonts w:cstheme="minorHAnsi"/>
          <w:color w:val="000000"/>
        </w:rPr>
        <w:t>lower (108 mg/kg</w:t>
      </w:r>
      <w:r w:rsidR="001602D8" w:rsidRPr="004B10C6">
        <w:rPr>
          <w:rFonts w:cstheme="minorHAnsi"/>
          <w:color w:val="000000"/>
        </w:rPr>
        <w:t xml:space="preserve"> dry weight</w:t>
      </w:r>
      <w:r w:rsidR="00FC1170" w:rsidRPr="004B10C6">
        <w:rPr>
          <w:rFonts w:cstheme="minorHAnsi"/>
          <w:color w:val="000000"/>
        </w:rPr>
        <w:t>) levels</w:t>
      </w:r>
      <w:r w:rsidR="001602D8" w:rsidRPr="004B10C6">
        <w:rPr>
          <w:rFonts w:cstheme="minorHAnsi"/>
          <w:color w:val="000000"/>
        </w:rPr>
        <w:t xml:space="preserve"> </w:t>
      </w:r>
      <w:r w:rsidR="00FC1170" w:rsidRPr="004B10C6">
        <w:rPr>
          <w:rFonts w:cstheme="minorHAnsi"/>
          <w:color w:val="000000"/>
        </w:rPr>
        <w:t xml:space="preserve">for substantial part of the </w:t>
      </w:r>
      <w:r w:rsidR="004B10C6">
        <w:rPr>
          <w:rFonts w:cstheme="minorHAnsi"/>
          <w:color w:val="000000"/>
        </w:rPr>
        <w:t xml:space="preserve">aquaculture </w:t>
      </w:r>
      <w:r w:rsidR="00FC1170" w:rsidRPr="004B10C6">
        <w:rPr>
          <w:rFonts w:cstheme="minorHAnsi"/>
          <w:color w:val="000000"/>
        </w:rPr>
        <w:t>Allowable Zone of Effects (AZE) (</w:t>
      </w:r>
      <w:r w:rsidR="001602D8" w:rsidRPr="004B10C6">
        <w:rPr>
          <w:rFonts w:cstheme="minorHAnsi"/>
          <w:color w:val="000000"/>
        </w:rPr>
        <w:t>Dean et al. 2007)</w:t>
      </w:r>
      <w:r w:rsidR="004B10C6">
        <w:rPr>
          <w:rFonts w:cstheme="minorHAnsi"/>
          <w:color w:val="000000"/>
        </w:rPr>
        <w:t>.</w:t>
      </w:r>
      <w:r w:rsidR="00971CB0">
        <w:rPr>
          <w:rFonts w:cstheme="minorHAnsi"/>
          <w:color w:val="000000"/>
        </w:rPr>
        <w:t xml:space="preserve"> Behavioural effects (e.g.</w:t>
      </w:r>
      <w:r w:rsidR="00FD339C">
        <w:rPr>
          <w:rFonts w:cstheme="minorHAnsi"/>
          <w:color w:val="000000"/>
        </w:rPr>
        <w:t xml:space="preserve"> slower</w:t>
      </w:r>
      <w:r w:rsidR="00971CB0">
        <w:rPr>
          <w:rFonts w:cstheme="minorHAnsi"/>
          <w:color w:val="000000"/>
        </w:rPr>
        <w:t xml:space="preserve"> burrowing time</w:t>
      </w:r>
      <w:r w:rsidR="00C50F5F">
        <w:rPr>
          <w:rFonts w:cstheme="minorHAnsi"/>
          <w:color w:val="000000"/>
        </w:rPr>
        <w:t>s</w:t>
      </w:r>
      <w:r w:rsidR="00971CB0">
        <w:rPr>
          <w:rFonts w:cstheme="minorHAnsi"/>
          <w:color w:val="000000"/>
        </w:rPr>
        <w:t xml:space="preserve">) on clams have been reported at sediment copper levels </w:t>
      </w:r>
      <w:r w:rsidR="00B66238">
        <w:rPr>
          <w:rFonts w:cstheme="minorHAnsi"/>
          <w:color w:val="000000"/>
        </w:rPr>
        <w:t xml:space="preserve">ranging from </w:t>
      </w:r>
      <w:r w:rsidR="00971CB0">
        <w:rPr>
          <w:rFonts w:cstheme="minorHAnsi"/>
          <w:color w:val="000000"/>
        </w:rPr>
        <w:t>5.8 - 15 mg/kg Cu dry weight (Burridge et al. 2010).</w:t>
      </w:r>
    </w:p>
    <w:p w:rsidR="00971CB0" w:rsidRDefault="00971CB0" w:rsidP="00FC11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CB0" w:rsidRPr="00971CB0" w:rsidRDefault="00971CB0" w:rsidP="00971C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971CB0">
        <w:rPr>
          <w:rFonts w:cstheme="minorHAnsi"/>
          <w:b/>
          <w:color w:val="000000"/>
        </w:rPr>
        <w:t xml:space="preserve">Recommendation - </w:t>
      </w:r>
      <w:r w:rsidR="00C02AB6">
        <w:rPr>
          <w:rFonts w:cstheme="minorHAnsi"/>
          <w:b/>
          <w:color w:val="000000"/>
        </w:rPr>
        <w:t>S</w:t>
      </w:r>
      <w:r w:rsidRPr="00971CB0">
        <w:rPr>
          <w:rFonts w:cstheme="minorHAnsi"/>
          <w:b/>
          <w:color w:val="000000"/>
        </w:rPr>
        <w:t xml:space="preserve">ediment copper threshold value should be lowered to at least 15 mg/kg </w:t>
      </w:r>
      <w:r w:rsidR="008B35A3">
        <w:rPr>
          <w:rFonts w:cstheme="minorHAnsi"/>
          <w:b/>
          <w:color w:val="000000"/>
        </w:rPr>
        <w:t xml:space="preserve">Cu </w:t>
      </w:r>
      <w:r w:rsidRPr="00971CB0">
        <w:rPr>
          <w:rFonts w:cstheme="minorHAnsi"/>
          <w:b/>
          <w:color w:val="000000"/>
        </w:rPr>
        <w:t>dry weight</w:t>
      </w:r>
      <w:r w:rsidR="00C02AB6">
        <w:rPr>
          <w:rFonts w:cstheme="minorHAnsi"/>
          <w:b/>
          <w:color w:val="000000"/>
        </w:rPr>
        <w:t>.</w:t>
      </w:r>
      <w:r w:rsidRPr="00971CB0">
        <w:rPr>
          <w:rFonts w:cstheme="minorHAnsi"/>
          <w:b/>
          <w:color w:val="000000"/>
        </w:rPr>
        <w:t xml:space="preserve"> </w:t>
      </w:r>
    </w:p>
    <w:p w:rsidR="000C7CCB" w:rsidRDefault="000C7CCB" w:rsidP="00FC11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86DE5" w:rsidRDefault="00465460" w:rsidP="000C7CCB">
      <w:pPr>
        <w:autoSpaceDE w:val="0"/>
        <w:autoSpaceDN w:val="0"/>
        <w:adjustRightInd w:val="0"/>
        <w:spacing w:line="240" w:lineRule="auto"/>
      </w:pPr>
      <w:r w:rsidRPr="000C7CCB">
        <w:rPr>
          <w:rFonts w:cstheme="minorHAnsi"/>
          <w:bCs/>
          <w:color w:val="000000"/>
        </w:rPr>
        <w:t>Copper from sediments can be transferred to the sea surface from fish feed oils or sulphide gas bubbles released from decomposing fish feces/feed</w:t>
      </w:r>
      <w:r w:rsidR="000C7CCB">
        <w:rPr>
          <w:rFonts w:cstheme="minorHAnsi"/>
          <w:bCs/>
          <w:color w:val="000000"/>
        </w:rPr>
        <w:t xml:space="preserve"> </w:t>
      </w:r>
      <w:r w:rsidR="000C7CCB" w:rsidRPr="000C7CCB">
        <w:rPr>
          <w:rFonts w:cstheme="minorHAnsi"/>
          <w:bCs/>
          <w:color w:val="000000"/>
        </w:rPr>
        <w:t xml:space="preserve">where they </w:t>
      </w:r>
      <w:r w:rsidR="00E6704E">
        <w:rPr>
          <w:rFonts w:cstheme="minorHAnsi"/>
          <w:bCs/>
          <w:color w:val="000000"/>
        </w:rPr>
        <w:t xml:space="preserve">can </w:t>
      </w:r>
      <w:r w:rsidR="000C7CCB" w:rsidRPr="000C7CCB">
        <w:rPr>
          <w:rFonts w:cstheme="minorHAnsi"/>
          <w:bCs/>
          <w:color w:val="000000"/>
        </w:rPr>
        <w:t>concentrate and</w:t>
      </w:r>
      <w:r w:rsidR="000C7CCB">
        <w:rPr>
          <w:rFonts w:cstheme="minorHAnsi"/>
          <w:bCs/>
          <w:color w:val="000000"/>
        </w:rPr>
        <w:t xml:space="preserve"> </w:t>
      </w:r>
      <w:r w:rsidR="000C7CCB" w:rsidRPr="000C7CCB">
        <w:rPr>
          <w:rFonts w:cstheme="minorHAnsi"/>
          <w:bCs/>
          <w:color w:val="000000"/>
        </w:rPr>
        <w:t xml:space="preserve">move horizontally </w:t>
      </w:r>
      <w:r w:rsidR="000C7CCB">
        <w:rPr>
          <w:rFonts w:cstheme="minorHAnsi"/>
          <w:bCs/>
          <w:color w:val="000000"/>
        </w:rPr>
        <w:t>(Loucks et al. 2012).</w:t>
      </w:r>
      <w:r w:rsidR="00BA353A" w:rsidRPr="00BA353A">
        <w:t xml:space="preserve"> </w:t>
      </w:r>
      <w:r w:rsidR="00BA353A">
        <w:t>D</w:t>
      </w:r>
      <w:r w:rsidR="00BA353A" w:rsidRPr="00E6704E">
        <w:t>ue to buoyancy, lipids</w:t>
      </w:r>
      <w:r w:rsidR="00BA353A">
        <w:t xml:space="preserve"> (fish feed oils)</w:t>
      </w:r>
      <w:r w:rsidR="00BA353A" w:rsidRPr="00E6704E">
        <w:t xml:space="preserve"> released from a farm site </w:t>
      </w:r>
      <w:r w:rsidR="00B56571">
        <w:t xml:space="preserve">(seen as a visible slick on the sea surface) </w:t>
      </w:r>
      <w:r w:rsidR="00BA353A" w:rsidRPr="00E6704E">
        <w:t>can be expected to disperse widely in the sea surface microlayer as it is moved by wind and tidal action</w:t>
      </w:r>
      <w:r w:rsidR="00BA353A">
        <w:t xml:space="preserve"> (Price et al. 2015)</w:t>
      </w:r>
      <w:r w:rsidR="00BA353A" w:rsidRPr="00E6704E">
        <w:t>.</w:t>
      </w:r>
      <w:r w:rsidR="000C7CCB">
        <w:rPr>
          <w:rFonts w:cstheme="minorHAnsi"/>
          <w:bCs/>
          <w:color w:val="000000"/>
        </w:rPr>
        <w:t xml:space="preserve"> </w:t>
      </w:r>
      <w:r w:rsidR="00E6704E" w:rsidRPr="00E6704E">
        <w:rPr>
          <w:rFonts w:cstheme="minorHAnsi"/>
          <w:bCs/>
          <w:color w:val="000000"/>
        </w:rPr>
        <w:t xml:space="preserve">Little research or monitoring data </w:t>
      </w:r>
      <w:r w:rsidR="00B56571">
        <w:rPr>
          <w:rFonts w:cstheme="minorHAnsi"/>
          <w:bCs/>
          <w:color w:val="000000"/>
        </w:rPr>
        <w:t>are</w:t>
      </w:r>
      <w:r w:rsidR="00E6704E" w:rsidRPr="00E6704E">
        <w:rPr>
          <w:rFonts w:cstheme="minorHAnsi"/>
          <w:bCs/>
          <w:color w:val="000000"/>
        </w:rPr>
        <w:t xml:space="preserve"> available directly addressing lipid levels in the water</w:t>
      </w:r>
      <w:r w:rsidR="00E6704E">
        <w:rPr>
          <w:rFonts w:cstheme="minorHAnsi"/>
          <w:bCs/>
          <w:color w:val="000000"/>
        </w:rPr>
        <w:t xml:space="preserve"> or on the sea surface</w:t>
      </w:r>
      <w:r w:rsidR="00E6704E" w:rsidRPr="00E6704E">
        <w:rPr>
          <w:rFonts w:cstheme="minorHAnsi"/>
          <w:bCs/>
          <w:color w:val="000000"/>
        </w:rPr>
        <w:t xml:space="preserve"> near marine cages</w:t>
      </w:r>
      <w:r w:rsidR="00E6704E">
        <w:rPr>
          <w:rFonts w:cstheme="minorHAnsi"/>
          <w:bCs/>
          <w:color w:val="000000"/>
        </w:rPr>
        <w:t>.</w:t>
      </w:r>
      <w:r w:rsidR="00E6704E" w:rsidRPr="000C7CCB">
        <w:rPr>
          <w:rFonts w:cstheme="minorHAnsi"/>
          <w:bCs/>
          <w:color w:val="000000"/>
        </w:rPr>
        <w:t xml:space="preserve"> </w:t>
      </w:r>
      <w:r w:rsidR="00E6704E">
        <w:rPr>
          <w:rFonts w:cstheme="minorHAnsi"/>
          <w:bCs/>
          <w:color w:val="000000"/>
        </w:rPr>
        <w:t xml:space="preserve"> </w:t>
      </w:r>
      <w:r w:rsidR="000C7CCB">
        <w:rPr>
          <w:rFonts w:cstheme="minorHAnsi"/>
          <w:bCs/>
          <w:color w:val="000000"/>
        </w:rPr>
        <w:t>In a Canadian study</w:t>
      </w:r>
      <w:r w:rsidR="00B56571">
        <w:rPr>
          <w:rFonts w:cstheme="minorHAnsi"/>
          <w:bCs/>
          <w:color w:val="000000"/>
        </w:rPr>
        <w:t xml:space="preserve">, </w:t>
      </w:r>
      <w:r w:rsidR="000C7CCB" w:rsidRPr="000C7CCB">
        <w:rPr>
          <w:rFonts w:cstheme="minorHAnsi"/>
          <w:bCs/>
          <w:color w:val="000000"/>
        </w:rPr>
        <w:t xml:space="preserve">copper levels </w:t>
      </w:r>
      <w:r w:rsidR="00B56571">
        <w:rPr>
          <w:rFonts w:cstheme="minorHAnsi"/>
          <w:bCs/>
          <w:color w:val="000000"/>
        </w:rPr>
        <w:t xml:space="preserve">measured in </w:t>
      </w:r>
      <w:r w:rsidR="000C7CCB" w:rsidRPr="000C7CCB">
        <w:rPr>
          <w:rFonts w:cstheme="minorHAnsi"/>
          <w:bCs/>
          <w:color w:val="000000"/>
        </w:rPr>
        <w:t xml:space="preserve">the sea surface microlayer </w:t>
      </w:r>
      <w:r w:rsidR="00B56571">
        <w:rPr>
          <w:rFonts w:cstheme="minorHAnsi"/>
          <w:bCs/>
          <w:color w:val="000000"/>
        </w:rPr>
        <w:t xml:space="preserve">one kilometer away from a fish </w:t>
      </w:r>
      <w:r w:rsidR="00BA353A">
        <w:rPr>
          <w:rFonts w:cstheme="minorHAnsi"/>
          <w:bCs/>
          <w:color w:val="000000"/>
        </w:rPr>
        <w:t xml:space="preserve">farm </w:t>
      </w:r>
      <w:r w:rsidR="00B56571">
        <w:rPr>
          <w:rFonts w:cstheme="minorHAnsi"/>
          <w:bCs/>
          <w:color w:val="000000"/>
        </w:rPr>
        <w:t xml:space="preserve">fallowed for two years </w:t>
      </w:r>
      <w:r w:rsidR="00BA353A">
        <w:rPr>
          <w:rFonts w:cstheme="minorHAnsi"/>
          <w:bCs/>
          <w:color w:val="000000"/>
        </w:rPr>
        <w:t xml:space="preserve">were several times higher than </w:t>
      </w:r>
      <w:r w:rsidR="000C7CCB" w:rsidRPr="000C7CCB">
        <w:rPr>
          <w:rFonts w:cstheme="minorHAnsi"/>
          <w:bCs/>
          <w:color w:val="000000"/>
        </w:rPr>
        <w:t>marine life protection guidelines (3 µg Cu/L)</w:t>
      </w:r>
      <w:r w:rsidR="00E6704E">
        <w:rPr>
          <w:rFonts w:cstheme="minorHAnsi"/>
          <w:bCs/>
          <w:color w:val="000000"/>
        </w:rPr>
        <w:t xml:space="preserve"> </w:t>
      </w:r>
      <w:r w:rsidR="00B56571">
        <w:rPr>
          <w:rFonts w:cstheme="minorHAnsi"/>
          <w:bCs/>
          <w:color w:val="000000"/>
        </w:rPr>
        <w:t>in British Columbia (Canada)</w:t>
      </w:r>
      <w:r w:rsidR="00BA353A">
        <w:rPr>
          <w:rFonts w:cstheme="minorHAnsi"/>
          <w:bCs/>
          <w:color w:val="000000"/>
        </w:rPr>
        <w:t xml:space="preserve">and in excess of the B.C. guidelines </w:t>
      </w:r>
      <w:r w:rsidR="00E6704E">
        <w:rPr>
          <w:rFonts w:cstheme="minorHAnsi"/>
          <w:bCs/>
          <w:color w:val="000000"/>
        </w:rPr>
        <w:t>(Loucks et al. 2012)</w:t>
      </w:r>
      <w:r w:rsidR="000C7CCB" w:rsidRPr="000C7CCB">
        <w:rPr>
          <w:rFonts w:cstheme="minorHAnsi"/>
          <w:bCs/>
          <w:color w:val="000000"/>
        </w:rPr>
        <w:t>.</w:t>
      </w:r>
      <w:r w:rsidR="00B56571">
        <w:rPr>
          <w:rFonts w:cstheme="minorHAnsi"/>
          <w:bCs/>
          <w:color w:val="000000"/>
        </w:rPr>
        <w:t xml:space="preserve"> </w:t>
      </w:r>
      <w:r w:rsidRPr="000C7CCB">
        <w:rPr>
          <w:rFonts w:cstheme="minorHAnsi"/>
          <w:bCs/>
          <w:color w:val="000000"/>
        </w:rPr>
        <w:t>Copper levels of 0.5</w:t>
      </w:r>
      <w:r w:rsidR="000655EF">
        <w:rPr>
          <w:rFonts w:cstheme="minorHAnsi"/>
          <w:bCs/>
          <w:color w:val="000000"/>
        </w:rPr>
        <w:t xml:space="preserve"> </w:t>
      </w:r>
      <w:r w:rsidRPr="000C7CCB">
        <w:rPr>
          <w:rFonts w:cstheme="minorHAnsi"/>
          <w:bCs/>
          <w:color w:val="000000"/>
        </w:rPr>
        <w:t>µg Cu/L ha</w:t>
      </w:r>
      <w:r w:rsidR="00B56571">
        <w:rPr>
          <w:rFonts w:cstheme="minorHAnsi"/>
          <w:bCs/>
          <w:color w:val="000000"/>
        </w:rPr>
        <w:t>ve</w:t>
      </w:r>
      <w:r w:rsidRPr="000C7CCB">
        <w:rPr>
          <w:rFonts w:cstheme="minorHAnsi"/>
          <w:bCs/>
          <w:color w:val="000000"/>
        </w:rPr>
        <w:t xml:space="preserve"> been recommended for the protection </w:t>
      </w:r>
      <w:proofErr w:type="gramStart"/>
      <w:r w:rsidRPr="000C7CCB">
        <w:rPr>
          <w:rFonts w:cstheme="minorHAnsi"/>
          <w:bCs/>
          <w:color w:val="000000"/>
        </w:rPr>
        <w:t xml:space="preserve">of </w:t>
      </w:r>
      <w:r w:rsidR="00DD4689">
        <w:rPr>
          <w:rFonts w:cstheme="minorHAnsi"/>
          <w:bCs/>
          <w:color w:val="000000"/>
        </w:rPr>
        <w:t xml:space="preserve"> larval</w:t>
      </w:r>
      <w:proofErr w:type="gramEnd"/>
      <w:r w:rsidR="00DD4689">
        <w:rPr>
          <w:rFonts w:cstheme="minorHAnsi"/>
          <w:bCs/>
          <w:color w:val="000000"/>
        </w:rPr>
        <w:t xml:space="preserve"> planktonic phases of </w:t>
      </w:r>
      <w:r w:rsidRPr="000C7CCB">
        <w:rPr>
          <w:rFonts w:cstheme="minorHAnsi"/>
          <w:bCs/>
          <w:color w:val="000000"/>
        </w:rPr>
        <w:t xml:space="preserve">decapod species such as lobster </w:t>
      </w:r>
      <w:r w:rsidR="00DD4689">
        <w:rPr>
          <w:rFonts w:cstheme="minorHAnsi"/>
          <w:bCs/>
          <w:color w:val="000000"/>
        </w:rPr>
        <w:t xml:space="preserve"> </w:t>
      </w:r>
      <w:r w:rsidR="00DD4689" w:rsidRPr="000C7CCB">
        <w:rPr>
          <w:rFonts w:cstheme="minorHAnsi"/>
          <w:bCs/>
          <w:color w:val="000000"/>
        </w:rPr>
        <w:t>(</w:t>
      </w:r>
      <w:proofErr w:type="spellStart"/>
      <w:r w:rsidR="00DD4689" w:rsidRPr="000C7CCB">
        <w:rPr>
          <w:rFonts w:cstheme="minorHAnsi"/>
          <w:bCs/>
          <w:color w:val="000000"/>
        </w:rPr>
        <w:t>Mariño</w:t>
      </w:r>
      <w:proofErr w:type="spellEnd"/>
      <w:r w:rsidR="00DD4689" w:rsidRPr="000C7CCB">
        <w:rPr>
          <w:rFonts w:cstheme="minorHAnsi"/>
          <w:bCs/>
          <w:color w:val="000000"/>
        </w:rPr>
        <w:t>-Balsa et al. 2000)</w:t>
      </w:r>
      <w:r w:rsidR="00F75403">
        <w:rPr>
          <w:rFonts w:cstheme="minorHAnsi"/>
          <w:bCs/>
          <w:color w:val="000000"/>
        </w:rPr>
        <w:t xml:space="preserve"> </w:t>
      </w:r>
      <w:r w:rsidR="00DD4689">
        <w:rPr>
          <w:rFonts w:cstheme="minorHAnsi"/>
          <w:bCs/>
          <w:color w:val="000000"/>
        </w:rPr>
        <w:t xml:space="preserve">which </w:t>
      </w:r>
      <w:r w:rsidR="00F75403">
        <w:rPr>
          <w:rFonts w:cstheme="minorHAnsi"/>
          <w:bCs/>
          <w:color w:val="000000"/>
        </w:rPr>
        <w:t xml:space="preserve">can be found  in </w:t>
      </w:r>
      <w:r w:rsidR="00DD4689">
        <w:rPr>
          <w:rFonts w:cstheme="minorHAnsi"/>
          <w:bCs/>
          <w:color w:val="000000"/>
        </w:rPr>
        <w:t xml:space="preserve">coastal </w:t>
      </w:r>
      <w:r w:rsidR="00F75403">
        <w:rPr>
          <w:rFonts w:cstheme="minorHAnsi"/>
          <w:bCs/>
          <w:color w:val="000000"/>
        </w:rPr>
        <w:t xml:space="preserve">waters (Cobb and </w:t>
      </w:r>
      <w:proofErr w:type="spellStart"/>
      <w:r w:rsidR="00F75403">
        <w:rPr>
          <w:rFonts w:cstheme="minorHAnsi"/>
          <w:bCs/>
          <w:color w:val="000000"/>
        </w:rPr>
        <w:t>Wahle</w:t>
      </w:r>
      <w:proofErr w:type="spellEnd"/>
      <w:r w:rsidR="00F75403">
        <w:rPr>
          <w:rFonts w:cstheme="minorHAnsi"/>
          <w:bCs/>
          <w:color w:val="000000"/>
        </w:rPr>
        <w:t xml:space="preserve"> 1994)</w:t>
      </w:r>
      <w:r w:rsidR="00E6704E">
        <w:rPr>
          <w:rFonts w:cstheme="minorHAnsi"/>
          <w:bCs/>
          <w:color w:val="000000"/>
        </w:rPr>
        <w:t>.</w:t>
      </w:r>
      <w:r w:rsidR="00E6704E" w:rsidRPr="00E6704E">
        <w:t xml:space="preserve"> </w:t>
      </w:r>
    </w:p>
    <w:p w:rsidR="00C86DE5" w:rsidRPr="000655EF" w:rsidRDefault="00E6704E" w:rsidP="000C7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655EF">
        <w:rPr>
          <w:rFonts w:cstheme="minorHAnsi"/>
          <w:b/>
          <w:bCs/>
          <w:color w:val="000000"/>
        </w:rPr>
        <w:t xml:space="preserve">Recommendation - </w:t>
      </w:r>
      <w:r w:rsidR="00CA1D60">
        <w:rPr>
          <w:rFonts w:cstheme="minorHAnsi"/>
          <w:b/>
          <w:bCs/>
          <w:color w:val="000000"/>
        </w:rPr>
        <w:t>W</w:t>
      </w:r>
      <w:r w:rsidRPr="000655EF">
        <w:rPr>
          <w:rFonts w:cstheme="minorHAnsi"/>
          <w:b/>
          <w:bCs/>
          <w:color w:val="000000"/>
        </w:rPr>
        <w:t xml:space="preserve">here a surface slick is seen originating from a fish farm, sea surface </w:t>
      </w:r>
      <w:proofErr w:type="gramStart"/>
      <w:r w:rsidRPr="000655EF">
        <w:rPr>
          <w:rFonts w:cstheme="minorHAnsi"/>
          <w:b/>
          <w:bCs/>
          <w:color w:val="000000"/>
        </w:rPr>
        <w:t xml:space="preserve">sampling  </w:t>
      </w:r>
      <w:r w:rsidR="003216C0">
        <w:rPr>
          <w:rFonts w:cstheme="minorHAnsi"/>
          <w:b/>
          <w:bCs/>
          <w:color w:val="000000"/>
        </w:rPr>
        <w:t>must</w:t>
      </w:r>
      <w:proofErr w:type="gramEnd"/>
      <w:r w:rsidRPr="000655EF">
        <w:rPr>
          <w:rFonts w:cstheme="minorHAnsi"/>
          <w:b/>
          <w:bCs/>
          <w:color w:val="000000"/>
        </w:rPr>
        <w:t xml:space="preserve"> be </w:t>
      </w:r>
      <w:r w:rsidR="000655EF">
        <w:rPr>
          <w:rFonts w:cstheme="minorHAnsi"/>
          <w:b/>
          <w:bCs/>
          <w:color w:val="000000"/>
        </w:rPr>
        <w:t>performe</w:t>
      </w:r>
      <w:r w:rsidRPr="000655EF">
        <w:rPr>
          <w:rFonts w:cstheme="minorHAnsi"/>
          <w:b/>
          <w:bCs/>
          <w:color w:val="000000"/>
        </w:rPr>
        <w:t xml:space="preserve">d. </w:t>
      </w:r>
      <w:r w:rsidR="000655EF">
        <w:rPr>
          <w:rFonts w:cstheme="minorHAnsi"/>
          <w:b/>
          <w:bCs/>
          <w:color w:val="000000"/>
        </w:rPr>
        <w:t>Sea surface co</w:t>
      </w:r>
      <w:r w:rsidRPr="000655EF">
        <w:rPr>
          <w:rFonts w:cstheme="minorHAnsi"/>
          <w:b/>
          <w:bCs/>
          <w:color w:val="000000"/>
        </w:rPr>
        <w:t xml:space="preserve">pper levels should not exceed 0.5 </w:t>
      </w:r>
      <w:r w:rsidR="000655EF">
        <w:rPr>
          <w:rFonts w:cstheme="minorHAnsi"/>
          <w:b/>
          <w:bCs/>
          <w:color w:val="000000"/>
        </w:rPr>
        <w:t>µ</w:t>
      </w:r>
      <w:r w:rsidRPr="000655EF">
        <w:rPr>
          <w:rFonts w:cstheme="minorHAnsi"/>
          <w:b/>
          <w:bCs/>
          <w:color w:val="000000"/>
        </w:rPr>
        <w:t>g Cu/L.</w:t>
      </w:r>
    </w:p>
    <w:p w:rsidR="004B10C6" w:rsidRPr="004B10C6" w:rsidRDefault="004B10C6" w:rsidP="004B10C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86908" w:rsidRPr="00B86908" w:rsidRDefault="00B86908" w:rsidP="00E41BFB">
      <w:pPr>
        <w:spacing w:line="240" w:lineRule="auto"/>
        <w:rPr>
          <w:b/>
          <w:u w:val="single"/>
        </w:rPr>
      </w:pPr>
      <w:r w:rsidRPr="00B86908">
        <w:rPr>
          <w:b/>
          <w:u w:val="single"/>
        </w:rPr>
        <w:t>Water Quality</w:t>
      </w:r>
    </w:p>
    <w:p w:rsidR="00B86908" w:rsidRDefault="00B86908" w:rsidP="000C7CCB">
      <w:pPr>
        <w:pStyle w:val="ListParagraph"/>
        <w:numPr>
          <w:ilvl w:val="0"/>
          <w:numId w:val="2"/>
        </w:numPr>
        <w:spacing w:line="240" w:lineRule="auto"/>
      </w:pPr>
      <w:r>
        <w:t xml:space="preserve">Dissolved </w:t>
      </w:r>
      <w:proofErr w:type="gramStart"/>
      <w:r>
        <w:t xml:space="preserve">oxygen </w:t>
      </w:r>
      <w:r w:rsidR="000C7CCB">
        <w:t xml:space="preserve"> </w:t>
      </w:r>
      <w:r w:rsidR="000C7CCB" w:rsidRPr="000C7CCB">
        <w:rPr>
          <w:rFonts w:cstheme="minorHAnsi"/>
        </w:rPr>
        <w:t>≥</w:t>
      </w:r>
      <w:proofErr w:type="gramEnd"/>
      <w:r w:rsidR="000C7CCB">
        <w:t xml:space="preserve"> 70% oxygen saturation</w:t>
      </w:r>
    </w:p>
    <w:p w:rsidR="006103CA" w:rsidRDefault="0003415A" w:rsidP="006103CA">
      <w:pPr>
        <w:spacing w:line="240" w:lineRule="auto"/>
      </w:pPr>
      <w:r>
        <w:t>Natural s</w:t>
      </w:r>
      <w:r w:rsidR="006103CA">
        <w:t xml:space="preserve">easonal, tidal and diurnal fluxes </w:t>
      </w:r>
      <w:r>
        <w:t xml:space="preserve">can </w:t>
      </w:r>
      <w:r w:rsidR="006103CA">
        <w:t xml:space="preserve">cause </w:t>
      </w:r>
      <w:r>
        <w:t xml:space="preserve">low levels of </w:t>
      </w:r>
      <w:r w:rsidR="006103CA">
        <w:t>dissolved oxygen</w:t>
      </w:r>
      <w:r>
        <w:t>. P</w:t>
      </w:r>
      <w:r w:rsidR="006103CA">
        <w:t>roper siting of farms in areas with sufficient flushing rates is recommended.</w:t>
      </w:r>
    </w:p>
    <w:p w:rsidR="0003415A" w:rsidRDefault="0003415A" w:rsidP="0003415A">
      <w:pPr>
        <w:pStyle w:val="ListParagraph"/>
        <w:numPr>
          <w:ilvl w:val="0"/>
          <w:numId w:val="2"/>
        </w:numPr>
        <w:spacing w:line="240" w:lineRule="auto"/>
      </w:pPr>
      <w:r>
        <w:t>Nitrogen (NO</w:t>
      </w:r>
      <w:r>
        <w:rPr>
          <w:vertAlign w:val="subscript"/>
        </w:rPr>
        <w:t>2</w:t>
      </w:r>
      <w:r>
        <w:t>, NO</w:t>
      </w:r>
      <w:r>
        <w:rPr>
          <w:vertAlign w:val="subscript"/>
        </w:rPr>
        <w:t>3</w:t>
      </w:r>
      <w:r>
        <w:t>)</w:t>
      </w:r>
    </w:p>
    <w:p w:rsidR="0003415A" w:rsidRDefault="0003415A" w:rsidP="0003415A">
      <w:pPr>
        <w:pStyle w:val="ListParagraph"/>
        <w:spacing w:line="240" w:lineRule="auto"/>
      </w:pPr>
      <w:r>
        <w:t>Phosphorous</w:t>
      </w:r>
    </w:p>
    <w:p w:rsidR="0003415A" w:rsidRDefault="0003415A" w:rsidP="0003415A">
      <w:pPr>
        <w:pStyle w:val="ListParagraph"/>
        <w:spacing w:line="240" w:lineRule="auto"/>
      </w:pPr>
      <w:r>
        <w:t>pH</w:t>
      </w:r>
    </w:p>
    <w:p w:rsidR="0003415A" w:rsidRDefault="0003415A" w:rsidP="0003415A">
      <w:pPr>
        <w:pStyle w:val="ListParagraph"/>
        <w:spacing w:line="240" w:lineRule="auto"/>
      </w:pPr>
      <w:r>
        <w:t>Salinity</w:t>
      </w:r>
    </w:p>
    <w:p w:rsidR="0003415A" w:rsidRDefault="0003415A" w:rsidP="0003415A">
      <w:pPr>
        <w:pStyle w:val="ListParagraph"/>
        <w:spacing w:line="240" w:lineRule="auto"/>
      </w:pPr>
      <w:r>
        <w:t>Turbidity</w:t>
      </w:r>
    </w:p>
    <w:p w:rsidR="0003415A" w:rsidRPr="0003415A" w:rsidRDefault="0003415A" w:rsidP="0003415A">
      <w:pPr>
        <w:pStyle w:val="ListParagraph"/>
        <w:spacing w:line="240" w:lineRule="auto"/>
      </w:pPr>
      <w:r>
        <w:rPr>
          <w:rFonts w:eastAsia="Times New Roman" w:cstheme="minorHAnsi"/>
          <w:color w:val="000000"/>
          <w:lang w:val="en-US"/>
        </w:rPr>
        <w:t>Phytoplankton</w:t>
      </w:r>
    </w:p>
    <w:p w:rsidR="0003415A" w:rsidRDefault="0003415A" w:rsidP="0003415A">
      <w:pPr>
        <w:pStyle w:val="ListParagraph"/>
        <w:spacing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Ammonium</w:t>
      </w:r>
    </w:p>
    <w:p w:rsidR="0003415A" w:rsidRDefault="0003415A" w:rsidP="0003415A">
      <w:pPr>
        <w:pStyle w:val="ListParagraph"/>
        <w:spacing w:line="240" w:lineRule="auto"/>
      </w:pPr>
    </w:p>
    <w:p w:rsidR="005A03E2" w:rsidRDefault="00A66600" w:rsidP="005A03E2">
      <w:pPr>
        <w:spacing w:line="240" w:lineRule="auto"/>
        <w:rPr>
          <w:rStyle w:val="NoneA"/>
          <w:rFonts w:eastAsia="Cambria" w:cstheme="minorHAnsi"/>
        </w:rPr>
      </w:pPr>
      <w:r w:rsidRPr="00A3264C">
        <w:rPr>
          <w:rFonts w:cstheme="minorHAnsi"/>
        </w:rPr>
        <w:t xml:space="preserve">Natural </w:t>
      </w:r>
      <w:r w:rsidR="00566CD6">
        <w:rPr>
          <w:rFonts w:cstheme="minorHAnsi"/>
        </w:rPr>
        <w:t xml:space="preserve">marine </w:t>
      </w:r>
      <w:r w:rsidRPr="00A3264C">
        <w:rPr>
          <w:rFonts w:cstheme="minorHAnsi"/>
        </w:rPr>
        <w:t>water quality can be highly variable seasonally, temporally and spatially</w:t>
      </w:r>
      <w:r w:rsidR="005A03E2" w:rsidRPr="005A03E2">
        <w:rPr>
          <w:rFonts w:cstheme="minorHAnsi"/>
        </w:rPr>
        <w:t xml:space="preserve"> </w:t>
      </w:r>
      <w:r w:rsidR="005A03E2">
        <w:rPr>
          <w:rFonts w:cstheme="minorHAnsi"/>
        </w:rPr>
        <w:t>and it would be</w:t>
      </w:r>
      <w:r w:rsidR="005A03E2" w:rsidRPr="00A3264C">
        <w:rPr>
          <w:rFonts w:cstheme="minorHAnsi"/>
        </w:rPr>
        <w:t xml:space="preserve"> difficult to establish a set of regulatory/monitoring water quality values that would apply to all aquaculture operations.</w:t>
      </w:r>
      <w:r w:rsidR="00303CB1">
        <w:rPr>
          <w:rFonts w:cstheme="minorHAnsi"/>
        </w:rPr>
        <w:t xml:space="preserve"> </w:t>
      </w:r>
      <w:r w:rsidR="00F80121" w:rsidRPr="00A3264C">
        <w:rPr>
          <w:rStyle w:val="NoneA"/>
          <w:rFonts w:eastAsia="Cambria" w:cstheme="minorHAnsi"/>
        </w:rPr>
        <w:t xml:space="preserve">Studies to detect changes in </w:t>
      </w:r>
      <w:r w:rsidR="00F80121">
        <w:rPr>
          <w:rStyle w:val="NoneA"/>
          <w:rFonts w:eastAsia="Cambria" w:cstheme="minorHAnsi"/>
        </w:rPr>
        <w:t>phosphor</w:t>
      </w:r>
      <w:r w:rsidR="00566CD6">
        <w:rPr>
          <w:rStyle w:val="NoneA"/>
          <w:rFonts w:eastAsia="Cambria" w:cstheme="minorHAnsi"/>
        </w:rPr>
        <w:t>o</w:t>
      </w:r>
      <w:r w:rsidR="00F80121">
        <w:rPr>
          <w:rStyle w:val="NoneA"/>
          <w:rFonts w:eastAsia="Cambria" w:cstheme="minorHAnsi"/>
        </w:rPr>
        <w:t>u</w:t>
      </w:r>
      <w:bookmarkStart w:id="0" w:name="_GoBack"/>
      <w:bookmarkEnd w:id="0"/>
      <w:r w:rsidR="00F80121">
        <w:rPr>
          <w:rStyle w:val="NoneA"/>
          <w:rFonts w:eastAsia="Cambria" w:cstheme="minorHAnsi"/>
        </w:rPr>
        <w:t>s, dissolved inorganic nitrogen (DIN), ammonium,</w:t>
      </w:r>
      <w:r w:rsidR="00F80121" w:rsidRPr="00A3264C">
        <w:rPr>
          <w:rStyle w:val="NoneA"/>
          <w:rFonts w:eastAsia="Cambria" w:cstheme="minorHAnsi"/>
        </w:rPr>
        <w:t xml:space="preserve"> phytoplankton (chlorophyll </w:t>
      </w:r>
      <w:r w:rsidR="00F80121" w:rsidRPr="00A3264C">
        <w:rPr>
          <w:rStyle w:val="NoneA"/>
          <w:rFonts w:eastAsia="Cambria" w:cstheme="minorHAnsi"/>
          <w:i/>
          <w:iCs/>
        </w:rPr>
        <w:t>a</w:t>
      </w:r>
      <w:r w:rsidR="00F80121" w:rsidRPr="00A3264C">
        <w:rPr>
          <w:rStyle w:val="NoneA"/>
          <w:rFonts w:eastAsia="Cambria" w:cstheme="minorHAnsi"/>
        </w:rPr>
        <w:t>)</w:t>
      </w:r>
      <w:r w:rsidR="00F80121">
        <w:rPr>
          <w:rStyle w:val="NoneA"/>
          <w:rFonts w:eastAsia="Cambria" w:cstheme="minorHAnsi"/>
        </w:rPr>
        <w:t>, and turbidity</w:t>
      </w:r>
      <w:r w:rsidR="00F80121" w:rsidRPr="00A3264C">
        <w:rPr>
          <w:rStyle w:val="NoneA"/>
          <w:rFonts w:eastAsia="Cambria" w:cstheme="minorHAnsi"/>
        </w:rPr>
        <w:t xml:space="preserve"> around fish farms are highly variable in their results (Price et al. 2015).</w:t>
      </w:r>
      <w:r w:rsidR="00F80121" w:rsidRPr="00F80121">
        <w:rPr>
          <w:rStyle w:val="NoneA"/>
          <w:rFonts w:eastAsia="Cambria" w:cstheme="minorHAnsi"/>
        </w:rPr>
        <w:t xml:space="preserve"> </w:t>
      </w:r>
      <w:r w:rsidR="00F80121" w:rsidRPr="00A3264C">
        <w:rPr>
          <w:rStyle w:val="NoneA"/>
          <w:rFonts w:eastAsia="Cambria" w:cstheme="minorHAnsi"/>
        </w:rPr>
        <w:t xml:space="preserve">Several factors account for a lack of detection or response in the pelagic ecosystem to nutrient loading. </w:t>
      </w:r>
      <w:r w:rsidR="00F80121">
        <w:rPr>
          <w:rStyle w:val="NoneA"/>
          <w:rFonts w:eastAsia="Cambria" w:cstheme="minorHAnsi"/>
        </w:rPr>
        <w:t xml:space="preserve"> </w:t>
      </w:r>
      <w:r w:rsidR="00303CB1" w:rsidRPr="00A3264C">
        <w:rPr>
          <w:rStyle w:val="NoneA"/>
          <w:rFonts w:eastAsia="Cambria" w:cstheme="minorHAnsi"/>
        </w:rPr>
        <w:t xml:space="preserve">DIN and other dissolved nutrients are highly </w:t>
      </w:r>
      <w:proofErr w:type="gramStart"/>
      <w:r w:rsidR="00303CB1" w:rsidRPr="00A3264C">
        <w:rPr>
          <w:rStyle w:val="NoneA"/>
          <w:rFonts w:eastAsia="Cambria" w:cstheme="minorHAnsi"/>
        </w:rPr>
        <w:t>labile</w:t>
      </w:r>
      <w:proofErr w:type="gramEnd"/>
      <w:r w:rsidR="00303CB1" w:rsidRPr="00A3264C">
        <w:rPr>
          <w:rStyle w:val="NoneA"/>
          <w:rFonts w:eastAsia="Cambria" w:cstheme="minorHAnsi"/>
        </w:rPr>
        <w:t xml:space="preserve"> and their concentrations vary diurnally. </w:t>
      </w:r>
      <w:r w:rsidR="00F80121" w:rsidRPr="00A3264C">
        <w:rPr>
          <w:rStyle w:val="NoneA"/>
          <w:rFonts w:eastAsia="Cambria" w:cstheme="minorHAnsi"/>
        </w:rPr>
        <w:t xml:space="preserve">Unless sampling is frequent, DIN can be easily undetected. In temperate, nutrient-limited waters such as </w:t>
      </w:r>
      <w:r w:rsidR="00F80121">
        <w:rPr>
          <w:rStyle w:val="NoneA"/>
          <w:rFonts w:eastAsia="Cambria" w:cstheme="minorHAnsi"/>
        </w:rPr>
        <w:t>Iceland</w:t>
      </w:r>
      <w:r w:rsidR="00F80121" w:rsidRPr="00A3264C">
        <w:rPr>
          <w:rStyle w:val="NoneA"/>
          <w:rFonts w:eastAsia="Cambria" w:cstheme="minorHAnsi"/>
        </w:rPr>
        <w:t xml:space="preserve">, not all DIN will be assimilated in the lower planktonic food web. </w:t>
      </w:r>
      <w:r w:rsidR="00566CD6">
        <w:rPr>
          <w:rStyle w:val="NoneA"/>
          <w:rFonts w:eastAsia="Cambria" w:cstheme="minorHAnsi"/>
        </w:rPr>
        <w:t>O</w:t>
      </w:r>
      <w:r w:rsidR="00566CD6" w:rsidRPr="00A3264C">
        <w:rPr>
          <w:rStyle w:val="NoneA"/>
          <w:rFonts w:eastAsia="Cambria" w:cstheme="minorHAnsi"/>
        </w:rPr>
        <w:t>nce inorganic nitrogen is released from a near-shore sea-cage fish farm</w:t>
      </w:r>
      <w:r w:rsidR="00566CD6">
        <w:rPr>
          <w:rStyle w:val="NoneA"/>
          <w:rFonts w:eastAsia="Cambria" w:cstheme="minorHAnsi"/>
        </w:rPr>
        <w:t>,</w:t>
      </w:r>
      <w:r w:rsidR="00566CD6" w:rsidRPr="00A3264C">
        <w:rPr>
          <w:rStyle w:val="NoneA"/>
          <w:rFonts w:eastAsia="Cambria" w:cstheme="minorHAnsi"/>
        </w:rPr>
        <w:t xml:space="preserve"> it is transported by currents and </w:t>
      </w:r>
      <w:r w:rsidR="00566CD6">
        <w:rPr>
          <w:rStyle w:val="NoneA"/>
          <w:rFonts w:eastAsia="Cambria" w:cstheme="minorHAnsi"/>
        </w:rPr>
        <w:t xml:space="preserve">quickly </w:t>
      </w:r>
      <w:r w:rsidR="00566CD6" w:rsidRPr="00A3264C">
        <w:rPr>
          <w:rStyle w:val="NoneA"/>
          <w:rFonts w:eastAsia="Cambria" w:cstheme="minorHAnsi"/>
        </w:rPr>
        <w:t>available to numerous biological sinks in the pelagic ecosystem including marine bacteria and macrophytes in subtidal and intertidal areas</w:t>
      </w:r>
      <w:r w:rsidR="00566CD6">
        <w:rPr>
          <w:rStyle w:val="NoneA"/>
          <w:rFonts w:eastAsia="Cambria" w:cstheme="minorHAnsi"/>
        </w:rPr>
        <w:t>, as well as by phytoplankton</w:t>
      </w:r>
      <w:r w:rsidR="00566CD6" w:rsidRPr="00A3264C">
        <w:rPr>
          <w:rStyle w:val="NoneA"/>
          <w:rFonts w:eastAsia="Cambria" w:cstheme="minorHAnsi"/>
        </w:rPr>
        <w:t xml:space="preserve"> (</w:t>
      </w:r>
      <w:r w:rsidR="00566CD6">
        <w:rPr>
          <w:rStyle w:val="NoneA"/>
          <w:rFonts w:eastAsia="Cambria" w:cstheme="minorHAnsi"/>
        </w:rPr>
        <w:t>McIver et al</w:t>
      </w:r>
      <w:r w:rsidR="00566CD6" w:rsidRPr="00A3264C">
        <w:rPr>
          <w:rStyle w:val="NoneA"/>
          <w:rFonts w:eastAsia="Cambria" w:cstheme="minorHAnsi"/>
        </w:rPr>
        <w:t>. 2</w:t>
      </w:r>
      <w:r w:rsidR="00566CD6">
        <w:rPr>
          <w:rStyle w:val="NoneA"/>
          <w:rFonts w:eastAsia="Cambria" w:cstheme="minorHAnsi"/>
        </w:rPr>
        <w:t>018)</w:t>
      </w:r>
      <w:r w:rsidR="00566CD6" w:rsidRPr="00A3264C">
        <w:rPr>
          <w:rStyle w:val="NoneA"/>
          <w:rFonts w:eastAsia="Cambria" w:cstheme="minorHAnsi"/>
        </w:rPr>
        <w:t>.</w:t>
      </w:r>
      <w:r w:rsidR="00566CD6">
        <w:rPr>
          <w:rStyle w:val="NoneA"/>
          <w:rFonts w:eastAsia="Cambria" w:cstheme="minorHAnsi"/>
        </w:rPr>
        <w:t xml:space="preserve"> </w:t>
      </w:r>
      <w:r w:rsidR="00303CB1" w:rsidRPr="00A3264C">
        <w:rPr>
          <w:rStyle w:val="NoneA"/>
          <w:rFonts w:eastAsia="Cambria" w:cstheme="minorHAnsi"/>
        </w:rPr>
        <w:t>Fast-growing</w:t>
      </w:r>
      <w:r w:rsidR="00566CD6">
        <w:rPr>
          <w:rStyle w:val="NoneA"/>
          <w:rFonts w:eastAsia="Cambria" w:cstheme="minorHAnsi"/>
        </w:rPr>
        <w:t xml:space="preserve"> annual</w:t>
      </w:r>
      <w:r w:rsidR="00303CB1" w:rsidRPr="00A3264C">
        <w:rPr>
          <w:rStyle w:val="NoneA"/>
          <w:rFonts w:eastAsia="Cambria" w:cstheme="minorHAnsi"/>
        </w:rPr>
        <w:t xml:space="preserve"> macroalgae (also referred to as 'nuisance' or 'opportunistic' algae) can quickly take up nutrients. Increased growth and biomass of annual algal epiphytes on peren</w:t>
      </w:r>
      <w:r w:rsidR="00303CB1">
        <w:rPr>
          <w:rStyle w:val="NoneA"/>
          <w:rFonts w:eastAsia="Cambria" w:cstheme="minorHAnsi"/>
        </w:rPr>
        <w:t>nial brown canopy-forming algae</w:t>
      </w:r>
      <w:r w:rsidR="004A2E7E">
        <w:rPr>
          <w:rStyle w:val="NoneA"/>
          <w:rFonts w:eastAsia="Cambria" w:cstheme="minorHAnsi"/>
        </w:rPr>
        <w:t xml:space="preserve"> (e.g. kelp</w:t>
      </w:r>
      <w:r w:rsidR="005A03E2">
        <w:rPr>
          <w:rStyle w:val="NoneA"/>
          <w:rFonts w:eastAsia="Cambria" w:cstheme="minorHAnsi"/>
        </w:rPr>
        <w:t>,</w:t>
      </w:r>
      <w:r w:rsidR="004A2E7E">
        <w:rPr>
          <w:rStyle w:val="NoneA"/>
          <w:rFonts w:eastAsia="Cambria" w:cstheme="minorHAnsi"/>
        </w:rPr>
        <w:t xml:space="preserve"> rockweed)</w:t>
      </w:r>
      <w:r w:rsidR="00303CB1" w:rsidRPr="00A3264C">
        <w:rPr>
          <w:rStyle w:val="NoneA"/>
          <w:rFonts w:eastAsia="Cambria" w:cstheme="minorHAnsi"/>
        </w:rPr>
        <w:t xml:space="preserve">, green annual algae, </w:t>
      </w:r>
      <w:r w:rsidR="00303CB1" w:rsidRPr="00A3264C">
        <w:rPr>
          <w:rStyle w:val="NoneA"/>
          <w:rFonts w:eastAsia="Cambria" w:cstheme="minorHAnsi"/>
          <w:i/>
          <w:iCs/>
        </w:rPr>
        <w:t>Ulva</w:t>
      </w:r>
      <w:r w:rsidR="00303CB1" w:rsidRPr="00A3264C">
        <w:rPr>
          <w:rStyle w:val="NoneA"/>
          <w:rFonts w:eastAsia="Cambria" w:cstheme="minorHAnsi"/>
        </w:rPr>
        <w:t xml:space="preserve"> sp., and </w:t>
      </w:r>
      <w:r w:rsidR="004A2E7E">
        <w:rPr>
          <w:rStyle w:val="NoneA"/>
          <w:rFonts w:eastAsia="Cambria" w:cstheme="minorHAnsi"/>
        </w:rPr>
        <w:t xml:space="preserve">a </w:t>
      </w:r>
      <w:r w:rsidR="00303CB1" w:rsidRPr="00A3264C">
        <w:rPr>
          <w:rStyle w:val="NoneA"/>
          <w:rFonts w:eastAsia="Cambria" w:cstheme="minorHAnsi"/>
        </w:rPr>
        <w:t>loss of seagrasses have been reported near fish farms at distances greater than compliance monitoring requirements</w:t>
      </w:r>
      <w:r w:rsidR="00303CB1">
        <w:rPr>
          <w:rStyle w:val="NoneA"/>
          <w:rFonts w:eastAsia="Cambria" w:cstheme="minorHAnsi"/>
        </w:rPr>
        <w:t xml:space="preserve"> (</w:t>
      </w:r>
      <w:r w:rsidR="004A2E7E">
        <w:rPr>
          <w:rStyle w:val="NoneA"/>
          <w:rFonts w:eastAsia="Cambria" w:cstheme="minorHAnsi"/>
        </w:rPr>
        <w:t xml:space="preserve">Robinson et al. 2005; </w:t>
      </w:r>
      <w:proofErr w:type="spellStart"/>
      <w:r w:rsidR="004A2E7E">
        <w:rPr>
          <w:rStyle w:val="NoneA"/>
          <w:rFonts w:eastAsia="Cambria" w:cstheme="minorHAnsi"/>
        </w:rPr>
        <w:t>Cullain</w:t>
      </w:r>
      <w:proofErr w:type="spellEnd"/>
      <w:r w:rsidR="004A2E7E">
        <w:rPr>
          <w:rStyle w:val="NoneA"/>
          <w:rFonts w:eastAsia="Cambria" w:cstheme="minorHAnsi"/>
        </w:rPr>
        <w:t xml:space="preserve"> et al. 2018; </w:t>
      </w:r>
      <w:r w:rsidR="00303CB1">
        <w:rPr>
          <w:rStyle w:val="NoneA"/>
          <w:rFonts w:eastAsia="Cambria" w:cstheme="minorHAnsi"/>
        </w:rPr>
        <w:t>McIver et al. 2018</w:t>
      </w:r>
      <w:r w:rsidR="00566CD6">
        <w:rPr>
          <w:rStyle w:val="NoneA"/>
          <w:rFonts w:eastAsia="Cambria" w:cstheme="minorHAnsi"/>
        </w:rPr>
        <w:t>)</w:t>
      </w:r>
    </w:p>
    <w:p w:rsidR="00EA6EA6" w:rsidRPr="005A03E2" w:rsidRDefault="00303CB1" w:rsidP="005A03E2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A03E2">
        <w:rPr>
          <w:b/>
        </w:rPr>
        <w:lastRenderedPageBreak/>
        <w:t>Recommendation - I</w:t>
      </w:r>
      <w:r w:rsidR="00A66600" w:rsidRPr="005A03E2">
        <w:rPr>
          <w:b/>
        </w:rPr>
        <w:t xml:space="preserve">t is important </w:t>
      </w:r>
      <w:r w:rsidR="00EA6EA6" w:rsidRPr="005A03E2">
        <w:rPr>
          <w:b/>
        </w:rPr>
        <w:t>that proposed aquaculture operation</w:t>
      </w:r>
      <w:r w:rsidR="00CA1D60">
        <w:rPr>
          <w:b/>
        </w:rPr>
        <w:t>s</w:t>
      </w:r>
      <w:r w:rsidR="00EA6EA6" w:rsidRPr="005A03E2">
        <w:rPr>
          <w:b/>
        </w:rPr>
        <w:t xml:space="preserve"> be required </w:t>
      </w:r>
      <w:r w:rsidR="00A66600" w:rsidRPr="005A03E2">
        <w:rPr>
          <w:b/>
        </w:rPr>
        <w:t xml:space="preserve">to collect a comprehensive suite of </w:t>
      </w:r>
      <w:r w:rsidR="00EA6EA6" w:rsidRPr="005A03E2">
        <w:rPr>
          <w:b/>
        </w:rPr>
        <w:t xml:space="preserve">local </w:t>
      </w:r>
      <w:r w:rsidR="00A66600" w:rsidRPr="005A03E2">
        <w:rPr>
          <w:b/>
        </w:rPr>
        <w:t xml:space="preserve">baseline </w:t>
      </w:r>
      <w:r w:rsidR="00AB3A87" w:rsidRPr="005A03E2">
        <w:rPr>
          <w:b/>
        </w:rPr>
        <w:t xml:space="preserve">water quality </w:t>
      </w:r>
      <w:proofErr w:type="gramStart"/>
      <w:r w:rsidR="00EA6EA6" w:rsidRPr="005A03E2">
        <w:rPr>
          <w:b/>
        </w:rPr>
        <w:t>levels  that</w:t>
      </w:r>
      <w:proofErr w:type="gramEnd"/>
      <w:r w:rsidR="00EA6EA6" w:rsidRPr="005A03E2">
        <w:rPr>
          <w:b/>
        </w:rPr>
        <w:t xml:space="preserve"> account for seasonal, temporal, and spatial variability for the parameters identified above.</w:t>
      </w:r>
    </w:p>
    <w:p w:rsidR="00C27C56" w:rsidRDefault="00C27C56" w:rsidP="006103CA">
      <w:pPr>
        <w:spacing w:line="240" w:lineRule="auto"/>
        <w:rPr>
          <w:b/>
          <w:u w:val="single"/>
        </w:rPr>
      </w:pPr>
    </w:p>
    <w:p w:rsidR="00AA0717" w:rsidRDefault="00AA0717" w:rsidP="006103CA">
      <w:pPr>
        <w:spacing w:line="240" w:lineRule="auto"/>
        <w:rPr>
          <w:b/>
          <w:u w:val="single"/>
        </w:rPr>
      </w:pPr>
      <w:r w:rsidRPr="00AA0717">
        <w:rPr>
          <w:b/>
          <w:u w:val="single"/>
        </w:rPr>
        <w:t>A note on far-field effects</w:t>
      </w:r>
      <w:r w:rsidR="001F261E">
        <w:rPr>
          <w:b/>
          <w:u w:val="single"/>
        </w:rPr>
        <w:t xml:space="preserve"> and cumulative effects</w:t>
      </w:r>
    </w:p>
    <w:p w:rsidR="00DA618E" w:rsidRPr="00C52A7B" w:rsidRDefault="00E45F80" w:rsidP="006103CA">
      <w:pPr>
        <w:spacing w:line="240" w:lineRule="auto"/>
        <w:rPr>
          <w:rFonts w:cstheme="minorHAnsi"/>
        </w:rPr>
      </w:pPr>
      <w:r>
        <w:t>Environmental effect</w:t>
      </w:r>
      <w:r w:rsidR="00113C61">
        <w:t>s</w:t>
      </w:r>
      <w:r>
        <w:t xml:space="preserve"> monitoring of </w:t>
      </w:r>
      <w:r w:rsidR="00DA618E">
        <w:t xml:space="preserve">sea-cage </w:t>
      </w:r>
      <w:r>
        <w:t xml:space="preserve">aquaculture </w:t>
      </w:r>
      <w:r w:rsidR="001F261E">
        <w:t>is</w:t>
      </w:r>
      <w:r>
        <w:t xml:space="preserve"> </w:t>
      </w:r>
      <w:r w:rsidR="00113C61">
        <w:t xml:space="preserve">generally </w:t>
      </w:r>
      <w:r>
        <w:t xml:space="preserve">limited to </w:t>
      </w:r>
      <w:r w:rsidR="001F261E">
        <w:t xml:space="preserve">an area </w:t>
      </w:r>
      <w:r w:rsidR="00113C61">
        <w:t>25-50</w:t>
      </w:r>
      <w:r>
        <w:t>m</w:t>
      </w:r>
      <w:r w:rsidR="00113C61">
        <w:t xml:space="preserve"> from the sea-cage edge, </w:t>
      </w:r>
      <w:r>
        <w:t>an area referred to as the 'zone of effects' or 'zone of impacts'</w:t>
      </w:r>
      <w:r w:rsidR="00113C61">
        <w:t xml:space="preserve">, and reference sites (generally two sites; one upstream and one downstream from the sea-cages) that vary from 100-500 m from the sea-cages. </w:t>
      </w:r>
      <w:r w:rsidR="00DA618E">
        <w:t xml:space="preserve"> </w:t>
      </w:r>
      <w:r w:rsidR="00555571">
        <w:t>Despite a</w:t>
      </w:r>
      <w:r w:rsidR="00113C61">
        <w:t xml:space="preserve">n increasing number of studies </w:t>
      </w:r>
      <w:r w:rsidR="00555571">
        <w:t>that hav</w:t>
      </w:r>
      <w:r w:rsidR="00113C61">
        <w:t>e identified</w:t>
      </w:r>
      <w:r w:rsidR="00C5423D">
        <w:t xml:space="preserve"> a range of environmental</w:t>
      </w:r>
      <w:r w:rsidR="00113C61">
        <w:t xml:space="preserve"> impacts</w:t>
      </w:r>
      <w:r w:rsidR="00C5423D">
        <w:t xml:space="preserve"> (e.g. eutrophication, benthic and water quality</w:t>
      </w:r>
      <w:r w:rsidR="004A5798">
        <w:t xml:space="preserve"> changes</w:t>
      </w:r>
      <w:r w:rsidR="00C5423D">
        <w:t xml:space="preserve">, seagrass loss, lobster catch) </w:t>
      </w:r>
      <w:r w:rsidR="00113C61">
        <w:t>at distances greater than sampling distances prescribed in regulations (</w:t>
      </w:r>
      <w:r w:rsidR="00725EFF">
        <w:t xml:space="preserve">Loucks et al. 2012; </w:t>
      </w:r>
      <w:r w:rsidR="00C5423D">
        <w:t>Law et al. 2014,</w:t>
      </w:r>
      <w:r w:rsidR="00725EFF">
        <w:t xml:space="preserve"> Price et al. 2015; </w:t>
      </w:r>
      <w:r w:rsidR="00465460">
        <w:t xml:space="preserve">Bannister et al. 2016, </w:t>
      </w:r>
      <w:proofErr w:type="spellStart"/>
      <w:r w:rsidR="00725EFF">
        <w:t>Cullain</w:t>
      </w:r>
      <w:proofErr w:type="spellEnd"/>
      <w:r w:rsidR="00725EFF">
        <w:t xml:space="preserve"> et al. 2018; McIver et al. 2018; </w:t>
      </w:r>
      <w:proofErr w:type="spellStart"/>
      <w:r w:rsidR="00725EFF">
        <w:t>Milewski</w:t>
      </w:r>
      <w:proofErr w:type="spellEnd"/>
      <w:r w:rsidR="00725EFF">
        <w:t xml:space="preserve"> et al. 2018</w:t>
      </w:r>
      <w:r w:rsidR="00465460">
        <w:t>)</w:t>
      </w:r>
      <w:r w:rsidR="00555571">
        <w:t>, regulators have not incorporated any metrics to monitor far-field effects. In addition, a</w:t>
      </w:r>
      <w:r w:rsidR="001F261E">
        <w:t>ssessing</w:t>
      </w:r>
      <w:r w:rsidR="00555571">
        <w:t xml:space="preserve"> and monitoring</w:t>
      </w:r>
      <w:r w:rsidR="001F261E">
        <w:t xml:space="preserve"> the cumulative impacts of</w:t>
      </w:r>
      <w:r w:rsidR="00555571">
        <w:t xml:space="preserve"> impacts of multiple marine finfish aquaculture operation alone or in combination with other human activit</w:t>
      </w:r>
      <w:r w:rsidR="002003FE">
        <w:t>ies</w:t>
      </w:r>
      <w:r w:rsidR="00555571">
        <w:t xml:space="preserve"> has prove</w:t>
      </w:r>
      <w:r w:rsidR="002003FE">
        <w:t>n</w:t>
      </w:r>
      <w:r w:rsidR="00555571">
        <w:t xml:space="preserve"> difficult to incorporate into environmental assessment and monitoring processes (King and </w:t>
      </w:r>
      <w:proofErr w:type="spellStart"/>
      <w:r w:rsidR="00555571">
        <w:t>Pushchak</w:t>
      </w:r>
      <w:proofErr w:type="spellEnd"/>
      <w:r w:rsidR="00555571">
        <w:t xml:space="preserve"> 2008).</w:t>
      </w:r>
      <w:r w:rsidR="001F261E">
        <w:t xml:space="preserve"> </w:t>
      </w:r>
      <w:r w:rsidR="006569FD">
        <w:t xml:space="preserve"> Both of these gaps could be </w:t>
      </w:r>
      <w:r w:rsidR="00C52A7B">
        <w:t xml:space="preserve">addressed with </w:t>
      </w:r>
      <w:r w:rsidR="006569FD">
        <w:t>a meaningful integration of local (community) ecological knowledge, particularly the knowledge of fishers</w:t>
      </w:r>
      <w:r w:rsidR="002B0865">
        <w:t>,</w:t>
      </w:r>
      <w:r w:rsidR="006569FD">
        <w:t xml:space="preserve"> </w:t>
      </w:r>
      <w:r w:rsidR="002B0865">
        <w:t>with traditional science knowle</w:t>
      </w:r>
      <w:r w:rsidR="00C52A7B">
        <w:t>d</w:t>
      </w:r>
      <w:r w:rsidR="002B0865">
        <w:t xml:space="preserve">ge </w:t>
      </w:r>
      <w:r w:rsidR="006569FD">
        <w:t>(</w:t>
      </w:r>
      <w:proofErr w:type="spellStart"/>
      <w:r w:rsidR="006569FD">
        <w:t>Wiber</w:t>
      </w:r>
      <w:proofErr w:type="spellEnd"/>
      <w:r w:rsidR="006569FD">
        <w:t xml:space="preserve"> et al. 2012; </w:t>
      </w:r>
      <w:proofErr w:type="spellStart"/>
      <w:r w:rsidR="00405913">
        <w:t>Brattland</w:t>
      </w:r>
      <w:proofErr w:type="spellEnd"/>
      <w:r w:rsidR="00405913">
        <w:t xml:space="preserve"> 2013; </w:t>
      </w:r>
      <w:proofErr w:type="spellStart"/>
      <w:r w:rsidR="002B0865">
        <w:t>Maillet</w:t>
      </w:r>
      <w:proofErr w:type="spellEnd"/>
      <w:r w:rsidR="002B0865">
        <w:t xml:space="preserve"> et al. 2017</w:t>
      </w:r>
      <w:r w:rsidR="00C52A7B">
        <w:t xml:space="preserve">; </w:t>
      </w:r>
      <w:proofErr w:type="spellStart"/>
      <w:r w:rsidR="00C52A7B">
        <w:t>Milewski</w:t>
      </w:r>
      <w:proofErr w:type="spellEnd"/>
      <w:r w:rsidR="00C52A7B">
        <w:t xml:space="preserve"> et al. 2018</w:t>
      </w:r>
      <w:r w:rsidR="002B0865">
        <w:t>)</w:t>
      </w:r>
      <w:r w:rsidR="00C52A7B">
        <w:t xml:space="preserve"> for more </w:t>
      </w:r>
      <w:r w:rsidR="00C52A7B" w:rsidRPr="00C52A7B">
        <w:rPr>
          <w:rFonts w:cstheme="minorHAnsi"/>
        </w:rPr>
        <w:t>effective marine resource management and avoiding fisheries and ecosystem impacts from sea-cage aquaculture operations</w:t>
      </w:r>
      <w:r w:rsidR="006569FD" w:rsidRPr="00C52A7B">
        <w:rPr>
          <w:rFonts w:cstheme="minorHAnsi"/>
        </w:rPr>
        <w:t xml:space="preserve">. </w:t>
      </w:r>
      <w:r w:rsidR="00113C61" w:rsidRPr="00C52A7B">
        <w:rPr>
          <w:rFonts w:cstheme="minorHAnsi"/>
        </w:rPr>
        <w:t xml:space="preserve"> </w:t>
      </w:r>
    </w:p>
    <w:p w:rsidR="00566CD6" w:rsidRDefault="00566CD6" w:rsidP="006103CA">
      <w:pPr>
        <w:spacing w:line="240" w:lineRule="auto"/>
        <w:rPr>
          <w:b/>
        </w:rPr>
      </w:pPr>
      <w:r w:rsidRPr="00566CD6">
        <w:rPr>
          <w:b/>
        </w:rPr>
        <w:t>References</w:t>
      </w:r>
    </w:p>
    <w:p w:rsidR="009F2B51" w:rsidRPr="00AB7C05" w:rsidRDefault="009F2B51" w:rsidP="006448CC">
      <w:pPr>
        <w:spacing w:line="240" w:lineRule="auto"/>
        <w:rPr>
          <w:rFonts w:cstheme="minorHAnsi"/>
        </w:rPr>
      </w:pPr>
      <w:proofErr w:type="gramStart"/>
      <w:r w:rsidRPr="00AB7C05">
        <w:rPr>
          <w:rFonts w:cstheme="minorHAnsi"/>
        </w:rPr>
        <w:t>AAR(</w:t>
      </w:r>
      <w:proofErr w:type="gramEnd"/>
      <w:r w:rsidRPr="00AB7C05">
        <w:rPr>
          <w:rFonts w:cstheme="minorHAnsi"/>
        </w:rPr>
        <w:t>2015).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>Aquaculture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>Activities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>Regulations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>guidance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>document website. http://www.dfo-mpo.gc.ca/aquaculture/managementgestion/aar-raa-gd-eng.htm.</w:t>
      </w:r>
    </w:p>
    <w:p w:rsidR="00C233B3" w:rsidRDefault="00C233B3" w:rsidP="006448CC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  <w:color w:val="1B1C20"/>
        </w:rPr>
      </w:pPr>
      <w:r w:rsidRPr="00AB7C05">
        <w:rPr>
          <w:rFonts w:eastAsia="Candida-Roman" w:cstheme="minorHAnsi"/>
          <w:color w:val="1B1C20"/>
        </w:rPr>
        <w:t>Bannister</w:t>
      </w:r>
      <w:r w:rsidR="00AB7C05">
        <w:rPr>
          <w:rFonts w:eastAsia="Candida-Roman" w:cstheme="minorHAnsi"/>
          <w:color w:val="1B1C20"/>
        </w:rPr>
        <w:t>,</w:t>
      </w:r>
      <w:r w:rsidRPr="00AB7C05">
        <w:rPr>
          <w:rFonts w:eastAsia="Candida-Roman" w:cstheme="minorHAnsi"/>
          <w:color w:val="1B1C20"/>
        </w:rPr>
        <w:t xml:space="preserve"> R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>J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>, Johnsen</w:t>
      </w:r>
      <w:r w:rsidR="00AB7C05">
        <w:rPr>
          <w:rFonts w:eastAsia="Candida-Roman" w:cstheme="minorHAnsi"/>
          <w:color w:val="1B1C20"/>
        </w:rPr>
        <w:t>,</w:t>
      </w:r>
      <w:r w:rsidRPr="00AB7C05">
        <w:rPr>
          <w:rFonts w:eastAsia="Candida-Roman" w:cstheme="minorHAnsi"/>
          <w:color w:val="1B1C20"/>
        </w:rPr>
        <w:t xml:space="preserve"> I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>A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>, Hansen</w:t>
      </w:r>
      <w:r w:rsidR="00AB7C05">
        <w:rPr>
          <w:rFonts w:eastAsia="Candida-Roman" w:cstheme="minorHAnsi"/>
          <w:color w:val="1B1C20"/>
        </w:rPr>
        <w:t>,</w:t>
      </w:r>
      <w:r w:rsidRPr="00AB7C05">
        <w:rPr>
          <w:rFonts w:eastAsia="Candida-Roman" w:cstheme="minorHAnsi"/>
          <w:color w:val="1B1C20"/>
        </w:rPr>
        <w:t xml:space="preserve"> P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>K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 xml:space="preserve">, </w:t>
      </w:r>
      <w:proofErr w:type="spellStart"/>
      <w:r w:rsidRPr="00AB7C05">
        <w:rPr>
          <w:rFonts w:eastAsia="Candida-Roman" w:cstheme="minorHAnsi"/>
          <w:color w:val="1B1C20"/>
        </w:rPr>
        <w:t>Kutti</w:t>
      </w:r>
      <w:proofErr w:type="spellEnd"/>
      <w:r w:rsidR="00AB7C05">
        <w:rPr>
          <w:rFonts w:eastAsia="Candida-Roman" w:cstheme="minorHAnsi"/>
          <w:color w:val="1B1C20"/>
        </w:rPr>
        <w:t>,</w:t>
      </w:r>
      <w:r w:rsidRPr="00AB7C05">
        <w:rPr>
          <w:rFonts w:eastAsia="Candida-Roman" w:cstheme="minorHAnsi"/>
          <w:color w:val="1B1C20"/>
        </w:rPr>
        <w:t xml:space="preserve"> T</w:t>
      </w:r>
      <w:r w:rsidR="00AB7C05">
        <w:rPr>
          <w:rFonts w:eastAsia="Candida-Roman" w:cstheme="minorHAnsi"/>
          <w:color w:val="1B1C20"/>
        </w:rPr>
        <w:t>.</w:t>
      </w:r>
      <w:proofErr w:type="gramStart"/>
      <w:r w:rsidRPr="00AB7C05">
        <w:rPr>
          <w:rFonts w:eastAsia="Candida-Roman" w:cstheme="minorHAnsi"/>
          <w:color w:val="1B1C20"/>
        </w:rPr>
        <w:t xml:space="preserve">, </w:t>
      </w:r>
      <w:r w:rsidR="00AB7C05">
        <w:rPr>
          <w:rFonts w:eastAsia="Candida-Roman" w:cstheme="minorHAnsi"/>
          <w:color w:val="1B1C20"/>
        </w:rPr>
        <w:t xml:space="preserve"> and</w:t>
      </w:r>
      <w:proofErr w:type="gramEnd"/>
      <w:r w:rsidR="00AB7C05">
        <w:rPr>
          <w:rFonts w:eastAsia="Candida-Roman" w:cstheme="minorHAnsi"/>
          <w:color w:val="1B1C20"/>
        </w:rPr>
        <w:t xml:space="preserve"> L. </w:t>
      </w:r>
      <w:proofErr w:type="spellStart"/>
      <w:r w:rsidRPr="00AB7C05">
        <w:rPr>
          <w:rFonts w:eastAsia="Candida-Roman" w:cstheme="minorHAnsi"/>
          <w:color w:val="1B1C20"/>
        </w:rPr>
        <w:t>Asplin</w:t>
      </w:r>
      <w:proofErr w:type="spellEnd"/>
      <w:r w:rsidR="00AB7C05">
        <w:rPr>
          <w:rFonts w:eastAsia="Candida-Roman" w:cstheme="minorHAnsi"/>
          <w:color w:val="1B1C20"/>
        </w:rPr>
        <w:t xml:space="preserve">. </w:t>
      </w:r>
      <w:r w:rsidRPr="00AB7C05">
        <w:rPr>
          <w:rFonts w:eastAsia="Candida-Roman" w:cstheme="minorHAnsi"/>
          <w:color w:val="1B1C20"/>
        </w:rPr>
        <w:t>2016</w:t>
      </w:r>
      <w:r w:rsidR="00AB7C05">
        <w:rPr>
          <w:rFonts w:eastAsia="Candida-Roman" w:cstheme="minorHAnsi"/>
          <w:color w:val="1B1C20"/>
        </w:rPr>
        <w:t>.</w:t>
      </w:r>
      <w:r w:rsidRPr="00AB7C05">
        <w:rPr>
          <w:rFonts w:eastAsia="Candida-Roman" w:cstheme="minorHAnsi"/>
          <w:color w:val="1B1C20"/>
        </w:rPr>
        <w:t xml:space="preserve"> Near- and far-field dispersal modelling of organic</w:t>
      </w:r>
      <w:r w:rsidR="00AB7C05">
        <w:rPr>
          <w:rFonts w:eastAsia="Candida-Roman" w:cstheme="minorHAnsi"/>
          <w:color w:val="1B1C20"/>
        </w:rPr>
        <w:t xml:space="preserve"> </w:t>
      </w:r>
      <w:r w:rsidRPr="00AB7C05">
        <w:rPr>
          <w:rFonts w:eastAsia="Candida-Roman" w:cstheme="minorHAnsi"/>
          <w:color w:val="1B1C20"/>
        </w:rPr>
        <w:t>waste from Atlantic salmon aquaculture in fjord systems.</w:t>
      </w:r>
      <w:r w:rsidR="00AB7C05">
        <w:rPr>
          <w:rFonts w:eastAsia="Candida-Roman" w:cstheme="minorHAnsi"/>
          <w:color w:val="1B1C20"/>
        </w:rPr>
        <w:t xml:space="preserve"> </w:t>
      </w:r>
      <w:r w:rsidR="00AB7C05">
        <w:rPr>
          <w:rFonts w:eastAsia="Candida-Roman" w:cstheme="minorHAnsi"/>
          <w:i/>
          <w:color w:val="1B1C20"/>
        </w:rPr>
        <w:t xml:space="preserve">ICES Journal of </w:t>
      </w:r>
      <w:r w:rsidRPr="00AB7C05">
        <w:rPr>
          <w:rFonts w:eastAsia="Candida-Roman" w:cstheme="minorHAnsi"/>
          <w:i/>
          <w:color w:val="1B1C20"/>
        </w:rPr>
        <w:t>Mar</w:t>
      </w:r>
      <w:r w:rsidR="00AB7C05">
        <w:rPr>
          <w:rFonts w:eastAsia="Candida-Roman" w:cstheme="minorHAnsi"/>
          <w:i/>
          <w:color w:val="1B1C20"/>
        </w:rPr>
        <w:t>ine</w:t>
      </w:r>
      <w:r w:rsidRPr="00AB7C05">
        <w:rPr>
          <w:rFonts w:eastAsia="Candida-Roman" w:cstheme="minorHAnsi"/>
          <w:i/>
          <w:color w:val="1B1C20"/>
        </w:rPr>
        <w:t xml:space="preserve"> Sci</w:t>
      </w:r>
      <w:r w:rsidR="00AB7C05">
        <w:rPr>
          <w:rFonts w:eastAsia="Candida-Roman" w:cstheme="minorHAnsi"/>
          <w:i/>
          <w:color w:val="1B1C20"/>
        </w:rPr>
        <w:t>ence</w:t>
      </w:r>
      <w:r w:rsidR="004A5798">
        <w:rPr>
          <w:rFonts w:eastAsia="Candida-Roman" w:cstheme="minorHAnsi"/>
          <w:i/>
          <w:color w:val="1B1C20"/>
        </w:rPr>
        <w:t>s</w:t>
      </w:r>
      <w:r w:rsidRPr="00AB7C05">
        <w:rPr>
          <w:rFonts w:eastAsia="Candida-Roman" w:cstheme="minorHAnsi"/>
          <w:color w:val="1B1C20"/>
        </w:rPr>
        <w:t xml:space="preserve"> 73: 2408−2419</w:t>
      </w:r>
      <w:r w:rsidR="00AB7C05">
        <w:rPr>
          <w:rFonts w:eastAsia="Candida-Roman" w:cstheme="minorHAnsi"/>
          <w:color w:val="1B1C20"/>
        </w:rPr>
        <w:t>.</w:t>
      </w:r>
    </w:p>
    <w:p w:rsidR="006448CC" w:rsidRDefault="006448CC" w:rsidP="006448CC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  <w:color w:val="1B1C20"/>
        </w:rPr>
      </w:pPr>
    </w:p>
    <w:p w:rsidR="006448CC" w:rsidRPr="00AB7C05" w:rsidRDefault="006448CC" w:rsidP="006448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C05">
        <w:rPr>
          <w:rFonts w:cstheme="minorHAnsi"/>
        </w:rPr>
        <w:t xml:space="preserve">Berthelsen, A., </w:t>
      </w:r>
      <w:proofErr w:type="spellStart"/>
      <w:r w:rsidRPr="00AB7C05">
        <w:rPr>
          <w:rFonts w:cstheme="minorHAnsi"/>
        </w:rPr>
        <w:t>Atalah</w:t>
      </w:r>
      <w:proofErr w:type="spellEnd"/>
      <w:r w:rsidRPr="00AB7C05">
        <w:rPr>
          <w:rFonts w:cstheme="minorHAnsi"/>
        </w:rPr>
        <w:t>, J., Clark, D., Goodwin, E., Patterson, M.,</w:t>
      </w:r>
      <w:r>
        <w:rPr>
          <w:rFonts w:cstheme="minorHAnsi"/>
        </w:rPr>
        <w:t xml:space="preserve"> and J. </w:t>
      </w:r>
      <w:r w:rsidRPr="00AB7C05">
        <w:rPr>
          <w:rFonts w:cstheme="minorHAnsi"/>
        </w:rPr>
        <w:t>Sinner. 2018. Relationships between</w:t>
      </w:r>
      <w:r>
        <w:rPr>
          <w:rFonts w:cstheme="minorHAnsi"/>
        </w:rPr>
        <w:t xml:space="preserve"> </w:t>
      </w:r>
      <w:r w:rsidRPr="00AB7C05">
        <w:rPr>
          <w:rFonts w:cstheme="minorHAnsi"/>
        </w:rPr>
        <w:t>biotic indices, multiple stressor gradients and natural variability in New Zealand estuaries.</w:t>
      </w:r>
    </w:p>
    <w:p w:rsidR="006448CC" w:rsidRPr="00AB7C05" w:rsidRDefault="006448CC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  <w:i/>
          <w:iCs/>
        </w:rPr>
        <w:t xml:space="preserve">Ecological Indicators </w:t>
      </w:r>
      <w:r w:rsidRPr="004A5798">
        <w:rPr>
          <w:rFonts w:cstheme="minorHAnsi"/>
          <w:iCs/>
        </w:rPr>
        <w:t>85</w:t>
      </w:r>
      <w:r w:rsidR="004A5798">
        <w:rPr>
          <w:rFonts w:cstheme="minorHAnsi"/>
          <w:iCs/>
        </w:rPr>
        <w:t>:</w:t>
      </w:r>
      <w:r w:rsidRPr="004A5798">
        <w:rPr>
          <w:rFonts w:cstheme="minorHAnsi"/>
        </w:rPr>
        <w:t xml:space="preserve"> 6</w:t>
      </w:r>
      <w:r w:rsidRPr="00AB7C05">
        <w:rPr>
          <w:rFonts w:cstheme="minorHAnsi"/>
        </w:rPr>
        <w:t>34-643.</w:t>
      </w:r>
    </w:p>
    <w:p w:rsidR="00C233B3" w:rsidRPr="00AB7C05" w:rsidRDefault="00C233B3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 xml:space="preserve">Borja, Á., Rodríguez, J.G., Black, K., </w:t>
      </w:r>
      <w:proofErr w:type="spellStart"/>
      <w:r w:rsidRPr="00AB7C05">
        <w:rPr>
          <w:rFonts w:cstheme="minorHAnsi"/>
        </w:rPr>
        <w:t>Bodoy</w:t>
      </w:r>
      <w:proofErr w:type="spellEnd"/>
      <w:r w:rsidRPr="00AB7C05">
        <w:rPr>
          <w:rFonts w:cstheme="minorHAnsi"/>
        </w:rPr>
        <w:t>, A.</w:t>
      </w:r>
      <w:proofErr w:type="gramStart"/>
      <w:r w:rsidRPr="00AB7C05">
        <w:rPr>
          <w:rFonts w:cstheme="minorHAnsi"/>
        </w:rPr>
        <w:t xml:space="preserve">, </w:t>
      </w:r>
      <w:r w:rsidR="002F1755">
        <w:rPr>
          <w:rFonts w:cstheme="minorHAnsi"/>
        </w:rPr>
        <w:t xml:space="preserve"> and</w:t>
      </w:r>
      <w:proofErr w:type="gramEnd"/>
      <w:r w:rsidR="002F1755">
        <w:rPr>
          <w:rFonts w:cstheme="minorHAnsi"/>
        </w:rPr>
        <w:t xml:space="preserve"> others </w:t>
      </w:r>
      <w:r w:rsidR="00AB7C05">
        <w:rPr>
          <w:rFonts w:cstheme="minorHAnsi"/>
        </w:rPr>
        <w:t>.</w:t>
      </w:r>
      <w:r w:rsidR="002F1755">
        <w:rPr>
          <w:rFonts w:cstheme="minorHAnsi"/>
        </w:rPr>
        <w:t xml:space="preserve"> </w:t>
      </w:r>
      <w:r w:rsidRPr="00AB7C05">
        <w:rPr>
          <w:rFonts w:cstheme="minorHAnsi"/>
        </w:rPr>
        <w:t xml:space="preserve">2009. Assessing the suitability of a range of benthic indices in the evaluation of environmental impact of ﬁn and shellﬁsh aquaculture located in sites across Europe. </w:t>
      </w:r>
      <w:r w:rsidRPr="00AB7C05">
        <w:rPr>
          <w:rFonts w:cstheme="minorHAnsi"/>
          <w:i/>
        </w:rPr>
        <w:t>Aquaculture</w:t>
      </w:r>
      <w:r w:rsidRPr="00AB7C05">
        <w:rPr>
          <w:rFonts w:cstheme="minorHAnsi"/>
        </w:rPr>
        <w:t xml:space="preserve"> 293</w:t>
      </w:r>
      <w:r w:rsidR="00AB7C05">
        <w:rPr>
          <w:rFonts w:cstheme="minorHAnsi"/>
        </w:rPr>
        <w:t>:</w:t>
      </w:r>
      <w:r w:rsidRPr="00AB7C05">
        <w:rPr>
          <w:rFonts w:cstheme="minorHAnsi"/>
        </w:rPr>
        <w:t xml:space="preserve"> 231–240.</w:t>
      </w:r>
    </w:p>
    <w:p w:rsidR="00405913" w:rsidRDefault="00EE234B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 xml:space="preserve">Borja, </w:t>
      </w:r>
      <w:r w:rsidR="001A488E">
        <w:rPr>
          <w:rFonts w:cstheme="minorHAnsi"/>
        </w:rPr>
        <w:t>Á</w:t>
      </w:r>
      <w:r w:rsidRPr="00AB7C05">
        <w:rPr>
          <w:rFonts w:cstheme="minorHAnsi"/>
        </w:rPr>
        <w:t xml:space="preserve">., Marin, S.L., </w:t>
      </w:r>
      <w:proofErr w:type="spellStart"/>
      <w:r w:rsidRPr="00AB7C05">
        <w:rPr>
          <w:rFonts w:cstheme="minorHAnsi"/>
        </w:rPr>
        <w:t>Muxika</w:t>
      </w:r>
      <w:proofErr w:type="spellEnd"/>
      <w:r w:rsidRPr="00AB7C05">
        <w:rPr>
          <w:rFonts w:cstheme="minorHAnsi"/>
        </w:rPr>
        <w:t xml:space="preserve">, I., Pino, L., </w:t>
      </w:r>
      <w:r w:rsidR="00AB7C05">
        <w:rPr>
          <w:rFonts w:cstheme="minorHAnsi"/>
        </w:rPr>
        <w:t xml:space="preserve">and J.G. </w:t>
      </w:r>
      <w:r w:rsidRPr="00AB7C05">
        <w:rPr>
          <w:rFonts w:cstheme="minorHAnsi"/>
        </w:rPr>
        <w:t>Rodr</w:t>
      </w:r>
      <w:r w:rsidR="001A488E">
        <w:rPr>
          <w:rFonts w:cstheme="minorHAnsi"/>
        </w:rPr>
        <w:t>í</w:t>
      </w:r>
      <w:r w:rsidRPr="00AB7C05">
        <w:rPr>
          <w:rFonts w:cstheme="minorHAnsi"/>
        </w:rPr>
        <w:t>guez</w:t>
      </w:r>
      <w:r w:rsidR="00AB7C05">
        <w:rPr>
          <w:rFonts w:cstheme="minorHAnsi"/>
        </w:rPr>
        <w:t>.</w:t>
      </w:r>
      <w:r w:rsidRPr="00AB7C05">
        <w:rPr>
          <w:rFonts w:cstheme="minorHAnsi"/>
        </w:rPr>
        <w:t xml:space="preserve"> 2015. Is there a possibility of ranking benthic quality assessment indices to select the most responsive</w:t>
      </w:r>
      <w:r w:rsidR="00AB7C05">
        <w:rPr>
          <w:rFonts w:cstheme="minorHAnsi"/>
        </w:rPr>
        <w:t xml:space="preserve"> </w:t>
      </w:r>
      <w:r w:rsidRPr="00AB7C05">
        <w:rPr>
          <w:rFonts w:cstheme="minorHAnsi"/>
        </w:rPr>
        <w:t xml:space="preserve">to different human pressures? </w:t>
      </w:r>
      <w:proofErr w:type="gramStart"/>
      <w:r w:rsidRPr="00AB7C05">
        <w:rPr>
          <w:rFonts w:cstheme="minorHAnsi"/>
          <w:i/>
        </w:rPr>
        <w:t>Mar</w:t>
      </w:r>
      <w:r w:rsidR="00AB7C05" w:rsidRPr="00AB7C05">
        <w:rPr>
          <w:rFonts w:cstheme="minorHAnsi"/>
          <w:i/>
        </w:rPr>
        <w:t xml:space="preserve">ine </w:t>
      </w:r>
      <w:r w:rsidRPr="00AB7C05">
        <w:rPr>
          <w:rFonts w:cstheme="minorHAnsi"/>
          <w:i/>
        </w:rPr>
        <w:t xml:space="preserve"> Pollut</w:t>
      </w:r>
      <w:r w:rsidR="00AB7C05" w:rsidRPr="00AB7C05">
        <w:rPr>
          <w:rFonts w:cstheme="minorHAnsi"/>
          <w:i/>
        </w:rPr>
        <w:t>ion</w:t>
      </w:r>
      <w:proofErr w:type="gramEnd"/>
      <w:r w:rsidRPr="00AB7C05">
        <w:rPr>
          <w:rFonts w:cstheme="minorHAnsi"/>
          <w:i/>
        </w:rPr>
        <w:t xml:space="preserve"> Bull</w:t>
      </w:r>
      <w:r w:rsidR="00AB7C05" w:rsidRPr="00AB7C05">
        <w:rPr>
          <w:rFonts w:cstheme="minorHAnsi"/>
          <w:i/>
        </w:rPr>
        <w:t>etin</w:t>
      </w:r>
      <w:r w:rsidRPr="00AB7C05">
        <w:rPr>
          <w:rFonts w:cstheme="minorHAnsi"/>
        </w:rPr>
        <w:t xml:space="preserve"> 97</w:t>
      </w:r>
      <w:r w:rsidR="00AB7C05">
        <w:rPr>
          <w:rFonts w:cstheme="minorHAnsi"/>
        </w:rPr>
        <w:t xml:space="preserve">: </w:t>
      </w:r>
      <w:r w:rsidRPr="00AB7C05">
        <w:rPr>
          <w:rFonts w:cstheme="minorHAnsi"/>
        </w:rPr>
        <w:t>85–94</w:t>
      </w:r>
      <w:r w:rsidR="00405913">
        <w:rPr>
          <w:rFonts w:cstheme="minorHAnsi"/>
        </w:rPr>
        <w:t>.</w:t>
      </w:r>
    </w:p>
    <w:p w:rsidR="00405913" w:rsidRDefault="00405913" w:rsidP="006448CC">
      <w:pPr>
        <w:spacing w:line="240" w:lineRule="auto"/>
        <w:rPr>
          <w:rFonts w:cstheme="minorHAnsi"/>
        </w:rPr>
      </w:pPr>
      <w:proofErr w:type="spellStart"/>
      <w:r w:rsidRPr="00405913">
        <w:rPr>
          <w:rFonts w:cstheme="minorHAnsi"/>
        </w:rPr>
        <w:t>Brattland</w:t>
      </w:r>
      <w:proofErr w:type="spellEnd"/>
      <w:r>
        <w:rPr>
          <w:rFonts w:cstheme="minorHAnsi"/>
        </w:rPr>
        <w:t xml:space="preserve">, C. </w:t>
      </w:r>
      <w:r w:rsidRPr="00405913">
        <w:rPr>
          <w:rFonts w:cstheme="minorHAnsi"/>
        </w:rPr>
        <w:t>2013</w:t>
      </w:r>
      <w:r>
        <w:rPr>
          <w:rFonts w:cstheme="minorHAnsi"/>
        </w:rPr>
        <w:t>.</w:t>
      </w:r>
      <w:r w:rsidRPr="00405913">
        <w:rPr>
          <w:rFonts w:cstheme="minorHAnsi"/>
        </w:rPr>
        <w:t xml:space="preserve"> Proving </w:t>
      </w:r>
      <w:r w:rsidR="00A132F6">
        <w:rPr>
          <w:rFonts w:cstheme="minorHAnsi"/>
        </w:rPr>
        <w:t>f</w:t>
      </w:r>
      <w:r w:rsidRPr="00405913">
        <w:rPr>
          <w:rFonts w:cstheme="minorHAnsi"/>
        </w:rPr>
        <w:t xml:space="preserve">ishers </w:t>
      </w:r>
      <w:r w:rsidR="00A132F6">
        <w:rPr>
          <w:rFonts w:cstheme="minorHAnsi"/>
        </w:rPr>
        <w:t>r</w:t>
      </w:r>
      <w:r w:rsidRPr="00405913">
        <w:rPr>
          <w:rFonts w:cstheme="minorHAnsi"/>
        </w:rPr>
        <w:t>ight</w:t>
      </w:r>
      <w:r w:rsidR="00A132F6">
        <w:rPr>
          <w:rFonts w:cstheme="minorHAnsi"/>
        </w:rPr>
        <w:t>: e</w:t>
      </w:r>
      <w:r w:rsidRPr="00405913">
        <w:rPr>
          <w:rFonts w:cstheme="minorHAnsi"/>
        </w:rPr>
        <w:t xml:space="preserve">ffects of the </w:t>
      </w:r>
      <w:r w:rsidR="00A132F6">
        <w:rPr>
          <w:rFonts w:cstheme="minorHAnsi"/>
        </w:rPr>
        <w:t>i</w:t>
      </w:r>
      <w:r w:rsidRPr="00405913">
        <w:rPr>
          <w:rFonts w:cstheme="minorHAnsi"/>
        </w:rPr>
        <w:t xml:space="preserve">ntegration of </w:t>
      </w:r>
      <w:r w:rsidR="00A132F6">
        <w:rPr>
          <w:rFonts w:cstheme="minorHAnsi"/>
        </w:rPr>
        <w:t>e</w:t>
      </w:r>
      <w:r w:rsidRPr="00405913">
        <w:rPr>
          <w:rFonts w:cstheme="minorHAnsi"/>
        </w:rPr>
        <w:t>xperience-</w:t>
      </w:r>
      <w:r w:rsidR="00A132F6">
        <w:rPr>
          <w:rFonts w:cstheme="minorHAnsi"/>
        </w:rPr>
        <w:t>b</w:t>
      </w:r>
      <w:r w:rsidRPr="00405913">
        <w:rPr>
          <w:rFonts w:cstheme="minorHAnsi"/>
        </w:rPr>
        <w:t xml:space="preserve">ased </w:t>
      </w:r>
      <w:r w:rsidR="00A132F6">
        <w:rPr>
          <w:rFonts w:cstheme="minorHAnsi"/>
        </w:rPr>
        <w:t>k</w:t>
      </w:r>
      <w:r w:rsidRPr="00405913">
        <w:rPr>
          <w:rFonts w:cstheme="minorHAnsi"/>
        </w:rPr>
        <w:t xml:space="preserve">nowledge in </w:t>
      </w:r>
      <w:r w:rsidR="00A132F6">
        <w:rPr>
          <w:rFonts w:cstheme="minorHAnsi"/>
        </w:rPr>
        <w:t>e</w:t>
      </w:r>
      <w:r w:rsidRPr="00405913">
        <w:rPr>
          <w:rFonts w:cstheme="minorHAnsi"/>
        </w:rPr>
        <w:t>cosystem-</w:t>
      </w:r>
      <w:r w:rsidR="00A132F6">
        <w:rPr>
          <w:rFonts w:cstheme="minorHAnsi"/>
        </w:rPr>
        <w:t>b</w:t>
      </w:r>
      <w:r w:rsidRPr="00405913">
        <w:rPr>
          <w:rFonts w:cstheme="minorHAnsi"/>
        </w:rPr>
        <w:t xml:space="preserve">ased </w:t>
      </w:r>
      <w:r w:rsidR="00A132F6">
        <w:rPr>
          <w:rFonts w:cstheme="minorHAnsi"/>
        </w:rPr>
        <w:t>m</w:t>
      </w:r>
      <w:r w:rsidRPr="00405913">
        <w:rPr>
          <w:rFonts w:cstheme="minorHAnsi"/>
        </w:rPr>
        <w:t>anagement</w:t>
      </w:r>
      <w:r>
        <w:rPr>
          <w:rFonts w:cstheme="minorHAnsi"/>
        </w:rPr>
        <w:t>.</w:t>
      </w:r>
      <w:r w:rsidRPr="00405913">
        <w:rPr>
          <w:rFonts w:cstheme="minorHAnsi"/>
        </w:rPr>
        <w:t xml:space="preserve"> </w:t>
      </w:r>
      <w:r w:rsidRPr="00405913">
        <w:rPr>
          <w:rFonts w:cstheme="minorHAnsi"/>
          <w:i/>
        </w:rPr>
        <w:t>Acta Boreali</w:t>
      </w:r>
      <w:r>
        <w:rPr>
          <w:rFonts w:cstheme="minorHAnsi"/>
          <w:i/>
        </w:rPr>
        <w:t>s</w:t>
      </w:r>
      <w:r w:rsidRPr="00405913">
        <w:rPr>
          <w:rFonts w:cstheme="minorHAnsi"/>
        </w:rPr>
        <w:t xml:space="preserve"> 30: 39-59</w:t>
      </w:r>
      <w:r>
        <w:rPr>
          <w:rFonts w:cstheme="minorHAnsi"/>
        </w:rPr>
        <w:t>.</w:t>
      </w:r>
    </w:p>
    <w:p w:rsidR="00AB7C05" w:rsidRPr="00AB7C05" w:rsidRDefault="00AB7C05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>Burridge</w:t>
      </w:r>
      <w:r>
        <w:rPr>
          <w:rFonts w:cstheme="minorHAnsi"/>
        </w:rPr>
        <w:t>,</w:t>
      </w:r>
      <w:r w:rsidRPr="00AB7C05">
        <w:rPr>
          <w:rFonts w:cstheme="minorHAnsi"/>
        </w:rPr>
        <w:t xml:space="preserve"> L</w:t>
      </w:r>
      <w:r>
        <w:rPr>
          <w:rFonts w:cstheme="minorHAnsi"/>
        </w:rPr>
        <w:t>.</w:t>
      </w:r>
      <w:r w:rsidRPr="00AB7C05">
        <w:rPr>
          <w:rFonts w:cstheme="minorHAnsi"/>
        </w:rPr>
        <w:t>, Weis</w:t>
      </w:r>
      <w:r>
        <w:rPr>
          <w:rFonts w:cstheme="minorHAnsi"/>
        </w:rPr>
        <w:t>,</w:t>
      </w:r>
      <w:r w:rsidRPr="00AB7C05">
        <w:rPr>
          <w:rFonts w:cstheme="minorHAnsi"/>
        </w:rPr>
        <w:t xml:space="preserve"> J</w:t>
      </w:r>
      <w:r>
        <w:rPr>
          <w:rFonts w:cstheme="minorHAnsi"/>
        </w:rPr>
        <w:t>.</w:t>
      </w:r>
      <w:r w:rsidRPr="00AB7C05">
        <w:rPr>
          <w:rFonts w:cstheme="minorHAnsi"/>
        </w:rPr>
        <w:t>S</w:t>
      </w:r>
      <w:r>
        <w:rPr>
          <w:rFonts w:cstheme="minorHAnsi"/>
        </w:rPr>
        <w:t>.</w:t>
      </w:r>
      <w:r w:rsidRPr="00AB7C05">
        <w:rPr>
          <w:rFonts w:cstheme="minorHAnsi"/>
        </w:rPr>
        <w:t>, Cabello</w:t>
      </w:r>
      <w:r>
        <w:rPr>
          <w:rFonts w:cstheme="minorHAnsi"/>
        </w:rPr>
        <w:t>,</w:t>
      </w:r>
      <w:r w:rsidRPr="00AB7C05">
        <w:rPr>
          <w:rFonts w:cstheme="minorHAnsi"/>
        </w:rPr>
        <w:t xml:space="preserve"> F</w:t>
      </w:r>
      <w:r>
        <w:rPr>
          <w:rFonts w:cstheme="minorHAnsi"/>
        </w:rPr>
        <w:t>.</w:t>
      </w:r>
      <w:r w:rsidRPr="00AB7C05">
        <w:rPr>
          <w:rFonts w:cstheme="minorHAnsi"/>
        </w:rPr>
        <w:t>, Pizarro</w:t>
      </w:r>
      <w:r>
        <w:rPr>
          <w:rFonts w:cstheme="minorHAnsi"/>
        </w:rPr>
        <w:t>,</w:t>
      </w:r>
      <w:r w:rsidRPr="00AB7C05">
        <w:rPr>
          <w:rFonts w:cstheme="minorHAnsi"/>
        </w:rPr>
        <w:t xml:space="preserve"> J</w:t>
      </w:r>
      <w:r>
        <w:rPr>
          <w:rFonts w:cstheme="minorHAnsi"/>
        </w:rPr>
        <w:t>.</w:t>
      </w:r>
      <w:r w:rsidRPr="00AB7C05">
        <w:rPr>
          <w:rFonts w:cstheme="minorHAnsi"/>
        </w:rPr>
        <w:t>,</w:t>
      </w:r>
      <w:r>
        <w:rPr>
          <w:rFonts w:cstheme="minorHAnsi"/>
        </w:rPr>
        <w:t xml:space="preserve"> and K.</w:t>
      </w:r>
      <w:r w:rsidRPr="00AB7C05">
        <w:rPr>
          <w:rFonts w:cstheme="minorHAnsi"/>
        </w:rPr>
        <w:t xml:space="preserve"> Bostick</w:t>
      </w:r>
      <w:r>
        <w:rPr>
          <w:rFonts w:cstheme="minorHAnsi"/>
        </w:rPr>
        <w:t xml:space="preserve">. </w:t>
      </w:r>
      <w:r w:rsidRPr="00AB7C05">
        <w:rPr>
          <w:rFonts w:cstheme="minorHAnsi"/>
        </w:rPr>
        <w:t>2010</w:t>
      </w:r>
      <w:r>
        <w:rPr>
          <w:rFonts w:cstheme="minorHAnsi"/>
        </w:rPr>
        <w:t>.</w:t>
      </w:r>
      <w:r w:rsidR="004A5798">
        <w:rPr>
          <w:rFonts w:cstheme="minorHAnsi"/>
        </w:rPr>
        <w:t xml:space="preserve"> </w:t>
      </w:r>
      <w:r w:rsidRPr="00AB7C05">
        <w:rPr>
          <w:rFonts w:cstheme="minorHAnsi"/>
        </w:rPr>
        <w:t xml:space="preserve">Chemical use in salmon aquaculture: a review of current practices and possible environmental effects. </w:t>
      </w:r>
      <w:r w:rsidRPr="00AB7C05">
        <w:rPr>
          <w:rFonts w:cstheme="minorHAnsi"/>
          <w:i/>
        </w:rPr>
        <w:t>Aquaculture</w:t>
      </w:r>
      <w:r w:rsidRPr="00AB7C05">
        <w:rPr>
          <w:rFonts w:cstheme="minorHAnsi"/>
        </w:rPr>
        <w:t xml:space="preserve"> 306:7–23</w:t>
      </w:r>
      <w:r>
        <w:rPr>
          <w:rFonts w:cstheme="minorHAnsi"/>
        </w:rPr>
        <w:t>.</w:t>
      </w:r>
    </w:p>
    <w:p w:rsidR="009F2B51" w:rsidRPr="00AB7C05" w:rsidRDefault="009F2B51" w:rsidP="006448CC">
      <w:pPr>
        <w:pStyle w:val="Body"/>
        <w:rPr>
          <w:rFonts w:asciiTheme="minorHAnsi" w:hAnsiTheme="minorHAnsi" w:cstheme="minorHAnsi"/>
          <w:sz w:val="22"/>
          <w:szCs w:val="22"/>
        </w:rPr>
      </w:pPr>
      <w:r w:rsidRPr="00AB7C05">
        <w:rPr>
          <w:rStyle w:val="NoneA"/>
          <w:rFonts w:asciiTheme="minorHAnsi" w:hAnsiTheme="minorHAnsi" w:cstheme="minorHAnsi"/>
          <w:color w:val="1B1C20"/>
          <w:sz w:val="22"/>
          <w:szCs w:val="22"/>
          <w:u w:color="1B1C20"/>
        </w:rPr>
        <w:lastRenderedPageBreak/>
        <w:t xml:space="preserve">CCME (Canadian Council of Ministers of the Environment). 1999. </w:t>
      </w:r>
      <w:r w:rsidRPr="00AB7C05">
        <w:rPr>
          <w:rFonts w:asciiTheme="minorHAnsi" w:hAnsiTheme="minorHAnsi" w:cstheme="minorHAnsi"/>
          <w:sz w:val="22"/>
          <w:szCs w:val="22"/>
        </w:rPr>
        <w:t>Canadian environmental quality</w:t>
      </w:r>
    </w:p>
    <w:p w:rsidR="004A5798" w:rsidRDefault="009F2B51" w:rsidP="004A5798">
      <w:pPr>
        <w:pStyle w:val="Body"/>
        <w:rPr>
          <w:rFonts w:asciiTheme="minorHAnsi" w:hAnsiTheme="minorHAnsi" w:cstheme="minorHAnsi"/>
          <w:sz w:val="22"/>
          <w:szCs w:val="22"/>
        </w:rPr>
      </w:pPr>
      <w:r w:rsidRPr="00AB7C05">
        <w:rPr>
          <w:rFonts w:asciiTheme="minorHAnsi" w:hAnsiTheme="minorHAnsi" w:cstheme="minorHAnsi"/>
          <w:sz w:val="22"/>
          <w:szCs w:val="22"/>
        </w:rPr>
        <w:t>guidelines. Winnipeg</w:t>
      </w:r>
      <w:r w:rsidR="00A132F6">
        <w:rPr>
          <w:rFonts w:asciiTheme="minorHAnsi" w:hAnsiTheme="minorHAnsi" w:cstheme="minorHAnsi"/>
          <w:sz w:val="22"/>
          <w:szCs w:val="22"/>
        </w:rPr>
        <w:t>, Canada</w:t>
      </w:r>
      <w:r w:rsidRPr="00AB7C05">
        <w:rPr>
          <w:rFonts w:asciiTheme="minorHAnsi" w:hAnsiTheme="minorHAnsi" w:cstheme="minorHAnsi"/>
          <w:sz w:val="22"/>
          <w:szCs w:val="22"/>
        </w:rPr>
        <w:t>.</w:t>
      </w:r>
    </w:p>
    <w:p w:rsidR="00F75403" w:rsidRDefault="00F75403" w:rsidP="004A5798">
      <w:pPr>
        <w:pStyle w:val="Body"/>
        <w:rPr>
          <w:rFonts w:asciiTheme="minorHAnsi" w:hAnsiTheme="minorHAnsi" w:cstheme="minorHAnsi"/>
          <w:sz w:val="22"/>
          <w:szCs w:val="22"/>
        </w:rPr>
      </w:pPr>
    </w:p>
    <w:p w:rsidR="00F75403" w:rsidRPr="00F75403" w:rsidRDefault="00F75403" w:rsidP="00F754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75403">
        <w:rPr>
          <w:rFonts w:asciiTheme="minorHAnsi" w:hAnsiTheme="minorHAnsi" w:cstheme="minorHAnsi"/>
          <w:sz w:val="22"/>
          <w:szCs w:val="22"/>
        </w:rPr>
        <w:t>Cobb, J.S.</w:t>
      </w:r>
      <w:r w:rsidR="00A132F6">
        <w:rPr>
          <w:rFonts w:asciiTheme="minorHAnsi" w:hAnsiTheme="minorHAnsi" w:cstheme="minorHAnsi"/>
          <w:sz w:val="22"/>
          <w:szCs w:val="22"/>
        </w:rPr>
        <w:t xml:space="preserve"> and </w:t>
      </w:r>
      <w:r w:rsidRPr="00F75403">
        <w:rPr>
          <w:rFonts w:asciiTheme="minorHAnsi" w:hAnsiTheme="minorHAnsi" w:cstheme="minorHAnsi"/>
          <w:sz w:val="22"/>
          <w:szCs w:val="22"/>
        </w:rPr>
        <w:t xml:space="preserve">R. A. </w:t>
      </w:r>
      <w:proofErr w:type="spellStart"/>
      <w:r w:rsidRPr="00F75403">
        <w:rPr>
          <w:rFonts w:asciiTheme="minorHAnsi" w:hAnsiTheme="minorHAnsi" w:cstheme="minorHAnsi"/>
          <w:sz w:val="22"/>
          <w:szCs w:val="22"/>
        </w:rPr>
        <w:t>Wahle</w:t>
      </w:r>
      <w:proofErr w:type="spellEnd"/>
      <w:r w:rsidRPr="00F75403">
        <w:rPr>
          <w:rFonts w:asciiTheme="minorHAnsi" w:hAnsiTheme="minorHAnsi" w:cstheme="minorHAnsi"/>
          <w:sz w:val="22"/>
          <w:szCs w:val="22"/>
        </w:rPr>
        <w:t>. 1994.</w:t>
      </w:r>
      <w:r w:rsidR="00A132F6">
        <w:rPr>
          <w:rFonts w:asciiTheme="minorHAnsi" w:hAnsiTheme="minorHAnsi" w:cstheme="minorHAnsi"/>
          <w:sz w:val="22"/>
          <w:szCs w:val="22"/>
        </w:rPr>
        <w:t xml:space="preserve"> </w:t>
      </w:r>
      <w:r w:rsidRPr="00F75403">
        <w:rPr>
          <w:rFonts w:asciiTheme="minorHAnsi" w:hAnsiTheme="minorHAnsi" w:cstheme="minorHAnsi"/>
          <w:sz w:val="22"/>
          <w:szCs w:val="22"/>
        </w:rPr>
        <w:t xml:space="preserve">Early </w:t>
      </w:r>
      <w:r w:rsidR="00A132F6">
        <w:rPr>
          <w:rFonts w:asciiTheme="minorHAnsi" w:hAnsiTheme="minorHAnsi" w:cstheme="minorHAnsi"/>
          <w:sz w:val="22"/>
          <w:szCs w:val="22"/>
        </w:rPr>
        <w:t>l</w:t>
      </w:r>
      <w:r w:rsidRPr="00F75403">
        <w:rPr>
          <w:rFonts w:asciiTheme="minorHAnsi" w:hAnsiTheme="minorHAnsi" w:cstheme="minorHAnsi"/>
          <w:sz w:val="22"/>
          <w:szCs w:val="22"/>
        </w:rPr>
        <w:t xml:space="preserve">ife </w:t>
      </w:r>
      <w:r w:rsidR="00A132F6">
        <w:rPr>
          <w:rFonts w:asciiTheme="minorHAnsi" w:hAnsiTheme="minorHAnsi" w:cstheme="minorHAnsi"/>
          <w:sz w:val="22"/>
          <w:szCs w:val="22"/>
        </w:rPr>
        <w:t>h</w:t>
      </w:r>
      <w:r w:rsidRPr="00F75403">
        <w:rPr>
          <w:rFonts w:asciiTheme="minorHAnsi" w:hAnsiTheme="minorHAnsi" w:cstheme="minorHAnsi"/>
          <w:sz w:val="22"/>
          <w:szCs w:val="22"/>
        </w:rPr>
        <w:t xml:space="preserve">istory and </w:t>
      </w:r>
      <w:r w:rsidR="00A132F6">
        <w:rPr>
          <w:rFonts w:asciiTheme="minorHAnsi" w:hAnsiTheme="minorHAnsi" w:cstheme="minorHAnsi"/>
          <w:sz w:val="22"/>
          <w:szCs w:val="22"/>
        </w:rPr>
        <w:t>r</w:t>
      </w:r>
      <w:r w:rsidRPr="00F75403">
        <w:rPr>
          <w:rFonts w:asciiTheme="minorHAnsi" w:hAnsiTheme="minorHAnsi" w:cstheme="minorHAnsi"/>
          <w:sz w:val="22"/>
          <w:szCs w:val="22"/>
        </w:rPr>
        <w:t xml:space="preserve">ecruitment </w:t>
      </w:r>
      <w:r w:rsidR="00A132F6">
        <w:rPr>
          <w:rFonts w:asciiTheme="minorHAnsi" w:hAnsiTheme="minorHAnsi" w:cstheme="minorHAnsi"/>
          <w:sz w:val="22"/>
          <w:szCs w:val="22"/>
        </w:rPr>
        <w:t>p</w:t>
      </w:r>
      <w:r w:rsidRPr="00F75403">
        <w:rPr>
          <w:rFonts w:asciiTheme="minorHAnsi" w:hAnsiTheme="minorHAnsi" w:cstheme="minorHAnsi"/>
          <w:sz w:val="22"/>
          <w:szCs w:val="22"/>
        </w:rPr>
        <w:t xml:space="preserve">rocesses of </w:t>
      </w:r>
      <w:r w:rsidR="00A132F6">
        <w:rPr>
          <w:rFonts w:asciiTheme="minorHAnsi" w:hAnsiTheme="minorHAnsi" w:cstheme="minorHAnsi"/>
          <w:sz w:val="22"/>
          <w:szCs w:val="22"/>
        </w:rPr>
        <w:t>c</w:t>
      </w:r>
      <w:r w:rsidRPr="00F75403">
        <w:rPr>
          <w:rFonts w:asciiTheme="minorHAnsi" w:hAnsiTheme="minorHAnsi" w:cstheme="minorHAnsi"/>
          <w:sz w:val="22"/>
          <w:szCs w:val="22"/>
        </w:rPr>
        <w:t xml:space="preserve">lawed </w:t>
      </w:r>
      <w:r w:rsidR="00A132F6">
        <w:rPr>
          <w:rFonts w:asciiTheme="minorHAnsi" w:hAnsiTheme="minorHAnsi" w:cstheme="minorHAnsi"/>
          <w:sz w:val="22"/>
          <w:szCs w:val="22"/>
        </w:rPr>
        <w:t>l</w:t>
      </w:r>
      <w:r w:rsidRPr="00F75403">
        <w:rPr>
          <w:rFonts w:asciiTheme="minorHAnsi" w:hAnsiTheme="minorHAnsi" w:cstheme="minorHAnsi"/>
          <w:sz w:val="22"/>
          <w:szCs w:val="22"/>
        </w:rPr>
        <w:t xml:space="preserve">obsters. </w:t>
      </w:r>
      <w:proofErr w:type="spellStart"/>
      <w:r w:rsidRPr="00F75403">
        <w:rPr>
          <w:rFonts w:asciiTheme="minorHAnsi" w:hAnsiTheme="minorHAnsi" w:cstheme="minorHAnsi"/>
          <w:i/>
          <w:sz w:val="22"/>
          <w:szCs w:val="22"/>
        </w:rPr>
        <w:t>Crustaceana</w:t>
      </w:r>
      <w:proofErr w:type="spellEnd"/>
      <w:r w:rsidRPr="00F75403">
        <w:rPr>
          <w:rFonts w:asciiTheme="minorHAnsi" w:hAnsiTheme="minorHAnsi" w:cstheme="minorHAnsi"/>
          <w:sz w:val="22"/>
          <w:szCs w:val="22"/>
        </w:rPr>
        <w:t xml:space="preserve"> 67: 1-</w:t>
      </w:r>
      <w:r w:rsidR="00A132F6">
        <w:rPr>
          <w:rFonts w:asciiTheme="minorHAnsi" w:hAnsiTheme="minorHAnsi" w:cstheme="minorHAnsi"/>
          <w:sz w:val="22"/>
          <w:szCs w:val="22"/>
        </w:rPr>
        <w:t>2</w:t>
      </w:r>
      <w:r w:rsidRPr="00F75403">
        <w:rPr>
          <w:rFonts w:asciiTheme="minorHAnsi" w:hAnsiTheme="minorHAnsi" w:cstheme="minorHAnsi"/>
          <w:sz w:val="22"/>
          <w:szCs w:val="22"/>
        </w:rPr>
        <w:t xml:space="preserve">5. </w:t>
      </w:r>
    </w:p>
    <w:p w:rsidR="004A5798" w:rsidRDefault="004A5798" w:rsidP="004A5798">
      <w:pPr>
        <w:pStyle w:val="Body"/>
        <w:rPr>
          <w:rFonts w:asciiTheme="minorHAnsi" w:hAnsiTheme="minorHAnsi" w:cstheme="minorHAnsi"/>
          <w:sz w:val="22"/>
          <w:szCs w:val="22"/>
        </w:rPr>
      </w:pPr>
    </w:p>
    <w:p w:rsidR="00AB7C05" w:rsidRDefault="00AB7C05" w:rsidP="004A5798">
      <w:pPr>
        <w:pStyle w:val="Body"/>
        <w:rPr>
          <w:rFonts w:asciiTheme="minorHAnsi" w:hAnsiTheme="minorHAnsi" w:cstheme="minorHAnsi"/>
          <w:sz w:val="22"/>
          <w:szCs w:val="22"/>
        </w:rPr>
      </w:pPr>
      <w:proofErr w:type="spellStart"/>
      <w:r w:rsidRPr="004A5798">
        <w:rPr>
          <w:rFonts w:asciiTheme="minorHAnsi" w:hAnsiTheme="minorHAnsi" w:cstheme="minorHAnsi"/>
          <w:sz w:val="22"/>
          <w:szCs w:val="22"/>
        </w:rPr>
        <w:t>Cullain</w:t>
      </w:r>
      <w:proofErr w:type="spellEnd"/>
      <w:r w:rsidRPr="004A5798">
        <w:rPr>
          <w:rFonts w:asciiTheme="minorHAnsi" w:hAnsiTheme="minorHAnsi" w:cstheme="minorHAnsi"/>
          <w:sz w:val="22"/>
          <w:szCs w:val="22"/>
        </w:rPr>
        <w:t xml:space="preserve">, N., McIver, R., Schmidt, A.L., </w:t>
      </w:r>
      <w:proofErr w:type="spellStart"/>
      <w:r w:rsidRPr="004A5798">
        <w:rPr>
          <w:rFonts w:asciiTheme="minorHAnsi" w:hAnsiTheme="minorHAnsi" w:cstheme="minorHAnsi"/>
          <w:sz w:val="22"/>
          <w:szCs w:val="22"/>
        </w:rPr>
        <w:t>Milewski</w:t>
      </w:r>
      <w:proofErr w:type="spellEnd"/>
      <w:r w:rsidRPr="004A5798">
        <w:rPr>
          <w:rFonts w:asciiTheme="minorHAnsi" w:hAnsiTheme="minorHAnsi" w:cstheme="minorHAnsi"/>
          <w:sz w:val="22"/>
          <w:szCs w:val="22"/>
        </w:rPr>
        <w:t xml:space="preserve">, I., and H.K. </w:t>
      </w:r>
      <w:proofErr w:type="spellStart"/>
      <w:r w:rsidRPr="004A5798">
        <w:rPr>
          <w:rFonts w:asciiTheme="minorHAnsi" w:hAnsiTheme="minorHAnsi" w:cstheme="minorHAnsi"/>
          <w:sz w:val="22"/>
          <w:szCs w:val="22"/>
        </w:rPr>
        <w:t>Lotze</w:t>
      </w:r>
      <w:proofErr w:type="spellEnd"/>
      <w:r w:rsidRPr="004A5798">
        <w:rPr>
          <w:rFonts w:asciiTheme="minorHAnsi" w:hAnsiTheme="minorHAnsi" w:cstheme="minorHAnsi"/>
          <w:sz w:val="22"/>
          <w:szCs w:val="22"/>
        </w:rPr>
        <w:t>. 2018. Potential impacts of finfish aquaculture on eelgrass (</w:t>
      </w:r>
      <w:proofErr w:type="spellStart"/>
      <w:r w:rsidRPr="004A5798">
        <w:rPr>
          <w:rFonts w:asciiTheme="minorHAnsi" w:hAnsiTheme="minorHAnsi" w:cstheme="minorHAnsi"/>
          <w:i/>
          <w:sz w:val="22"/>
          <w:szCs w:val="22"/>
        </w:rPr>
        <w:t>Zostera</w:t>
      </w:r>
      <w:proofErr w:type="spellEnd"/>
      <w:r w:rsidRPr="004A5798">
        <w:rPr>
          <w:rFonts w:asciiTheme="minorHAnsi" w:hAnsiTheme="minorHAnsi" w:cstheme="minorHAnsi"/>
          <w:i/>
          <w:sz w:val="22"/>
          <w:szCs w:val="22"/>
        </w:rPr>
        <w:t xml:space="preserve"> marina</w:t>
      </w:r>
      <w:r w:rsidRPr="004A5798">
        <w:rPr>
          <w:rFonts w:asciiTheme="minorHAnsi" w:hAnsiTheme="minorHAnsi" w:cstheme="minorHAnsi"/>
          <w:sz w:val="22"/>
          <w:szCs w:val="22"/>
        </w:rPr>
        <w:t xml:space="preserve">) beds and possible monitoring metrics for management: a case study in Atlantic Canada. </w:t>
      </w:r>
      <w:proofErr w:type="spellStart"/>
      <w:r w:rsidRPr="004A5798">
        <w:rPr>
          <w:rFonts w:asciiTheme="minorHAnsi" w:hAnsiTheme="minorHAnsi" w:cstheme="minorHAnsi"/>
          <w:i/>
          <w:sz w:val="22"/>
          <w:szCs w:val="22"/>
        </w:rPr>
        <w:t>PeerJ</w:t>
      </w:r>
      <w:proofErr w:type="spellEnd"/>
      <w:r w:rsidRPr="004A579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5798">
        <w:rPr>
          <w:rFonts w:asciiTheme="minorHAnsi" w:hAnsiTheme="minorHAnsi" w:cstheme="minorHAnsi"/>
          <w:sz w:val="22"/>
          <w:szCs w:val="22"/>
        </w:rPr>
        <w:t>6:e</w:t>
      </w:r>
      <w:proofErr w:type="gramEnd"/>
      <w:r w:rsidRPr="004A5798">
        <w:rPr>
          <w:rFonts w:asciiTheme="minorHAnsi" w:hAnsiTheme="minorHAnsi" w:cstheme="minorHAnsi"/>
          <w:sz w:val="22"/>
          <w:szCs w:val="22"/>
        </w:rPr>
        <w:t>5630</w:t>
      </w:r>
      <w:r w:rsidR="004A5798" w:rsidRPr="004A5798">
        <w:rPr>
          <w:rFonts w:asciiTheme="minorHAnsi" w:hAnsiTheme="minorHAnsi" w:cstheme="minorHAnsi"/>
          <w:sz w:val="22"/>
          <w:szCs w:val="22"/>
        </w:rPr>
        <w:t>.</w:t>
      </w:r>
    </w:p>
    <w:p w:rsidR="004A5798" w:rsidRPr="004A5798" w:rsidRDefault="004A5798" w:rsidP="004A5798">
      <w:pPr>
        <w:pStyle w:val="Body"/>
        <w:rPr>
          <w:rFonts w:asciiTheme="minorHAnsi" w:hAnsiTheme="minorHAnsi" w:cstheme="minorHAnsi"/>
          <w:sz w:val="22"/>
          <w:szCs w:val="22"/>
        </w:rPr>
      </w:pPr>
    </w:p>
    <w:p w:rsidR="009F2B51" w:rsidRDefault="00EE234B" w:rsidP="006448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C05">
        <w:rPr>
          <w:rFonts w:cstheme="minorHAnsi"/>
        </w:rPr>
        <w:t xml:space="preserve">Dean, R.J., </w:t>
      </w:r>
      <w:proofErr w:type="spellStart"/>
      <w:r w:rsidRPr="00AB7C05">
        <w:rPr>
          <w:rFonts w:cstheme="minorHAnsi"/>
        </w:rPr>
        <w:t>Shimmield</w:t>
      </w:r>
      <w:proofErr w:type="spellEnd"/>
      <w:r w:rsidRPr="00AB7C05">
        <w:rPr>
          <w:rFonts w:cstheme="minorHAnsi"/>
        </w:rPr>
        <w:t>, T.M.,</w:t>
      </w:r>
      <w:r w:rsidR="006448CC">
        <w:rPr>
          <w:rFonts w:cstheme="minorHAnsi"/>
        </w:rPr>
        <w:t xml:space="preserve"> and K.D.</w:t>
      </w:r>
      <w:r w:rsidRPr="00AB7C05">
        <w:rPr>
          <w:rFonts w:cstheme="minorHAnsi"/>
        </w:rPr>
        <w:t xml:space="preserve"> Black</w:t>
      </w:r>
      <w:r w:rsidR="006448CC">
        <w:rPr>
          <w:rFonts w:cstheme="minorHAnsi"/>
        </w:rPr>
        <w:t>.</w:t>
      </w:r>
      <w:r w:rsidRPr="00AB7C05">
        <w:rPr>
          <w:rFonts w:cstheme="minorHAnsi"/>
        </w:rPr>
        <w:t>2007. Copper, zinc and cadmium in marine cage</w:t>
      </w:r>
      <w:r w:rsidR="004A5798">
        <w:rPr>
          <w:rFonts w:cstheme="minorHAnsi"/>
        </w:rPr>
        <w:t xml:space="preserve"> </w:t>
      </w:r>
      <w:r w:rsidRPr="00AB7C05">
        <w:rPr>
          <w:rFonts w:cstheme="minorHAnsi"/>
        </w:rPr>
        <w:t xml:space="preserve">fish farm sediments: an extensive survey. </w:t>
      </w:r>
      <w:r w:rsidRPr="006448CC">
        <w:rPr>
          <w:rFonts w:cstheme="minorHAnsi"/>
          <w:i/>
        </w:rPr>
        <w:t>Environmental Pollution</w:t>
      </w:r>
      <w:r w:rsidRPr="00AB7C05">
        <w:rPr>
          <w:rFonts w:cstheme="minorHAnsi"/>
        </w:rPr>
        <w:t xml:space="preserve"> 145</w:t>
      </w:r>
      <w:r w:rsidR="006448CC">
        <w:rPr>
          <w:rFonts w:cstheme="minorHAnsi"/>
        </w:rPr>
        <w:t>:</w:t>
      </w:r>
      <w:r w:rsidRPr="00AB7C05">
        <w:rPr>
          <w:rFonts w:cstheme="minorHAnsi"/>
        </w:rPr>
        <w:t xml:space="preserve"> 84–95.</w:t>
      </w:r>
    </w:p>
    <w:p w:rsidR="006448CC" w:rsidRPr="00AB7C05" w:rsidRDefault="006448CC" w:rsidP="006448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6110F" w:rsidRDefault="00EA12FD" w:rsidP="006448CC">
      <w:pPr>
        <w:spacing w:line="240" w:lineRule="auto"/>
      </w:pPr>
      <w:proofErr w:type="gramStart"/>
      <w:r w:rsidRPr="00AB7C05">
        <w:rPr>
          <w:rFonts w:cstheme="minorHAnsi"/>
        </w:rPr>
        <w:t>DFO(</w:t>
      </w:r>
      <w:proofErr w:type="gramEnd"/>
      <w:r w:rsidRPr="00AB7C05">
        <w:rPr>
          <w:rFonts w:cstheme="minorHAnsi"/>
        </w:rPr>
        <w:t>2012).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Standard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operating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procedures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(SOP)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for</w:t>
      </w:r>
      <w:r w:rsidR="009F2B51" w:rsidRPr="00AB7C05">
        <w:rPr>
          <w:rFonts w:cstheme="minorHAnsi"/>
        </w:rPr>
        <w:t xml:space="preserve"> </w:t>
      </w:r>
      <w:r w:rsidRPr="00AB7C05">
        <w:rPr>
          <w:rFonts w:cstheme="minorHAnsi"/>
        </w:rPr>
        <w:t>underwater video camera system. http://www.dfo-mpo.gc. ca/library/347683.pdf</w:t>
      </w:r>
      <w:r w:rsidR="0036110F" w:rsidRPr="0036110F">
        <w:t xml:space="preserve"> </w:t>
      </w:r>
    </w:p>
    <w:p w:rsidR="0036110F" w:rsidRPr="00AB7C05" w:rsidRDefault="0036110F" w:rsidP="006448CC">
      <w:pPr>
        <w:spacing w:line="240" w:lineRule="auto"/>
        <w:rPr>
          <w:rFonts w:cstheme="minorHAnsi"/>
        </w:rPr>
      </w:pPr>
      <w:proofErr w:type="spellStart"/>
      <w:r w:rsidRPr="0036110F">
        <w:rPr>
          <w:rFonts w:cstheme="minorHAnsi"/>
        </w:rPr>
        <w:t>Grémare</w:t>
      </w:r>
      <w:proofErr w:type="spellEnd"/>
      <w:r w:rsidR="00AD658F">
        <w:rPr>
          <w:rFonts w:cstheme="minorHAnsi"/>
        </w:rPr>
        <w:t>,</w:t>
      </w:r>
      <w:r w:rsidRPr="0036110F">
        <w:rPr>
          <w:rFonts w:cstheme="minorHAnsi"/>
        </w:rPr>
        <w:t xml:space="preserve"> A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 xml:space="preserve">, </w:t>
      </w:r>
      <w:proofErr w:type="spellStart"/>
      <w:r w:rsidRPr="0036110F">
        <w:rPr>
          <w:rFonts w:cstheme="minorHAnsi"/>
        </w:rPr>
        <w:t>Labrune</w:t>
      </w:r>
      <w:proofErr w:type="spellEnd"/>
      <w:r w:rsidR="00AD658F">
        <w:rPr>
          <w:rFonts w:cstheme="minorHAnsi"/>
        </w:rPr>
        <w:t>,</w:t>
      </w:r>
      <w:r w:rsidRPr="0036110F">
        <w:rPr>
          <w:rFonts w:cstheme="minorHAnsi"/>
        </w:rPr>
        <w:t xml:space="preserve"> C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 xml:space="preserve">, </w:t>
      </w:r>
      <w:proofErr w:type="spellStart"/>
      <w:r w:rsidRPr="0036110F">
        <w:rPr>
          <w:rFonts w:cstheme="minorHAnsi"/>
        </w:rPr>
        <w:t>Vanden</w:t>
      </w:r>
      <w:proofErr w:type="spellEnd"/>
      <w:r w:rsidRPr="0036110F">
        <w:rPr>
          <w:rFonts w:cstheme="minorHAnsi"/>
        </w:rPr>
        <w:t xml:space="preserve"> </w:t>
      </w:r>
      <w:proofErr w:type="spellStart"/>
      <w:r w:rsidRPr="0036110F">
        <w:rPr>
          <w:rFonts w:cstheme="minorHAnsi"/>
        </w:rPr>
        <w:t>Berghe</w:t>
      </w:r>
      <w:proofErr w:type="spellEnd"/>
      <w:r w:rsidR="00AD658F">
        <w:rPr>
          <w:rFonts w:cstheme="minorHAnsi"/>
        </w:rPr>
        <w:t>,</w:t>
      </w:r>
      <w:r w:rsidRPr="0036110F">
        <w:rPr>
          <w:rFonts w:cstheme="minorHAnsi"/>
        </w:rPr>
        <w:t xml:space="preserve"> E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 xml:space="preserve">, </w:t>
      </w:r>
      <w:proofErr w:type="spellStart"/>
      <w:r w:rsidRPr="0036110F">
        <w:rPr>
          <w:rFonts w:cstheme="minorHAnsi"/>
        </w:rPr>
        <w:t>Amouroux</w:t>
      </w:r>
      <w:proofErr w:type="spellEnd"/>
      <w:r w:rsidR="00AD658F">
        <w:rPr>
          <w:rFonts w:cstheme="minorHAnsi"/>
        </w:rPr>
        <w:t>,</w:t>
      </w:r>
      <w:r w:rsidRPr="0036110F">
        <w:rPr>
          <w:rFonts w:cstheme="minorHAnsi"/>
        </w:rPr>
        <w:t xml:space="preserve"> J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>M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 xml:space="preserve"> and others</w:t>
      </w:r>
      <w:r w:rsidR="00AD658F">
        <w:rPr>
          <w:rFonts w:cstheme="minorHAnsi"/>
        </w:rPr>
        <w:t xml:space="preserve">. </w:t>
      </w:r>
      <w:r w:rsidRPr="0036110F">
        <w:rPr>
          <w:rFonts w:cstheme="minorHAnsi"/>
        </w:rPr>
        <w:t>2009</w:t>
      </w:r>
      <w:r w:rsidR="00AD658F">
        <w:rPr>
          <w:rFonts w:cstheme="minorHAnsi"/>
        </w:rPr>
        <w:t>.</w:t>
      </w:r>
      <w:r w:rsidRPr="0036110F">
        <w:rPr>
          <w:rFonts w:cstheme="minorHAnsi"/>
        </w:rPr>
        <w:t xml:space="preserve"> Comparison of the performance of two biotic indices based on the </w:t>
      </w:r>
      <w:proofErr w:type="spellStart"/>
      <w:r w:rsidRPr="0036110F">
        <w:rPr>
          <w:rFonts w:cstheme="minorHAnsi"/>
        </w:rPr>
        <w:t>MacroBen</w:t>
      </w:r>
      <w:proofErr w:type="spellEnd"/>
      <w:r w:rsidRPr="0036110F">
        <w:rPr>
          <w:rFonts w:cstheme="minorHAnsi"/>
        </w:rPr>
        <w:t xml:space="preserve"> database. </w:t>
      </w:r>
      <w:r w:rsidRPr="00AD658F">
        <w:rPr>
          <w:rFonts w:cstheme="minorHAnsi"/>
          <w:i/>
        </w:rPr>
        <w:t>Mar</w:t>
      </w:r>
      <w:r w:rsidR="00AD658F" w:rsidRPr="00AD658F">
        <w:rPr>
          <w:rFonts w:cstheme="minorHAnsi"/>
          <w:i/>
        </w:rPr>
        <w:t>ine</w:t>
      </w:r>
      <w:r w:rsidRPr="00AD658F">
        <w:rPr>
          <w:rFonts w:cstheme="minorHAnsi"/>
          <w:i/>
        </w:rPr>
        <w:t xml:space="preserve"> Ecol</w:t>
      </w:r>
      <w:r w:rsidR="00AD658F" w:rsidRPr="00AD658F">
        <w:rPr>
          <w:rFonts w:cstheme="minorHAnsi"/>
          <w:i/>
        </w:rPr>
        <w:t>ogy</w:t>
      </w:r>
      <w:r w:rsidRPr="00AD658F">
        <w:rPr>
          <w:rFonts w:cstheme="minorHAnsi"/>
          <w:i/>
        </w:rPr>
        <w:t xml:space="preserve"> Prog</w:t>
      </w:r>
      <w:r w:rsidR="00AD658F" w:rsidRPr="00AD658F">
        <w:rPr>
          <w:rFonts w:cstheme="minorHAnsi"/>
          <w:i/>
        </w:rPr>
        <w:t>ress</w:t>
      </w:r>
      <w:r w:rsidRPr="00AD658F">
        <w:rPr>
          <w:rFonts w:cstheme="minorHAnsi"/>
          <w:i/>
        </w:rPr>
        <w:t xml:space="preserve"> Ser</w:t>
      </w:r>
      <w:r w:rsidR="00AD658F" w:rsidRPr="00AD658F">
        <w:rPr>
          <w:rFonts w:cstheme="minorHAnsi"/>
          <w:i/>
        </w:rPr>
        <w:t>ies</w:t>
      </w:r>
      <w:r w:rsidRPr="00AD658F">
        <w:rPr>
          <w:rFonts w:cstheme="minorHAnsi"/>
          <w:i/>
        </w:rPr>
        <w:t xml:space="preserve"> </w:t>
      </w:r>
      <w:r w:rsidRPr="0036110F">
        <w:rPr>
          <w:rFonts w:cstheme="minorHAnsi"/>
        </w:rPr>
        <w:t>382:</w:t>
      </w:r>
      <w:r w:rsidR="00AD658F">
        <w:rPr>
          <w:rFonts w:cstheme="minorHAnsi"/>
        </w:rPr>
        <w:t xml:space="preserve"> </w:t>
      </w:r>
      <w:r w:rsidRPr="0036110F">
        <w:rPr>
          <w:rFonts w:cstheme="minorHAnsi"/>
        </w:rPr>
        <w:t>297–311</w:t>
      </w:r>
      <w:r w:rsidR="00AD658F">
        <w:rPr>
          <w:rFonts w:cstheme="minorHAnsi"/>
        </w:rPr>
        <w:t>.</w:t>
      </w:r>
    </w:p>
    <w:p w:rsidR="00582ABF" w:rsidRPr="00AB7C05" w:rsidRDefault="00105050" w:rsidP="006448CC">
      <w:pPr>
        <w:spacing w:line="240" w:lineRule="auto"/>
        <w:rPr>
          <w:rFonts w:cstheme="minorHAnsi"/>
        </w:rPr>
      </w:pPr>
      <w:proofErr w:type="spellStart"/>
      <w:r w:rsidRPr="00AB7C05">
        <w:rPr>
          <w:rFonts w:cstheme="minorHAnsi"/>
        </w:rPr>
        <w:t>Hamoutene</w:t>
      </w:r>
      <w:proofErr w:type="spellEnd"/>
      <w:r w:rsidR="0034519C">
        <w:rPr>
          <w:rFonts w:cstheme="minorHAnsi"/>
        </w:rPr>
        <w:t xml:space="preserve">, D., </w:t>
      </w:r>
      <w:r w:rsidRPr="00AB7C05">
        <w:rPr>
          <w:rFonts w:cstheme="minorHAnsi"/>
        </w:rPr>
        <w:t>Salvo</w:t>
      </w:r>
      <w:r w:rsidR="0034519C">
        <w:rPr>
          <w:rFonts w:cstheme="minorHAnsi"/>
        </w:rPr>
        <w:t xml:space="preserve">, F., </w:t>
      </w:r>
      <w:r w:rsidRPr="00AB7C05">
        <w:rPr>
          <w:rFonts w:cstheme="minorHAnsi"/>
        </w:rPr>
        <w:t>Cross</w:t>
      </w:r>
      <w:r w:rsidR="0034519C">
        <w:rPr>
          <w:rFonts w:cstheme="minorHAnsi"/>
        </w:rPr>
        <w:t xml:space="preserve">, S., </w:t>
      </w:r>
      <w:r w:rsidRPr="00AB7C05">
        <w:rPr>
          <w:rFonts w:cstheme="minorHAnsi"/>
        </w:rPr>
        <w:t>Dufour</w:t>
      </w:r>
      <w:r w:rsidR="0034519C">
        <w:rPr>
          <w:rFonts w:cstheme="minorHAnsi"/>
        </w:rPr>
        <w:t>, S.C., and S.</w:t>
      </w:r>
      <w:r w:rsidRPr="00AB7C05">
        <w:rPr>
          <w:rFonts w:cstheme="minorHAnsi"/>
        </w:rPr>
        <w:t xml:space="preserve"> </w:t>
      </w:r>
      <w:proofErr w:type="spellStart"/>
      <w:r w:rsidRPr="00AB7C05">
        <w:rPr>
          <w:rFonts w:cstheme="minorHAnsi"/>
        </w:rPr>
        <w:t>Donnet</w:t>
      </w:r>
      <w:proofErr w:type="spellEnd"/>
      <w:r w:rsidRPr="00AB7C05">
        <w:rPr>
          <w:rFonts w:cstheme="minorHAnsi"/>
        </w:rPr>
        <w:t>.</w:t>
      </w:r>
      <w:r w:rsidR="00582ABF" w:rsidRPr="00AB7C05">
        <w:rPr>
          <w:rFonts w:cstheme="minorHAnsi"/>
        </w:rPr>
        <w:t xml:space="preserve"> 2018</w:t>
      </w:r>
      <w:r w:rsidR="004A5798">
        <w:rPr>
          <w:rFonts w:cstheme="minorHAnsi"/>
        </w:rPr>
        <w:t>.</w:t>
      </w:r>
      <w:r w:rsidRPr="00AB7C05">
        <w:rPr>
          <w:rFonts w:cstheme="minorHAnsi"/>
        </w:rPr>
        <w:t xml:space="preserve"> Linking the presence of visual indicators of aquaculture deposition to changes in epibenthic richness at finfish sites installed over hard bottom substrates. </w:t>
      </w:r>
      <w:r w:rsidRPr="004A5798">
        <w:rPr>
          <w:rFonts w:cstheme="minorHAnsi"/>
          <w:i/>
        </w:rPr>
        <w:t>Environ</w:t>
      </w:r>
      <w:r w:rsidR="004A5798" w:rsidRPr="004A5798">
        <w:rPr>
          <w:rFonts w:cstheme="minorHAnsi"/>
          <w:i/>
        </w:rPr>
        <w:t>mental Monitoring and Assessment</w:t>
      </w:r>
      <w:r w:rsidRPr="00AB7C05">
        <w:rPr>
          <w:rFonts w:cstheme="minorHAnsi"/>
        </w:rPr>
        <w:t xml:space="preserve"> 190:750.</w:t>
      </w:r>
    </w:p>
    <w:p w:rsidR="00582ABF" w:rsidRPr="00A132F6" w:rsidRDefault="00582ABF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 xml:space="preserve"> </w:t>
      </w:r>
      <w:proofErr w:type="spellStart"/>
      <w:r w:rsidR="00EA12FD" w:rsidRPr="00AB7C05">
        <w:rPr>
          <w:rFonts w:cstheme="minorHAnsi"/>
        </w:rPr>
        <w:t>Hamoutene</w:t>
      </w:r>
      <w:proofErr w:type="spellEnd"/>
      <w:r w:rsidR="00EA12FD" w:rsidRPr="00AB7C05">
        <w:rPr>
          <w:rFonts w:cstheme="minorHAnsi"/>
        </w:rPr>
        <w:t>, D. 2014</w:t>
      </w:r>
      <w:r w:rsidR="0034519C">
        <w:rPr>
          <w:rFonts w:cstheme="minorHAnsi"/>
        </w:rPr>
        <w:t>.</w:t>
      </w:r>
      <w:r w:rsidR="00EA12FD" w:rsidRPr="00AB7C05">
        <w:rPr>
          <w:rFonts w:cstheme="minorHAnsi"/>
        </w:rPr>
        <w:t xml:space="preserve"> Sediment sulfides and redox potential associated with spatial coverage of </w:t>
      </w:r>
      <w:proofErr w:type="spellStart"/>
      <w:r w:rsidR="00EA12FD" w:rsidRPr="0034519C">
        <w:rPr>
          <w:rFonts w:cstheme="minorHAnsi"/>
          <w:i/>
        </w:rPr>
        <w:t>Beggiatoa</w:t>
      </w:r>
      <w:proofErr w:type="spellEnd"/>
      <w:r w:rsidR="00EA12FD" w:rsidRPr="00AB7C05">
        <w:rPr>
          <w:rFonts w:cstheme="minorHAnsi"/>
        </w:rPr>
        <w:t xml:space="preserve"> spp. at finfish aquaculture sites in Newfoundland, Canada. </w:t>
      </w:r>
      <w:r w:rsidR="00EA12FD" w:rsidRPr="0034519C">
        <w:rPr>
          <w:rFonts w:cstheme="minorHAnsi"/>
          <w:i/>
        </w:rPr>
        <w:t>ICES</w:t>
      </w:r>
      <w:r w:rsidR="0034519C" w:rsidRPr="0034519C">
        <w:rPr>
          <w:rFonts w:cstheme="minorHAnsi"/>
          <w:i/>
        </w:rPr>
        <w:t xml:space="preserve"> </w:t>
      </w:r>
      <w:r w:rsidR="00EA12FD" w:rsidRPr="0034519C">
        <w:rPr>
          <w:rFonts w:cstheme="minorHAnsi"/>
          <w:i/>
        </w:rPr>
        <w:t>Journal</w:t>
      </w:r>
      <w:r w:rsidR="0034519C" w:rsidRPr="0034519C">
        <w:rPr>
          <w:rFonts w:cstheme="minorHAnsi"/>
          <w:i/>
        </w:rPr>
        <w:t xml:space="preserve"> </w:t>
      </w:r>
      <w:r w:rsidR="00EA12FD" w:rsidRPr="0034519C">
        <w:rPr>
          <w:rFonts w:cstheme="minorHAnsi"/>
          <w:i/>
        </w:rPr>
        <w:t>of Marine Sciences</w:t>
      </w:r>
      <w:r w:rsidR="0034519C">
        <w:rPr>
          <w:rFonts w:cstheme="minorHAnsi"/>
        </w:rPr>
        <w:t xml:space="preserve"> 71: </w:t>
      </w:r>
      <w:r w:rsidR="0034519C" w:rsidRPr="00A132F6">
        <w:rPr>
          <w:rFonts w:cstheme="minorHAnsi"/>
        </w:rPr>
        <w:t>1153-1157.</w:t>
      </w:r>
      <w:r w:rsidR="00EA12FD" w:rsidRPr="00A132F6">
        <w:rPr>
          <w:rFonts w:cstheme="minorHAnsi"/>
        </w:rPr>
        <w:t xml:space="preserve"> </w:t>
      </w:r>
      <w:r w:rsidRPr="00A132F6">
        <w:rPr>
          <w:rFonts w:cstheme="minorHAnsi"/>
        </w:rPr>
        <w:t xml:space="preserve"> </w:t>
      </w:r>
    </w:p>
    <w:p w:rsidR="001A488E" w:rsidRPr="00A132F6" w:rsidRDefault="001A488E" w:rsidP="001A488E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</w:rPr>
      </w:pPr>
      <w:r w:rsidRPr="00A132F6">
        <w:rPr>
          <w:rFonts w:eastAsia="Candida-Roman" w:cstheme="minorHAnsi"/>
        </w:rPr>
        <w:t xml:space="preserve">Hargrave, B.T. 2010. Empirical relationships describing benthic impacts of salmon aquaculture. </w:t>
      </w:r>
      <w:r w:rsidRPr="00A132F6">
        <w:rPr>
          <w:rFonts w:eastAsia="Candida-Roman" w:cstheme="minorHAnsi"/>
          <w:i/>
        </w:rPr>
        <w:t>Aquaculture Environment Interactions</w:t>
      </w:r>
      <w:r w:rsidRPr="00A132F6">
        <w:rPr>
          <w:rFonts w:eastAsia="Candida-Roman" w:cstheme="minorHAnsi"/>
        </w:rPr>
        <w:t xml:space="preserve"> 1:33-46.</w:t>
      </w:r>
    </w:p>
    <w:p w:rsidR="001A488E" w:rsidRPr="00A132F6" w:rsidRDefault="001A488E" w:rsidP="001A488E">
      <w:pPr>
        <w:autoSpaceDE w:val="0"/>
        <w:autoSpaceDN w:val="0"/>
        <w:adjustRightInd w:val="0"/>
        <w:spacing w:after="0" w:line="240" w:lineRule="auto"/>
        <w:rPr>
          <w:rFonts w:eastAsia="Candida-Roman" w:cstheme="minorHAnsi"/>
        </w:rPr>
      </w:pPr>
    </w:p>
    <w:p w:rsidR="001A488E" w:rsidRPr="00A132F6" w:rsidRDefault="001A488E" w:rsidP="001A488E">
      <w:pPr>
        <w:spacing w:line="240" w:lineRule="auto"/>
        <w:rPr>
          <w:rFonts w:eastAsia="Candida-Roman" w:cstheme="minorHAnsi"/>
        </w:rPr>
      </w:pPr>
      <w:proofErr w:type="spellStart"/>
      <w:r w:rsidRPr="00A132F6">
        <w:rPr>
          <w:rFonts w:eastAsia="Candida-Roman" w:cstheme="minorHAnsi"/>
        </w:rPr>
        <w:t>Holmer</w:t>
      </w:r>
      <w:proofErr w:type="spellEnd"/>
      <w:r w:rsidRPr="00A132F6">
        <w:rPr>
          <w:rFonts w:eastAsia="Candida-Roman" w:cstheme="minorHAnsi"/>
        </w:rPr>
        <w:t xml:space="preserve">, M., Hansen, P.K., </w:t>
      </w:r>
      <w:proofErr w:type="spellStart"/>
      <w:r w:rsidRPr="00A132F6">
        <w:rPr>
          <w:rFonts w:eastAsia="Candida-Roman" w:cstheme="minorHAnsi"/>
        </w:rPr>
        <w:t>Karakassis</w:t>
      </w:r>
      <w:proofErr w:type="spellEnd"/>
      <w:r w:rsidRPr="00A132F6">
        <w:rPr>
          <w:rFonts w:eastAsia="Candida-Roman" w:cstheme="minorHAnsi"/>
        </w:rPr>
        <w:t>, I., Borg, J.A.</w:t>
      </w:r>
      <w:proofErr w:type="gramStart"/>
      <w:r w:rsidRPr="00A132F6">
        <w:rPr>
          <w:rFonts w:eastAsia="Candida-Roman" w:cstheme="minorHAnsi"/>
        </w:rPr>
        <w:t>,  and</w:t>
      </w:r>
      <w:proofErr w:type="gramEnd"/>
      <w:r w:rsidRPr="00A132F6">
        <w:rPr>
          <w:rFonts w:eastAsia="Candida-Roman" w:cstheme="minorHAnsi"/>
        </w:rPr>
        <w:t xml:space="preserve"> P. </w:t>
      </w:r>
      <w:proofErr w:type="spellStart"/>
      <w:r w:rsidRPr="00A132F6">
        <w:rPr>
          <w:rFonts w:eastAsia="Candida-Roman" w:cstheme="minorHAnsi"/>
        </w:rPr>
        <w:t>Schembri</w:t>
      </w:r>
      <w:proofErr w:type="spellEnd"/>
      <w:r w:rsidRPr="00A132F6">
        <w:rPr>
          <w:rFonts w:eastAsia="Candida-Roman" w:cstheme="minorHAnsi"/>
        </w:rPr>
        <w:t xml:space="preserve">. 2008. Monitoring of environmental impacts of marine aquaculture. In:  </w:t>
      </w:r>
      <w:proofErr w:type="spellStart"/>
      <w:r w:rsidRPr="00A132F6">
        <w:rPr>
          <w:rFonts w:eastAsia="Candida-Roman" w:cstheme="minorHAnsi"/>
        </w:rPr>
        <w:t>Holmer</w:t>
      </w:r>
      <w:proofErr w:type="spellEnd"/>
      <w:r w:rsidRPr="00A132F6">
        <w:rPr>
          <w:rFonts w:eastAsia="Candida-Roman" w:cstheme="minorHAnsi"/>
        </w:rPr>
        <w:t xml:space="preserve"> M, Black K, Duarte CM, </w:t>
      </w:r>
      <w:proofErr w:type="spellStart"/>
      <w:r w:rsidRPr="00A132F6">
        <w:rPr>
          <w:rFonts w:eastAsia="Candida-Roman" w:cstheme="minorHAnsi"/>
        </w:rPr>
        <w:t>Marba</w:t>
      </w:r>
      <w:proofErr w:type="spellEnd"/>
      <w:r w:rsidRPr="00A132F6">
        <w:rPr>
          <w:rFonts w:eastAsia="Candida-Roman" w:cstheme="minorHAnsi"/>
        </w:rPr>
        <w:t xml:space="preserve"> N, </w:t>
      </w:r>
      <w:proofErr w:type="spellStart"/>
      <w:r w:rsidRPr="00A132F6">
        <w:rPr>
          <w:rFonts w:eastAsia="Candida-Roman" w:cstheme="minorHAnsi"/>
        </w:rPr>
        <w:t>Karakassis</w:t>
      </w:r>
      <w:proofErr w:type="spellEnd"/>
      <w:r w:rsidRPr="00A132F6">
        <w:rPr>
          <w:rFonts w:eastAsia="Candida-Roman" w:cstheme="minorHAnsi"/>
        </w:rPr>
        <w:t xml:space="preserve"> I (</w:t>
      </w:r>
      <w:proofErr w:type="spellStart"/>
      <w:r w:rsidRPr="00A132F6">
        <w:rPr>
          <w:rFonts w:eastAsia="Candida-Roman" w:cstheme="minorHAnsi"/>
        </w:rPr>
        <w:t>eds</w:t>
      </w:r>
      <w:proofErr w:type="spellEnd"/>
      <w:r w:rsidRPr="00A132F6">
        <w:rPr>
          <w:rFonts w:eastAsia="Candida-Roman" w:cstheme="minorHAnsi"/>
        </w:rPr>
        <w:t>) Aquaculture in the ecosystem. Springer, Dordrecht, p 47−85</w:t>
      </w:r>
    </w:p>
    <w:p w:rsidR="006448CC" w:rsidRDefault="006448CC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>Keeley, N.B., Forrest, B.M., Crawford, C.,</w:t>
      </w:r>
      <w:r w:rsidR="0034519C">
        <w:rPr>
          <w:rFonts w:cstheme="minorHAnsi"/>
        </w:rPr>
        <w:t xml:space="preserve"> and C.M. Macleod.</w:t>
      </w:r>
      <w:r w:rsidRPr="00AB7C05">
        <w:rPr>
          <w:rFonts w:cstheme="minorHAnsi"/>
        </w:rPr>
        <w:t xml:space="preserve"> 2012. Exploiting salmon farm</w:t>
      </w:r>
      <w:r w:rsidR="0034519C">
        <w:rPr>
          <w:rFonts w:cstheme="minorHAnsi"/>
        </w:rPr>
        <w:t xml:space="preserve"> </w:t>
      </w:r>
      <w:r w:rsidRPr="00AB7C05">
        <w:rPr>
          <w:rFonts w:cstheme="minorHAnsi"/>
        </w:rPr>
        <w:t>benthic enrichment gradients to evaluate the regional performance of biotic</w:t>
      </w:r>
      <w:r w:rsidR="0034519C">
        <w:rPr>
          <w:rFonts w:cstheme="minorHAnsi"/>
        </w:rPr>
        <w:t xml:space="preserve"> </w:t>
      </w:r>
      <w:r w:rsidRPr="00AB7C05">
        <w:rPr>
          <w:rFonts w:cstheme="minorHAnsi"/>
        </w:rPr>
        <w:t xml:space="preserve">indices and environmental indicators. </w:t>
      </w:r>
      <w:r w:rsidRPr="0034519C">
        <w:rPr>
          <w:rFonts w:cstheme="minorHAnsi"/>
          <w:i/>
        </w:rPr>
        <w:t>Ecol</w:t>
      </w:r>
      <w:r w:rsidR="0034519C" w:rsidRPr="0034519C">
        <w:rPr>
          <w:rFonts w:cstheme="minorHAnsi"/>
          <w:i/>
        </w:rPr>
        <w:t>ogical</w:t>
      </w:r>
      <w:r w:rsidRPr="0034519C">
        <w:rPr>
          <w:rFonts w:cstheme="minorHAnsi"/>
          <w:i/>
        </w:rPr>
        <w:t xml:space="preserve"> Indic</w:t>
      </w:r>
      <w:r w:rsidR="0034519C" w:rsidRPr="0034519C">
        <w:rPr>
          <w:rFonts w:cstheme="minorHAnsi"/>
          <w:i/>
        </w:rPr>
        <w:t>ators</w:t>
      </w:r>
      <w:r w:rsidRPr="00AB7C05">
        <w:rPr>
          <w:rFonts w:cstheme="minorHAnsi"/>
        </w:rPr>
        <w:t xml:space="preserve"> 23</w:t>
      </w:r>
      <w:r w:rsidR="0034519C">
        <w:rPr>
          <w:rFonts w:cstheme="minorHAnsi"/>
        </w:rPr>
        <w:t>:</w:t>
      </w:r>
      <w:r w:rsidRPr="00AB7C05">
        <w:rPr>
          <w:rFonts w:cstheme="minorHAnsi"/>
        </w:rPr>
        <w:t xml:space="preserve"> 453–466.</w:t>
      </w:r>
    </w:p>
    <w:p w:rsidR="006F2A17" w:rsidRPr="00AB7C05" w:rsidRDefault="006F2A17" w:rsidP="006448CC">
      <w:pPr>
        <w:spacing w:line="240" w:lineRule="auto"/>
        <w:rPr>
          <w:rFonts w:cstheme="minorHAnsi"/>
        </w:rPr>
      </w:pPr>
      <w:r w:rsidRPr="006F2A17">
        <w:rPr>
          <w:rFonts w:cstheme="minorHAnsi"/>
        </w:rPr>
        <w:t>King, S. and</w:t>
      </w:r>
      <w:r>
        <w:rPr>
          <w:rFonts w:cstheme="minorHAnsi"/>
        </w:rPr>
        <w:t xml:space="preserve"> R.</w:t>
      </w:r>
      <w:r w:rsidRPr="006F2A17">
        <w:rPr>
          <w:rFonts w:cstheme="minorHAnsi"/>
        </w:rPr>
        <w:t xml:space="preserve"> </w:t>
      </w:r>
      <w:proofErr w:type="spellStart"/>
      <w:r w:rsidRPr="006F2A17">
        <w:rPr>
          <w:rFonts w:cstheme="minorHAnsi"/>
        </w:rPr>
        <w:t>Pushchak</w:t>
      </w:r>
      <w:proofErr w:type="spellEnd"/>
      <w:r w:rsidRPr="006F2A17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F2A17">
        <w:rPr>
          <w:rFonts w:cstheme="minorHAnsi"/>
        </w:rPr>
        <w:t>2008</w:t>
      </w:r>
      <w:r>
        <w:rPr>
          <w:rFonts w:cstheme="minorHAnsi"/>
        </w:rPr>
        <w:t>. Incorporating c</w:t>
      </w:r>
      <w:r w:rsidRPr="006F2A17">
        <w:rPr>
          <w:rFonts w:cstheme="minorHAnsi"/>
        </w:rPr>
        <w:t xml:space="preserve">umulative </w:t>
      </w:r>
      <w:r>
        <w:rPr>
          <w:rFonts w:cstheme="minorHAnsi"/>
        </w:rPr>
        <w:t>e</w:t>
      </w:r>
      <w:r w:rsidRPr="006F2A17">
        <w:rPr>
          <w:rFonts w:cstheme="minorHAnsi"/>
        </w:rPr>
        <w:t xml:space="preserve">ffects into </w:t>
      </w:r>
      <w:r>
        <w:rPr>
          <w:rFonts w:cstheme="minorHAnsi"/>
        </w:rPr>
        <w:t>e</w:t>
      </w:r>
      <w:r w:rsidRPr="006F2A17">
        <w:rPr>
          <w:rFonts w:cstheme="minorHAnsi"/>
        </w:rPr>
        <w:t xml:space="preserve">nvironmental </w:t>
      </w:r>
      <w:r>
        <w:rPr>
          <w:rFonts w:cstheme="minorHAnsi"/>
        </w:rPr>
        <w:t>a</w:t>
      </w:r>
      <w:r w:rsidRPr="006F2A17">
        <w:rPr>
          <w:rFonts w:cstheme="minorHAnsi"/>
        </w:rPr>
        <w:t xml:space="preserve">ssessments of </w:t>
      </w:r>
      <w:proofErr w:type="spellStart"/>
      <w:r>
        <w:rPr>
          <w:rFonts w:cstheme="minorHAnsi"/>
        </w:rPr>
        <w:t>m</w:t>
      </w:r>
      <w:r w:rsidRPr="006F2A17">
        <w:rPr>
          <w:rFonts w:cstheme="minorHAnsi"/>
        </w:rPr>
        <w:t>ariculture</w:t>
      </w:r>
      <w:proofErr w:type="spellEnd"/>
      <w:r w:rsidRPr="006F2A17">
        <w:rPr>
          <w:rFonts w:cstheme="minorHAnsi"/>
        </w:rPr>
        <w:t xml:space="preserve">: </w:t>
      </w:r>
      <w:r>
        <w:rPr>
          <w:rFonts w:cstheme="minorHAnsi"/>
        </w:rPr>
        <w:t>l</w:t>
      </w:r>
      <w:r w:rsidRPr="006F2A17">
        <w:rPr>
          <w:rFonts w:cstheme="minorHAnsi"/>
        </w:rPr>
        <w:t xml:space="preserve">imitations and </w:t>
      </w:r>
      <w:r>
        <w:rPr>
          <w:rFonts w:cstheme="minorHAnsi"/>
        </w:rPr>
        <w:t>f</w:t>
      </w:r>
      <w:r w:rsidRPr="006F2A17">
        <w:rPr>
          <w:rFonts w:cstheme="minorHAnsi"/>
        </w:rPr>
        <w:t xml:space="preserve">ailures of </w:t>
      </w:r>
      <w:r>
        <w:rPr>
          <w:rFonts w:cstheme="minorHAnsi"/>
        </w:rPr>
        <w:t>c</w:t>
      </w:r>
      <w:r w:rsidRPr="006F2A17">
        <w:rPr>
          <w:rFonts w:cstheme="minorHAnsi"/>
        </w:rPr>
        <w:t>urrent</w:t>
      </w:r>
      <w:r>
        <w:rPr>
          <w:rFonts w:cstheme="minorHAnsi"/>
        </w:rPr>
        <w:t xml:space="preserve"> s</w:t>
      </w:r>
      <w:r w:rsidRPr="006F2A17">
        <w:rPr>
          <w:rFonts w:cstheme="minorHAnsi"/>
        </w:rPr>
        <w:t xml:space="preserve">iting </w:t>
      </w:r>
      <w:r>
        <w:rPr>
          <w:rFonts w:cstheme="minorHAnsi"/>
        </w:rPr>
        <w:t>m</w:t>
      </w:r>
      <w:r w:rsidRPr="006F2A17">
        <w:rPr>
          <w:rFonts w:cstheme="minorHAnsi"/>
        </w:rPr>
        <w:t xml:space="preserve">ethods. </w:t>
      </w:r>
      <w:r w:rsidRPr="006F2A17">
        <w:rPr>
          <w:rFonts w:cstheme="minorHAnsi"/>
          <w:i/>
        </w:rPr>
        <w:t>Environmental Impact Assessment Review</w:t>
      </w:r>
      <w:r w:rsidRPr="006F2A17">
        <w:rPr>
          <w:rFonts w:cstheme="minorHAnsi"/>
        </w:rPr>
        <w:t xml:space="preserve"> 28: 572–586</w:t>
      </w:r>
      <w:r>
        <w:rPr>
          <w:rFonts w:cstheme="minorHAnsi"/>
        </w:rPr>
        <w:t>.</w:t>
      </w:r>
    </w:p>
    <w:p w:rsidR="0034519C" w:rsidRDefault="006448CC" w:rsidP="0034519C">
      <w:pPr>
        <w:autoSpaceDE w:val="0"/>
        <w:autoSpaceDN w:val="0"/>
        <w:adjustRightInd w:val="0"/>
        <w:spacing w:after="0" w:line="240" w:lineRule="auto"/>
        <w:rPr>
          <w:rFonts w:cstheme="minorHAnsi"/>
          <w:color w:val="1B1C20"/>
        </w:rPr>
      </w:pPr>
      <w:r w:rsidRPr="00AB7C05">
        <w:rPr>
          <w:rFonts w:cstheme="minorHAnsi"/>
          <w:color w:val="1B1C20"/>
        </w:rPr>
        <w:t>Law, B.A., Hill, P.S., Maier, I., Milligan,</w:t>
      </w:r>
      <w:r w:rsidR="0034519C">
        <w:rPr>
          <w:rFonts w:cstheme="minorHAnsi"/>
          <w:color w:val="1B1C20"/>
        </w:rPr>
        <w:t xml:space="preserve"> </w:t>
      </w:r>
      <w:r w:rsidRPr="00AB7C05">
        <w:rPr>
          <w:rFonts w:cstheme="minorHAnsi"/>
          <w:color w:val="1B1C20"/>
        </w:rPr>
        <w:t xml:space="preserve">T.G., </w:t>
      </w:r>
      <w:r w:rsidR="0034519C">
        <w:rPr>
          <w:rFonts w:cstheme="minorHAnsi"/>
          <w:color w:val="1B1C20"/>
        </w:rPr>
        <w:t xml:space="preserve">and F. </w:t>
      </w:r>
      <w:r w:rsidRPr="00AB7C05">
        <w:rPr>
          <w:rFonts w:cstheme="minorHAnsi"/>
          <w:color w:val="1B1C20"/>
        </w:rPr>
        <w:t xml:space="preserve">Page. 2014. Size, settling velocity and density of small suspended particles at an active salmon aquaculture site. </w:t>
      </w:r>
      <w:r w:rsidRPr="0034519C">
        <w:rPr>
          <w:rFonts w:cstheme="minorHAnsi"/>
          <w:i/>
          <w:color w:val="1B1C20"/>
        </w:rPr>
        <w:t>Aquacult</w:t>
      </w:r>
      <w:r w:rsidR="0034519C" w:rsidRPr="0034519C">
        <w:rPr>
          <w:rFonts w:cstheme="minorHAnsi"/>
          <w:i/>
          <w:color w:val="1B1C20"/>
        </w:rPr>
        <w:t>ure</w:t>
      </w:r>
      <w:r w:rsidRPr="0034519C">
        <w:rPr>
          <w:rFonts w:cstheme="minorHAnsi"/>
          <w:i/>
          <w:color w:val="1B1C20"/>
        </w:rPr>
        <w:t xml:space="preserve"> Environ</w:t>
      </w:r>
      <w:r w:rsidR="0034519C" w:rsidRPr="0034519C">
        <w:rPr>
          <w:rFonts w:cstheme="minorHAnsi"/>
          <w:i/>
          <w:color w:val="1B1C20"/>
        </w:rPr>
        <w:t>ment</w:t>
      </w:r>
      <w:r w:rsidRPr="0034519C">
        <w:rPr>
          <w:rFonts w:cstheme="minorHAnsi"/>
          <w:i/>
          <w:color w:val="1B1C20"/>
        </w:rPr>
        <w:t xml:space="preserve"> Interact</w:t>
      </w:r>
      <w:r w:rsidR="0034519C" w:rsidRPr="0034519C">
        <w:rPr>
          <w:rFonts w:cstheme="minorHAnsi"/>
          <w:i/>
          <w:color w:val="1B1C20"/>
        </w:rPr>
        <w:t>ions</w:t>
      </w:r>
      <w:r w:rsidRPr="00AB7C05">
        <w:rPr>
          <w:rFonts w:cstheme="minorHAnsi"/>
          <w:color w:val="1B1C20"/>
        </w:rPr>
        <w:t xml:space="preserve"> 6: </w:t>
      </w:r>
      <w:r w:rsidR="0034519C">
        <w:rPr>
          <w:rFonts w:cstheme="minorHAnsi"/>
          <w:color w:val="1B1C20"/>
        </w:rPr>
        <w:t>2</w:t>
      </w:r>
      <w:r w:rsidRPr="00AB7C05">
        <w:rPr>
          <w:rFonts w:cstheme="minorHAnsi"/>
          <w:color w:val="1B1C20"/>
        </w:rPr>
        <w:t>9−42.</w:t>
      </w:r>
    </w:p>
    <w:p w:rsidR="0034519C" w:rsidRDefault="0034519C" w:rsidP="0034519C">
      <w:pPr>
        <w:autoSpaceDE w:val="0"/>
        <w:autoSpaceDN w:val="0"/>
        <w:adjustRightInd w:val="0"/>
        <w:spacing w:after="0" w:line="240" w:lineRule="auto"/>
        <w:rPr>
          <w:rFonts w:cstheme="minorHAnsi"/>
          <w:color w:val="1B1C20"/>
        </w:rPr>
      </w:pPr>
    </w:p>
    <w:p w:rsidR="006530E5" w:rsidRDefault="006530E5" w:rsidP="003451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C05">
        <w:rPr>
          <w:rFonts w:cstheme="minorHAnsi"/>
        </w:rPr>
        <w:t>Loucks,</w:t>
      </w:r>
      <w:r w:rsidR="0034519C">
        <w:rPr>
          <w:rFonts w:cstheme="minorHAnsi"/>
        </w:rPr>
        <w:t xml:space="preserve"> R.H.</w:t>
      </w:r>
      <w:proofErr w:type="gramStart"/>
      <w:r w:rsidR="0034519C">
        <w:rPr>
          <w:rFonts w:cstheme="minorHAnsi"/>
        </w:rPr>
        <w:t xml:space="preserve">, </w:t>
      </w:r>
      <w:r w:rsidRPr="00AB7C05">
        <w:rPr>
          <w:rFonts w:cstheme="minorHAnsi"/>
        </w:rPr>
        <w:t xml:space="preserve"> Smith</w:t>
      </w:r>
      <w:proofErr w:type="gramEnd"/>
      <w:r w:rsidRPr="00AB7C05">
        <w:rPr>
          <w:rFonts w:cstheme="minorHAnsi"/>
        </w:rPr>
        <w:t>,</w:t>
      </w:r>
      <w:r w:rsidR="0034519C">
        <w:rPr>
          <w:rFonts w:cstheme="minorHAnsi"/>
        </w:rPr>
        <w:t xml:space="preserve"> R.E.,</w:t>
      </w:r>
      <w:r w:rsidRPr="00AB7C05">
        <w:rPr>
          <w:rFonts w:cstheme="minorHAnsi"/>
        </w:rPr>
        <w:t xml:space="preserve"> Fisher,</w:t>
      </w:r>
      <w:r w:rsidR="0034519C">
        <w:rPr>
          <w:rFonts w:cstheme="minorHAnsi"/>
        </w:rPr>
        <w:t xml:space="preserve"> C.V., and </w:t>
      </w:r>
      <w:r w:rsidRPr="00AB7C05">
        <w:rPr>
          <w:rFonts w:cstheme="minorHAnsi"/>
        </w:rPr>
        <w:t>B. Fisher. 2012</w:t>
      </w:r>
      <w:r w:rsidR="0034519C">
        <w:rPr>
          <w:rFonts w:cstheme="minorHAnsi"/>
        </w:rPr>
        <w:t>.</w:t>
      </w:r>
      <w:r w:rsidRPr="00AB7C05">
        <w:rPr>
          <w:rFonts w:cstheme="minorHAnsi"/>
        </w:rPr>
        <w:t xml:space="preserve"> Copper in the sediment and sea surface microlayer near a fallowed open-net fish farm. </w:t>
      </w:r>
      <w:r w:rsidRPr="0034519C">
        <w:rPr>
          <w:rFonts w:cstheme="minorHAnsi"/>
          <w:i/>
        </w:rPr>
        <w:t>Mar</w:t>
      </w:r>
      <w:r w:rsidR="0034519C" w:rsidRPr="0034519C">
        <w:rPr>
          <w:rFonts w:cstheme="minorHAnsi"/>
          <w:i/>
        </w:rPr>
        <w:t>ine</w:t>
      </w:r>
      <w:r w:rsidRPr="0034519C">
        <w:rPr>
          <w:rFonts w:cstheme="minorHAnsi"/>
          <w:i/>
        </w:rPr>
        <w:t xml:space="preserve"> Pollut</w:t>
      </w:r>
      <w:r w:rsidR="0034519C" w:rsidRPr="0034519C">
        <w:rPr>
          <w:rFonts w:cstheme="minorHAnsi"/>
          <w:i/>
        </w:rPr>
        <w:t>ion</w:t>
      </w:r>
      <w:r w:rsidRPr="0034519C">
        <w:rPr>
          <w:rFonts w:cstheme="minorHAnsi"/>
          <w:i/>
        </w:rPr>
        <w:t xml:space="preserve"> Bull</w:t>
      </w:r>
      <w:r w:rsidR="0034519C" w:rsidRPr="0034519C">
        <w:rPr>
          <w:rFonts w:cstheme="minorHAnsi"/>
          <w:i/>
        </w:rPr>
        <w:t>etin</w:t>
      </w:r>
      <w:r w:rsidRPr="00AB7C05">
        <w:rPr>
          <w:rFonts w:cstheme="minorHAnsi"/>
        </w:rPr>
        <w:t xml:space="preserve"> 64: 1970</w:t>
      </w:r>
      <w:r w:rsidR="0034519C">
        <w:rPr>
          <w:rFonts w:cstheme="minorHAnsi"/>
        </w:rPr>
        <w:t>-</w:t>
      </w:r>
      <w:r w:rsidRPr="00AB7C05">
        <w:rPr>
          <w:rFonts w:cstheme="minorHAnsi"/>
        </w:rPr>
        <w:t>1973.</w:t>
      </w:r>
    </w:p>
    <w:p w:rsidR="002B0865" w:rsidRDefault="002B0865" w:rsidP="003451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0865" w:rsidRDefault="002B0865" w:rsidP="003451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0865">
        <w:rPr>
          <w:rFonts w:cstheme="minorHAnsi"/>
        </w:rPr>
        <w:lastRenderedPageBreak/>
        <w:t>Maillet</w:t>
      </w:r>
      <w:proofErr w:type="spellEnd"/>
      <w:r w:rsidRPr="002B0865">
        <w:rPr>
          <w:rFonts w:cstheme="minorHAnsi"/>
        </w:rPr>
        <w:t xml:space="preserve">, D.G.C., </w:t>
      </w:r>
      <w:proofErr w:type="spellStart"/>
      <w:r w:rsidRPr="002B0865">
        <w:rPr>
          <w:rFonts w:cstheme="minorHAnsi"/>
        </w:rPr>
        <w:t>Wiber</w:t>
      </w:r>
      <w:proofErr w:type="spellEnd"/>
      <w:r w:rsidRPr="002B0865">
        <w:rPr>
          <w:rFonts w:cstheme="minorHAnsi"/>
        </w:rPr>
        <w:t xml:space="preserve">, M.G., and </w:t>
      </w:r>
      <w:r>
        <w:rPr>
          <w:rFonts w:cstheme="minorHAnsi"/>
        </w:rPr>
        <w:t xml:space="preserve">A. </w:t>
      </w:r>
      <w:r w:rsidRPr="002B0865">
        <w:rPr>
          <w:rFonts w:cstheme="minorHAnsi"/>
        </w:rPr>
        <w:t xml:space="preserve">Barnett. 2017. Actions towards the joint production of knowledge: the risk of salmon aquaculture on American </w:t>
      </w:r>
      <w:r w:rsidR="00A132F6">
        <w:rPr>
          <w:rFonts w:cstheme="minorHAnsi"/>
        </w:rPr>
        <w:t>l</w:t>
      </w:r>
      <w:r w:rsidRPr="002B0865">
        <w:rPr>
          <w:rFonts w:cstheme="minorHAnsi"/>
        </w:rPr>
        <w:t xml:space="preserve">obster. </w:t>
      </w:r>
      <w:r w:rsidRPr="002B0865">
        <w:rPr>
          <w:rFonts w:cstheme="minorHAnsi"/>
          <w:i/>
        </w:rPr>
        <w:t>Journal of Risk Research</w:t>
      </w:r>
      <w:r w:rsidRPr="002B0865">
        <w:rPr>
          <w:rFonts w:cstheme="minorHAnsi"/>
        </w:rPr>
        <w:t xml:space="preserve"> 55: 1–14.</w:t>
      </w:r>
    </w:p>
    <w:p w:rsidR="0034519C" w:rsidRPr="00AB7C05" w:rsidRDefault="0034519C" w:rsidP="0034519C">
      <w:pPr>
        <w:autoSpaceDE w:val="0"/>
        <w:autoSpaceDN w:val="0"/>
        <w:adjustRightInd w:val="0"/>
        <w:spacing w:after="0" w:line="240" w:lineRule="auto"/>
        <w:rPr>
          <w:rFonts w:cstheme="minorHAnsi"/>
          <w:color w:val="1B1C20"/>
        </w:rPr>
      </w:pPr>
    </w:p>
    <w:p w:rsidR="00582ABF" w:rsidRDefault="006530E5" w:rsidP="006448CC">
      <w:pPr>
        <w:autoSpaceDE w:val="0"/>
        <w:autoSpaceDN w:val="0"/>
        <w:adjustRightInd w:val="0"/>
        <w:spacing w:after="0" w:line="240" w:lineRule="auto"/>
        <w:rPr>
          <w:rFonts w:eastAsia="AdvPSTim" w:cstheme="minorHAnsi"/>
        </w:rPr>
      </w:pPr>
      <w:proofErr w:type="spellStart"/>
      <w:r w:rsidRPr="00AB7C05">
        <w:rPr>
          <w:rFonts w:eastAsia="AdvPSTim" w:cstheme="minorHAnsi"/>
        </w:rPr>
        <w:t>Mari</w:t>
      </w:r>
      <w:r w:rsidR="00105050" w:rsidRPr="00AB7C05">
        <w:rPr>
          <w:rFonts w:eastAsia="AdvPSTim" w:cstheme="minorHAnsi"/>
        </w:rPr>
        <w:t>ñ</w:t>
      </w:r>
      <w:r w:rsidRPr="00AB7C05">
        <w:rPr>
          <w:rFonts w:eastAsia="AdvPSTim" w:cstheme="minorHAnsi"/>
        </w:rPr>
        <w:t>o</w:t>
      </w:r>
      <w:proofErr w:type="spellEnd"/>
      <w:r w:rsidRPr="00AB7C05">
        <w:rPr>
          <w:rFonts w:eastAsia="AdvPSTim" w:cstheme="minorHAnsi"/>
        </w:rPr>
        <w:t>-Balsa, J.C., Poza, E., V</w:t>
      </w:r>
      <w:r w:rsidR="00105050" w:rsidRPr="00AB7C05">
        <w:rPr>
          <w:rFonts w:eastAsia="AdvPSTim" w:cstheme="minorHAnsi"/>
        </w:rPr>
        <w:t>á</w:t>
      </w:r>
      <w:r w:rsidRPr="00AB7C05">
        <w:rPr>
          <w:rFonts w:eastAsia="AdvPSTim" w:cstheme="minorHAnsi"/>
        </w:rPr>
        <w:t>zquez, E.,</w:t>
      </w:r>
      <w:r w:rsidR="006448CC">
        <w:rPr>
          <w:rFonts w:eastAsia="AdvPSTim" w:cstheme="minorHAnsi"/>
        </w:rPr>
        <w:t xml:space="preserve"> and R.</w:t>
      </w:r>
      <w:r w:rsidRPr="00AB7C05">
        <w:rPr>
          <w:rFonts w:eastAsia="AdvPSTim" w:cstheme="minorHAnsi"/>
        </w:rPr>
        <w:t xml:space="preserve"> </w:t>
      </w:r>
      <w:proofErr w:type="spellStart"/>
      <w:r w:rsidRPr="00AB7C05">
        <w:rPr>
          <w:rFonts w:eastAsia="AdvPSTim" w:cstheme="minorHAnsi"/>
        </w:rPr>
        <w:t>Beiras</w:t>
      </w:r>
      <w:proofErr w:type="spellEnd"/>
      <w:r w:rsidR="006448CC">
        <w:rPr>
          <w:rFonts w:eastAsia="AdvPSTim" w:cstheme="minorHAnsi"/>
        </w:rPr>
        <w:t>.</w:t>
      </w:r>
      <w:r w:rsidRPr="00AB7C05">
        <w:rPr>
          <w:rFonts w:eastAsia="AdvPSTim" w:cstheme="minorHAnsi"/>
        </w:rPr>
        <w:t xml:space="preserve"> 2000.</w:t>
      </w:r>
      <w:r w:rsidR="006448CC">
        <w:rPr>
          <w:rFonts w:eastAsia="AdvPSTim" w:cstheme="minorHAnsi"/>
        </w:rPr>
        <w:t xml:space="preserve"> </w:t>
      </w:r>
      <w:r w:rsidRPr="00AB7C05">
        <w:rPr>
          <w:rFonts w:eastAsia="AdvPSTim" w:cstheme="minorHAnsi"/>
        </w:rPr>
        <w:t>Comparative toxicity of dissolved metals to early larval</w:t>
      </w:r>
      <w:r w:rsidR="006448CC">
        <w:rPr>
          <w:rFonts w:eastAsia="AdvPSTim" w:cstheme="minorHAnsi"/>
        </w:rPr>
        <w:t xml:space="preserve"> </w:t>
      </w:r>
      <w:r w:rsidRPr="00AB7C05">
        <w:rPr>
          <w:rFonts w:eastAsia="AdvPSTim" w:cstheme="minorHAnsi"/>
        </w:rPr>
        <w:t xml:space="preserve">stages of </w:t>
      </w:r>
      <w:proofErr w:type="spellStart"/>
      <w:r w:rsidRPr="00AB7C05">
        <w:rPr>
          <w:rFonts w:eastAsia="AdvPSTim" w:cstheme="minorHAnsi"/>
          <w:i/>
        </w:rPr>
        <w:t>Palaemon</w:t>
      </w:r>
      <w:proofErr w:type="spellEnd"/>
      <w:r w:rsidRPr="00AB7C05">
        <w:rPr>
          <w:rFonts w:eastAsia="AdvPSTim" w:cstheme="minorHAnsi"/>
          <w:i/>
        </w:rPr>
        <w:t xml:space="preserve"> serratus</w:t>
      </w:r>
      <w:r w:rsidRPr="00AB7C05">
        <w:rPr>
          <w:rFonts w:eastAsia="AdvPSTim" w:cstheme="minorHAnsi"/>
        </w:rPr>
        <w:t xml:space="preserve">, </w:t>
      </w:r>
      <w:r w:rsidRPr="00AB7C05">
        <w:rPr>
          <w:rFonts w:eastAsia="AdvPSTim" w:cstheme="minorHAnsi"/>
          <w:i/>
        </w:rPr>
        <w:t xml:space="preserve">Maja </w:t>
      </w:r>
      <w:proofErr w:type="spellStart"/>
      <w:r w:rsidRPr="00AB7C05">
        <w:rPr>
          <w:rFonts w:eastAsia="AdvPSTim" w:cstheme="minorHAnsi"/>
          <w:i/>
        </w:rPr>
        <w:t>squinado</w:t>
      </w:r>
      <w:proofErr w:type="spellEnd"/>
      <w:r w:rsidRPr="00AB7C05">
        <w:rPr>
          <w:rFonts w:eastAsia="AdvPSTim" w:cstheme="minorHAnsi"/>
        </w:rPr>
        <w:t xml:space="preserve"> and </w:t>
      </w:r>
      <w:proofErr w:type="spellStart"/>
      <w:r w:rsidRPr="00AB7C05">
        <w:rPr>
          <w:rFonts w:eastAsia="AdvPSTim" w:cstheme="minorHAnsi"/>
          <w:i/>
        </w:rPr>
        <w:t>Homarus</w:t>
      </w:r>
      <w:proofErr w:type="spellEnd"/>
      <w:r w:rsidR="006448CC">
        <w:rPr>
          <w:rFonts w:eastAsia="AdvPSTim" w:cstheme="minorHAnsi"/>
          <w:i/>
        </w:rPr>
        <w:t xml:space="preserve"> </w:t>
      </w:r>
      <w:proofErr w:type="spellStart"/>
      <w:r w:rsidRPr="00AB7C05">
        <w:rPr>
          <w:rFonts w:eastAsia="AdvPSTim" w:cstheme="minorHAnsi"/>
          <w:i/>
        </w:rPr>
        <w:t>gammarus</w:t>
      </w:r>
      <w:proofErr w:type="spellEnd"/>
      <w:r w:rsidRPr="00AB7C05">
        <w:rPr>
          <w:rFonts w:eastAsia="AdvPSTim" w:cstheme="minorHAnsi"/>
        </w:rPr>
        <w:t xml:space="preserve"> (Crustacea: </w:t>
      </w:r>
      <w:proofErr w:type="spellStart"/>
      <w:r w:rsidR="006448CC">
        <w:rPr>
          <w:rFonts w:eastAsia="AdvPSTim" w:cstheme="minorHAnsi"/>
        </w:rPr>
        <w:t>D</w:t>
      </w:r>
      <w:r w:rsidRPr="00AB7C05">
        <w:rPr>
          <w:rFonts w:eastAsia="AdvPSTim" w:cstheme="minorHAnsi"/>
        </w:rPr>
        <w:t>ecapoda</w:t>
      </w:r>
      <w:proofErr w:type="spellEnd"/>
      <w:r w:rsidRPr="00AB7C05">
        <w:rPr>
          <w:rFonts w:eastAsia="AdvPSTim" w:cstheme="minorHAnsi"/>
        </w:rPr>
        <w:t xml:space="preserve">). </w:t>
      </w:r>
      <w:r w:rsidRPr="0034519C">
        <w:rPr>
          <w:rFonts w:eastAsia="AdvPSTim" w:cstheme="minorHAnsi"/>
          <w:i/>
        </w:rPr>
        <w:t>Arch</w:t>
      </w:r>
      <w:r w:rsidR="006448CC" w:rsidRPr="0034519C">
        <w:rPr>
          <w:rFonts w:eastAsia="AdvPSTim" w:cstheme="minorHAnsi"/>
          <w:i/>
        </w:rPr>
        <w:t xml:space="preserve">ives of </w:t>
      </w:r>
      <w:r w:rsidRPr="0034519C">
        <w:rPr>
          <w:rFonts w:eastAsia="AdvPSTim" w:cstheme="minorHAnsi"/>
          <w:i/>
        </w:rPr>
        <w:t>Environ</w:t>
      </w:r>
      <w:r w:rsidR="006448CC" w:rsidRPr="0034519C">
        <w:rPr>
          <w:rFonts w:eastAsia="AdvPSTim" w:cstheme="minorHAnsi"/>
          <w:i/>
        </w:rPr>
        <w:t>mental</w:t>
      </w:r>
      <w:r w:rsidRPr="0034519C">
        <w:rPr>
          <w:rFonts w:eastAsia="AdvPSTim" w:cstheme="minorHAnsi"/>
          <w:i/>
        </w:rPr>
        <w:t xml:space="preserve"> Contam</w:t>
      </w:r>
      <w:r w:rsidR="006448CC" w:rsidRPr="0034519C">
        <w:rPr>
          <w:rFonts w:eastAsia="AdvPSTim" w:cstheme="minorHAnsi"/>
          <w:i/>
        </w:rPr>
        <w:t xml:space="preserve">ination </w:t>
      </w:r>
      <w:proofErr w:type="gramStart"/>
      <w:r w:rsidR="006448CC" w:rsidRPr="0034519C">
        <w:rPr>
          <w:rFonts w:eastAsia="AdvPSTim" w:cstheme="minorHAnsi"/>
          <w:i/>
        </w:rPr>
        <w:t xml:space="preserve">and  </w:t>
      </w:r>
      <w:r w:rsidRPr="0034519C">
        <w:rPr>
          <w:rFonts w:eastAsia="AdvPSTim" w:cstheme="minorHAnsi"/>
          <w:i/>
        </w:rPr>
        <w:t>Toxicol</w:t>
      </w:r>
      <w:r w:rsidR="006448CC" w:rsidRPr="0034519C">
        <w:rPr>
          <w:rFonts w:eastAsia="AdvPSTim" w:cstheme="minorHAnsi"/>
          <w:i/>
        </w:rPr>
        <w:t>ogy</w:t>
      </w:r>
      <w:proofErr w:type="gramEnd"/>
      <w:r w:rsidRPr="00AB7C05">
        <w:rPr>
          <w:rFonts w:eastAsia="AdvPSTim" w:cstheme="minorHAnsi"/>
        </w:rPr>
        <w:t xml:space="preserve"> 39</w:t>
      </w:r>
      <w:r w:rsidR="006448CC">
        <w:rPr>
          <w:rFonts w:eastAsia="AdvPSTim" w:cstheme="minorHAnsi"/>
        </w:rPr>
        <w:t>:</w:t>
      </w:r>
      <w:r w:rsidRPr="00AB7C05">
        <w:rPr>
          <w:rFonts w:eastAsia="AdvPSTim" w:cstheme="minorHAnsi"/>
        </w:rPr>
        <w:t xml:space="preserve"> 345–351.</w:t>
      </w:r>
    </w:p>
    <w:p w:rsidR="0036110F" w:rsidRDefault="0036110F" w:rsidP="006448CC">
      <w:pPr>
        <w:autoSpaceDE w:val="0"/>
        <w:autoSpaceDN w:val="0"/>
        <w:adjustRightInd w:val="0"/>
        <w:spacing w:after="0" w:line="240" w:lineRule="auto"/>
        <w:rPr>
          <w:rFonts w:eastAsia="AdvPSTim" w:cstheme="minorHAnsi"/>
        </w:rPr>
      </w:pPr>
    </w:p>
    <w:p w:rsidR="0036110F" w:rsidRPr="0036110F" w:rsidRDefault="0036110F" w:rsidP="003611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110F">
        <w:rPr>
          <w:rFonts w:eastAsia="GulliverRM" w:cstheme="minorHAnsi"/>
        </w:rPr>
        <w:t>Mart</w:t>
      </w:r>
      <w:r>
        <w:rPr>
          <w:rFonts w:eastAsia="GulliverRM" w:cstheme="minorHAnsi"/>
        </w:rPr>
        <w:t>í</w:t>
      </w:r>
      <w:r w:rsidR="00A132F6">
        <w:rPr>
          <w:rFonts w:eastAsia="GulliverRM" w:cstheme="minorHAnsi"/>
        </w:rPr>
        <w:t>nez-</w:t>
      </w:r>
      <w:proofErr w:type="spellStart"/>
      <w:r w:rsidR="00A132F6">
        <w:rPr>
          <w:rFonts w:eastAsia="GulliverRM" w:cstheme="minorHAnsi"/>
        </w:rPr>
        <w:t>Crego</w:t>
      </w:r>
      <w:proofErr w:type="spellEnd"/>
      <w:r w:rsidR="00A132F6">
        <w:rPr>
          <w:rFonts w:eastAsia="GulliverRM" w:cstheme="minorHAnsi"/>
        </w:rPr>
        <w:t xml:space="preserve">, B., </w:t>
      </w:r>
      <w:proofErr w:type="spellStart"/>
      <w:r w:rsidRPr="0036110F">
        <w:rPr>
          <w:rFonts w:eastAsia="GulliverRM" w:cstheme="minorHAnsi"/>
        </w:rPr>
        <w:t>Alcoverro</w:t>
      </w:r>
      <w:proofErr w:type="spellEnd"/>
      <w:r w:rsidRPr="0036110F">
        <w:rPr>
          <w:rFonts w:eastAsia="GulliverRM" w:cstheme="minorHAnsi"/>
        </w:rPr>
        <w:t>, T., Romero, J., 2010. Biotic indices for assessing the</w:t>
      </w:r>
      <w:r>
        <w:rPr>
          <w:rFonts w:eastAsia="GulliverRM" w:cstheme="minorHAnsi"/>
        </w:rPr>
        <w:t xml:space="preserve"> </w:t>
      </w:r>
      <w:r w:rsidRPr="0036110F">
        <w:rPr>
          <w:rFonts w:eastAsia="GulliverRM" w:cstheme="minorHAnsi"/>
        </w:rPr>
        <w:t xml:space="preserve">status of coastal waters: a review of strengths and weaknesses. </w:t>
      </w:r>
      <w:r w:rsidRPr="00AD658F">
        <w:rPr>
          <w:rFonts w:eastAsia="GulliverRM" w:cstheme="minorHAnsi"/>
          <w:i/>
        </w:rPr>
        <w:t>J</w:t>
      </w:r>
      <w:r w:rsidR="00AD658F" w:rsidRPr="00AD658F">
        <w:rPr>
          <w:rFonts w:eastAsia="GulliverRM" w:cstheme="minorHAnsi"/>
          <w:i/>
        </w:rPr>
        <w:t xml:space="preserve">ournal </w:t>
      </w:r>
      <w:proofErr w:type="gramStart"/>
      <w:r w:rsidR="00AD658F" w:rsidRPr="00AD658F">
        <w:rPr>
          <w:rFonts w:eastAsia="GulliverRM" w:cstheme="minorHAnsi"/>
          <w:i/>
        </w:rPr>
        <w:t xml:space="preserve">of </w:t>
      </w:r>
      <w:r w:rsidRPr="00AD658F">
        <w:rPr>
          <w:rFonts w:eastAsia="GulliverRM" w:cstheme="minorHAnsi"/>
          <w:i/>
        </w:rPr>
        <w:t xml:space="preserve"> Environ</w:t>
      </w:r>
      <w:r w:rsidR="00AD658F" w:rsidRPr="00AD658F">
        <w:rPr>
          <w:rFonts w:eastAsia="GulliverRM" w:cstheme="minorHAnsi"/>
          <w:i/>
        </w:rPr>
        <w:t>mental</w:t>
      </w:r>
      <w:proofErr w:type="gramEnd"/>
      <w:r w:rsidRPr="00AD658F">
        <w:rPr>
          <w:rFonts w:eastAsia="GulliverRM" w:cstheme="minorHAnsi"/>
          <w:i/>
        </w:rPr>
        <w:t xml:space="preserve"> Monit</w:t>
      </w:r>
      <w:r w:rsidR="00AD658F" w:rsidRPr="00AD658F">
        <w:rPr>
          <w:rFonts w:eastAsia="GulliverRM" w:cstheme="minorHAnsi"/>
          <w:i/>
        </w:rPr>
        <w:t>oring</w:t>
      </w:r>
      <w:r>
        <w:rPr>
          <w:rFonts w:eastAsia="GulliverRM" w:cstheme="minorHAnsi"/>
        </w:rPr>
        <w:t xml:space="preserve"> </w:t>
      </w:r>
      <w:r w:rsidRPr="0036110F">
        <w:rPr>
          <w:rFonts w:eastAsia="GulliverRM" w:cstheme="minorHAnsi"/>
        </w:rPr>
        <w:t>12</w:t>
      </w:r>
      <w:r w:rsidR="00AD658F">
        <w:rPr>
          <w:rFonts w:eastAsia="GulliverRM" w:cstheme="minorHAnsi"/>
        </w:rPr>
        <w:t>:</w:t>
      </w:r>
      <w:r w:rsidRPr="0036110F">
        <w:rPr>
          <w:rFonts w:eastAsia="GulliverRM" w:cstheme="minorHAnsi"/>
        </w:rPr>
        <w:t xml:space="preserve"> 1013–1028.</w:t>
      </w:r>
    </w:p>
    <w:p w:rsidR="006448CC" w:rsidRDefault="00AB7C05" w:rsidP="006448C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Style w:val="NoneB"/>
          <w:rFonts w:asciiTheme="minorHAnsi" w:hAnsiTheme="minorHAnsi" w:cstheme="minorHAnsi"/>
          <w:bCs/>
          <w:color w:val="auto"/>
          <w:u w:color="FF0000"/>
        </w:rPr>
      </w:pPr>
      <w:r w:rsidRPr="00AB7C05">
        <w:rPr>
          <w:rFonts w:asciiTheme="minorHAnsi" w:hAnsiTheme="minorHAnsi" w:cstheme="minorHAnsi"/>
        </w:rPr>
        <w:t>McIver</w:t>
      </w:r>
      <w:r w:rsidR="0034519C">
        <w:rPr>
          <w:rFonts w:asciiTheme="minorHAnsi" w:hAnsiTheme="minorHAnsi" w:cstheme="minorHAnsi"/>
        </w:rPr>
        <w:t>,</w:t>
      </w:r>
      <w:r w:rsidRPr="00AB7C05">
        <w:rPr>
          <w:rFonts w:asciiTheme="minorHAnsi" w:hAnsiTheme="minorHAnsi" w:cstheme="minorHAnsi"/>
        </w:rPr>
        <w:t xml:space="preserve"> R</w:t>
      </w:r>
      <w:r w:rsidR="0034519C">
        <w:rPr>
          <w:rFonts w:asciiTheme="minorHAnsi" w:hAnsiTheme="minorHAnsi" w:cstheme="minorHAnsi"/>
        </w:rPr>
        <w:t>.</w:t>
      </w:r>
      <w:r w:rsidRPr="00AB7C05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AB7C05">
        <w:rPr>
          <w:rFonts w:asciiTheme="minorHAnsi" w:hAnsiTheme="minorHAnsi" w:cstheme="minorHAnsi"/>
        </w:rPr>
        <w:t>Milewski</w:t>
      </w:r>
      <w:proofErr w:type="spellEnd"/>
      <w:r w:rsidRPr="00AB7C05">
        <w:rPr>
          <w:rFonts w:asciiTheme="minorHAnsi" w:hAnsiTheme="minorHAnsi" w:cstheme="minorHAnsi"/>
        </w:rPr>
        <w:t xml:space="preserve"> </w:t>
      </w:r>
      <w:r w:rsidR="0034519C">
        <w:rPr>
          <w:rFonts w:asciiTheme="minorHAnsi" w:hAnsiTheme="minorHAnsi" w:cstheme="minorHAnsi"/>
        </w:rPr>
        <w:t>,</w:t>
      </w:r>
      <w:proofErr w:type="gramEnd"/>
      <w:r w:rsidR="0034519C">
        <w:rPr>
          <w:rFonts w:asciiTheme="minorHAnsi" w:hAnsiTheme="minorHAnsi" w:cstheme="minorHAnsi"/>
        </w:rPr>
        <w:t xml:space="preserve"> </w:t>
      </w:r>
      <w:r w:rsidRPr="00AB7C05">
        <w:rPr>
          <w:rFonts w:asciiTheme="minorHAnsi" w:hAnsiTheme="minorHAnsi" w:cstheme="minorHAnsi"/>
        </w:rPr>
        <w:t>I</w:t>
      </w:r>
      <w:r w:rsidR="0034519C">
        <w:rPr>
          <w:rFonts w:asciiTheme="minorHAnsi" w:hAnsiTheme="minorHAnsi" w:cstheme="minorHAnsi"/>
        </w:rPr>
        <w:t>.</w:t>
      </w:r>
      <w:r w:rsidRPr="00AB7C05">
        <w:rPr>
          <w:rFonts w:asciiTheme="minorHAnsi" w:hAnsiTheme="minorHAnsi" w:cstheme="minorHAnsi"/>
        </w:rPr>
        <w:t>, Loucks</w:t>
      </w:r>
      <w:r w:rsidR="0034519C">
        <w:rPr>
          <w:rFonts w:asciiTheme="minorHAnsi" w:hAnsiTheme="minorHAnsi" w:cstheme="minorHAnsi"/>
        </w:rPr>
        <w:t>,</w:t>
      </w:r>
      <w:r w:rsidRPr="00AB7C05">
        <w:rPr>
          <w:rFonts w:asciiTheme="minorHAnsi" w:hAnsiTheme="minorHAnsi" w:cstheme="minorHAnsi"/>
        </w:rPr>
        <w:t xml:space="preserve"> R</w:t>
      </w:r>
      <w:r w:rsidR="0034519C">
        <w:rPr>
          <w:rFonts w:asciiTheme="minorHAnsi" w:hAnsiTheme="minorHAnsi" w:cstheme="minorHAnsi"/>
        </w:rPr>
        <w:t>.</w:t>
      </w:r>
      <w:r w:rsidRPr="00AB7C05">
        <w:rPr>
          <w:rFonts w:asciiTheme="minorHAnsi" w:hAnsiTheme="minorHAnsi" w:cstheme="minorHAnsi"/>
        </w:rPr>
        <w:t xml:space="preserve">, </w:t>
      </w:r>
      <w:r w:rsidR="0034519C">
        <w:rPr>
          <w:rFonts w:asciiTheme="minorHAnsi" w:hAnsiTheme="minorHAnsi" w:cstheme="minorHAnsi"/>
        </w:rPr>
        <w:t>and R. S</w:t>
      </w:r>
      <w:r w:rsidRPr="00AB7C05">
        <w:rPr>
          <w:rFonts w:asciiTheme="minorHAnsi" w:hAnsiTheme="minorHAnsi" w:cstheme="minorHAnsi"/>
        </w:rPr>
        <w:t xml:space="preserve">mith. 2018. </w:t>
      </w:r>
      <w:r w:rsidRPr="00AB7C05">
        <w:rPr>
          <w:rStyle w:val="NoneB"/>
          <w:rFonts w:asciiTheme="minorHAnsi" w:hAnsiTheme="minorHAnsi" w:cstheme="minorHAnsi"/>
          <w:bCs/>
          <w:u w:color="FF0000"/>
        </w:rPr>
        <w:t>Estimating nitrogen loading and far-field dispersal potential from background sources and coastal finfish aquaculture: a simple framework and case study in Atlantic Canada</w:t>
      </w:r>
      <w:r w:rsidRPr="00AB7C05">
        <w:rPr>
          <w:rStyle w:val="NoneB"/>
          <w:rFonts w:asciiTheme="minorHAnsi" w:hAnsiTheme="minorHAnsi" w:cstheme="minorHAnsi"/>
          <w:bCs/>
          <w:color w:val="auto"/>
          <w:u w:color="FF0000"/>
        </w:rPr>
        <w:t xml:space="preserve">. </w:t>
      </w:r>
      <w:r w:rsidRPr="00AB7C05">
        <w:rPr>
          <w:rStyle w:val="NoneB"/>
          <w:rFonts w:asciiTheme="minorHAnsi" w:hAnsiTheme="minorHAnsi" w:cstheme="minorHAnsi"/>
          <w:bCs/>
          <w:i/>
          <w:color w:val="auto"/>
          <w:u w:color="FF0000"/>
        </w:rPr>
        <w:t>Estuarine, Coastal and Shelf Science</w:t>
      </w:r>
      <w:r w:rsidRPr="00AB7C05">
        <w:rPr>
          <w:rStyle w:val="NoneB"/>
          <w:rFonts w:asciiTheme="minorHAnsi" w:hAnsiTheme="minorHAnsi" w:cstheme="minorHAnsi"/>
          <w:bCs/>
          <w:color w:val="auto"/>
          <w:u w:color="FF0000"/>
        </w:rPr>
        <w:t xml:space="preserve"> 205:46-57. </w:t>
      </w:r>
    </w:p>
    <w:p w:rsidR="006448CC" w:rsidRDefault="009F2B51" w:rsidP="006448C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Theme="minorHAnsi" w:hAnsiTheme="minorHAnsi" w:cstheme="minorHAnsi"/>
        </w:rPr>
      </w:pPr>
      <w:proofErr w:type="spellStart"/>
      <w:r w:rsidRPr="00AB7C05">
        <w:rPr>
          <w:rFonts w:asciiTheme="minorHAnsi" w:hAnsiTheme="minorHAnsi" w:cstheme="minorHAnsi"/>
        </w:rPr>
        <w:t>Milewski</w:t>
      </w:r>
      <w:proofErr w:type="spellEnd"/>
      <w:r w:rsidRPr="00AB7C05">
        <w:rPr>
          <w:rFonts w:asciiTheme="minorHAnsi" w:hAnsiTheme="minorHAnsi" w:cstheme="minorHAnsi"/>
        </w:rPr>
        <w:t xml:space="preserve">, I., Loucks, R.H., Fisher, B., Smith, R.E., McCain, J.S.P. and </w:t>
      </w:r>
      <w:r w:rsidR="0034519C">
        <w:rPr>
          <w:rFonts w:asciiTheme="minorHAnsi" w:hAnsiTheme="minorHAnsi" w:cstheme="minorHAnsi"/>
        </w:rPr>
        <w:t xml:space="preserve">H.K. </w:t>
      </w:r>
      <w:proofErr w:type="spellStart"/>
      <w:r w:rsidRPr="00AB7C05">
        <w:rPr>
          <w:rFonts w:asciiTheme="minorHAnsi" w:hAnsiTheme="minorHAnsi" w:cstheme="minorHAnsi"/>
        </w:rPr>
        <w:t>Lotze</w:t>
      </w:r>
      <w:proofErr w:type="spellEnd"/>
      <w:r w:rsidRPr="00AB7C05">
        <w:rPr>
          <w:rFonts w:asciiTheme="minorHAnsi" w:hAnsiTheme="minorHAnsi" w:cstheme="minorHAnsi"/>
        </w:rPr>
        <w:t>. 2018. Sea-cage aquaculture impacts market and berried lobster (</w:t>
      </w:r>
      <w:proofErr w:type="spellStart"/>
      <w:r w:rsidRPr="00AB7C05">
        <w:rPr>
          <w:rFonts w:asciiTheme="minorHAnsi" w:hAnsiTheme="minorHAnsi" w:cstheme="minorHAnsi"/>
          <w:i/>
        </w:rPr>
        <w:t>Homarus</w:t>
      </w:r>
      <w:proofErr w:type="spellEnd"/>
      <w:r w:rsidRPr="00AB7C05">
        <w:rPr>
          <w:rFonts w:asciiTheme="minorHAnsi" w:hAnsiTheme="minorHAnsi" w:cstheme="minorHAnsi"/>
          <w:i/>
        </w:rPr>
        <w:t xml:space="preserve"> </w:t>
      </w:r>
      <w:proofErr w:type="spellStart"/>
      <w:r w:rsidRPr="00AB7C05">
        <w:rPr>
          <w:rFonts w:asciiTheme="minorHAnsi" w:hAnsiTheme="minorHAnsi" w:cstheme="minorHAnsi"/>
          <w:i/>
        </w:rPr>
        <w:t>americanus</w:t>
      </w:r>
      <w:proofErr w:type="spellEnd"/>
      <w:r w:rsidRPr="00AB7C05">
        <w:rPr>
          <w:rFonts w:asciiTheme="minorHAnsi" w:hAnsiTheme="minorHAnsi" w:cstheme="minorHAnsi"/>
        </w:rPr>
        <w:t xml:space="preserve">) catches. </w:t>
      </w:r>
      <w:r w:rsidRPr="00AB7C05">
        <w:rPr>
          <w:rFonts w:asciiTheme="minorHAnsi" w:hAnsiTheme="minorHAnsi" w:cstheme="minorHAnsi"/>
          <w:i/>
        </w:rPr>
        <w:t xml:space="preserve">Marine Ecology Progress Series </w:t>
      </w:r>
      <w:r w:rsidRPr="00AB7C05">
        <w:rPr>
          <w:rFonts w:asciiTheme="minorHAnsi" w:hAnsiTheme="minorHAnsi" w:cstheme="minorHAnsi"/>
        </w:rPr>
        <w:t>598:85-97.</w:t>
      </w:r>
    </w:p>
    <w:p w:rsidR="00582ABF" w:rsidRDefault="00105050" w:rsidP="006448C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cstheme="minorHAnsi"/>
        </w:rPr>
      </w:pPr>
      <w:r w:rsidRPr="00AB7C05">
        <w:rPr>
          <w:rFonts w:asciiTheme="minorHAnsi" w:hAnsiTheme="minorHAnsi" w:cstheme="minorHAnsi"/>
        </w:rPr>
        <w:t>Pawlowski, J.,</w:t>
      </w:r>
      <w:r w:rsidR="0034519C">
        <w:rPr>
          <w:rFonts w:asciiTheme="minorHAnsi" w:hAnsiTheme="minorHAnsi" w:cstheme="minorHAnsi"/>
        </w:rPr>
        <w:t xml:space="preserve"> </w:t>
      </w:r>
      <w:proofErr w:type="spellStart"/>
      <w:r w:rsidR="0034519C">
        <w:rPr>
          <w:rFonts w:asciiTheme="minorHAnsi" w:hAnsiTheme="minorHAnsi" w:cstheme="minorHAnsi"/>
        </w:rPr>
        <w:t>Esling</w:t>
      </w:r>
      <w:proofErr w:type="spellEnd"/>
      <w:r w:rsidR="0034519C">
        <w:rPr>
          <w:rFonts w:asciiTheme="minorHAnsi" w:hAnsiTheme="minorHAnsi" w:cstheme="minorHAnsi"/>
        </w:rPr>
        <w:t xml:space="preserve">, P., </w:t>
      </w:r>
      <w:proofErr w:type="spellStart"/>
      <w:r w:rsidRPr="00AB7C05">
        <w:rPr>
          <w:rFonts w:asciiTheme="minorHAnsi" w:hAnsiTheme="minorHAnsi" w:cstheme="minorHAnsi"/>
        </w:rPr>
        <w:t>Lejzerowicz</w:t>
      </w:r>
      <w:proofErr w:type="spellEnd"/>
      <w:r w:rsidRPr="00AB7C05">
        <w:rPr>
          <w:rFonts w:asciiTheme="minorHAnsi" w:hAnsiTheme="minorHAnsi" w:cstheme="minorHAnsi"/>
        </w:rPr>
        <w:t>, F.,</w:t>
      </w:r>
      <w:r w:rsidR="0034519C">
        <w:rPr>
          <w:rFonts w:asciiTheme="minorHAnsi" w:hAnsiTheme="minorHAnsi" w:cstheme="minorHAnsi"/>
        </w:rPr>
        <w:t xml:space="preserve"> </w:t>
      </w:r>
      <w:proofErr w:type="gramStart"/>
      <w:r w:rsidRPr="00AB7C05">
        <w:rPr>
          <w:rFonts w:asciiTheme="minorHAnsi" w:hAnsiTheme="minorHAnsi" w:cstheme="minorHAnsi"/>
        </w:rPr>
        <w:t xml:space="preserve">Cordier, </w:t>
      </w:r>
      <w:r w:rsidR="00B21748">
        <w:rPr>
          <w:rFonts w:asciiTheme="minorHAnsi" w:hAnsiTheme="minorHAnsi" w:cstheme="minorHAnsi"/>
        </w:rPr>
        <w:t xml:space="preserve"> and</w:t>
      </w:r>
      <w:proofErr w:type="gramEnd"/>
      <w:r w:rsidR="00B21748">
        <w:rPr>
          <w:rFonts w:asciiTheme="minorHAnsi" w:hAnsiTheme="minorHAnsi" w:cstheme="minorHAnsi"/>
        </w:rPr>
        <w:t xml:space="preserve"> others</w:t>
      </w:r>
      <w:r w:rsidR="0034519C">
        <w:rPr>
          <w:rFonts w:asciiTheme="minorHAnsi" w:hAnsiTheme="minorHAnsi" w:cstheme="minorHAnsi"/>
        </w:rPr>
        <w:t>.</w:t>
      </w:r>
      <w:r w:rsidRPr="00AB7C05">
        <w:rPr>
          <w:rFonts w:asciiTheme="minorHAnsi" w:hAnsiTheme="minorHAnsi" w:cstheme="minorHAnsi"/>
        </w:rPr>
        <w:t xml:space="preserve"> 2016. Benthic monitoring of salmon farms in Norway using foraminiferal metabarcoding. </w:t>
      </w:r>
      <w:r w:rsidRPr="0034519C">
        <w:rPr>
          <w:rFonts w:asciiTheme="minorHAnsi" w:hAnsiTheme="minorHAnsi" w:cstheme="minorHAnsi"/>
          <w:i/>
        </w:rPr>
        <w:t>Aquac</w:t>
      </w:r>
      <w:r w:rsidR="0034519C" w:rsidRPr="0034519C">
        <w:rPr>
          <w:rFonts w:asciiTheme="minorHAnsi" w:hAnsiTheme="minorHAnsi" w:cstheme="minorHAnsi"/>
          <w:i/>
        </w:rPr>
        <w:t>ulture</w:t>
      </w:r>
      <w:r w:rsidRPr="0034519C">
        <w:rPr>
          <w:rFonts w:asciiTheme="minorHAnsi" w:hAnsiTheme="minorHAnsi" w:cstheme="minorHAnsi"/>
          <w:i/>
        </w:rPr>
        <w:t xml:space="preserve"> Environ</w:t>
      </w:r>
      <w:r w:rsidR="0034519C" w:rsidRPr="0034519C">
        <w:rPr>
          <w:rFonts w:asciiTheme="minorHAnsi" w:hAnsiTheme="minorHAnsi" w:cstheme="minorHAnsi"/>
          <w:i/>
        </w:rPr>
        <w:t>ment</w:t>
      </w:r>
      <w:r w:rsidRPr="0034519C">
        <w:rPr>
          <w:rFonts w:asciiTheme="minorHAnsi" w:hAnsiTheme="minorHAnsi" w:cstheme="minorHAnsi"/>
          <w:i/>
        </w:rPr>
        <w:t xml:space="preserve"> Interact</w:t>
      </w:r>
      <w:r w:rsidR="0034519C" w:rsidRPr="0034519C">
        <w:rPr>
          <w:rFonts w:asciiTheme="minorHAnsi" w:hAnsiTheme="minorHAnsi" w:cstheme="minorHAnsi"/>
          <w:i/>
        </w:rPr>
        <w:t>ions</w:t>
      </w:r>
      <w:r w:rsidRPr="00AB7C05">
        <w:rPr>
          <w:rFonts w:asciiTheme="minorHAnsi" w:hAnsiTheme="minorHAnsi" w:cstheme="minorHAnsi"/>
        </w:rPr>
        <w:t xml:space="preserve"> 8</w:t>
      </w:r>
      <w:r w:rsidR="0034519C">
        <w:rPr>
          <w:rFonts w:asciiTheme="minorHAnsi" w:hAnsiTheme="minorHAnsi" w:cstheme="minorHAnsi"/>
        </w:rPr>
        <w:t>:</w:t>
      </w:r>
      <w:r w:rsidRPr="00AB7C05">
        <w:rPr>
          <w:rFonts w:asciiTheme="minorHAnsi" w:hAnsiTheme="minorHAnsi" w:cstheme="minorHAnsi"/>
        </w:rPr>
        <w:t xml:space="preserve"> 371–386.</w:t>
      </w:r>
    </w:p>
    <w:p w:rsidR="006448CC" w:rsidRPr="00AB7C05" w:rsidRDefault="006448CC" w:rsidP="006448CC">
      <w:pPr>
        <w:spacing w:before="120" w:line="240" w:lineRule="auto"/>
        <w:rPr>
          <w:rStyle w:val="None"/>
          <w:rFonts w:cstheme="minorHAnsi"/>
          <w:u w:color="000000"/>
        </w:rPr>
      </w:pPr>
      <w:r w:rsidRPr="00AB7C05">
        <w:rPr>
          <w:rStyle w:val="None"/>
          <w:rFonts w:cstheme="minorHAnsi"/>
        </w:rPr>
        <w:t>Price</w:t>
      </w:r>
      <w:r w:rsidR="0034519C">
        <w:rPr>
          <w:rStyle w:val="None"/>
          <w:rFonts w:cstheme="minorHAnsi"/>
        </w:rPr>
        <w:t>,</w:t>
      </w:r>
      <w:r w:rsidRPr="00AB7C05">
        <w:rPr>
          <w:rStyle w:val="None"/>
          <w:rFonts w:cstheme="minorHAnsi"/>
        </w:rPr>
        <w:t xml:space="preserve"> C</w:t>
      </w:r>
      <w:r w:rsidR="0034519C">
        <w:rPr>
          <w:rStyle w:val="None"/>
          <w:rFonts w:cstheme="minorHAnsi"/>
        </w:rPr>
        <w:t>.</w:t>
      </w:r>
      <w:r w:rsidRPr="00AB7C05">
        <w:rPr>
          <w:rStyle w:val="None"/>
          <w:rFonts w:cstheme="minorHAnsi"/>
        </w:rPr>
        <w:t>, Black</w:t>
      </w:r>
      <w:r w:rsidR="0034519C">
        <w:rPr>
          <w:rStyle w:val="None"/>
          <w:rFonts w:cstheme="minorHAnsi"/>
        </w:rPr>
        <w:t>,</w:t>
      </w:r>
      <w:r w:rsidRPr="00AB7C05">
        <w:rPr>
          <w:rStyle w:val="None"/>
          <w:rFonts w:cstheme="minorHAnsi"/>
        </w:rPr>
        <w:t xml:space="preserve"> K</w:t>
      </w:r>
      <w:r w:rsidR="0034519C">
        <w:rPr>
          <w:rStyle w:val="None"/>
          <w:rFonts w:cstheme="minorHAnsi"/>
        </w:rPr>
        <w:t>.</w:t>
      </w:r>
      <w:r w:rsidRPr="00AB7C05">
        <w:rPr>
          <w:rStyle w:val="None"/>
          <w:rFonts w:cstheme="minorHAnsi"/>
        </w:rPr>
        <w:t>D</w:t>
      </w:r>
      <w:r w:rsidR="0034519C">
        <w:rPr>
          <w:rStyle w:val="None"/>
          <w:rFonts w:cstheme="minorHAnsi"/>
        </w:rPr>
        <w:t>.</w:t>
      </w:r>
      <w:r w:rsidRPr="00AB7C05">
        <w:rPr>
          <w:rStyle w:val="None"/>
          <w:rFonts w:cstheme="minorHAnsi"/>
        </w:rPr>
        <w:t>, Hargrave</w:t>
      </w:r>
      <w:r w:rsidR="0034519C">
        <w:rPr>
          <w:rStyle w:val="None"/>
          <w:rFonts w:cstheme="minorHAnsi"/>
        </w:rPr>
        <w:t>,</w:t>
      </w:r>
      <w:r w:rsidRPr="00AB7C05">
        <w:rPr>
          <w:rStyle w:val="None"/>
          <w:rFonts w:cstheme="minorHAnsi"/>
        </w:rPr>
        <w:t xml:space="preserve"> B</w:t>
      </w:r>
      <w:r w:rsidR="0034519C">
        <w:rPr>
          <w:rStyle w:val="None"/>
          <w:rFonts w:cstheme="minorHAnsi"/>
        </w:rPr>
        <w:t>.</w:t>
      </w:r>
      <w:r w:rsidRPr="00AB7C05">
        <w:rPr>
          <w:rStyle w:val="None"/>
          <w:rFonts w:cstheme="minorHAnsi"/>
        </w:rPr>
        <w:t>T</w:t>
      </w:r>
      <w:r w:rsidR="0034519C">
        <w:rPr>
          <w:rStyle w:val="None"/>
          <w:rFonts w:cstheme="minorHAnsi"/>
        </w:rPr>
        <w:t>.</w:t>
      </w:r>
      <w:r w:rsidRPr="00AB7C05">
        <w:rPr>
          <w:rStyle w:val="None"/>
          <w:rFonts w:cstheme="minorHAnsi"/>
        </w:rPr>
        <w:t>,</w:t>
      </w:r>
      <w:r w:rsidR="0034519C">
        <w:rPr>
          <w:rStyle w:val="None"/>
          <w:rFonts w:cstheme="minorHAnsi"/>
        </w:rPr>
        <w:t xml:space="preserve"> and J.A.</w:t>
      </w:r>
      <w:r w:rsidRPr="00AB7C05">
        <w:rPr>
          <w:rStyle w:val="None"/>
          <w:rFonts w:cstheme="minorHAnsi"/>
        </w:rPr>
        <w:t xml:space="preserve"> Morris Jr. 2015. Marine cage culture and the environment: effects on water quality and primary production. </w:t>
      </w:r>
      <w:r w:rsidRPr="00AB7C05">
        <w:rPr>
          <w:rFonts w:cstheme="minorHAnsi"/>
          <w:i/>
          <w:color w:val="1B1C20"/>
        </w:rPr>
        <w:t>Aquaculture Environment Interactions</w:t>
      </w:r>
      <w:r w:rsidRPr="00AB7C05">
        <w:rPr>
          <w:rFonts w:cstheme="minorHAnsi"/>
          <w:color w:val="1B1C20"/>
        </w:rPr>
        <w:t xml:space="preserve"> </w:t>
      </w:r>
      <w:r w:rsidRPr="00AB7C05">
        <w:rPr>
          <w:rStyle w:val="None"/>
          <w:rFonts w:cstheme="minorHAnsi"/>
        </w:rPr>
        <w:t>6:151</w:t>
      </w:r>
      <w:r w:rsidRPr="00AB7C05">
        <w:rPr>
          <w:rFonts w:cstheme="minorHAnsi"/>
        </w:rPr>
        <w:t>–</w:t>
      </w:r>
      <w:r w:rsidRPr="00AB7C05">
        <w:rPr>
          <w:rStyle w:val="None"/>
          <w:rFonts w:cstheme="minorHAnsi"/>
        </w:rPr>
        <w:t xml:space="preserve">174. </w:t>
      </w:r>
    </w:p>
    <w:p w:rsidR="00582ABF" w:rsidRPr="00AB7C05" w:rsidRDefault="00447066" w:rsidP="006448CC">
      <w:pPr>
        <w:spacing w:line="240" w:lineRule="auto"/>
        <w:rPr>
          <w:rFonts w:cstheme="minorHAnsi"/>
        </w:rPr>
      </w:pPr>
      <w:r w:rsidRPr="00AB7C05">
        <w:rPr>
          <w:rStyle w:val="NoneA"/>
          <w:rFonts w:cstheme="minorHAnsi"/>
          <w:color w:val="1B1C20"/>
          <w:u w:color="1B1C20"/>
        </w:rPr>
        <w:t xml:space="preserve">Robinson, S.M.C., </w:t>
      </w:r>
      <w:proofErr w:type="spellStart"/>
      <w:r w:rsidRPr="00AB7C05">
        <w:rPr>
          <w:rStyle w:val="NoneA"/>
          <w:rFonts w:cstheme="minorHAnsi"/>
          <w:color w:val="1B1C20"/>
          <w:u w:color="1B1C20"/>
        </w:rPr>
        <w:t>Auffrey</w:t>
      </w:r>
      <w:proofErr w:type="spellEnd"/>
      <w:r w:rsidRPr="00AB7C05">
        <w:rPr>
          <w:rStyle w:val="NoneA"/>
          <w:rFonts w:cstheme="minorHAnsi"/>
          <w:color w:val="1B1C20"/>
          <w:u w:color="1B1C20"/>
        </w:rPr>
        <w:t>, L.M.,</w:t>
      </w:r>
      <w:r w:rsidR="006448CC">
        <w:rPr>
          <w:rStyle w:val="NoneA"/>
          <w:rFonts w:cstheme="minorHAnsi"/>
          <w:color w:val="1B1C20"/>
          <w:u w:color="1B1C20"/>
        </w:rPr>
        <w:t xml:space="preserve"> and M.A.</w:t>
      </w:r>
      <w:r w:rsidRPr="00AB7C05">
        <w:rPr>
          <w:rStyle w:val="NoneA"/>
          <w:rFonts w:cstheme="minorHAnsi"/>
          <w:color w:val="1B1C20"/>
          <w:u w:color="1B1C20"/>
        </w:rPr>
        <w:t xml:space="preserve"> </w:t>
      </w:r>
      <w:proofErr w:type="spellStart"/>
      <w:r w:rsidRPr="00AB7C05">
        <w:rPr>
          <w:rStyle w:val="NoneA"/>
          <w:rFonts w:cstheme="minorHAnsi"/>
          <w:color w:val="1B1C20"/>
          <w:u w:color="1B1C20"/>
        </w:rPr>
        <w:t>Barbeau</w:t>
      </w:r>
      <w:proofErr w:type="spellEnd"/>
      <w:r w:rsidR="0034519C">
        <w:rPr>
          <w:rStyle w:val="NoneA"/>
          <w:rFonts w:cstheme="minorHAnsi"/>
          <w:color w:val="1B1C20"/>
          <w:u w:color="1B1C20"/>
        </w:rPr>
        <w:t>.</w:t>
      </w:r>
      <w:r w:rsidRPr="00AB7C05">
        <w:rPr>
          <w:rStyle w:val="NoneA"/>
          <w:rFonts w:cstheme="minorHAnsi"/>
          <w:color w:val="1B1C20"/>
          <w:u w:color="1B1C20"/>
        </w:rPr>
        <w:t xml:space="preserve"> 2005. Far-field impacts of eutrophication on the intertidal zone in the Bay of Fundy, Canada with emphasis on the soft-shell clam, </w:t>
      </w:r>
      <w:proofErr w:type="spellStart"/>
      <w:r w:rsidRPr="00AB7C05">
        <w:rPr>
          <w:rStyle w:val="NoneA"/>
          <w:rFonts w:cstheme="minorHAnsi"/>
          <w:i/>
          <w:iCs/>
          <w:color w:val="1B1C20"/>
          <w:u w:color="1B1C20"/>
          <w:lang w:val="es-ES_tradnl"/>
        </w:rPr>
        <w:t>Mya</w:t>
      </w:r>
      <w:proofErr w:type="spellEnd"/>
      <w:r w:rsidRPr="00AB7C05">
        <w:rPr>
          <w:rStyle w:val="NoneA"/>
          <w:rFonts w:cstheme="minorHAnsi"/>
          <w:i/>
          <w:iCs/>
          <w:color w:val="1B1C20"/>
          <w:u w:color="1B1C20"/>
          <w:lang w:val="es-ES_tradnl"/>
        </w:rPr>
        <w:t xml:space="preserve"> arenaria</w:t>
      </w:r>
      <w:r w:rsidRPr="00AB7C05">
        <w:rPr>
          <w:rStyle w:val="NoneA"/>
          <w:rFonts w:cstheme="minorHAnsi"/>
          <w:color w:val="1B1C20"/>
          <w:u w:color="1B1C20"/>
        </w:rPr>
        <w:t>. In: Hargrave BT (</w:t>
      </w:r>
      <w:proofErr w:type="spellStart"/>
      <w:r w:rsidRPr="00AB7C05">
        <w:rPr>
          <w:rStyle w:val="NoneA"/>
          <w:rFonts w:cstheme="minorHAnsi"/>
          <w:color w:val="1B1C20"/>
          <w:u w:color="1B1C20"/>
        </w:rPr>
        <w:t>ed</w:t>
      </w:r>
      <w:proofErr w:type="spellEnd"/>
      <w:r w:rsidRPr="00AB7C05">
        <w:rPr>
          <w:rStyle w:val="NoneA"/>
          <w:rFonts w:cstheme="minorHAnsi"/>
          <w:color w:val="1B1C20"/>
          <w:u w:color="1B1C20"/>
        </w:rPr>
        <w:t>) Environmental effects of marine finfish aquaculture. Handbook of environmental chemistry, Vol 5M. Springer-Verlag, Berlin, p 253−274.</w:t>
      </w:r>
    </w:p>
    <w:p w:rsidR="00582ABF" w:rsidRPr="00AB7C05" w:rsidRDefault="00582ABF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>Rubio-</w:t>
      </w:r>
      <w:proofErr w:type="gramStart"/>
      <w:r w:rsidRPr="00AB7C05">
        <w:rPr>
          <w:rFonts w:cstheme="minorHAnsi"/>
        </w:rPr>
        <w:t>Portillo</w:t>
      </w:r>
      <w:r w:rsidR="00281A1A" w:rsidRPr="00AB7C05">
        <w:rPr>
          <w:rFonts w:cstheme="minorHAnsi"/>
        </w:rPr>
        <w:t xml:space="preserve">, </w:t>
      </w:r>
      <w:r w:rsidRPr="00AB7C05">
        <w:rPr>
          <w:rFonts w:cstheme="minorHAnsi"/>
        </w:rPr>
        <w:t xml:space="preserve"> </w:t>
      </w:r>
      <w:r w:rsidR="00281A1A" w:rsidRPr="00AB7C05">
        <w:rPr>
          <w:rFonts w:cstheme="minorHAnsi"/>
        </w:rPr>
        <w:t>E.</w:t>
      </w:r>
      <w:proofErr w:type="gramEnd"/>
      <w:r w:rsidR="00281A1A" w:rsidRPr="00AB7C05">
        <w:rPr>
          <w:rFonts w:cstheme="minorHAnsi"/>
        </w:rPr>
        <w:t xml:space="preserve">, </w:t>
      </w:r>
      <w:proofErr w:type="spellStart"/>
      <w:r w:rsidR="00281A1A" w:rsidRPr="00AB7C05">
        <w:rPr>
          <w:rFonts w:cstheme="minorHAnsi"/>
        </w:rPr>
        <w:t>Villamor</w:t>
      </w:r>
      <w:proofErr w:type="spellEnd"/>
      <w:r w:rsidR="00281A1A" w:rsidRPr="00AB7C05">
        <w:rPr>
          <w:rFonts w:cstheme="minorHAnsi"/>
        </w:rPr>
        <w:t xml:space="preserve">, A., Fernandez-Gonzalez, V.,  Antón, J., </w:t>
      </w:r>
      <w:r w:rsidR="006448CC">
        <w:rPr>
          <w:rFonts w:cstheme="minorHAnsi"/>
        </w:rPr>
        <w:t xml:space="preserve"> and P.</w:t>
      </w:r>
      <w:r w:rsidR="00281A1A" w:rsidRPr="00AB7C05">
        <w:rPr>
          <w:rFonts w:cstheme="minorHAnsi"/>
        </w:rPr>
        <w:t xml:space="preserve"> Sanchez-Jerez.</w:t>
      </w:r>
      <w:r w:rsidRPr="00AB7C05">
        <w:rPr>
          <w:rFonts w:cstheme="minorHAnsi"/>
        </w:rPr>
        <w:t xml:space="preserve"> 2019</w:t>
      </w:r>
      <w:r w:rsidR="00281A1A" w:rsidRPr="00AB7C05">
        <w:rPr>
          <w:rFonts w:cstheme="minorHAnsi"/>
        </w:rPr>
        <w:t xml:space="preserve">. Exploring changes in bacterial communities to assess the inﬂuence of ﬁsh farming on marine sediments. </w:t>
      </w:r>
      <w:r w:rsidR="00281A1A" w:rsidRPr="006448CC">
        <w:rPr>
          <w:rFonts w:cstheme="minorHAnsi"/>
          <w:i/>
        </w:rPr>
        <w:t>Aquaculture</w:t>
      </w:r>
      <w:r w:rsidR="00281A1A" w:rsidRPr="00AB7C05">
        <w:rPr>
          <w:rFonts w:cstheme="minorHAnsi"/>
        </w:rPr>
        <w:t xml:space="preserve"> 506: 459-464.</w:t>
      </w:r>
    </w:p>
    <w:p w:rsidR="00582ABF" w:rsidRPr="00AB7C05" w:rsidRDefault="00EA12FD" w:rsidP="006448CC">
      <w:pPr>
        <w:spacing w:line="240" w:lineRule="auto"/>
        <w:rPr>
          <w:rFonts w:cstheme="minorHAnsi"/>
        </w:rPr>
      </w:pPr>
      <w:r w:rsidRPr="00AB7C05">
        <w:rPr>
          <w:rFonts w:cstheme="minorHAnsi"/>
        </w:rPr>
        <w:t xml:space="preserve">Salvo, F., </w:t>
      </w:r>
      <w:proofErr w:type="spellStart"/>
      <w:r w:rsidRPr="00AB7C05">
        <w:rPr>
          <w:rFonts w:cstheme="minorHAnsi"/>
        </w:rPr>
        <w:t>Mersereau</w:t>
      </w:r>
      <w:proofErr w:type="spellEnd"/>
      <w:r w:rsidRPr="00AB7C05">
        <w:rPr>
          <w:rFonts w:cstheme="minorHAnsi"/>
        </w:rPr>
        <w:t xml:space="preserve">, J., </w:t>
      </w:r>
      <w:proofErr w:type="spellStart"/>
      <w:r w:rsidRPr="00AB7C05">
        <w:rPr>
          <w:rFonts w:cstheme="minorHAnsi"/>
        </w:rPr>
        <w:t>Hamoutene</w:t>
      </w:r>
      <w:proofErr w:type="spellEnd"/>
      <w:r w:rsidRPr="00AB7C05">
        <w:rPr>
          <w:rFonts w:cstheme="minorHAnsi"/>
        </w:rPr>
        <w:t xml:space="preserve">, D., </w:t>
      </w:r>
      <w:proofErr w:type="spellStart"/>
      <w:r w:rsidRPr="00AB7C05">
        <w:rPr>
          <w:rFonts w:cstheme="minorHAnsi"/>
        </w:rPr>
        <w:t>Belley</w:t>
      </w:r>
      <w:proofErr w:type="spellEnd"/>
      <w:r w:rsidRPr="00AB7C05">
        <w:rPr>
          <w:rFonts w:cstheme="minorHAnsi"/>
        </w:rPr>
        <w:t xml:space="preserve">, R., </w:t>
      </w:r>
      <w:r w:rsidR="006448CC">
        <w:rPr>
          <w:rFonts w:cstheme="minorHAnsi"/>
        </w:rPr>
        <w:t>and S.C.</w:t>
      </w:r>
      <w:r w:rsidRPr="00AB7C05">
        <w:rPr>
          <w:rFonts w:cstheme="minorHAnsi"/>
        </w:rPr>
        <w:t xml:space="preserve"> Dufour</w:t>
      </w:r>
      <w:r w:rsidR="006448CC">
        <w:rPr>
          <w:rFonts w:cstheme="minorHAnsi"/>
        </w:rPr>
        <w:t xml:space="preserve">. </w:t>
      </w:r>
      <w:r w:rsidRPr="00AB7C05">
        <w:rPr>
          <w:rFonts w:cstheme="minorHAnsi"/>
        </w:rPr>
        <w:t>2017</w:t>
      </w:r>
      <w:r w:rsidR="006448CC">
        <w:rPr>
          <w:rFonts w:cstheme="minorHAnsi"/>
        </w:rPr>
        <w:t>.</w:t>
      </w:r>
      <w:r w:rsidRPr="00AB7C05">
        <w:rPr>
          <w:rFonts w:cstheme="minorHAnsi"/>
        </w:rPr>
        <w:t xml:space="preserve"> Spatial and temporal changes in epibenthic communities at deep, hard bottom aquaculture sites in Newfoundland. </w:t>
      </w:r>
      <w:r w:rsidRPr="006448CC">
        <w:rPr>
          <w:rFonts w:cstheme="minorHAnsi"/>
          <w:i/>
        </w:rPr>
        <w:t>Ecological Indicators</w:t>
      </w:r>
      <w:r w:rsidRPr="00AB7C05">
        <w:rPr>
          <w:rFonts w:cstheme="minorHAnsi"/>
        </w:rPr>
        <w:t xml:space="preserve"> 76</w:t>
      </w:r>
      <w:r w:rsidR="006448CC">
        <w:rPr>
          <w:rFonts w:cstheme="minorHAnsi"/>
        </w:rPr>
        <w:t>:</w:t>
      </w:r>
      <w:r w:rsidRPr="00AB7C05">
        <w:rPr>
          <w:rFonts w:cstheme="minorHAnsi"/>
        </w:rPr>
        <w:t xml:space="preserve"> 207</w:t>
      </w:r>
      <w:r w:rsidR="006448CC">
        <w:rPr>
          <w:rFonts w:cstheme="minorHAnsi"/>
        </w:rPr>
        <w:t>-</w:t>
      </w:r>
      <w:r w:rsidRPr="00AB7C05">
        <w:rPr>
          <w:rFonts w:cstheme="minorHAnsi"/>
        </w:rPr>
        <w:t>218.</w:t>
      </w:r>
      <w:r w:rsidR="00582ABF" w:rsidRPr="00AB7C05">
        <w:rPr>
          <w:rFonts w:cstheme="minorHAnsi"/>
        </w:rPr>
        <w:t xml:space="preserve"> </w:t>
      </w:r>
    </w:p>
    <w:p w:rsidR="00105050" w:rsidRPr="00AB7C05" w:rsidRDefault="00105050" w:rsidP="006448CC">
      <w:pPr>
        <w:spacing w:line="240" w:lineRule="auto"/>
        <w:rPr>
          <w:rFonts w:cstheme="minorHAnsi"/>
        </w:rPr>
      </w:pPr>
      <w:proofErr w:type="spellStart"/>
      <w:r w:rsidRPr="00AB7C05">
        <w:rPr>
          <w:rFonts w:cstheme="minorHAnsi"/>
        </w:rPr>
        <w:t>Stoeck</w:t>
      </w:r>
      <w:proofErr w:type="spellEnd"/>
      <w:r w:rsidRPr="00AB7C05">
        <w:rPr>
          <w:rFonts w:cstheme="minorHAnsi"/>
        </w:rPr>
        <w:t xml:space="preserve">, T., </w:t>
      </w:r>
      <w:proofErr w:type="spellStart"/>
      <w:r w:rsidRPr="00AB7C05">
        <w:rPr>
          <w:rFonts w:cstheme="minorHAnsi"/>
        </w:rPr>
        <w:t>Frühe</w:t>
      </w:r>
      <w:proofErr w:type="spellEnd"/>
      <w:r w:rsidRPr="00AB7C05">
        <w:rPr>
          <w:rFonts w:cstheme="minorHAnsi"/>
        </w:rPr>
        <w:t xml:space="preserve">, L., Forster, D., Cordier, T., Martins, C. I. M., and </w:t>
      </w:r>
      <w:r w:rsidR="006448CC">
        <w:rPr>
          <w:rFonts w:cstheme="minorHAnsi"/>
        </w:rPr>
        <w:t xml:space="preserve">J. </w:t>
      </w:r>
      <w:r w:rsidRPr="00AB7C05">
        <w:rPr>
          <w:rFonts w:cstheme="minorHAnsi"/>
        </w:rPr>
        <w:t>Pawlowski</w:t>
      </w:r>
      <w:r w:rsidR="006448CC">
        <w:rPr>
          <w:rFonts w:cstheme="minorHAnsi"/>
        </w:rPr>
        <w:t xml:space="preserve">. </w:t>
      </w:r>
      <w:r w:rsidRPr="00AB7C05">
        <w:rPr>
          <w:rFonts w:cstheme="minorHAnsi"/>
        </w:rPr>
        <w:t xml:space="preserve">2018. Environmental DNA metabarcoding of benthic bacterial communities indicates the benthic footprint of salmon aquaculture. </w:t>
      </w:r>
      <w:r w:rsidRPr="006448CC">
        <w:rPr>
          <w:rFonts w:cstheme="minorHAnsi"/>
          <w:i/>
        </w:rPr>
        <w:t>Mar</w:t>
      </w:r>
      <w:r w:rsidR="006448CC" w:rsidRPr="006448CC">
        <w:rPr>
          <w:rFonts w:cstheme="minorHAnsi"/>
          <w:i/>
        </w:rPr>
        <w:t>ine</w:t>
      </w:r>
      <w:r w:rsidRPr="006448CC">
        <w:rPr>
          <w:rFonts w:cstheme="minorHAnsi"/>
          <w:i/>
        </w:rPr>
        <w:t xml:space="preserve"> Pollut</w:t>
      </w:r>
      <w:r w:rsidR="006448CC" w:rsidRPr="006448CC">
        <w:rPr>
          <w:rFonts w:cstheme="minorHAnsi"/>
          <w:i/>
        </w:rPr>
        <w:t>ion</w:t>
      </w:r>
      <w:r w:rsidRPr="006448CC">
        <w:rPr>
          <w:rFonts w:cstheme="minorHAnsi"/>
          <w:i/>
        </w:rPr>
        <w:t xml:space="preserve"> Bull</w:t>
      </w:r>
      <w:r w:rsidR="006448CC" w:rsidRPr="006448CC">
        <w:rPr>
          <w:rFonts w:cstheme="minorHAnsi"/>
          <w:i/>
        </w:rPr>
        <w:t>etin</w:t>
      </w:r>
      <w:r w:rsidRPr="00AB7C05">
        <w:rPr>
          <w:rFonts w:cstheme="minorHAnsi"/>
        </w:rPr>
        <w:t xml:space="preserve"> 127</w:t>
      </w:r>
      <w:r w:rsidR="006448CC">
        <w:rPr>
          <w:rFonts w:cstheme="minorHAnsi"/>
        </w:rPr>
        <w:t>:</w:t>
      </w:r>
      <w:r w:rsidRPr="00AB7C05">
        <w:rPr>
          <w:rFonts w:cstheme="minorHAnsi"/>
        </w:rPr>
        <w:t xml:space="preserve"> 139–149</w:t>
      </w:r>
      <w:r w:rsidR="006448CC">
        <w:rPr>
          <w:rFonts w:cstheme="minorHAnsi"/>
        </w:rPr>
        <w:t>.</w:t>
      </w:r>
    </w:p>
    <w:p w:rsidR="00582ABF" w:rsidRDefault="00582ABF" w:rsidP="006448CC">
      <w:pPr>
        <w:spacing w:line="240" w:lineRule="auto"/>
        <w:rPr>
          <w:rFonts w:cstheme="minorHAnsi"/>
          <w:bCs/>
          <w:color w:val="020202"/>
          <w:shd w:val="clear" w:color="auto" w:fill="FFFFFF"/>
        </w:rPr>
      </w:pPr>
      <w:r w:rsidRPr="00AB7C05">
        <w:rPr>
          <w:rFonts w:cstheme="minorHAnsi"/>
        </w:rPr>
        <w:t>Verhoeven</w:t>
      </w:r>
      <w:r w:rsidR="00AB7C05" w:rsidRPr="00AB7C05">
        <w:rPr>
          <w:rFonts w:cstheme="minorHAnsi"/>
        </w:rPr>
        <w:t xml:space="preserve">, J.T.P., Salvo, F., Knight, R., </w:t>
      </w:r>
      <w:proofErr w:type="spellStart"/>
      <w:r w:rsidR="00AB7C05" w:rsidRPr="00AB7C05">
        <w:rPr>
          <w:rFonts w:cstheme="minorHAnsi"/>
        </w:rPr>
        <w:t>Hamoutene</w:t>
      </w:r>
      <w:proofErr w:type="spellEnd"/>
      <w:r w:rsidR="00AB7C05" w:rsidRPr="00AB7C05">
        <w:rPr>
          <w:rFonts w:cstheme="minorHAnsi"/>
        </w:rPr>
        <w:t>, D.,</w:t>
      </w:r>
      <w:r w:rsidR="006448CC">
        <w:rPr>
          <w:rFonts w:cstheme="minorHAnsi"/>
        </w:rPr>
        <w:t xml:space="preserve"> and S.C.</w:t>
      </w:r>
      <w:r w:rsidR="00AB7C05" w:rsidRPr="00AB7C05">
        <w:rPr>
          <w:rFonts w:cstheme="minorHAnsi"/>
        </w:rPr>
        <w:t xml:space="preserve"> Dufour.</w:t>
      </w:r>
      <w:r w:rsidRPr="00AB7C05">
        <w:rPr>
          <w:rFonts w:cstheme="minorHAnsi"/>
        </w:rPr>
        <w:t xml:space="preserve"> 2018</w:t>
      </w:r>
      <w:r w:rsidR="00281A1A" w:rsidRPr="00AB7C05">
        <w:rPr>
          <w:rFonts w:cstheme="minorHAnsi"/>
          <w:bCs/>
          <w:color w:val="020202"/>
          <w:shd w:val="clear" w:color="auto" w:fill="FFFFFF"/>
        </w:rPr>
        <w:t xml:space="preserve"> Temporal bacterial surveillance of salmon aquaculture sites indicates a </w:t>
      </w:r>
      <w:proofErr w:type="gramStart"/>
      <w:r w:rsidR="00281A1A" w:rsidRPr="00AB7C05">
        <w:rPr>
          <w:rFonts w:cstheme="minorHAnsi"/>
          <w:bCs/>
          <w:color w:val="020202"/>
          <w:shd w:val="clear" w:color="auto" w:fill="FFFFFF"/>
        </w:rPr>
        <w:t>long lasting</w:t>
      </w:r>
      <w:proofErr w:type="gramEnd"/>
      <w:r w:rsidR="00281A1A" w:rsidRPr="00AB7C05">
        <w:rPr>
          <w:rFonts w:cstheme="minorHAnsi"/>
          <w:bCs/>
          <w:color w:val="020202"/>
          <w:shd w:val="clear" w:color="auto" w:fill="FFFFFF"/>
        </w:rPr>
        <w:t xml:space="preserve"> benthic impact with minimal recovery.  </w:t>
      </w:r>
      <w:r w:rsidR="00281A1A" w:rsidRPr="006448CC">
        <w:rPr>
          <w:rFonts w:cstheme="minorHAnsi"/>
          <w:bCs/>
          <w:i/>
          <w:color w:val="020202"/>
          <w:shd w:val="clear" w:color="auto" w:fill="FFFFFF"/>
        </w:rPr>
        <w:t>Frontiers in Microbiology</w:t>
      </w:r>
      <w:r w:rsidR="00281A1A" w:rsidRPr="00AB7C05">
        <w:rPr>
          <w:rFonts w:cstheme="minorHAnsi"/>
          <w:bCs/>
          <w:color w:val="020202"/>
          <w:shd w:val="clear" w:color="auto" w:fill="FFFFFF"/>
        </w:rPr>
        <w:t xml:space="preserve"> </w:t>
      </w:r>
      <w:r w:rsidR="00AB7C05" w:rsidRPr="00AB7C05">
        <w:rPr>
          <w:rFonts w:cstheme="minorHAnsi"/>
          <w:bCs/>
          <w:color w:val="020202"/>
          <w:shd w:val="clear" w:color="auto" w:fill="FFFFFF"/>
        </w:rPr>
        <w:t>9:3054.</w:t>
      </w:r>
    </w:p>
    <w:p w:rsidR="002B0865" w:rsidRPr="00AB7C05" w:rsidRDefault="002B0865" w:rsidP="006448CC">
      <w:pPr>
        <w:spacing w:line="240" w:lineRule="auto"/>
        <w:rPr>
          <w:rFonts w:cstheme="minorHAnsi"/>
        </w:rPr>
      </w:pPr>
      <w:proofErr w:type="spellStart"/>
      <w:r w:rsidRPr="002B0865">
        <w:rPr>
          <w:rFonts w:cstheme="minorHAnsi"/>
        </w:rPr>
        <w:t>Wiber</w:t>
      </w:r>
      <w:proofErr w:type="spellEnd"/>
      <w:r w:rsidRPr="002B0865">
        <w:rPr>
          <w:rFonts w:cstheme="minorHAnsi"/>
        </w:rPr>
        <w:t xml:space="preserve">, M., L. Wilson, and S. Young. 2012. </w:t>
      </w:r>
      <w:r>
        <w:rPr>
          <w:rFonts w:cstheme="minorHAnsi"/>
        </w:rPr>
        <w:t>Impact of aquaculture on commercial f</w:t>
      </w:r>
      <w:r w:rsidRPr="002B0865">
        <w:rPr>
          <w:rFonts w:cstheme="minorHAnsi"/>
        </w:rPr>
        <w:t xml:space="preserve">isheries: </w:t>
      </w:r>
      <w:r>
        <w:rPr>
          <w:rFonts w:cstheme="minorHAnsi"/>
        </w:rPr>
        <w:t>f</w:t>
      </w:r>
      <w:r w:rsidRPr="002B0865">
        <w:rPr>
          <w:rFonts w:cstheme="minorHAnsi"/>
        </w:rPr>
        <w:t xml:space="preserve">ishermen’s </w:t>
      </w:r>
      <w:r>
        <w:rPr>
          <w:rFonts w:cstheme="minorHAnsi"/>
        </w:rPr>
        <w:t>l</w:t>
      </w:r>
      <w:r w:rsidRPr="002B0865">
        <w:rPr>
          <w:rFonts w:cstheme="minorHAnsi"/>
        </w:rPr>
        <w:t xml:space="preserve">ocal </w:t>
      </w:r>
      <w:r>
        <w:rPr>
          <w:rFonts w:cstheme="minorHAnsi"/>
        </w:rPr>
        <w:t>e</w:t>
      </w:r>
      <w:r w:rsidRPr="002B0865">
        <w:rPr>
          <w:rFonts w:cstheme="minorHAnsi"/>
        </w:rPr>
        <w:t xml:space="preserve">cological </w:t>
      </w:r>
      <w:r>
        <w:rPr>
          <w:rFonts w:cstheme="minorHAnsi"/>
        </w:rPr>
        <w:t>knowledge.</w:t>
      </w:r>
      <w:r w:rsidRPr="002B0865">
        <w:rPr>
          <w:rFonts w:cstheme="minorHAnsi"/>
        </w:rPr>
        <w:t xml:space="preserve"> </w:t>
      </w:r>
      <w:r w:rsidRPr="002B0865">
        <w:rPr>
          <w:rFonts w:cstheme="minorHAnsi"/>
          <w:i/>
        </w:rPr>
        <w:t>Human Ecology</w:t>
      </w:r>
      <w:r w:rsidRPr="002B0865">
        <w:rPr>
          <w:rFonts w:cstheme="minorHAnsi"/>
        </w:rPr>
        <w:t xml:space="preserve"> 40: 29–40.</w:t>
      </w:r>
    </w:p>
    <w:p w:rsidR="00582ABF" w:rsidRPr="00566CD6" w:rsidRDefault="00582ABF" w:rsidP="006448CC">
      <w:pPr>
        <w:spacing w:line="240" w:lineRule="auto"/>
        <w:rPr>
          <w:b/>
        </w:rPr>
      </w:pPr>
    </w:p>
    <w:sectPr w:rsidR="00582ABF" w:rsidRPr="00566CD6" w:rsidSect="00950CD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20" w:rsidRDefault="00785220" w:rsidP="008C662A">
      <w:pPr>
        <w:spacing w:after="0" w:line="240" w:lineRule="auto"/>
      </w:pPr>
      <w:r>
        <w:separator/>
      </w:r>
    </w:p>
  </w:endnote>
  <w:endnote w:type="continuationSeparator" w:id="0">
    <w:p w:rsidR="00785220" w:rsidRDefault="00785220" w:rsidP="008C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">
    <w:altName w:val="Cod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ndida-Roman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GulliverRM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STim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7844"/>
      <w:docPartObj>
        <w:docPartGallery w:val="Page Numbers (Bottom of Page)"/>
        <w:docPartUnique/>
      </w:docPartObj>
    </w:sdtPr>
    <w:sdtEndPr/>
    <w:sdtContent>
      <w:p w:rsidR="0036110F" w:rsidRDefault="007852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6E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10F" w:rsidRDefault="00361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20" w:rsidRDefault="00785220" w:rsidP="008C662A">
      <w:pPr>
        <w:spacing w:after="0" w:line="240" w:lineRule="auto"/>
      </w:pPr>
      <w:r>
        <w:separator/>
      </w:r>
    </w:p>
  </w:footnote>
  <w:footnote w:type="continuationSeparator" w:id="0">
    <w:p w:rsidR="00785220" w:rsidRDefault="00785220" w:rsidP="008C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4BAC"/>
    <w:multiLevelType w:val="hybridMultilevel"/>
    <w:tmpl w:val="C0B8F3F8"/>
    <w:lvl w:ilvl="0" w:tplc="099C014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563F"/>
    <w:multiLevelType w:val="hybridMultilevel"/>
    <w:tmpl w:val="47202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13A5"/>
    <w:multiLevelType w:val="hybridMultilevel"/>
    <w:tmpl w:val="C7F6B428"/>
    <w:lvl w:ilvl="0" w:tplc="1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5D0B4B47"/>
    <w:multiLevelType w:val="hybridMultilevel"/>
    <w:tmpl w:val="68E6C328"/>
    <w:lvl w:ilvl="0" w:tplc="5CA22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7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A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8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68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C7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CE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A91993"/>
    <w:multiLevelType w:val="hybridMultilevel"/>
    <w:tmpl w:val="8A508476"/>
    <w:lvl w:ilvl="0" w:tplc="4C98F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C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AB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5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49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C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8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EC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FB591D"/>
    <w:multiLevelType w:val="hybridMultilevel"/>
    <w:tmpl w:val="DE281D9E"/>
    <w:lvl w:ilvl="0" w:tplc="77DCC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0F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9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86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21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6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E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C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64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4A"/>
    <w:rsid w:val="0003415A"/>
    <w:rsid w:val="00046F47"/>
    <w:rsid w:val="000655EF"/>
    <w:rsid w:val="000C7CCB"/>
    <w:rsid w:val="0010301E"/>
    <w:rsid w:val="00105050"/>
    <w:rsid w:val="00113C61"/>
    <w:rsid w:val="00120730"/>
    <w:rsid w:val="0013288F"/>
    <w:rsid w:val="00144033"/>
    <w:rsid w:val="00154DB3"/>
    <w:rsid w:val="001602D8"/>
    <w:rsid w:val="0017565B"/>
    <w:rsid w:val="00190F77"/>
    <w:rsid w:val="001961A4"/>
    <w:rsid w:val="001A488E"/>
    <w:rsid w:val="001C6F95"/>
    <w:rsid w:val="001F261E"/>
    <w:rsid w:val="002003FE"/>
    <w:rsid w:val="00202A10"/>
    <w:rsid w:val="00204E4A"/>
    <w:rsid w:val="00215FAA"/>
    <w:rsid w:val="00246CA7"/>
    <w:rsid w:val="00281A1A"/>
    <w:rsid w:val="002B0865"/>
    <w:rsid w:val="002C1F61"/>
    <w:rsid w:val="002C7134"/>
    <w:rsid w:val="002F1755"/>
    <w:rsid w:val="002F5C62"/>
    <w:rsid w:val="00303CB1"/>
    <w:rsid w:val="003216C0"/>
    <w:rsid w:val="0034519C"/>
    <w:rsid w:val="0036110F"/>
    <w:rsid w:val="00387A7E"/>
    <w:rsid w:val="00390B39"/>
    <w:rsid w:val="00405913"/>
    <w:rsid w:val="004123C3"/>
    <w:rsid w:val="00447066"/>
    <w:rsid w:val="00455377"/>
    <w:rsid w:val="00465460"/>
    <w:rsid w:val="00482800"/>
    <w:rsid w:val="00491EBB"/>
    <w:rsid w:val="00494309"/>
    <w:rsid w:val="0049509B"/>
    <w:rsid w:val="004A2E7E"/>
    <w:rsid w:val="004A2ECC"/>
    <w:rsid w:val="004A5798"/>
    <w:rsid w:val="004A617E"/>
    <w:rsid w:val="004B10C6"/>
    <w:rsid w:val="004C382E"/>
    <w:rsid w:val="004F2816"/>
    <w:rsid w:val="00515357"/>
    <w:rsid w:val="00531613"/>
    <w:rsid w:val="00555571"/>
    <w:rsid w:val="0056622F"/>
    <w:rsid w:val="00566CD6"/>
    <w:rsid w:val="005826A7"/>
    <w:rsid w:val="00582ABF"/>
    <w:rsid w:val="005A03E2"/>
    <w:rsid w:val="005B7FB5"/>
    <w:rsid w:val="006103CA"/>
    <w:rsid w:val="00637229"/>
    <w:rsid w:val="006448CC"/>
    <w:rsid w:val="006530E5"/>
    <w:rsid w:val="006569FD"/>
    <w:rsid w:val="00676DE1"/>
    <w:rsid w:val="00693884"/>
    <w:rsid w:val="006972EB"/>
    <w:rsid w:val="00697610"/>
    <w:rsid w:val="006A3700"/>
    <w:rsid w:val="006F2A17"/>
    <w:rsid w:val="00723EC7"/>
    <w:rsid w:val="00725EFF"/>
    <w:rsid w:val="00785220"/>
    <w:rsid w:val="007B751D"/>
    <w:rsid w:val="007E25E9"/>
    <w:rsid w:val="00866DFD"/>
    <w:rsid w:val="00883C05"/>
    <w:rsid w:val="008B2F80"/>
    <w:rsid w:val="008B35A3"/>
    <w:rsid w:val="008C662A"/>
    <w:rsid w:val="008D2961"/>
    <w:rsid w:val="008D74D0"/>
    <w:rsid w:val="008E7DA4"/>
    <w:rsid w:val="008F4116"/>
    <w:rsid w:val="00947836"/>
    <w:rsid w:val="00950CD5"/>
    <w:rsid w:val="00971CB0"/>
    <w:rsid w:val="009939DC"/>
    <w:rsid w:val="009C7B21"/>
    <w:rsid w:val="009D0DD7"/>
    <w:rsid w:val="009F2B51"/>
    <w:rsid w:val="00A02A56"/>
    <w:rsid w:val="00A132F6"/>
    <w:rsid w:val="00A31723"/>
    <w:rsid w:val="00A3264C"/>
    <w:rsid w:val="00A6593D"/>
    <w:rsid w:val="00A66600"/>
    <w:rsid w:val="00A72C60"/>
    <w:rsid w:val="00AA0717"/>
    <w:rsid w:val="00AA2EE0"/>
    <w:rsid w:val="00AB3A87"/>
    <w:rsid w:val="00AB5328"/>
    <w:rsid w:val="00AB7C05"/>
    <w:rsid w:val="00AD658F"/>
    <w:rsid w:val="00B16E84"/>
    <w:rsid w:val="00B21748"/>
    <w:rsid w:val="00B305D4"/>
    <w:rsid w:val="00B55B2F"/>
    <w:rsid w:val="00B56571"/>
    <w:rsid w:val="00B66238"/>
    <w:rsid w:val="00B86908"/>
    <w:rsid w:val="00BA353A"/>
    <w:rsid w:val="00BE58EF"/>
    <w:rsid w:val="00C02AB6"/>
    <w:rsid w:val="00C15CFB"/>
    <w:rsid w:val="00C233B3"/>
    <w:rsid w:val="00C27C56"/>
    <w:rsid w:val="00C50F5F"/>
    <w:rsid w:val="00C52A7B"/>
    <w:rsid w:val="00C5423D"/>
    <w:rsid w:val="00C86DE5"/>
    <w:rsid w:val="00CA1D60"/>
    <w:rsid w:val="00CF23FC"/>
    <w:rsid w:val="00D14C79"/>
    <w:rsid w:val="00D3598B"/>
    <w:rsid w:val="00D75F24"/>
    <w:rsid w:val="00DA618E"/>
    <w:rsid w:val="00DD13C6"/>
    <w:rsid w:val="00DD4689"/>
    <w:rsid w:val="00E35566"/>
    <w:rsid w:val="00E41BFB"/>
    <w:rsid w:val="00E45F80"/>
    <w:rsid w:val="00E6704E"/>
    <w:rsid w:val="00E8329F"/>
    <w:rsid w:val="00E93E49"/>
    <w:rsid w:val="00EA12FD"/>
    <w:rsid w:val="00EA3ABD"/>
    <w:rsid w:val="00EA6EA6"/>
    <w:rsid w:val="00EC28FE"/>
    <w:rsid w:val="00EC39F0"/>
    <w:rsid w:val="00EC3A8F"/>
    <w:rsid w:val="00EE234B"/>
    <w:rsid w:val="00EF4298"/>
    <w:rsid w:val="00EF5895"/>
    <w:rsid w:val="00F636AC"/>
    <w:rsid w:val="00F75403"/>
    <w:rsid w:val="00F80121"/>
    <w:rsid w:val="00F87B48"/>
    <w:rsid w:val="00FB6470"/>
    <w:rsid w:val="00FC1170"/>
    <w:rsid w:val="00FC753C"/>
    <w:rsid w:val="00FD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F1C239-0CEE-DF48-9A43-3BA6E96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4A"/>
    <w:pPr>
      <w:spacing w:after="160" w:line="259" w:lineRule="auto"/>
      <w:ind w:left="720"/>
      <w:contextualSpacing/>
    </w:pPr>
    <w:rPr>
      <w:lang w:val="en-GB"/>
    </w:rPr>
  </w:style>
  <w:style w:type="character" w:customStyle="1" w:styleId="NoneA">
    <w:name w:val="None A"/>
    <w:rsid w:val="00A3264C"/>
    <w:rPr>
      <w:lang w:val="en-US"/>
    </w:rPr>
  </w:style>
  <w:style w:type="paragraph" w:styleId="NoSpacing">
    <w:name w:val="No Spacing"/>
    <w:uiPriority w:val="1"/>
    <w:qFormat/>
    <w:rsid w:val="004943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C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62A"/>
  </w:style>
  <w:style w:type="paragraph" w:styleId="Footer">
    <w:name w:val="footer"/>
    <w:basedOn w:val="Normal"/>
    <w:link w:val="FooterChar"/>
    <w:uiPriority w:val="99"/>
    <w:unhideWhenUsed/>
    <w:rsid w:val="008C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2A"/>
  </w:style>
  <w:style w:type="character" w:customStyle="1" w:styleId="None">
    <w:name w:val="None"/>
    <w:rsid w:val="005B7FB5"/>
  </w:style>
  <w:style w:type="character" w:customStyle="1" w:styleId="NoneB">
    <w:name w:val="None B"/>
    <w:rsid w:val="005B7FB5"/>
    <w:rPr>
      <w:lang w:val="en-US"/>
    </w:rPr>
  </w:style>
  <w:style w:type="paragraph" w:customStyle="1" w:styleId="BodyA">
    <w:name w:val="Body A"/>
    <w:rsid w:val="005B7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5B7FB5"/>
    <w:rPr>
      <w:color w:val="0000FF" w:themeColor="hyperlink"/>
      <w:u w:val="single"/>
    </w:rPr>
  </w:style>
  <w:style w:type="paragraph" w:customStyle="1" w:styleId="Body">
    <w:name w:val="Body"/>
    <w:rsid w:val="009F2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CA"/>
    </w:rPr>
  </w:style>
  <w:style w:type="paragraph" w:customStyle="1" w:styleId="BodyB">
    <w:name w:val="Body B"/>
    <w:rsid w:val="004470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character" w:styleId="Strong">
    <w:name w:val="Strong"/>
    <w:basedOn w:val="DefaultParagraphFont"/>
    <w:uiPriority w:val="22"/>
    <w:qFormat/>
    <w:rsid w:val="00C233B3"/>
    <w:rPr>
      <w:b/>
      <w:bCs/>
    </w:rPr>
  </w:style>
  <w:style w:type="paragraph" w:customStyle="1" w:styleId="Default">
    <w:name w:val="Default"/>
    <w:rsid w:val="00F75403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97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3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Elvar Fridriksson</cp:lastModifiedBy>
  <cp:revision>2</cp:revision>
  <dcterms:created xsi:type="dcterms:W3CDTF">2020-01-17T19:52:00Z</dcterms:created>
  <dcterms:modified xsi:type="dcterms:W3CDTF">2020-01-17T19:52:00Z</dcterms:modified>
</cp:coreProperties>
</file>