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A276" w14:textId="77777777" w:rsidR="00113103" w:rsidRPr="006350DD" w:rsidRDefault="009C5A6D">
      <w:pPr>
        <w:rPr>
          <w:b/>
        </w:rPr>
      </w:pPr>
      <w:r w:rsidRPr="006350DD">
        <w:rPr>
          <w:b/>
        </w:rPr>
        <w:t>Athugasemdir sem bárust við drög að reglugerð um breytingu á reglugerð um brennisteinsinnihald í tilteknu fljótandi eldsneyti, nr. 124/2015.</w:t>
      </w:r>
    </w:p>
    <w:p w14:paraId="77487B6E" w14:textId="77777777" w:rsidR="006350DD" w:rsidRDefault="006350DD">
      <w:pPr>
        <w:rPr>
          <w:b/>
        </w:rPr>
      </w:pPr>
    </w:p>
    <w:p w14:paraId="32B420D3" w14:textId="77777777" w:rsidR="009C5A6D" w:rsidRPr="00357CF8" w:rsidRDefault="00357CF8">
      <w:pPr>
        <w:rPr>
          <w:b/>
        </w:rPr>
      </w:pPr>
      <w:r>
        <w:rPr>
          <w:b/>
        </w:rPr>
        <w:t>SA</w:t>
      </w:r>
    </w:p>
    <w:p w14:paraId="435C0DDA" w14:textId="77777777" w:rsidR="009C5A6D" w:rsidRDefault="009C5A6D">
      <w:r>
        <w:t>Umsögn SA sn</w:t>
      </w:r>
      <w:r w:rsidR="00374A51">
        <w:t>eri</w:t>
      </w:r>
      <w:r>
        <w:t xml:space="preserve"> að orðalagi 4. gr. reglugerðarinnar </w:t>
      </w:r>
      <w:r w:rsidR="001564C9">
        <w:t>þess efnis</w:t>
      </w:r>
      <w:r>
        <w:t xml:space="preserve"> að heimilt væri að nota eldsneyti með hærra brennisteinsinnihald ef notast væri við viðurkenndar aðferðir til að draga úr losun</w:t>
      </w:r>
      <w:r w:rsidR="00374A51">
        <w:t xml:space="preserve">. Tekið </w:t>
      </w:r>
      <w:r w:rsidR="00052407">
        <w:t xml:space="preserve">væri </w:t>
      </w:r>
      <w:r w:rsidR="00374A51">
        <w:t xml:space="preserve">fram í reglugerðinni að heimilt </w:t>
      </w:r>
      <w:r w:rsidR="00957EDA">
        <w:t>væri</w:t>
      </w:r>
      <w:r w:rsidR="00374A51">
        <w:t xml:space="preserve"> að notast við viðurkenndar aðferðir til að draga úr losun í lokuðu kerfi. SA fara fram á að heimilt verði að notast við viðurkenndar aðferðir í </w:t>
      </w:r>
      <w:r w:rsidR="00374A51" w:rsidRPr="00052407">
        <w:rPr>
          <w:u w:val="single"/>
        </w:rPr>
        <w:t xml:space="preserve">opnum eða lokuðum </w:t>
      </w:r>
      <w:r w:rsidR="00374A51">
        <w:t>kerfum þar sem fyrirtæki samtakanna eigi viðurkenndan hreinsibúnað en það sé ekki einskorðað við lokaðan búnað.</w:t>
      </w:r>
    </w:p>
    <w:p w14:paraId="3D8C3DCF" w14:textId="77777777" w:rsidR="00957EDA" w:rsidRDefault="00603B3F" w:rsidP="00957EDA">
      <w:pPr>
        <w:pStyle w:val="Mlsgreinlista"/>
        <w:numPr>
          <w:ilvl w:val="0"/>
          <w:numId w:val="1"/>
        </w:numPr>
      </w:pPr>
      <w:r>
        <w:t xml:space="preserve">Orðalag ákvæðis 4. gr. er í samræmi við tilskipun ESB nr. 2012/33/EB. </w:t>
      </w:r>
      <w:r w:rsidR="00160309">
        <w:t>Samkvæmt UST er munurinn á opnum og lokuðum kerfum fólgin í því að í lokuðu kerfi er brennisteinssýra hlutleyst með basískri lausn</w:t>
      </w:r>
      <w:r w:rsidR="00FC1E53">
        <w:t xml:space="preserve"> um borð í skipi þar sem hægt er að geyma hana og losa þar sem hentar. Í opnum kerfum er skolvatn losað beint í sjó sem er basískur þar sem sjórinn gerir brennisteinssýruna hlutlausa og breytir í súlfit jónir.</w:t>
      </w:r>
    </w:p>
    <w:p w14:paraId="482C1154" w14:textId="77777777" w:rsidR="007071FC" w:rsidRDefault="007071FC" w:rsidP="00603B3F">
      <w:pPr>
        <w:pStyle w:val="Mlsgreinlista"/>
      </w:pPr>
    </w:p>
    <w:p w14:paraId="5DA1A944" w14:textId="77777777" w:rsidR="00357CF8" w:rsidRDefault="00357CF8" w:rsidP="00357CF8">
      <w:pPr>
        <w:rPr>
          <w:b/>
        </w:rPr>
      </w:pPr>
      <w:r>
        <w:rPr>
          <w:b/>
        </w:rPr>
        <w:t>Náttúruverndarsamtök Íslands</w:t>
      </w:r>
    </w:p>
    <w:p w14:paraId="1DE7892C" w14:textId="77777777" w:rsidR="00357CF8" w:rsidRDefault="00357CF8" w:rsidP="00357CF8">
      <w:r>
        <w:t>Tekið fram að ekki sé um bann að ræða, heldur f</w:t>
      </w:r>
      <w:r w:rsidR="00594410">
        <w:t>e</w:t>
      </w:r>
      <w:r>
        <w:t>li breytt reglugerð í sér mjög lág mörk fyrir losun brennisteins. NÍ leggja til</w:t>
      </w:r>
      <w:r w:rsidR="00160309">
        <w:t xml:space="preserve"> að flutningar og notkun svartolíu sem skipaeldsneyti verði alfarið bönnuð, því til rökstuðnings er bent á mjög erfitt sé að hreinsa svartolíu úr sjó, leki hún í hafið.</w:t>
      </w:r>
    </w:p>
    <w:p w14:paraId="56860CF0" w14:textId="1C257755" w:rsidR="00251081" w:rsidRDefault="00251081" w:rsidP="00251081">
      <w:pPr>
        <w:pStyle w:val="Mlsgreinlista"/>
        <w:numPr>
          <w:ilvl w:val="0"/>
          <w:numId w:val="1"/>
        </w:numPr>
      </w:pPr>
      <w:r>
        <w:t>Hreinsun svartolíu er skv. heimildum auðveldari í köldum sjó heldur en hreinsun íblandaðs eldsneytis.</w:t>
      </w:r>
    </w:p>
    <w:p w14:paraId="6FAB369D" w14:textId="77777777" w:rsidR="00B31A11" w:rsidRDefault="00B31A11" w:rsidP="00B31A11"/>
    <w:p w14:paraId="165B26AA" w14:textId="77777777" w:rsidR="00B31A11" w:rsidRDefault="00B31A11" w:rsidP="00B31A11">
      <w:pPr>
        <w:rPr>
          <w:b/>
        </w:rPr>
      </w:pPr>
      <w:r>
        <w:rPr>
          <w:b/>
        </w:rPr>
        <w:t>Umhverfisstofnun</w:t>
      </w:r>
    </w:p>
    <w:p w14:paraId="41E70486" w14:textId="77777777" w:rsidR="00160309" w:rsidRDefault="00B31A11" w:rsidP="00B31A11">
      <w:r>
        <w:t>UST tekur fram að nauðsynlegt sé að setja aukið fjármagn í vöktun og eftirlit</w:t>
      </w:r>
      <w:r w:rsidR="007F1BBD">
        <w:t xml:space="preserve"> því fylgjast þurfi vel með að erlend skip fylgi reglunum. Einnig þurfi að gera ráð fyrir fjármagni í kynningu á breytingunni, og gera megi ráð fyrir tveggja milljóna kr. viðbótarkostnaði </w:t>
      </w:r>
      <w:r w:rsidR="00160309">
        <w:t xml:space="preserve"> </w:t>
      </w:r>
      <w:r w:rsidR="00603B3F">
        <w:t>vegna aukins eftirlit. UST bendir á að til að auka skilvirkni eftirfylgni og til að forðast að þurfa að senda sýni úr landi, sé hægt að fjárfesta í færanlegum sýnatökubúnaði en með því móti sé hægt að taka sýni á staðnum og sekta ef niðurstaða sýnatöku bendir til þess að um brot sé að ræða. Slíkur búnaður kosti um fimm milljónir.</w:t>
      </w:r>
    </w:p>
    <w:p w14:paraId="56A56E6E" w14:textId="77777777" w:rsidR="00603B3F" w:rsidRDefault="00603B3F" w:rsidP="00B31A11">
      <w:r>
        <w:t>UST tekur einnig fram að ákvæði sem fellir brott 2. og 3. mgr. 11. gr. reglugerðarinnar sem ber heitið „skip sem liggja við bryggju“ leiði til þess að ekki verði þá tilgreint til hvaða ráðstafana eigi að grípa sé ekki unnt að nota rafmagn úr landi.</w:t>
      </w:r>
    </w:p>
    <w:p w14:paraId="238A656D" w14:textId="77777777" w:rsidR="00603B3F" w:rsidRDefault="00603B3F" w:rsidP="00603B3F">
      <w:pPr>
        <w:pStyle w:val="Mlsgreinlista"/>
        <w:numPr>
          <w:ilvl w:val="0"/>
          <w:numId w:val="1"/>
        </w:numPr>
      </w:pPr>
      <w:r>
        <w:t xml:space="preserve">Í 1. mgr. 11. gr. kemur fram að </w:t>
      </w:r>
      <w:r w:rsidR="00804B17">
        <w:t xml:space="preserve">skip sem liggja við bryggju skili nota rafmagn úr landi </w:t>
      </w:r>
      <w:r w:rsidR="00804B17" w:rsidRPr="00804B17">
        <w:rPr>
          <w:b/>
        </w:rPr>
        <w:t>eftir því sem kostur er</w:t>
      </w:r>
      <w:r w:rsidR="00804B17">
        <w:t xml:space="preserve">. </w:t>
      </w:r>
      <w:r>
        <w:t xml:space="preserve">Ákvæði 2. og 3. mgr. reglugerðarinnar voru felld brott því þar er fjallað um til hvaða ráðstafana eigi að grípa þegar ekki er mögulegt að nota rafmagn úr landi </w:t>
      </w:r>
      <w:r w:rsidR="00804B17">
        <w:t xml:space="preserve">og að ekki megi nota eldsneyti með meira brennisteinsinnihald en 0,1% í þeim tilfellum. </w:t>
      </w:r>
    </w:p>
    <w:p w14:paraId="0F61DCEB" w14:textId="19D66B0E" w:rsidR="00804B17" w:rsidRDefault="00804B17" w:rsidP="00603B3F">
      <w:pPr>
        <w:pStyle w:val="Mlsgreinlista"/>
        <w:numPr>
          <w:ilvl w:val="0"/>
          <w:numId w:val="1"/>
        </w:numPr>
      </w:pPr>
      <w:r>
        <w:t xml:space="preserve">2. </w:t>
      </w:r>
      <w:r w:rsidR="00E70011">
        <w:t>o</w:t>
      </w:r>
      <w:r>
        <w:t>g 3. Mgr. eru að mati</w:t>
      </w:r>
      <w:r w:rsidR="00E70011">
        <w:t xml:space="preserve"> ráðuneytisins</w:t>
      </w:r>
      <w:r>
        <w:t xml:space="preserve"> óþarfar, þar sem óheimilt verður að nota eldsneyti með meira brennisteinsinnihald en 0,1% í landhelginni. Það er því engin þörf til að tiltaka sérstaklega að ekki megi nota eldsneyti með meira brennisteinsinnihald en 0,1% þegar skip liggja við bryggju og tíma sem tekur að skipta um eldsneyti o.s.frv. </w:t>
      </w:r>
    </w:p>
    <w:p w14:paraId="3864E070" w14:textId="77777777" w:rsidR="00804B17" w:rsidRDefault="00804B17" w:rsidP="00804B17">
      <w:pPr>
        <w:rPr>
          <w:b/>
        </w:rPr>
      </w:pPr>
      <w:r>
        <w:rPr>
          <w:b/>
        </w:rPr>
        <w:lastRenderedPageBreak/>
        <w:t>SFS</w:t>
      </w:r>
    </w:p>
    <w:p w14:paraId="110303F4" w14:textId="77777777" w:rsidR="00804B17" w:rsidRDefault="00804B17" w:rsidP="00804B17">
      <w:r>
        <w:t>Samtökin leggjast gegn reglugerðardrögunum og óska eftir nánara samráð við stjórnvöld. SFS telur að íslensk stjórnvöld geti ekki skuldbundið önnur skip en íslensk skv. hertari reglum um brennisteinsinnihald, þar sem ekki hafi verið sótt um á vettvangi IMO að landhelgin yrði skilgreind sem ECA svæði. Það leiði til mismununar sem ekki sé unnt að fallast á</w:t>
      </w:r>
      <w:r w:rsidR="006350DD">
        <w:t>. Samtökin mótmæla því að gengið sé lengra en alþjóðlegar kröfur kveði á um.</w:t>
      </w:r>
    </w:p>
    <w:p w14:paraId="3BBB6442" w14:textId="77777777" w:rsidR="006350DD" w:rsidRDefault="006350DD" w:rsidP="00804B17">
      <w:r>
        <w:t>SFS telja að gott væri að setja í reglugerðina skilgreiningu á SOx-svæði,</w:t>
      </w:r>
    </w:p>
    <w:p w14:paraId="1F020FCB" w14:textId="77777777" w:rsidR="006350DD" w:rsidRDefault="006350DD" w:rsidP="00804B17">
      <w:r>
        <w:t>Einnig sé nauðsynlegt að innifela í reglugerðinni ákvæði þess efnis að heimilt verði að nýta birgðir sem kunni að standa ónýttar þegar reglurnar taka gildi.</w:t>
      </w:r>
    </w:p>
    <w:p w14:paraId="2D24B417" w14:textId="77777777" w:rsidR="006350DD" w:rsidRDefault="000C14AC" w:rsidP="006350DD">
      <w:pPr>
        <w:pStyle w:val="Mlsgreinlista"/>
        <w:numPr>
          <w:ilvl w:val="0"/>
          <w:numId w:val="1"/>
        </w:numPr>
      </w:pPr>
      <w:r>
        <w:t>Íslensk stjórnvöld hafa fullveldisrétt 12 sjómílur frá grunnlínu landhelgi sem felur í sér fullan og óskoraðan ríkisyfirráðarétt, þ.e. rétt til að setja lög og framfylgja þeim.</w:t>
      </w:r>
    </w:p>
    <w:p w14:paraId="741DABEC" w14:textId="77777777" w:rsidR="000C14AC" w:rsidRDefault="000C14AC" w:rsidP="006350DD">
      <w:pPr>
        <w:pStyle w:val="Mlsgreinlista"/>
        <w:numPr>
          <w:ilvl w:val="0"/>
          <w:numId w:val="1"/>
        </w:numPr>
      </w:pPr>
      <w:r>
        <w:t>Það er hægt að skoða, að sett verði skilgreininga á SOx svæði í reglugerðina og bráðabirgðaákvæði um að nýta megi birgðir af olíu í ákveðinn tíma eftir að reglugerðin tekur gildi.</w:t>
      </w:r>
    </w:p>
    <w:p w14:paraId="31596735" w14:textId="77777777" w:rsidR="000C14AC" w:rsidRDefault="000C14AC" w:rsidP="000C14AC">
      <w:pPr>
        <w:rPr>
          <w:b/>
        </w:rPr>
      </w:pPr>
      <w:r w:rsidRPr="000C14AC">
        <w:rPr>
          <w:b/>
        </w:rPr>
        <w:t>Hafnasambandið</w:t>
      </w:r>
    </w:p>
    <w:p w14:paraId="4DD93A70" w14:textId="77777777" w:rsidR="00251081" w:rsidRDefault="00251081" w:rsidP="000C14AC">
      <w:r>
        <w:t>Stjórn hafnasambandsins tekur undir efni og tilgang reglugerðarbreytingarinnar og leggur áherslu á að aðgerðaáætlun um orkuskipti í höfnum verði hrint í framkvæmd og að gert verði ráð fyrir fjármagni til þess að greiða fyrir framgangi hennar.</w:t>
      </w:r>
    </w:p>
    <w:p w14:paraId="21A3C0E4" w14:textId="77777777" w:rsidR="00251081" w:rsidRDefault="00251081" w:rsidP="000C14AC"/>
    <w:p w14:paraId="222BBB61" w14:textId="77777777" w:rsidR="00251081" w:rsidRDefault="00251081" w:rsidP="000C14AC"/>
    <w:p w14:paraId="02C035D5" w14:textId="77777777" w:rsidR="00251081" w:rsidRPr="004B3EA5" w:rsidRDefault="00251081" w:rsidP="00251081">
      <w:pPr>
        <w:rPr>
          <w:b/>
        </w:rPr>
      </w:pPr>
      <w:r w:rsidRPr="004B3EA5">
        <w:rPr>
          <w:b/>
        </w:rPr>
        <w:t>Eftirlitsheimildir skv. 13. gr. reglugerðar um brennisteinsinnihald</w:t>
      </w:r>
      <w:r>
        <w:rPr>
          <w:b/>
        </w:rPr>
        <w:t>, nr. 124/2015</w:t>
      </w:r>
      <w:r w:rsidRPr="004B3EA5">
        <w:rPr>
          <w:b/>
        </w:rPr>
        <w:t>.</w:t>
      </w:r>
    </w:p>
    <w:p w14:paraId="22DDEBB2" w14:textId="77777777" w:rsidR="00251081" w:rsidRDefault="00251081" w:rsidP="00251081">
      <w:pPr>
        <w:pStyle w:val="Mlsgreinlista"/>
      </w:pPr>
      <w:r>
        <w:t>2. mgr.</w:t>
      </w:r>
    </w:p>
    <w:p w14:paraId="36A7D1CD" w14:textId="77777777" w:rsidR="00251081" w:rsidRDefault="00251081" w:rsidP="00251081">
      <w:pPr>
        <w:pStyle w:val="Mlsgreinlista"/>
        <w:numPr>
          <w:ilvl w:val="0"/>
          <w:numId w:val="3"/>
        </w:numPr>
      </w:pPr>
      <w:r>
        <w:t>Umhverfisstofnun eða aðilum í umboði hennar er heimilt að taka sýni úr skipum, tönkum og olíubirgðastöðvum.</w:t>
      </w:r>
    </w:p>
    <w:p w14:paraId="5F28708D" w14:textId="77777777" w:rsidR="00251081" w:rsidRDefault="00251081" w:rsidP="00251081">
      <w:pPr>
        <w:pStyle w:val="Mlsgreinlista"/>
        <w:numPr>
          <w:ilvl w:val="0"/>
          <w:numId w:val="3"/>
        </w:numPr>
      </w:pPr>
      <w:r>
        <w:t>Umhverfisstofnun er enn fremur heimill aðgangur að olíudagbókum skipa og kvittunum frá söluaðila olíu.</w:t>
      </w:r>
    </w:p>
    <w:p w14:paraId="2D72AB37" w14:textId="77777777" w:rsidR="00251081" w:rsidRDefault="00251081" w:rsidP="00251081">
      <w:pPr>
        <w:ind w:left="708"/>
      </w:pPr>
      <w:r>
        <w:t xml:space="preserve">3. mgr.  </w:t>
      </w:r>
    </w:p>
    <w:p w14:paraId="231F163A" w14:textId="77777777" w:rsidR="00251081" w:rsidRDefault="00251081" w:rsidP="00251081">
      <w:pPr>
        <w:pStyle w:val="Mlsgreinlista"/>
        <w:numPr>
          <w:ilvl w:val="0"/>
          <w:numId w:val="4"/>
        </w:numPr>
      </w:pPr>
      <w:r>
        <w:t>Uppfylli skip ekki ákvæði um eldsneyti er stofnuninni heimilt að krefja skipstjóra um að lögð sé fram skýrsla fyrir skipið varðandi þær aðgerðir sem gripið var til í því skyni að hlíta reglum.</w:t>
      </w:r>
    </w:p>
    <w:p w14:paraId="7AA48037" w14:textId="77777777" w:rsidR="00251081" w:rsidRDefault="00251081" w:rsidP="00251081">
      <w:pPr>
        <w:pStyle w:val="Mlsgreinlista"/>
        <w:numPr>
          <w:ilvl w:val="0"/>
          <w:numId w:val="4"/>
        </w:numPr>
      </w:pPr>
      <w:r>
        <w:t>Lögð sé fram sönnun þess að reynt hafi verið að kaupa eldsneyti fyrir skipið í samræmi við kröfur reglugerðarinnar.</w:t>
      </w:r>
    </w:p>
    <w:p w14:paraId="13D7B352" w14:textId="77777777" w:rsidR="00251081" w:rsidRPr="004B3EA5" w:rsidRDefault="00251081" w:rsidP="00251081">
      <w:pPr>
        <w:rPr>
          <w:b/>
        </w:rPr>
      </w:pPr>
      <w:r w:rsidRPr="004B3EA5">
        <w:rPr>
          <w:b/>
        </w:rPr>
        <w:t>Þvingunarúrræði og viðurlög skv. 14. gr. reglugerðar um brennisteinsinnihald</w:t>
      </w:r>
    </w:p>
    <w:p w14:paraId="550715A6" w14:textId="77777777" w:rsidR="00251081" w:rsidRDefault="00251081" w:rsidP="00251081">
      <w:pPr>
        <w:pStyle w:val="Mlsgreinlista"/>
        <w:numPr>
          <w:ilvl w:val="0"/>
          <w:numId w:val="2"/>
        </w:numPr>
      </w:pPr>
      <w:r>
        <w:t>Um brot gegn ákvæðum reglugerðarinnar fer skv. efnalögum og lögum um varnir gegn mengun hafs og stranda.</w:t>
      </w:r>
    </w:p>
    <w:p w14:paraId="0BD65860" w14:textId="77777777" w:rsidR="00251081" w:rsidRPr="004B3EA5" w:rsidRDefault="00251081" w:rsidP="00251081">
      <w:pPr>
        <w:rPr>
          <w:b/>
        </w:rPr>
      </w:pPr>
      <w:r w:rsidRPr="004B3EA5">
        <w:rPr>
          <w:b/>
        </w:rPr>
        <w:t>XIV. kafli efnalaga</w:t>
      </w:r>
      <w:r>
        <w:rPr>
          <w:b/>
        </w:rPr>
        <w:t xml:space="preserve"> - </w:t>
      </w:r>
      <w:r w:rsidRPr="004B3EA5">
        <w:rPr>
          <w:b/>
        </w:rPr>
        <w:t>viðurlög.</w:t>
      </w:r>
    </w:p>
    <w:p w14:paraId="390910E6" w14:textId="77777777" w:rsidR="00251081" w:rsidRDefault="00251081" w:rsidP="00251081">
      <w:pPr>
        <w:pStyle w:val="Mlsgreinlista"/>
        <w:numPr>
          <w:ilvl w:val="0"/>
          <w:numId w:val="2"/>
        </w:numPr>
      </w:pPr>
      <w:r>
        <w:t>Haldlagning efna og efnablandna.</w:t>
      </w:r>
    </w:p>
    <w:p w14:paraId="2BDA1FF9" w14:textId="77777777" w:rsidR="00251081" w:rsidRDefault="00251081" w:rsidP="00251081">
      <w:pPr>
        <w:pStyle w:val="Mlsgreinlista"/>
        <w:numPr>
          <w:ilvl w:val="0"/>
          <w:numId w:val="2"/>
        </w:numPr>
      </w:pPr>
      <w:r>
        <w:t xml:space="preserve">Stjórnvaldssektir á einstakling/lögaðila sem brýtur gegn ákvæðum um leyfilegan hámarksstyrk brennisteins í skipaeldsneyti. </w:t>
      </w:r>
    </w:p>
    <w:p w14:paraId="6A0953D1" w14:textId="77777777" w:rsidR="00251081" w:rsidRDefault="00251081" w:rsidP="00251081">
      <w:pPr>
        <w:pStyle w:val="Mlsgreinlista"/>
        <w:numPr>
          <w:ilvl w:val="0"/>
          <w:numId w:val="2"/>
        </w:numPr>
      </w:pPr>
      <w:r>
        <w:lastRenderedPageBreak/>
        <w:t>Við ákvörðun sektar skal tekið tillit til alvarleika brots og hvort um ítrekað brot er að ræða. Sektir á lögaðila geta numið frá 25.000 kr. til 25.000.000 kr.</w:t>
      </w:r>
    </w:p>
    <w:p w14:paraId="02E17A42" w14:textId="77777777" w:rsidR="00251081" w:rsidRDefault="00251081" w:rsidP="00251081">
      <w:pPr>
        <w:pStyle w:val="Mlsgreinlista"/>
        <w:numPr>
          <w:ilvl w:val="0"/>
          <w:numId w:val="2"/>
        </w:numPr>
      </w:pPr>
      <w:r>
        <w:t>Stjórnvaldssektum skal beitt óháð því hvort lögbrot eru framin af ásetningi eða gáleysi.</w:t>
      </w:r>
    </w:p>
    <w:p w14:paraId="1F1BD6B9" w14:textId="77777777" w:rsidR="00251081" w:rsidRPr="004B3EA5" w:rsidRDefault="00251081" w:rsidP="00251081">
      <w:pPr>
        <w:rPr>
          <w:b/>
        </w:rPr>
      </w:pPr>
      <w:r w:rsidRPr="004B3EA5">
        <w:rPr>
          <w:b/>
        </w:rPr>
        <w:t>V. kafli laga um varnir gegn mengun hafs og stranda - þvingunarúrræði og refsiviðurlög.</w:t>
      </w:r>
    </w:p>
    <w:p w14:paraId="0A093926" w14:textId="77777777" w:rsidR="00251081" w:rsidRDefault="00251081" w:rsidP="00251081">
      <w:r>
        <w:t>24. gr. heimildir eftirlitsaðila.</w:t>
      </w:r>
    </w:p>
    <w:p w14:paraId="1EE22B4B" w14:textId="77777777" w:rsidR="00251081" w:rsidRDefault="00251081" w:rsidP="00251081">
      <w:r>
        <w:t>- Eftirlitsaðilum er heimill aðgangur að öllum upplýsingum um mengunarvarnarbúnað. Eftirlitsskyldum aðilum er skylt að veita allar upplýsingar vegna eftirlits með framkvæmd laganna.</w:t>
      </w:r>
    </w:p>
    <w:p w14:paraId="65A39078" w14:textId="77777777" w:rsidR="00251081" w:rsidRDefault="00251081" w:rsidP="00251081">
      <w:r>
        <w:t>25. gr. Refsiviðurlög.</w:t>
      </w:r>
    </w:p>
    <w:p w14:paraId="4EEA3C96" w14:textId="77777777" w:rsidR="00251081" w:rsidRDefault="00251081" w:rsidP="00251081">
      <w:r>
        <w:t>- Brot gegn lögum og reglugerðum settum samkvæmt þeim varða sektum eða fangelsi allt að tveimur árum.</w:t>
      </w:r>
    </w:p>
    <w:p w14:paraId="0B231D0A" w14:textId="77777777" w:rsidR="00251081" w:rsidRDefault="00251081" w:rsidP="00251081">
      <w:r>
        <w:t>26. gr. Sektir</w:t>
      </w:r>
    </w:p>
    <w:p w14:paraId="5D1DB43D" w14:textId="77777777" w:rsidR="00251081" w:rsidRDefault="00251081" w:rsidP="00251081">
      <w:r>
        <w:t xml:space="preserve">Sektir má ákvarða lögaðila þó sök verði ekki sönnuð á fyrirsvarsmenn eða starfsmenn hans anda hafi brotið orðið til hagsbóta fyrir lögaðilann. </w:t>
      </w:r>
    </w:p>
    <w:p w14:paraId="57987D6C" w14:textId="77777777" w:rsidR="00251081" w:rsidRPr="00251081" w:rsidRDefault="00251081" w:rsidP="000C14AC"/>
    <w:sectPr w:rsidR="00251081" w:rsidRPr="00251081" w:rsidSect="00901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F2159"/>
    <w:multiLevelType w:val="hybridMultilevel"/>
    <w:tmpl w:val="B7E0BD4C"/>
    <w:lvl w:ilvl="0" w:tplc="965E10FA">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3FD04AF6"/>
    <w:multiLevelType w:val="hybridMultilevel"/>
    <w:tmpl w:val="ECB0BC06"/>
    <w:lvl w:ilvl="0" w:tplc="53DA57E8">
      <w:start w:val="14"/>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744E15ED"/>
    <w:multiLevelType w:val="hybridMultilevel"/>
    <w:tmpl w:val="98CE915E"/>
    <w:lvl w:ilvl="0" w:tplc="53DA57E8">
      <w:start w:val="14"/>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745406BD"/>
    <w:multiLevelType w:val="hybridMultilevel"/>
    <w:tmpl w:val="EE10622C"/>
    <w:lvl w:ilvl="0" w:tplc="18AAA830">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6D"/>
    <w:rsid w:val="00052407"/>
    <w:rsid w:val="00081675"/>
    <w:rsid w:val="000C14AC"/>
    <w:rsid w:val="00113103"/>
    <w:rsid w:val="001564C9"/>
    <w:rsid w:val="00160309"/>
    <w:rsid w:val="00251081"/>
    <w:rsid w:val="00357CF8"/>
    <w:rsid w:val="00374A51"/>
    <w:rsid w:val="00594410"/>
    <w:rsid w:val="00603B3F"/>
    <w:rsid w:val="006350DD"/>
    <w:rsid w:val="006666DA"/>
    <w:rsid w:val="007069B5"/>
    <w:rsid w:val="007071FC"/>
    <w:rsid w:val="007F1BBD"/>
    <w:rsid w:val="00804B17"/>
    <w:rsid w:val="0090161F"/>
    <w:rsid w:val="00957EDA"/>
    <w:rsid w:val="009C5A6D"/>
    <w:rsid w:val="00A237B0"/>
    <w:rsid w:val="00B31A11"/>
    <w:rsid w:val="00E70011"/>
    <w:rsid w:val="00FC1E53"/>
  </w:rsids>
  <m:mathPr>
    <m:mathFont m:val="Cambria Math"/>
    <m:brkBin m:val="before"/>
    <m:brkBinSub m:val="--"/>
    <m:smallFrac m:val="0"/>
    <m:dispDef/>
    <m:lMargin m:val="0"/>
    <m:rMargin m:val="0"/>
    <m:defJc m:val="centerGroup"/>
    <m:wrapIndent m:val="1440"/>
    <m:intLim m:val="subSup"/>
    <m:naryLim m:val="undOvr"/>
  </m:mathPr>
  <w:themeFontLang w:val="is-IS" w:eastAsia="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E2DB"/>
  <w15:chartTrackingRefBased/>
  <w15:docId w15:val="{6175A698-FA27-4583-A87F-637EC9A4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957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922</Words>
  <Characters>5258</Characters>
  <Application>Microsoft Office Word</Application>
  <DocSecurity>0</DocSecurity>
  <Lines>43</Lines>
  <Paragraphs>12</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Jónsdóttir</dc:creator>
  <cp:keywords/>
  <dc:description/>
  <cp:lastModifiedBy>Helga Jónsdóttir</cp:lastModifiedBy>
  <cp:revision>4</cp:revision>
  <dcterms:created xsi:type="dcterms:W3CDTF">2019-06-20T14:28:00Z</dcterms:created>
  <dcterms:modified xsi:type="dcterms:W3CDTF">2021-08-12T12:58:00Z</dcterms:modified>
</cp:coreProperties>
</file>