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E798" w14:textId="77777777" w:rsidR="001D6FFE" w:rsidRDefault="00E40155">
      <w:pPr>
        <w:pStyle w:val="MainTitle"/>
      </w:pPr>
      <w:r>
        <w:t>Reglugerð Evrópuþingsins og ráðsins (ESB) 2019/2033</w:t>
      </w:r>
    </w:p>
    <w:p w14:paraId="506A84F1" w14:textId="77777777" w:rsidR="001D6FFE" w:rsidRDefault="00E40155">
      <w:pPr>
        <w:pStyle w:val="MainTitle"/>
      </w:pPr>
      <w:r>
        <w:t>frá 27. nóvember 2019</w:t>
      </w:r>
    </w:p>
    <w:p w14:paraId="217AE4E0" w14:textId="77777777" w:rsidR="001D6FFE" w:rsidRDefault="00E40155">
      <w:pPr>
        <w:pStyle w:val="MainTitle"/>
        <w:spacing w:after="360"/>
      </w:pPr>
      <w:r>
        <w:t>um varfærniskröfur fyrir verðbréfafyrirtæki og breytingu á reglugerðum (ESB) nr. 1093/2010, (ESB) nr. 575/2013, (ESB) nr. 600/2014 og (ESB) nr. 806/2014</w:t>
      </w:r>
    </w:p>
    <w:p w14:paraId="02AB1841" w14:textId="77777777" w:rsidR="001D6FFE" w:rsidRDefault="00E40155">
      <w:pPr>
        <w:pStyle w:val="PreambleInit"/>
      </w:pPr>
      <w:r>
        <w:t>EVRÓPUÞINGIÐ OG RÁÐ EVRÓPUSAMBANDSINS HAFA,</w:t>
      </w:r>
    </w:p>
    <w:p w14:paraId="78CE35E6" w14:textId="77777777" w:rsidR="001D6FFE" w:rsidRDefault="00E40155">
      <w:pPr>
        <w:pStyle w:val="Para"/>
      </w:pPr>
      <w:r>
        <w:t>með hliðsjón af sáttmálanum um starfshætti Evrópusambandsins, einkum 114. gr.,</w:t>
      </w:r>
    </w:p>
    <w:p w14:paraId="19F6B2EB" w14:textId="77777777" w:rsidR="001D6FFE" w:rsidRDefault="00E40155">
      <w:pPr>
        <w:pStyle w:val="Para"/>
      </w:pPr>
      <w:r>
        <w:t>með hliðsjón af tillögu framkvæmdastjórnar Evrópusambandsins,</w:t>
      </w:r>
    </w:p>
    <w:p w14:paraId="283A9D3E" w14:textId="77777777" w:rsidR="001D6FFE" w:rsidRDefault="00E40155">
      <w:pPr>
        <w:pStyle w:val="Para"/>
      </w:pPr>
      <w:r>
        <w:t>eftir að hafa lagt drög að lagagerð fyrir þjóðþingin,</w:t>
      </w:r>
    </w:p>
    <w:p w14:paraId="6BAF0C04" w14:textId="77777777" w:rsidR="001D6FFE" w:rsidRDefault="00E40155">
      <w:pPr>
        <w:pStyle w:val="Para"/>
      </w:pPr>
      <w:r>
        <w:t>með hliðsjón af áliti Seðlabanka Evrópu (</w:t>
      </w:r>
      <w:bookmarkStart w:id="0" w:name="NOTE_1"/>
      <w:r>
        <w:rPr>
          <w:rStyle w:val="FootnoteReference"/>
          <w:sz w:val="18"/>
        </w:rPr>
        <w:footnoteReference w:id="2"/>
      </w:r>
      <w:bookmarkEnd w:id="0"/>
      <w:r>
        <w:t>),</w:t>
      </w:r>
    </w:p>
    <w:p w14:paraId="356CF402" w14:textId="77777777" w:rsidR="001D6FFE" w:rsidRDefault="00E40155">
      <w:pPr>
        <w:pStyle w:val="Para"/>
      </w:pPr>
      <w:r>
        <w:t>með hliðsjón af áliti efnahags- og félagsmálanefndar Evrópusambandsins(</w:t>
      </w:r>
      <w:bookmarkStart w:id="1" w:name="NOTE_2"/>
      <w:r>
        <w:rPr>
          <w:rStyle w:val="FootnoteReference"/>
          <w:sz w:val="18"/>
        </w:rPr>
        <w:footnoteReference w:id="3"/>
      </w:r>
      <w:bookmarkEnd w:id="1"/>
      <w:r>
        <w:t>),</w:t>
      </w:r>
    </w:p>
    <w:p w14:paraId="2FD9C2A0" w14:textId="77777777" w:rsidR="001D6FFE" w:rsidRDefault="00E40155">
      <w:pPr>
        <w:pStyle w:val="Para"/>
      </w:pPr>
      <w:r>
        <w:t>í samræmi við almenna lagasetningarmeðferð (</w:t>
      </w:r>
      <w:bookmarkStart w:id="2" w:name="NOTE_3"/>
      <w:r>
        <w:rPr>
          <w:rStyle w:val="FootnoteReference"/>
          <w:sz w:val="18"/>
        </w:rPr>
        <w:footnoteReference w:id="4"/>
      </w:r>
      <w:bookmarkEnd w:id="2"/>
      <w:r>
        <w:t>),</w:t>
      </w:r>
    </w:p>
    <w:p w14:paraId="500C3C0E" w14:textId="77777777" w:rsidR="001D6FFE" w:rsidRDefault="00E40155">
      <w:pPr>
        <w:pStyle w:val="Para"/>
      </w:pPr>
      <w:r>
        <w:rPr>
          <w:i/>
          <w:iCs/>
        </w:rPr>
        <w:t>og að teknu tilliti til eftirfarandi</w:t>
      </w:r>
      <w:r>
        <w:t>:</w:t>
      </w:r>
    </w:p>
    <w:p w14:paraId="0068CD51" w14:textId="77777777" w:rsidR="001D6FFE" w:rsidRDefault="00E40155">
      <w:pPr>
        <w:pStyle w:val="Consid"/>
      </w:pPr>
      <w:r>
        <w:t>1)</w:t>
      </w:r>
      <w:r>
        <w:tab/>
        <w:t>Traustar varfærniskröfur eru órjúfanlegur þáttur lagaumhverfis sem gildir um fjármálastofnanir sem veita þjónustu í Sambandinu. Verðbréfafyrirtæki falla, ásamt lánastofnunum, undir reglugerð Evrópuþingsins og ráðsins (ESB) nr. 575/2013 (</w:t>
      </w:r>
      <w:bookmarkStart w:id="3" w:name="NOTE_4"/>
      <w:r>
        <w:rPr>
          <w:rStyle w:val="FootnoteReference"/>
          <w:sz w:val="18"/>
        </w:rPr>
        <w:footnoteReference w:id="5"/>
      </w:r>
      <w:bookmarkEnd w:id="3"/>
      <w:r>
        <w:t>) og tilskipun Evrópuþingsins og ráðsins 2013/36/ESB (</w:t>
      </w:r>
      <w:bookmarkStart w:id="4" w:name="NOTE_5"/>
      <w:r>
        <w:rPr>
          <w:rStyle w:val="FootnoteReference"/>
          <w:sz w:val="18"/>
        </w:rPr>
        <w:footnoteReference w:id="6"/>
      </w:r>
      <w:bookmarkEnd w:id="4"/>
      <w:r>
        <w:t>) að því er varðar varfærnismeðferð og -eftirlit þeirra, en kröfur um starfsleyfi þeirra og aðrar kröfur um skipulag og háttsemi eru settar fram í tilskipun Evrópuþingsins og ráðsins 2014/65/ESB (</w:t>
      </w:r>
      <w:bookmarkStart w:id="5" w:name="NOTE_6"/>
      <w:r>
        <w:rPr>
          <w:rStyle w:val="FootnoteReference"/>
          <w:sz w:val="18"/>
        </w:rPr>
        <w:footnoteReference w:id="7"/>
      </w:r>
      <w:bookmarkEnd w:id="5"/>
      <w:r>
        <w:t>).</w:t>
      </w:r>
    </w:p>
    <w:p w14:paraId="4F9942F0" w14:textId="77777777" w:rsidR="001D6FFE" w:rsidRDefault="00E40155">
      <w:pPr>
        <w:pStyle w:val="Consid"/>
        <w:spacing w:after="0"/>
      </w:pPr>
      <w:r>
        <w:t>2)</w:t>
      </w:r>
      <w:r>
        <w:tab/>
        <w:t>Gildandi varfærnisfyrirkomulag samkvæmt reglugerð (ESB) nr. 575/2013 og tilskipun 2013/36/ESB byggist að stórum hluta á ítrekuðum útgáfum alþjóðlegra eftirlitsstaðla sem Baselnefndin um bankaeftirlit setti um stórar bankasamstæður og tekur aðeins að hluta til á sértækri áhættu sem innbyggð er í fjölbreytta starfsemi margra verðbréfafyrirtækja. Því ætti að taka sérstaklega á hinum sértæku veikleikum og áhættu sem innbyggð er í þessi verðbréfafyrirtæki með viðeigandi og hóflegu varfærnisfyrirkomulagi á vettv</w:t>
      </w:r>
      <w:r>
        <w:t>angi Sambandsins.</w:t>
      </w:r>
      <w:r>
        <w:br w:type="page"/>
      </w:r>
    </w:p>
    <w:p w14:paraId="45A9D8F7" w14:textId="77777777" w:rsidR="001D6FFE" w:rsidRDefault="00E40155">
      <w:pPr>
        <w:pStyle w:val="Consid"/>
      </w:pPr>
      <w:r>
        <w:lastRenderedPageBreak/>
        <w:t>3)</w:t>
      </w:r>
      <w:r>
        <w:tab/>
        <w:t>Áhættan sem verðbréfafyrirtækin sjálf taka og valda viðskiptavinum sínum og stærri mörkuðum sem þau starfa á fer eftir eðli og umfangi starfsemi þeirra, þ.m.t. hvort verðbréfafyrirtæki koma fram sem umboðsaðilar fyrir viðskiptavini sína og taka ekki sjálf þátt í viðskiptunum eða hvort þau eigi í viðskiptum fyrir eigin reikning.</w:t>
      </w:r>
    </w:p>
    <w:p w14:paraId="1FF5538C" w14:textId="77777777" w:rsidR="001D6FFE" w:rsidRDefault="00E40155">
      <w:pPr>
        <w:pStyle w:val="Consid"/>
      </w:pPr>
      <w:r>
        <w:t>4)</w:t>
      </w:r>
      <w:r>
        <w:tab/>
        <w:t>Traustar varfærniskröfur ættu að tryggja að verðbréfafyrirtækjum sé stjórnað á skipulegan hátt og með hagsmuni viðskiptavina þeirra að leiðarljósi. Þessar kröfur ættu að taka mið af möguleika verðbréfafyrirtækja og viðskiptavina þeirra á að taka óhóflega áhættu sem og mismunandi mikilli áhættu sem verðbréfafyrirtæki taka og valda. Að sama skapi ætti með slíkum varfærniskröfum að forðast að leggja ótilhlýðilega stjórnsýslubyrði á verðbréfafyrirtæki.</w:t>
      </w:r>
    </w:p>
    <w:p w14:paraId="2192F734" w14:textId="77777777" w:rsidR="001D6FFE" w:rsidRDefault="00E40155">
      <w:pPr>
        <w:pStyle w:val="Consid"/>
      </w:pPr>
      <w:r>
        <w:t>5)</w:t>
      </w:r>
      <w:r>
        <w:tab/>
        <w:t xml:space="preserve">Mörgum af varfærniskröfunum sem leiða af ramma reglugerðar (ESB) nr. 575/2013 og tilskipunar 2013/36/ESB er ætlað að taka á algengri áhættu sem lánastofnanir standa frammi fyrir. Til samræmis við það eru gildandi kröfur að mestu stilltar þannig að þær viðhaldi útlánagetu lánastofnana í hagsveiflum og verndi innstæðueigendur og skattgreiðendur fyrir mögulegu falli, en eru ekki gerðar til að taka á öllum mismunandi áhættusniðum verðbréfafyrirtækja. Verðbréfafyrirtæki eru ekki með stór eignasöfn af lánum til </w:t>
      </w:r>
      <w:r>
        <w:t>einkaaðila og fyrirtækja og taka ekki við innlánum. Líkurnar á að fall þeirra hafi skaðleg áhrif á heildarfjármálastöðugleika eru minni en þegar um lánastofnanir er að ræða. Áhættan sem flest verðbréfafyrirtæki standa frammi fyrir og valda er því að verulegu leyti önnur en áhættan sem lánastofnanir standa frammi fyrir og valda og sá munur ætti að endurspeglast með skýrum hætti í varfærnisramma Sambandsins.</w:t>
      </w:r>
    </w:p>
    <w:p w14:paraId="1E225B76" w14:textId="77777777" w:rsidR="001D6FFE" w:rsidRDefault="00E40155">
      <w:pPr>
        <w:pStyle w:val="Consid"/>
      </w:pPr>
      <w:r>
        <w:t>6)</w:t>
      </w:r>
      <w:r>
        <w:tab/>
        <w:t>Varfærniskröfurnar sem verðbréfafyrirtæki lúta samkvæmt reglugerð (ESB) nr. 575/2013 og tilskipun 2013/36/ESB byggjast á þeim kröfum sem gerðar eru til lánastofnana. Verðbréfafyrirtæki með starfsleyfi sem takmarkast við tiltekna fjárfestingarþjónustu, sem núverandi varfærnisrammi nær ekki yfir, falla undir margar undanþágur frá þeim kröfum. Þessar undanþágur réttlætast af því að þessi verðbréfafyrirtæki valda ekki áhættu af sama toga og lánastofnanir. Verðbréfafyrirtæki sem stunda starfsemi sem núverandi v</w:t>
      </w:r>
      <w:r>
        <w:t>arfærnisrammi beinist að og felur í sér takmörkuð viðskipti með fjármálagerninga falla undir samsvarandi kröfur rammans að því er varðar fjármagn en eru undanþegin þeim á öðrum sviðum, s.s. að því er varðar lausafjárstöðu, stórar áhættuskuldbindingar og skuldsetningu. Verðbréfafyrirtæki með starfsleyfi sem ekki er háð þessum takmörkunum, falla undir sömu varfærniskröfur og lánastofnanir.</w:t>
      </w:r>
    </w:p>
    <w:p w14:paraId="271B81FB" w14:textId="77777777" w:rsidR="001D6FFE" w:rsidRDefault="00E40155">
      <w:pPr>
        <w:pStyle w:val="Consid"/>
      </w:pPr>
      <w:r>
        <w:t>7)</w:t>
      </w:r>
      <w:r>
        <w:tab/>
        <w:t xml:space="preserve">Viðskipti með fjármálagerninga, hvort sem þau eru gerð vegna áhættustýringar, áhættuvarnar eða lausafjárstýringar eða til að taka stefnumarkandi stöður í virði gerninga til lengri tíma, er starfsemi sem bæði lánastofnanir og verðbréfafyrirtæki með starfsleyfi til að eiga viðskipti fyrir eigin reikning geta stundað og sem varfærnisramminn samkvæmt reglugerð (ESB) nr. 575/2013 og tilskipun 2013/36/ESB nær nú þegar yfir. Til þess að komast hjá ójöfnum samkeppnisskilyrðum sem myndu leiða til eftirlitshögnunar </w:t>
      </w:r>
      <w:r>
        <w:t>milli lánastofnana og verðbréfafyrirtækja á þessu sviði ættu kröfur um eiginfjárgrunn sem leiða af þeim reglum sem varða áhættuna einnig að gilda áfram um þessi verðbréfafyrirtæki. Áhættuskuldbindingar þessara verðbréfafyrirtækja vegna mótaðila þeirra í tilteknum viðskiptum og samsvarandi kröfur um eiginfjárgrunn falla einnig undir reglurnar og ættu því einnig að gilda áfram um verðbréfafyrirtæki á einfaldaðan hátt. Að lokum skipta reglurnar um stórar áhættuskuldbindingar í gildandi varfærnisramma einnig má</w:t>
      </w:r>
      <w:r>
        <w:t>li þegar áhættuskuldbindingar vegna viðskipta þessara verðbréfafyrirtækja gagnvart tilteknum mótaðilum eru sérstaklega stórar og skapa þannig óhóflega samþjöppun áhættu fyrir verðbréfafyrirtæki lendi mótaðilinn í vanskilum. Þessar reglur ættu því einnig að gilda áfram um verðbréfafyrirtæki á einfaldaðan hátt.</w:t>
      </w:r>
    </w:p>
    <w:p w14:paraId="655631EE" w14:textId="77777777" w:rsidR="001D6FFE" w:rsidRDefault="00E40155">
      <w:pPr>
        <w:pStyle w:val="Consid"/>
        <w:spacing w:after="0"/>
      </w:pPr>
      <w:r>
        <w:t>8)</w:t>
      </w:r>
      <w:r>
        <w:tab/>
        <w:t>Munur á beitingu gildandi varfærnisramma í mismunandi aðildarríkjum ógnar jöfnum samkeppnisskilyrðum verðbréfafyrirtækja í Sambandinu. Þessi munur stafar af því hversu flókið það er að beita rammanum á mismunandi verðbréfafyrirtæki á grundvelli þjónustunnar sem þau veita, þegar sum landsbundin yfirvöld aðlaga eða hagræða beitingu hans í landslögum eða framkvæmd. Með tilliti til þess að gildandi varfærnisrammi tekur ekki á allri áhættu sem vissar gerðir verðbréfafyrirtækja standa frammi fyrir og valda, hefu</w:t>
      </w:r>
      <w:r>
        <w:t>r í sumum aðildarríkjum kröfum um mikið viðbótarfjármagn verið beitt á tiltekin verðbréfafyrirtæki. Setja ætti samræmd ákvæði sem taka á þessari áhættu til að tryggja samhæft varfærniseftirlit með verðbréfafyrirtækjum alls staðar í Sambandinu.</w:t>
      </w:r>
      <w:r>
        <w:br w:type="page"/>
      </w:r>
    </w:p>
    <w:p w14:paraId="36C656B2" w14:textId="77777777" w:rsidR="001D6FFE" w:rsidRDefault="00E40155">
      <w:pPr>
        <w:pStyle w:val="Consid"/>
      </w:pPr>
      <w:r>
        <w:lastRenderedPageBreak/>
        <w:t>9)</w:t>
      </w:r>
      <w:r>
        <w:tab/>
        <w:t>Því er krafist sértæks varfærnisfyrirkomulags fyrir verðbréfafyrirtæki sem eru ekki kerfislega mikilvæg sökum stærðar sinnar og innbyrðis tengsla við aðra fjármála- og rekstraraðila. Kerfislega mikilvæg verðbréfafyrirtæki ættu þó áfram að falla undir gildandi varfærnisramma samkvæmt reglugerð (ESB) nr. 575/2013 og tilskipun 2013/36/ESB. Þessi verðbréfafyrirtæki eru hluti þeirra verðbréfafyrirtækja sem ramminn sem mælt er fyrir um í reglugerð (ESB) nr. 575/2013 og tilskipun 2013/36/ESB gildir nú um og njóta</w:t>
      </w:r>
      <w:r>
        <w:t xml:space="preserve"> ekki sérstakra undanþága frá neinum af helstu kröfum þeirra. Stærstu og mest innbyrðis tengdu verðbréfafyrirtækin hafa svipuð viðskiptalíkön og áhættusnið og þau sem mikilvægar lánastofnanir hafa. Þau veita þjónustu sem líkist bankaþjónustu og taka á sig verulega áhættu. Þar að auki eru kerfislega mikilvæg verðbréfafyrirtæki nógu stór og eru með viðskiptalíkön og áhættusnið sem ógnað geta stöðugleika og skipulegri starfsemi fjármálamarkaða með sambærilegum hætti og stórar lánastofnanir. Því þykir rétt að þ</w:t>
      </w:r>
      <w:r>
        <w:t>essi verðbréfafyrirtæki haldi áfram að falla undir reglurnar sem settar eru í reglugerð (ESB) nr. 575/2013 og tilskipun 2013/36/ESB.</w:t>
      </w:r>
    </w:p>
    <w:p w14:paraId="71F8BF55" w14:textId="77777777" w:rsidR="001D6FFE" w:rsidRDefault="00E40155">
      <w:pPr>
        <w:pStyle w:val="Consid"/>
      </w:pPr>
      <w:r>
        <w:t>10)</w:t>
      </w:r>
      <w:r>
        <w:tab/>
        <w:t>Í hinu sértæka varfærnisfyrirkomulagi fyrir verðbréfafyrirtæki, sem ekki teljast kerfislega mikilvæg sökum stærðar sinnar og innbyrðis tengsla við aðra fjármála- og rekstraraðila, ætti að taka á sérstökum viðskiptaháttum mismunandi tegunda verðbréfafyrirtækja. Þau verðbréfafyrirtæki sem mestar líkur eru á að skapi áhættu fyrir viðskiptavini, markaði eða skipulega starfsemi verðbréfafyrirtækjanna sjálfra ættu einkum að falla undir skýrar og skilvirkar varfærniskröfur sem lagaðar eru að þessari sérstöku áhæt</w:t>
      </w:r>
      <w:r>
        <w:t>tu. Þessar varfærniskröfur ættu að vera stilltar á þann hátt að þær séu í samræmi við tegund verðbréfafyrirtækisins, hagsmuni viðskiptavina slíkra verðbréfafyrirtækja og eflingu snurðulausrar og skipulegrar starfsemi markaðanna þar sem slík verðbréfafyrirtæki starfa. Þær ættu að milda áhættu tilgreindra áhættusviða og stuðla að því að tryggja, verði verðbréfafyrirtæki gjaldþrota, að hægt sé að slíta því á skipulegan hátt með lágmarksröskun á stöðugleika fjármálamarkaða.</w:t>
      </w:r>
    </w:p>
    <w:p w14:paraId="6ED10375" w14:textId="77777777" w:rsidR="001D6FFE" w:rsidRDefault="00E40155">
      <w:pPr>
        <w:pStyle w:val="Consid"/>
      </w:pPr>
      <w:r>
        <w:t>11)</w:t>
      </w:r>
      <w:r>
        <w:tab/>
        <w:t>Fyrirkomulagið sem kveðið er á um í þessari reglugerð ætti ekki að hafa áhrif á skyldur tilnefndra viðskiptavaka á viðskiptavettvöngum samkvæmt tilskipun 2014/65/ESB um að gera verðtilboð og vera ætíð til staðar á markaði.</w:t>
      </w:r>
    </w:p>
    <w:p w14:paraId="637E88C7" w14:textId="77777777" w:rsidR="001D6FFE" w:rsidRDefault="00E40155">
      <w:pPr>
        <w:pStyle w:val="Consid"/>
      </w:pPr>
      <w:r>
        <w:t>12)</w:t>
      </w:r>
      <w:r>
        <w:tab/>
        <w:t>Varfærnisfyrirkomulag fyrir verðbréfafyrirtæki sem teljast ekki kerfislega mikilvæg sökum stærðar og innbyrðis tengsla við aðra fjármála- og rekstraraðila ætti að gilda um sérhvert verðbréfafyrirtæki á einingargrunni. Til að auðvelda beitingu varfærniskrafna fyrir verðbréfafyrirtæki í Sambandinu sem eru hluti bankasamstæðna og komast hjá röskun tiltekinna viðskiptalíkana þar sem áhættu er þegar mætt með beitingu varfærniskrafna ætti verðbréfafyrirtækjum þó að vera heimilt að beita kröfunum í reglugerð (ESB</w:t>
      </w:r>
      <w:r>
        <w:t xml:space="preserve">) 575/2013 og tilskipun 2013/36/ESB, eftir því sem við á, með fyrirvara um samþykki lögbærra yfirvalda og að því tilskildu að ákvörðun þeirra þar að lútandi miði ekki að eftirlitshögnun. Enn fremur, þar sem áhættan sem lítil og ótengd verðbréfafyrirtæki taka á sig er að mestu leyti takmörkuð ætti þeim að vera heimilt að nýta sér undanþágu frá sértæku varfærniskröfunum fyrir verðbréfafyrirtæki ef þau eru hluti af bankasamstæðu eða samstæðu verðbréfafyrirtækis sem hafa höfuðstöðvar og sæta samstæðueftirliti, </w:t>
      </w:r>
      <w:r>
        <w:t>samkvæmt reglugerð (ESB) nr. 575/2013 og tilskipun 2013/36/ESB eða samkvæmt þessari reglugerð og tilskipun Evrópuþingsins og ráðsins (ESB) 2019/2034 (</w:t>
      </w:r>
      <w:bookmarkStart w:id="6" w:name="NOTE_7"/>
      <w:r>
        <w:rPr>
          <w:rStyle w:val="FootnoteReference"/>
          <w:sz w:val="18"/>
        </w:rPr>
        <w:footnoteReference w:id="8"/>
      </w:r>
      <w:bookmarkEnd w:id="6"/>
      <w:r>
        <w:t>), eftir því sem við á, í sama aðildarríki þar sem sá varfærnisrammi ætti með fullnægjandi hætti að ná yfir áhættuna í þeim tilvikum. Til að endurspegla núverandi meðferð á samstæðum verðbréfafyrirtækis samkvæmt reglugerð (ESB) nr. 575/2013 og tilskipun 2013/36/ESB, að því er varðar samstæður sem samanstanda eingöngu af verðbréfafyrirtækjum, eða ef beiting krafna á samstæðugrunni samkvæmt reglugerð (ESB) nr. 575/2013 á ekki við, ætti móðurfélaginu í slíkum samstæðum að vera skylt að uppfylla kröfur þessarar</w:t>
      </w:r>
      <w:r>
        <w:t xml:space="preserve"> reglugerðar á grundvelli samstæðustöðu samstæðunnar. Að öðrum kosti, ef slíkar samstæður verðbréfafyrirtækis hafa einfaldara skipulag og áhættusnið geta lögbær yfirvöld, í staðinn fyrir að beita varfærniskröfum á samstæðugrunni, heimilað móðurfélaginu í samstæðunni að hafa nægilegt fjármagn til að standa undir bókfærðu virði eignarhluta hennar í dótturfélögunum. Ef lítil og ótengd verðbréfafyrirtæki eru hluti vátryggingasamstæðu ættu þau einnig hafa heimild til að notfæra sér undanþágu frá kröfum um upplýs</w:t>
      </w:r>
      <w:r>
        <w:t>ingagjöf.</w:t>
      </w:r>
    </w:p>
    <w:p w14:paraId="08521C14" w14:textId="77777777" w:rsidR="001D6FFE" w:rsidRDefault="00E40155">
      <w:pPr>
        <w:pStyle w:val="Consid"/>
      </w:pPr>
      <w:r>
        <w:t>13)</w:t>
      </w:r>
      <w:r>
        <w:tab/>
        <w:t xml:space="preserve">Til að gera verðbréfafyrirtækjum kleift að halda áfram að treysta á fyrirliggjandi eiginfjárgrunn sinn til að uppfylla kröfur sínar um eiginfjárgrunn samkvæmt sérstaka varfærnisrammanum fyrir verðbréfafyrirtæki ætti að aðlaga skilgreiningu og samsetningu eiginfjárgrunnsins að reglugerð (ESB) nr. 575/2013. Þetta felur í sér fullan frádrátt liða á efnahagsreikningi frá eiginfjárgrunni í samræmi við reglugerð (ESB) nr. 575/2013, s.s. frestaðra skattinneigna og eignarhluta í fjármagnsgerningum annarra aðila á </w:t>
      </w:r>
      <w:r>
        <w:t xml:space="preserve">fjármálamarkaði. Verðbréfafyrirtæki ættu þó að geta undanskilið óverulega eignarhluti í fjármagnsgerningum í aðilum á fjármálamarkaði frá frádrætti ef þeim er haldið í viðskiptatilgangi til að styðja viðskiptavakt á þessa gerninga. Til að aðlaga samsetningu eiginfjárgrunns að reglugerð (ESB) nr. 575/2013 eru samsvarandi hlutföll tegunda eiginfjárgrunns látin endurspeglast í þessari reglugerð. Til að tryggja að kröfurnar séu í réttu hlutfalli við eðli, umfang og flækjustig </w:t>
      </w:r>
      <w:r>
        <w:br w:type="column"/>
      </w:r>
      <w:r>
        <w:lastRenderedPageBreak/>
        <w:t>í starfsemi verðbréfafyrirtækjanna</w:t>
      </w:r>
      <w:r>
        <w:t xml:space="preserve"> og þau hafi greiðan aðgang að þeim í þessari reglugerð ætti framkvæmdastjórnin að endurskoða hvort viðeigandi sé að halda áfram að aðlaga skilgreiningu og samsetningu eiginfjárgrunnsins að reglugerð (ESB) nr. 575/2013.</w:t>
      </w:r>
    </w:p>
    <w:p w14:paraId="510BE050" w14:textId="77777777" w:rsidR="001D6FFE" w:rsidRDefault="00E40155">
      <w:pPr>
        <w:pStyle w:val="Consid"/>
      </w:pPr>
      <w:r>
        <w:t>14)</w:t>
      </w:r>
      <w:r>
        <w:tab/>
        <w:t>Til að tryggja að verðbréfafyrirtæki starfi ætíð á grundvelli þess eiginfjárgrunnsstigs sem krafist er vegna starfsleyfis þeirra ættu öll verðbréfafyrirtæki, ávallt að uppfylla kröfu um varanlegt lágmarksfjármagn sem nemur stofnfénu sem krafist er vegna leyfis til að starfrækja viðkomandi fjárfestingarþjónustu og sett er í samræmi við tilskipun (ESB) 2019/2034.</w:t>
      </w:r>
    </w:p>
    <w:p w14:paraId="4FA94DFB" w14:textId="77777777" w:rsidR="001D6FFE" w:rsidRDefault="00E40155">
      <w:pPr>
        <w:pStyle w:val="Consid"/>
      </w:pPr>
      <w:r>
        <w:t>15)</w:t>
      </w:r>
      <w:r>
        <w:tab/>
        <w:t>Til að tryggja einfalda beitingu lágmarkskrafna um eiginfjárgrunn fyrir lítil og ótengd verðbréfafyrirtæki ætti eiginfjárgrunnur þeirra að nema því sem er hærra af kröfu þeirra um varanlegt lágmarksfjármagn eða fjórðungi af föstum kostnaði þeirra, mælt á grundvelli starfsemi þeirra á næstliðnu ári. Ekki ætti að koma í veg fyrir að lítil og ótengd verðbréfafyrirtæki sem kjósa að viðhafa meiri aðgát og forðast hengiflugsáhrif komi til endurflokkunar hafi eiginfjárgrunn sem er hærri, eða beiti ráðstöfunum sem</w:t>
      </w:r>
      <w:r>
        <w:t xml:space="preserve"> eru strangari, en krafist er í þessari reglugerð.</w:t>
      </w:r>
    </w:p>
    <w:p w14:paraId="2D2165C2" w14:textId="77777777" w:rsidR="001D6FFE" w:rsidRDefault="00E40155">
      <w:pPr>
        <w:pStyle w:val="Consid"/>
      </w:pPr>
      <w:r>
        <w:t>16)</w:t>
      </w:r>
      <w:r>
        <w:tab/>
        <w:t>Til að taka tillit til meiri áhættu verðbréfafyrirtækja sem ekki eru lítil og ótengd ætti lágmarkskrafan um eiginfjárgrunn fyrir slík fyrirtæki að nema þeirri sem er hæst af kröfu þeirra um varanlegt lágmarksfjármagn, fjórðungi fasts kostnaðar þeirra á næstliðnu ári eða samanlagðri kröfu þeirra samkvæmt safni áhættuþátta sem sniðið er að verðbréfafyrirtækjum („K-þættir“), sem ákvarðar fjármagn með hliðsjón af áhættu á tilteknum rekstrarsviðum verðbréfafyrirtækja.</w:t>
      </w:r>
    </w:p>
    <w:p w14:paraId="75499991" w14:textId="77777777" w:rsidR="001D6FFE" w:rsidRDefault="00E40155">
      <w:pPr>
        <w:pStyle w:val="Consid"/>
      </w:pPr>
      <w:r>
        <w:t>17)</w:t>
      </w:r>
      <w:r>
        <w:tab/>
        <w:t xml:space="preserve">Verðbréfafyrirtæki ættu að teljast lítil og ótengd að því er varðar hinar sértæku varfærniskröfur fyrir verðbréfafyrirtæki ef þau starfrækja ekki fjárfestingarþjónustu sem hefur í för með sér mikla áhættu fyrir viðskiptavini, markaði eða þau sjálf og þegar stærð þeirra gerir þau ólíklegri til að hafa víðtæk neikvæð áhrif á viðskiptavini og markaði, ef áhætta sem innbyggð er í starfsemi þeirra raungerist eða þau verða gjaldþrota. Að sama skapi ættu þau verðbréfafyrirtæki að skilgreinast sem lítil og ótengd </w:t>
      </w:r>
      <w:r>
        <w:t xml:space="preserve">sem eiga hvorki viðskipti fyrir eigin reikning né taka á sig áhættu af viðskiptum með fjármálagerninga, eru ekki með eignir eða peninga viðskiptavina í vörslu, eru með eignir undir 1,2 milljörðum evra bæði í stýringu eignasafns og ráðgefandi fyrirkomulagi, meðhöndla minna en 100 milljónir evra á dag í fyrirmælum viðskiptavina um reiðufjárviðskipti eða minna en 1 milljarð evra á dag í fyrirmælum um afleiður og eru með efnahagsreikning sem er undir 100 milljónum evra að meðtöldum liðum utan efnahagsreiknings </w:t>
      </w:r>
      <w:r>
        <w:t>og vergar heildartekjur af fjárfestingarþjónustu þeirra á ári eru lægri en 30 milljónir evra.</w:t>
      </w:r>
    </w:p>
    <w:p w14:paraId="23954491" w14:textId="77777777" w:rsidR="001D6FFE" w:rsidRDefault="00E40155">
      <w:pPr>
        <w:pStyle w:val="Consid"/>
      </w:pPr>
      <w:r>
        <w:t>18)</w:t>
      </w:r>
      <w:r>
        <w:tab/>
        <w:t>Til að koma í veg fyrir eftirlitshögnun og til að draga úr hvata hjá verðbréfafyrirtækjum til að endurskipuleggja starfsemi sína til að komast hjá því að fara yfir fyrrgreind viðmiðunarmörk fyrir að teljast lítil og ótengd verðbréfafyrirtæki ætti að beita viðmiðunarmörkunum fyrir eignir í stýringu, meðhöndluð fyrirmæli viðskiptavina, stærð efnahagsreiknings og vergar heildartekjur á ári á samanlögðum grunni fyrir öll verðbréfafyrirtæki sem tilheyra sömu samstæðu. Hin skilyrðin, þ.e. hvort verðbréfafyrirtæk</w:t>
      </w:r>
      <w:r>
        <w:t>i sé með peninga viðskiptavina í vörslu, hafi umsjón með eða varðveiti eignir viðskiptavina eða eigi viðskipti með fjármálagerninga og taki á sig markaðs- eða mótaðilaáhættu, eru tvígild og veita ekkert svigrúm til slíkrar endurskipulagningar og því ætti að meta þau á einingargrunni. Til að taka tillit til viðskiptalíkana sem eru í þróun og þeirrar áhættu sem þeim fylgir á viðvarandi grundvelli ætti að meta þessi skilyrði og viðmiðunarmörk í lok dags, að undanskilinni vörslu peninga viðskiptavina sem ætti a</w:t>
      </w:r>
      <w:r>
        <w:t>ð meta innan dagsins, og stærð efnahagsreiknings og vergar heildartekjur á ári sem meta ætti á grundvelli stöðu verðbréfafyrirtækisins í lok næstliðins fjárhagsárs.</w:t>
      </w:r>
    </w:p>
    <w:p w14:paraId="30742FF1" w14:textId="77777777" w:rsidR="001D6FFE" w:rsidRDefault="00E40155">
      <w:pPr>
        <w:pStyle w:val="Consid"/>
        <w:spacing w:after="0"/>
      </w:pPr>
      <w:r>
        <w:t>19)</w:t>
      </w:r>
      <w:r>
        <w:tab/>
        <w:t>Verðbréfafyrirtæki sem fer yfir viðmiðunarmörkin eða uppfyllir ekki hin skilyrðin ætti ekki að teljast lítið og ótengt og ætti að falla undir kröfurnar sem gilda fyrir önnur verðbréfafyrirtæki, með fyrirvara um sértæku umbreytingarákvæðin sem sett eru fram í þessari reglugerð. Þetta ætti að hvetja verðbréfafyrirtæki til að skipuleggja starfsemi sína þannig að skýrt sé að þau teljist lítil og ótengd verðbréfafyrirtæki. Til að verðbréfafyrirtæki sem uppfyllir ekki kröfurnar fyrir að teljast lítið og ótengt g</w:t>
      </w:r>
      <w:r>
        <w:t>eti fallið undir slíka meðferð ætti að kveða á um eftirlitstímabil þar sem verðbréfafyrirtækið skal uppfylla skilyrðin og vera undir viðkomandi viðmiðunarmörkum í a.m.k. sex mánuði samfellt.</w:t>
      </w:r>
      <w:r>
        <w:br w:type="page"/>
      </w:r>
    </w:p>
    <w:p w14:paraId="745FEC0A" w14:textId="77777777" w:rsidR="001D6FFE" w:rsidRDefault="00E40155">
      <w:pPr>
        <w:pStyle w:val="Consid"/>
      </w:pPr>
      <w:r>
        <w:lastRenderedPageBreak/>
        <w:t>20)</w:t>
      </w:r>
      <w:r>
        <w:tab/>
        <w:t xml:space="preserve">Öll verðbréfafyrirtæki ættu að reikna út kröfu sína um eiginfjárgrunn með vísun til nokkurra K-þátta sem taka til áhættu viðskiptavinar (e. </w:t>
      </w:r>
      <w:r>
        <w:rPr>
          <w:i/>
          <w:iCs/>
        </w:rPr>
        <w:t>Risk-To-Client</w:t>
      </w:r>
      <w:r>
        <w:t xml:space="preserve">, </w:t>
      </w:r>
      <w:r>
        <w:rPr>
          <w:i/>
          <w:iCs/>
        </w:rPr>
        <w:t>RtC</w:t>
      </w:r>
      <w:r>
        <w:t xml:space="preserve">), áhættu markaðar (e. </w:t>
      </w:r>
      <w:r>
        <w:rPr>
          <w:i/>
          <w:iCs/>
        </w:rPr>
        <w:t>Risk‐to‐Market</w:t>
      </w:r>
      <w:r>
        <w:rPr>
          <w:i/>
          <w:iCs/>
        </w:rPr>
        <w:t>,</w:t>
      </w:r>
      <w:r>
        <w:t xml:space="preserve"> </w:t>
      </w:r>
      <w:r>
        <w:rPr>
          <w:i/>
          <w:iCs/>
        </w:rPr>
        <w:t>RtM</w:t>
      </w:r>
      <w:r>
        <w:t xml:space="preserve">) og áhættu fyrirtækis (e. </w:t>
      </w:r>
      <w:r>
        <w:rPr>
          <w:i/>
          <w:iCs/>
        </w:rPr>
        <w:t>Risk‐to‐Firm, RtF</w:t>
      </w:r>
      <w:r>
        <w:t xml:space="preserve">). </w:t>
      </w:r>
      <w:r>
        <w:t>K-þættirnir undir áhættu viðskiptavinar ná yfir eignir viðskiptavina í stýringu og viðvarandi ráðgjöf („K-AUM“), varðveitt fé viðskiptavina („K-CMH“), eignir í varðveislu og umsjón („K-ASA“) og meðhöndluð fyrirmæli viðskiptavina („K-COH“).</w:t>
      </w:r>
    </w:p>
    <w:p w14:paraId="1EEF4461" w14:textId="77777777" w:rsidR="001D6FFE" w:rsidRDefault="00E40155">
      <w:pPr>
        <w:pStyle w:val="Consid"/>
      </w:pPr>
      <w:r>
        <w:t>21)</w:t>
      </w:r>
      <w:r>
        <w:tab/>
        <w:t>K-þátturinn undir áhættu markaðar nær yfir hreina stöðuáhættu („K-NPR“) í samræmi við ákvæðin um markaðsáhættu í reglugerð (ESB) nr. 575/2013 eða, ef lögbært yfirvald heimilar tilteknum tegundum verðbréfafyrirtækja sem eiga viðskipti fyrir eigin reikning í gegnum stöðustofnunaraðila, á grundvelli heildartryggingarfjár sem stöðustofnunaraðili verðbréfafyrirtækis krefst („K-CMG“). Verðbréfafyrirtæki ættu að geta beitt K-NPR og K-CMG samtímis á eignasafnsgrunni.</w:t>
      </w:r>
    </w:p>
    <w:p w14:paraId="5C1F03BF" w14:textId="77777777" w:rsidR="001D6FFE" w:rsidRDefault="00E40155">
      <w:pPr>
        <w:pStyle w:val="Consid"/>
      </w:pPr>
      <w:r>
        <w:t>22)</w:t>
      </w:r>
      <w:r>
        <w:tab/>
        <w:t>K-þættirnir undir áhættu fyrirtækis ná yfir áhættuskuldbindingar verðbréfafyrirtækisins vegna vanskila mótaðila þess í viðskiptum („K-TCD“) í samræmi við einfölduð ákvæði um greiðslufallsáhættu mótaðila á grundvelli reglugerðar (ESB) nr. 575/2013, samþjöppunaráhættu stórra áhættuskuldbindinga verðbréfafyrirtækis vegna tiltekinna mótaðila á grundvelli ákvæða þeirrar reglugerðar sem gilda um stórar áhættuskuldbindingar í veltubók („K-CON“) og rekstraráhættu af daglegu viðskiptaflæði verðbréfafyrirtækis („K-D</w:t>
      </w:r>
      <w:r>
        <w:t>TF“).</w:t>
      </w:r>
    </w:p>
    <w:p w14:paraId="2CDF8D4E" w14:textId="77777777" w:rsidR="001D6FFE" w:rsidRDefault="00E40155">
      <w:pPr>
        <w:pStyle w:val="Consid"/>
      </w:pPr>
      <w:r>
        <w:t>23)</w:t>
      </w:r>
      <w:r>
        <w:tab/>
        <w:t>Heildarkrafa um eiginfjárgrunn samkvæmt K-þáttunum er samanlögð krafa K-þáttanna undir áhættu viðskiptavinar, áhættu markaðar og áhættu fyrirtækis. K‐AUM, K‐ASA, K‐CMH, K‐COH og K‐DTF tengjast umfangi þeirrar starfsemi sem hver K-þáttur vísar til. Umfang K‐CMH, K‐ASA og K‐DTF er reiknað út á grundvelli hlaupandi meðaltals næstliðinna níu mánaða. Umfang K-COH er reiknað út á grundvelli hlaupandi meðaltals næstliðinna sex mánaða meðan K-AUM byggist á næstliðnum 15 mánuðum. Umfangið er margfaldað með samsvara</w:t>
      </w:r>
      <w:r>
        <w:t>ndi stuðlum sem settir eru fram í þessari reglugerð til að ákvarða kröfu um eiginfjárgrunn. Kröfur um eiginfjárgrunn fyrir K-NPR (ESB) nr. 575/2013 en kröfur um eiginfjárgrunn fyrir K-CON og K-TCD byggjast á einfaldaðri beitingu samsvarandi krafna í þeirri reglugerð, annars vegar við meðhöndlunina á stórum áhættuskuldbindingum í veltubókinni og hins vegar á greiðslufallsáhættu mótaðila. Gildi K-þáttar er núll ef verðbréfafyrirtæki annast ekki viðkomandi starfsemi.</w:t>
      </w:r>
    </w:p>
    <w:p w14:paraId="173CB7CA" w14:textId="77777777" w:rsidR="001D6FFE" w:rsidRDefault="00E40155">
      <w:pPr>
        <w:pStyle w:val="Consid"/>
      </w:pPr>
      <w:r>
        <w:t>24)</w:t>
      </w:r>
      <w:r>
        <w:tab/>
        <w:t>K-þættirnir undir áhættu viðskiptavinar eru nálgunargildi fyrir þau rekstrarsvið verðbréfafyrirtækja sem hugsanlegt er að geti valdið viðskiptavinum tjóni ef vandamál koma upp. K-AUM nær yfir hættuna á að viðskiptavinir verði fyrir tjóni vegna rangrar stýringar eignasafna viðskiptavinar eða slæmrar framkvæmdar og veitir öryggi og kemur viðskiptavinum til góða að því er varðar viðvarandi þjónustu við yfirstandandi stýringu eignasafns og fjárfestingarráðgjöf. K-ASA nær yfir áhættuna við verndun og umsjón eig</w:t>
      </w:r>
      <w:r>
        <w:t>na viðskiptavina og tryggir að verðbréfafyrirtæki ráði yfir fjármagn í hlutfalli við slíkar eignir, án tillits til hvort þær eru á efnahagsreikningi þess sjálfs eða á reikningum þriðju aðila. K-CMH í vörslu nær yfir hættuna á mögulegu tjóni ef verðbréfafyrirtæki er með fé viðskiptavina sinna í vörslu, að teknu tilliti til þess hvort þeir eru á efnahagsreikningi þess sjálfs eða reikningum þriðju aðila og hvort fyrirkomulag samkvæmt gildandi landslögum kveði á um að fé viðskiptavina njóti verndar komi til gja</w:t>
      </w:r>
      <w:r>
        <w:t>ldþrots, ógjaldfærni eða skila- eða ógjaldfærnimeðferðar verðbréfafyrirtækisins. Í K-CMH er fé viðskiptavinar sem lagt er inn á bankareikning (vörsluaðila) í nafni viðskiptavinarins sjálfs undanskilið, ef verðbréfafyrirtækið hefur aðgang að fé viðskiptavinar í gegnum umboð þriðja aðila. K-COH nær yfir mögulega áhættu viðskiptavina verðbréfafyrirtækis sem framkvæmir fyrirmæli (í nafni viðskiptavinarins en ekki í nafni verðbréfafyrirtækisins sjálfs), t.d. sem hluta af þjónustu við viðskiptavini sem eingöngu s</w:t>
      </w:r>
      <w:r>
        <w:t>nýr að framkvæmd eða þegar verðbréfafyrirtæki er hluti af keðju fyrir fyrirmæli viðskiptavina.</w:t>
      </w:r>
    </w:p>
    <w:p w14:paraId="0F637AAE" w14:textId="77777777" w:rsidR="001D6FFE" w:rsidRDefault="00E40155">
      <w:pPr>
        <w:pStyle w:val="Consid"/>
      </w:pPr>
      <w:r>
        <w:t>25)</w:t>
      </w:r>
      <w:r>
        <w:tab/>
        <w:t>K-þáttur vegna áhættu markaðar fyrir verðbréfafyrirtæki sem eiga viðskipti fyrir eigin reikning byggist á reglum um markaðsáhættu fyrir stöður í fjármálagerningum, erlendum gjaldmiðlum og hrávörum í samræmi við reglugerð (ESB) nr. 575/2013. Þetta gerir verðbréfafyrirtækjum kleift að velja að beita staðalaðferðinni, óhefðbundnu staðalaðferðinni samkvæmt reglugerð (ESB) nr. 575/2013 eða þeim kosti að nota eigin líkön, þegar tvær síðarnefndu aðferðirnar taka ekki aðeins gildi um lánastofnanir í skýrslugjafars</w:t>
      </w:r>
      <w:r>
        <w:t xml:space="preserve">kyni heldur einnig vegna krafna um eiginfjárgrunn. Þangað til, og a.m.k. næstu fimm ár eftir að þessi reglugerð kemur til framkvæmda, ættu verðbréfafyrirtæki að beita markaðsáhætturammanum (staðalaðferð eða, ef við á, eigin líkani) í reglugerð (ESB) nr. 575/2013 við útreikning K-NPR. Ef ákvæðin </w:t>
      </w:r>
      <w:r>
        <w:br w:type="column"/>
        <w:t>í 1. kafla a og 1. kafla b IV. bálks þriðja hluta reglugerðar (ESB) nr. 575/2013, eins og henni var breytt með reglugerð Evrópuþingsins og ráðsins (ESB) 2019/876 (</w:t>
      </w:r>
      <w:bookmarkStart w:id="7" w:name="NOTE_8"/>
      <w:r>
        <w:rPr>
          <w:rStyle w:val="FootnoteReference"/>
          <w:sz w:val="18"/>
        </w:rPr>
        <w:footnoteReference w:id="9"/>
      </w:r>
      <w:bookmarkEnd w:id="7"/>
      <w:r>
        <w:t xml:space="preserve">), koma ekki til framkvæmda hvað varðar lánastofnanir í tengslum við kröfur um eiginfjárgrunn ættu verðbréfafyrirtæki að halda áfram að beita kröfunum sem settar eru fram í IV. bálki þriðja hluta reglugerðar (ESB) nr. 575/2013 við útreikning K-NPR. Að öðrum kosti geta kröfur um eiginfjárgrunn verðbréfafyrirtækja sem eiga viðskipti með fjármálagerninga með stöður sem falla undir stöðustofnun, með fyrirvara um samþykki lögbæra yfirvaldsins og tiltekin skilyrði, verið jafnháar heildartryggingarfjárhæðinni sem </w:t>
      </w:r>
      <w:r>
        <w:t>stöðustofnunaraðili þeirra krefst, margfaldaðri með föstum margfaldara. Notkun K-CMG ætti aðallega að grundvallast á þeirri viðskiptastarfsemi verðbréfafyrirtækis sem fellur að fullu eða verulegum hluta undir þessa aðferð. Lögbært yfirvald verðbréfafyrirtækisins getur þó einnig heimilað verðbréfafyrirtækinu að nota að hluta til sömu aðferð og notuð er við K-CMG, að því tilskildu að þessi aðferð sé notuð fyrir allar stöður sem falla undir stöðustofnun eða tryggingarþekju og einni af hinum þremur aðferðunum f</w:t>
      </w:r>
      <w:r>
        <w:t>yrir K-NPR sé beitt á eignasöfn sem falla ekki undir stöðustofnun. Til að tryggja að kröfurnar séu hóflegar með tilliti til eðlis, umfangs og flækjustigs í starfsemi verðbréfafyrirtækjanna og þau hafi greiðan aðgang að þeim í þessari reglugerð, ætti sérhver endurskoðun sem síðar fer fram varðandi beitingu aðferðanna við útreikning á K-þáttunum að taka fyrir hvort rétt sé að halda áfram að aðlaga útreikninginn á K-NPR við reglurnar um markaðsáhættu fyrir stöður veltubókar í fjármálagerningum, erlendum gjalde</w:t>
      </w:r>
      <w:r>
        <w:t>yri og hrávörum í samræmi við reglugerð (ESB) nr. 575/2013.</w:t>
      </w:r>
    </w:p>
    <w:p w14:paraId="766624D2" w14:textId="77777777" w:rsidR="001D6FFE" w:rsidRDefault="00E40155">
      <w:pPr>
        <w:pStyle w:val="Consid"/>
      </w:pPr>
      <w:r>
        <w:t>26)</w:t>
      </w:r>
      <w:r>
        <w:tab/>
      </w:r>
      <w:r>
        <w:t>Að því er varðar verðbréfafyrirtæki sem eiga viðskipti fyrir eigin reikning byggjast K-þættirnir fyrir K‐TCD og K‐CON, undir áhættu fyrirtækis, á einfaldaðri beitingu reglnanna sem mælt er fyrir um í reglugerð (ESB) nr. 575/2013 um annars vegar greiðslufallsáhættu mótaðila og hins vegar áhættu af stórum áhættuskuldbindingum. K-TCD nær yfir áhættu verðbréfafyrirtækis af mótaðilum í OTC-afleiðum, endurhverfum viðskiptum, verðbréfa- og hrávörulánveitingum eða -lántökum, gnóttsamningum, viðbótarlánveitingum veg</w:t>
      </w:r>
      <w:r>
        <w:t>na kaupa/sölu verðbréfa eða annars konar fjármögnunarviðskiptum með verðbréf, sem og af viðtakendum lána sem verðbréfafyrirtækið veitir á grundvelli viðbótarstarfsemi við fjárfestingarþjónustu, sem ekki ná að uppfylla skuldbindingar sínar, með því að margfalda virðið á áhættuskuldbindingunum, byggðu á endurnýjunarkostnað og viðbót fyrir mögulegri framtíðaráhættuskuldbindingu, með áhættuþáttum sem byggja á reglugerð (ESB) nr. 575/2013 og að teknu tillit til áhættuvarnaráhrifa virkrar skuldajöfnunar og skipta</w:t>
      </w:r>
      <w:r>
        <w:t xml:space="preserve"> á tryggingu. Til að aðlaga enn frekar meðferðina á greiðslufallsáhættu mótaðila að reglugerð (ESB) nr. 575/2013 ætti einnig að bæta við föstum margfaldara sem nemur 1,2 og margfaldara fyrir leiðréttingu á útlánavirði (CVA) til að endurspegla gildandi markaðsvirði greiðslufallsáhættu mótaðila verðbréfafyrirtækisins í tilteknum viðskiptum. K-CON nær yfir samþjöppunaráhættu í tengslum við einstakling eða mjög samtengda mótaðila í einkageiranum, sem fyrirtæki eru með áhættuskuldbindingar gagnvart sem nema meir</w:t>
      </w:r>
      <w:r>
        <w:t>a en 25% af eiginfjárgrunni þeirra, eða öðrum tilteknum viðmiðunarmörkum í tengslum við lánastofnanir eða önnur verðbréfafyrirtæki, með því að leggja á viðbótareiginfjárkröfu í samræmi við reglugerð (ESB) nr. 575/2013 vegna viðbótaráhættuskuldbindinga yfir þeim mörkum. Að síðustu nær K-DTF yfir rekstraráhættu verðbréfafyrirtækis af umfangsmiklum viðskiptum fyrir eigin reikning eða viðskiptavina í eigin nafni á einum degi, sem gæti leitt af innri ferlum, fólki eða kerfum sem eru ófullnægjandi eða sem hafa br</w:t>
      </w:r>
      <w:r>
        <w:t>ugðist, eða af ytri atburðum, á grundvelli undirliggjandi verðmætis daglegra viðskipta, leiðréttu með tilliti til þess hve langur tími er til gjalddaga vaxtaafleiðna í því skyni að takmarka hækkun krafna um eiginfjárgrunn, einkum hvað varðar skammtímasamninga þar sem skynjuð rekstraráhætta er minni.</w:t>
      </w:r>
    </w:p>
    <w:p w14:paraId="479F94A9" w14:textId="77777777" w:rsidR="001D6FFE" w:rsidRDefault="00E40155">
      <w:pPr>
        <w:pStyle w:val="Consid"/>
      </w:pPr>
      <w:r>
        <w:t>27)</w:t>
      </w:r>
      <w:r>
        <w:tab/>
        <w:t>Öll verðbréfafyrirtæki ættu að vakta og stýra samþjöppunaráhættu sinni, einnig að því er varðar viðskiptavini sína. Þó ættu aðeins þau verðbréfafyrirtæki sem falla undir lágmarkskröfu um eiginfjárgrunn samkvæmt K-þáttunum að tilkynna lögbærum yfirvöldum um samþjöppunaráhættu sína. Verðbréfafyrirtæki sem hafa sérhæft sig í hrávöruafleiðum eða losunarheimildum eða afleiðum af þeim sem eru með mikla samþjöppun áhættuskuldbindinga vegna ófjárhagslegra mótaðila ættu að geta farið yfir mörkin fyrir samþjöppunará</w:t>
      </w:r>
      <w:r>
        <w:t>hættu án viðbótarfjármagns samkvæmt K-CON, svo framarlega sem það er vegna viðskipta, lausafjár eða áhættustýringar.</w:t>
      </w:r>
    </w:p>
    <w:p w14:paraId="5016E159" w14:textId="77777777" w:rsidR="001D6FFE" w:rsidRDefault="00E40155">
      <w:pPr>
        <w:pStyle w:val="Consid"/>
      </w:pPr>
      <w:r>
        <w:t>28)</w:t>
      </w:r>
      <w:r>
        <w:tab/>
        <w:t xml:space="preserve">Öll verðbréfafyrirtæki ættu að hafa innri ferla til að vakta og stýra lausafjárkröfum sínum. Þessum ferlum er ætlað að hjálpa til við að tryggja að verðbréfafyrirtæki geti starfað á skipulegan hátt yfir lengri tíma, án þess að þurfa að setja sérstaklega til hliðar lausafé fyrir álagstíma. Í því skyni ættu öll verðbréfafyrirtæki að ávallt hafa að lágmarki einn þriðja krafna um fastan kostnað í lausafjáreignum. Lögbær yfirvöld ættu þó að hafa heimild til að undanskilja lítil og ótengd verðbréfafyrirtæki frá </w:t>
      </w:r>
      <w:r>
        <w:t xml:space="preserve">þeirri kröfu. Þessar lausafjáreignir ættu að vera af miklum gæðum og aðlagaðar að þeim sem skráðar eru í framseldri reglugerð framkvæmdastjórnarinnar </w:t>
      </w:r>
      <w:r>
        <w:br w:type="column"/>
        <w:t>(ESB) 2015/61 (</w:t>
      </w:r>
      <w:bookmarkStart w:id="8" w:name="NOTE_9"/>
      <w:r>
        <w:rPr>
          <w:rStyle w:val="FootnoteReference"/>
          <w:sz w:val="18"/>
        </w:rPr>
        <w:footnoteReference w:id="10"/>
      </w:r>
      <w:bookmarkEnd w:id="8"/>
      <w:r>
        <w:t>), ásamt frádraginu sem gildir um þessar eignir samkvæmt þeirri framseldu reglugerð. Til að taka tillit til mismunarins á lausafjársniði verðbréfafyrirtækja í samanburði við lánastofnanir ætti að bæta við listann yfir viðeigandi lausafjáreignir kvaðalausu eigin reiðufé og skammtímainnstæðum verðbréfafyrirtækisins (sem ekki ætti að ná yfir fé viðskiptavina eða fjármálagerninga sem tilheyra viðskiptavinum) og tilteknum fjármálagerningum sem hafa virkan markað. Ef lítil og ótengd verðbréfafyrirtæki eru ekki un</w:t>
      </w:r>
      <w:r>
        <w:t xml:space="preserve">danþegin lausafjárkröfum gætu þau, sem og verðbréfafyrirtæki sem ekki hafa starfsleyfi til að stunda viðskipta- eða sölutryggingarstarfsemi, enn fremur talið til lausafjáreigna liði sem tengjast viðskiptakröfum og þóknunum eða umboðslaunum til greiðslu innan 30 daga, að því tilskildu að þessir liðir fari ekki yfir einn þriðja af lágmarkslausafjárkröfunni, að þeir teljist ekki með í neinum viðbótarlausafjárkröfum sem lögbært yfirvald leggur á og að þeir falli undir 50% frádrag. Í undantekningartilvikum ætti </w:t>
      </w:r>
      <w:r>
        <w:t>verðbréfafyrirtækjum að vera heimilt að vera undir tilskildum viðmiðunarmörkum með því að koma lausafjáreignum sínum í verð til að uppfylla lausafjárkröfur, að því tilskildu að þau tilkynni lögbæru yfirvaldi sínu tafarlaust um það. Allar fjárhagslegar tryggingar sem viðskiptavinum eru veittar og geta valdið aukinni lausafjárþörf ef á þær reynir ættu að leiða til lækkunar á fjárhæð tiltækra lausafjáreigna um a.m.k. 1,6% af heildarvirði slíkra trygginga. Til að tryggja að kröfurnar séu hóflegar með tilliti ti</w:t>
      </w:r>
      <w:r>
        <w:t>l eðlis, umfangs og flækjustigs í starfsemi verðbréfafyrirtækjanna og þau hafi greiðan aðgang að þeim innan gildissviðs þessarar reglugerðar ætti endurskoðun síðar að fara fram varðandi hvort þær lausafjáreignir sem teljast hæfar til að uppfylla lágmarkslausafjárkröfuna séu viðeigandi, þ.m.t. um áframhaldandi aðlögun að þeim sem skráðar eru í framseldri reglugerð (ESB) 2015/61, ásamt frádraginu sem gildir um þessar eignir samkvæmt þeirri framseldu reglugerð.</w:t>
      </w:r>
    </w:p>
    <w:p w14:paraId="18CFF7E3" w14:textId="77777777" w:rsidR="001D6FFE" w:rsidRDefault="00E40155">
      <w:pPr>
        <w:pStyle w:val="Consid"/>
      </w:pPr>
      <w:r>
        <w:t>29)</w:t>
      </w:r>
      <w:r>
        <w:tab/>
        <w:t xml:space="preserve">Þróa ætti hóflegan samsvarandi ramma um lögboðna skýrslugjöf í tengslum við nýju varfærnisreglurnar og sníða hann vandlega að starfsemi verðbréfafyrirtækja og kröfum varfærnisrammans. Skýrslugjafarkröfur fyrir verðbréfafyrirtæki ættu að taka til magns og samsetningar eiginfjárgrunns, krafna þeirra um eiginfjárgrunn, grundvallarins fyrir útreikningnum á kröfum þeirra um eiginfjárgrunn, lýsingar á starfsemi þeirra og umfangi í tengslum við breyturnar til að meta hvort verðbréfafyrirtæki séu lítil og ótengd, </w:t>
      </w:r>
      <w:r>
        <w:t>lausafjárkrafna þeirra og fylgni við ákvæðin um samþjöppunaráhættu. Lítil og ótengd verðbréfafyrirtæki ættu að vera undanþegin því að þurfa að tilkynna um samþjöppunaráhættu og ættu eingöngu að vera krafin um að tilkynna um lausafjárkröfur þegar slíkar kröfur gilda um þau. Evrópska eftirlitsstofnunin (Evrópska bankaeftirlitsstofnunin) sem komið var á fót með reglugerð Evrópuþingsins og ráðsins (ESB) nr. 1093/2010 (</w:t>
      </w:r>
      <w:bookmarkStart w:id="9" w:name="NOTE_10"/>
      <w:r>
        <w:rPr>
          <w:rStyle w:val="FootnoteReference"/>
          <w:sz w:val="18"/>
        </w:rPr>
        <w:footnoteReference w:id="11"/>
      </w:r>
      <w:bookmarkEnd w:id="9"/>
      <w:r>
        <w:t>) ætti að semja drög að tæknilegum framkvæmdarstöðlum til að tilgreina frekar nákvæm sniðmát og fyrirkomulag slíkrar lögboðinnar skýrslugjafar og tilgreina sniðmátin fyrir upplýsingagjöf um eiginfjárgrunn. Þessir staðlar ættu að vera í réttu hlutfalli við umfang og flækjustig mismunandi verðbréfafyrirtækja og ættu einkum að taka tillit til þess hvort verðbréfafyrirtæki teljast lítil og ótengd.</w:t>
      </w:r>
    </w:p>
    <w:p w14:paraId="7D659029" w14:textId="77777777" w:rsidR="001D6FFE" w:rsidRDefault="00E40155">
      <w:pPr>
        <w:pStyle w:val="Consid"/>
      </w:pPr>
      <w:r>
        <w:t>30)</w:t>
      </w:r>
      <w:r>
        <w:tab/>
        <w:t>Í þágu gagnsæis fyrir fjárfesta þeirra og hinn víðari markað ættu verðbréfafyrirtæki sem ekki teljast lítil og ótengd að birta opinberlega stig eiginfjárgrunns síns, kröfur um eiginfjárgrunn, fyrirkomulag stjórnarhátta og starfskjarastefnur og -venjur. Lítil og ótengd verðbréfafyrirtæki ættu ekki að falla undir kröfur um opinbera birtingu nema ef þau gefa út viðbótareiginfjárgerninga þáttar 1 í þágu gagnsæis fyrir fjárfesta í þeim gerningum.</w:t>
      </w:r>
    </w:p>
    <w:p w14:paraId="3C5866C9" w14:textId="77777777" w:rsidR="001D6FFE" w:rsidRDefault="00E40155">
      <w:pPr>
        <w:pStyle w:val="Consid"/>
        <w:spacing w:after="0"/>
      </w:pPr>
      <w:r>
        <w:t>31)</w:t>
      </w:r>
      <w:r>
        <w:tab/>
        <w:t>Verðbréfafyrirtæki ættu að beita kynhlutlausri starfskjarastefnu í samræmi við meginregluna sem mælt er fyrir um í 157. gr. sáttmálans um starfshætti Evrópusambandsins. Útlista ætti nánar birtingu upplýsinga um starfskjör. Birtingarkröfurnar í tengslum við starfskjör sem settar eru fram í þessari reglugerð ættu að samrýmast markmiðum starfskjarareglnanna, þ.e.a.s. að koma á og viðhalda, að því er varðar þá flokka starfsfólks sem við störf sín hafa veruleg áhrif á áhættusnið verðbréfafyrirtækja, starfskjara</w:t>
      </w:r>
      <w:r>
        <w:t>stefnu og -venjum sem eru í samræmi við skilvirka áhættustýringu. Enn fremur ætti verðbréfafyrirtækjum sem njóta undanþágu frá tilteknum starfskjarareglum að vera skylt að birta upplýsingar um slíka undanþágu.</w:t>
      </w:r>
      <w:r>
        <w:br w:type="page"/>
      </w:r>
    </w:p>
    <w:p w14:paraId="266C0A75" w14:textId="77777777" w:rsidR="001D6FFE" w:rsidRDefault="00E40155">
      <w:pPr>
        <w:pStyle w:val="Consid"/>
      </w:pPr>
      <w:r>
        <w:t>32)</w:t>
      </w:r>
      <w:r>
        <w:tab/>
        <w:t xml:space="preserve">Til að auðvelda verðbréfafyrirtækjum snurðulaus umskipti frá kröfunum í reglugerð (ESB) nr. 575/2013 og tilskipun 2013/36/ESB yfir í kröfurnar samkvæmt þessari reglugerð og tilskipun (ESB) 2019/2034 þykir rétt að kveða á um viðeigandi umbreytingarráðstafanir. Í fimm ár eftir að þessi reglugerð kemur til framkvæmda ættu verðbréfafyrirtæki sem samkvæmt þessari reglugerð myndu sæta meira en tvöfalt hærri kröfum um eiginfjárgrunn en samkvæmt reglugerð (ESB) nr. 575/2013 og tilskipun 2013/36/ESB að geta mildað </w:t>
      </w:r>
      <w:r>
        <w:t>áhrif mögulegra hækkana með því að takmarka kröfurnar um eiginfjárgrunn við tvöfaldar viðkomandi eiginfjárgrunnskröfur þeirra samkvæmt reglugerð (ESB) nr. 575/2013 og tilskipun 2013/36/ESB.</w:t>
      </w:r>
    </w:p>
    <w:p w14:paraId="19D9F164" w14:textId="77777777" w:rsidR="001D6FFE" w:rsidRDefault="00E40155">
      <w:pPr>
        <w:pStyle w:val="Consid"/>
      </w:pPr>
      <w:r>
        <w:t>33)</w:t>
      </w:r>
      <w:r>
        <w:tab/>
        <w:t>Til að skapa ekki ójafnastöðu á kostnað nýrra verðbréfafyrirtækja sem svipar til fyrirliggjandi verðbréfafyrirtækja erfitt fyrir ættu verðbréfafyrirtæki sem aldrei hafa fallið undir kröfur um eiginfjárgrunn samkvæmt reglugerð (ESB) nr. 575/2013 og tilskipun 2013/36/ESB að geta takmarkað eiginfjárgrunnskröfur sínar samkvæmt þessari reglugerð við tvöfaldar kröfur þeirra um fastan kostnað yfir fimm ára tímabil frá þeim degi sem þessi reglugerð kemur til framkvæmda.</w:t>
      </w:r>
    </w:p>
    <w:p w14:paraId="590E365C" w14:textId="77777777" w:rsidR="001D6FFE" w:rsidRDefault="00E40155">
      <w:pPr>
        <w:pStyle w:val="Consid"/>
      </w:pPr>
      <w:r>
        <w:t>34)</w:t>
      </w:r>
      <w:r>
        <w:tab/>
        <w:t>Að sama skapi ættu verðbréfafyrirtæki sem eingöngu féllu undir kröfu um stofnfé samkvæmt reglugerð (ESB) nr. 575/2013 og tilskipun 2013/36/ESB og sem myndu sæta meira en tvöfalt hærri kröfum um eiginfjárgrunn samkvæmt þessari reglugerð en þau myndu gera samkvæmt reglugerð (ESB) nr. 575/2013 og tilskipun 2013/36/ESB að geta takmarkað kröfur sínar um eiginfjárgrunn samkvæmt þessari reglugerð við tvöfalda kröfu um stofnfé samkvæmt reglugerð (ESB) nr. 575/2013 og tilskipun 2013/36/ESB yfir fimm ára tímabil frá</w:t>
      </w:r>
      <w:r>
        <w:t xml:space="preserve"> þeim degi sem þessi reglugerð kemur til framkvæmda, að undanskildum staðbundnum fyrirtækjum sem um getur í b-lið 2. liðs 1. mgr. 4. gr. reglugerðar (ESB) nr. 575/2013, eins og henni var breytt með reglugerð (ESB) 2019/876, sem ættu að falla undir sértækar umbreytingarkröfur um eiginfjárgrunn til að endurspegla meiri áhættu þeirra. Til að gæta meðalhófs ætti einnig að kveða á um sértækar umbreytingarkröfur um eiginfjárgrunn fyrir minni verðbréfafyrirtæki og þau sem bjóða takmarkað svið fjárfestingarþjónustu</w:t>
      </w:r>
      <w:r>
        <w:t xml:space="preserve"> þar sem þau myndu ekki njóta góðs af takmörkun eiginfjárgrunnskrafna samkvæmt þessari reglugerð við tvöfalda kröfu um stofnfé samkvæmt reglugerð (ESB) nr. 575/2013, eins og henni var breytt með reglugerð Evrópuþingsins og ráðsins (ESB) 2019/630 (</w:t>
      </w:r>
      <w:bookmarkStart w:id="10" w:name="NOTE_11"/>
      <w:r>
        <w:rPr>
          <w:rStyle w:val="FootnoteReference"/>
          <w:sz w:val="18"/>
        </w:rPr>
        <w:footnoteReference w:id="12"/>
      </w:r>
      <w:bookmarkEnd w:id="10"/>
      <w:r>
        <w:t>), og tilskipun 2013/36/ESB, eins og henni var breytt með tilskipun Evrópuþingsins og ráðsins (ESB) 2019/878 (</w:t>
      </w:r>
      <w:bookmarkStart w:id="11" w:name="NOTE_12"/>
      <w:r>
        <w:rPr>
          <w:rStyle w:val="FootnoteReference"/>
          <w:sz w:val="18"/>
        </w:rPr>
        <w:footnoteReference w:id="13"/>
      </w:r>
      <w:bookmarkEnd w:id="11"/>
      <w:r>
        <w:t>), heldur myndi bindandi krafa um eiginfjárgrunn samkvæmt þessari reglugerð hækka í samanburði við stöðu þeirra samkvæmt reglugerð (ESB) nr. 575/2013, eins og henni var breytt með reglugerð (ESB) 2019/630.</w:t>
      </w:r>
    </w:p>
    <w:p w14:paraId="114847A2" w14:textId="77777777" w:rsidR="001D6FFE" w:rsidRDefault="00E40155">
      <w:pPr>
        <w:pStyle w:val="Consid"/>
      </w:pPr>
      <w:r>
        <w:t>35)</w:t>
      </w:r>
      <w:r>
        <w:tab/>
        <w:t>Þessar umbreytingarráðstafanir ættu, eftir atvikum, einnig að vera tiltækar verðbréfafyrirtækjum sem um getur í 498. gr. reglugerðar (ESB) nr. 575/2013, þar sem þau verðbréfafyrirtæki eru undanskilin kröfum um eiginfjárgrunn samkvæmt þeirri reglugerð, með því að kröfurnar um stofnfé að því er varðar þessi verðbréfafyrirtæki fara eftir þeirri fjárfestingarþjónustu eða -starfsemi sem þau stunda. Í fimm ára tímabil frá deginum þegar þessi reglugerð kemur til framkvæmda ætti að reikna út kröfur þeirra um eigin</w:t>
      </w:r>
      <w:r>
        <w:t>fjárgrunn samkvæmt umbreytingarákvæðum þessarar reglugerðar með hliðsjón af þessum gildandi stigum.</w:t>
      </w:r>
    </w:p>
    <w:p w14:paraId="1CF0CE05" w14:textId="77777777" w:rsidR="001D6FFE" w:rsidRDefault="00E40155">
      <w:pPr>
        <w:pStyle w:val="Consid"/>
      </w:pPr>
      <w:r>
        <w:t>36)</w:t>
      </w:r>
      <w:r>
        <w:tab/>
        <w:t>Yfir fimm ára tímabil frá þeim degi sem þessi reglugerð kemur til framkvæmda eða fram að þeim degi sem samþykktar breytingarnar á reglugerð (ESB) nr. 575/2013 og tilskipun 2013/36/ESB koma til framkvæmda að því er varðar kröfur um eiginfjárgrunn vegna markaðsáhættu skv. 1. kafla a og 1. kafla b IV. bálks þriðja hluta reglugerðar (ESB) nr. 575/2013, eins og henni var breytt með reglugerð (ESB) 2019/876, hvort sem er síðar, ættu verðbréfafyrirtæki sem falla undir samsvarandi ákvæði þessarar reglugerðar að re</w:t>
      </w:r>
      <w:r>
        <w:t>ikna áfram út kröfu sínar um eiginfjárgrunn fyrir veltubókina í samræmi við reglugerð (ESB) nr. 575/2013, eins og henni var breytt með reglugerð (ESB) 2019/630.</w:t>
      </w:r>
    </w:p>
    <w:p w14:paraId="5D1C6A2F" w14:textId="77777777" w:rsidR="001D6FFE" w:rsidRDefault="00E40155">
      <w:pPr>
        <w:pStyle w:val="Consid"/>
        <w:spacing w:after="0"/>
      </w:pPr>
      <w:r>
        <w:t>37)</w:t>
      </w:r>
      <w:r>
        <w:tab/>
        <w:t>Stærstu verðbréfafyrirtækin sem veita mikilvæga heildsölumarkaðs- og fjárfestingarbankaþjónustu (eiga viðskipti fyrir eigin reikning með fjármálagerninga eða sölutryggja fjármálagerninga eða markaðssetja fjármálagerninga á grundvelli fastrar skuldbindingar) eru með viðskiptalíkan og áhættusnið sem eru svipuð mikilvægum lánastofnunum. Starfsemi þeirra skapar greiðslufallsáhættu fyrir þau, aðallega í formi greiðslufallsáhættu mótaðila, sem og markaðsáhættu vegna staðna sem þau taka fyrir eigin reikning, hvor</w:t>
      </w:r>
      <w:r>
        <w:t>t sem tengjast viðskiptavinum eða ekki. Sem slík valda þau áhættu fyrir fjármálastöðugleika í ljósi stærðar og kerfislegs mikilvægis.</w:t>
      </w:r>
      <w:r>
        <w:br w:type="page"/>
      </w:r>
    </w:p>
    <w:p w14:paraId="26227B25" w14:textId="77777777" w:rsidR="001D6FFE" w:rsidRDefault="00E40155">
      <w:pPr>
        <w:pStyle w:val="Consid"/>
      </w:pPr>
      <w:r>
        <w:t>38)</w:t>
      </w:r>
      <w:r>
        <w:tab/>
        <w:t>Þessi stóru verðbréfafyrirtæki hafa í för með sér enn aðra áskorun að því er varðar skilvirkt varfærniseftirlit lögbærra landsyfirvalda. Þó stærstu verðbréfafyrirtækin veiti fjárfestingarbankaþjónustu yfir landamæri í verulegum mæli falla þau sem verðbréfafyrirtæki undir varfærniseftirlit af hálfu yfirvalda sem tilnefnd eru samkvæmt tilskipun 2014/65/ESB, sem eru ekki endilega sömu lögbæru yfirvöldin og tilnefnd eru samkvæmt tilskipun 2013/36/ESB. Þetta getur valdið ójöfnum samkeppnisskilyrðum við beitingu</w:t>
      </w:r>
      <w:r>
        <w:t xml:space="preserve"> á reglugerð (ESB) nr. 575/2013 og tilskipun 2013/36/ESB innan Sambandsins og kemur í veg fyrir að eftirlitsyfirvald fái heildaryfirsýn, sem er nauðsynleg til að taka á skilvirkan hátt á áhættu sem tengist stórum verbréfafyrirtækjum sem starfa yfir landamæri. Af þessum sökum getur dregið úr skilvirkni varfærniseftirlits og samkeppni innan Sambandsins skekkst. Stærstu verðbréfafyrirtækin ættu því að fá stöðu lánastofnana til að skapa samlegðaráhrif að því er varðar eftirlit með starfsemi heildsölumarkaða yfi</w:t>
      </w:r>
      <w:r>
        <w:t>r landamæri innan hóps sambærilegra aðila, stuðla að jöfnum samkeppnisskilyrðum og gera kleift að hafa samræmt eftirlit milli samstæðna.</w:t>
      </w:r>
    </w:p>
    <w:p w14:paraId="13DB0DC4" w14:textId="77777777" w:rsidR="001D6FFE" w:rsidRDefault="00E40155">
      <w:pPr>
        <w:pStyle w:val="Consid"/>
      </w:pPr>
      <w:r>
        <w:t>39)</w:t>
      </w:r>
      <w:r>
        <w:tab/>
        <w:t xml:space="preserve">Þar sem þessi verðbréfafyrirtæki koma til með að teljast til lánastofnana ættu þau áfram að falla undir reglugerð (ESB) nr. 575/2013 og tilskipun 2013/36/ESB og eftirlit lögbærra yfirvalda sem bera ábyrgð á lánastofnunum, þ.m.t. Seðlabanka Evrópu innan ramma samræmdu eftirlitsráðstöfunarinnar (e. </w:t>
      </w:r>
      <w:r>
        <w:rPr>
          <w:i/>
          <w:iCs/>
        </w:rPr>
        <w:t>Single Supervisory Mechanism</w:t>
      </w:r>
      <w:r>
        <w:t>). Þetta mun tryggja að varfærniseftirlit með lánastofnunum sé framkvæmt á samræmdan og skilvirkan hátt og að sameiginlegum reglum um fjármálaþjónustu sé beitt á sama hátt á allar lánas</w:t>
      </w:r>
      <w:r>
        <w:t>tofnanir í ljósi kerfislegs mikilvægis þeirra. Til að koma í veg fyrir eftirlitshögnun og draga úr hættu á sniðgöngu ættu lögbær yfirvöld að reyna að forðast aðstæður þar sem samstæður sem mögulega eru kerfislega mikilvægar skipuleggi starfsemi sína þannig að þær fari ekki yfir viðmiðunarmörkin sem sett eru í b-lið 1. liðs 1. mgr. 4. gr. reglugerðar (ESB) nr. 575/2013 og fari á svig við þá skyldu að sækja um starfsleyfi sem lánastofnanir skv. 8. gr. a í tilskipun 2013/36/ESB.</w:t>
      </w:r>
    </w:p>
    <w:p w14:paraId="55ABCB14" w14:textId="77777777" w:rsidR="001D6FFE" w:rsidRDefault="00E40155">
      <w:pPr>
        <w:pStyle w:val="Consid"/>
      </w:pPr>
      <w:r>
        <w:t>40)</w:t>
      </w:r>
      <w:r>
        <w:tab/>
        <w:t>Stórum verðbréfafyrirtækjum sem breytt er í lánastofnanir ætti ekki að vera heimilt að taka við innstæðum eða öðrum endurgreiðanlegum fjármunum af almenningi og veita lán fyrir eigin reikning nema þau hafi fengið starfsleyfi fyrir slíkri starfsemi í samræmi við tilskipun 2013/36/ESB. Að öll slík starfsemi sé stunduð, þ.m.t. að taka við innstæðum eða öðrum endurgreiðanlegum fjármunum af almenningi og veita lán fyrir eigin reikning, ætti ekki að vera nauðsynlegt skilyrði fyrir fyrirtæki til að teljast vera l</w:t>
      </w:r>
      <w:r>
        <w:t>ánastofnun. Breytingin á skilgreiningunni á lánastofnun sem kynnt er í þessari reglugerð ætti því ekki að hafa áhrif á landsbundið fyrirkomulag leyfisveitinga sem tekið var upp í aðildarríkjum í samræmi við tilskipanir 2013/36/ESB og (ESB) 2019/2034, þ.m.t. ákvæðin sem aðildarríki gætu talið viðeigandi í þeim tilgangi að gefa nánari skýringu á þeirri starfsemi sem stór verðbréfafyrirtæki sem falla undir hina breyttu skilgreiningu lánastofnana hafa heimild til að taka upp.</w:t>
      </w:r>
    </w:p>
    <w:p w14:paraId="3A9AA4EB" w14:textId="77777777" w:rsidR="001D6FFE" w:rsidRDefault="00E40155">
      <w:pPr>
        <w:pStyle w:val="Consid"/>
      </w:pPr>
      <w:r>
        <w:t>41)</w:t>
      </w:r>
      <w:r>
        <w:tab/>
        <w:t>Auk þess miðar eftirlit með lánastofnunum á samstæðugrunni m.a. að því að tryggja stöðugleika fjármálakerfisins og ætti, til að vera skilvirkt, að gilda um allar samstæður, þ.m.t. þær þar sem móðurfélögin eru hvorki lánastofnanir né verðbréfafyrirtæki. Allar lánastofnanir, einnig þær sem áður höfðu stöðu verðbréfafyrirtækis, ættu því að falla undir reglurnar um eftirlit lögbærra yfirvalda með móðurfélaginu á einingar- og samstæðugrunni í samræmi við I. þátt 3. kafla VII. bálks tilskipunar 2013/36/ESB.</w:t>
      </w:r>
    </w:p>
    <w:p w14:paraId="59B59F5D" w14:textId="77777777" w:rsidR="001D6FFE" w:rsidRDefault="00E40155">
      <w:pPr>
        <w:pStyle w:val="Consid"/>
        <w:spacing w:after="0"/>
      </w:pPr>
      <w:r>
        <w:t>42)</w:t>
      </w:r>
      <w:r>
        <w:tab/>
        <w:t>Enn fremur er mögulegt að stór verðbréfafyrirtæki sem ekki eru kerfislega mikilvæg en sem eiga viðskipti fyrir eigin reikning, sölutryggja fjármálagerninga eða markaðssetja fjármálagerninga á grundvelli fastrar skuldbindingar hafi viðskiptalíkan og áhættusnið sem séu svipuð öðrum kerfislega mikilvægum stofnunum. Í ljósi stærðar og starfsemi þeirra er mögulegt að slík verðbréfafyrirtæki valdi einhverri áhættu fyrir fjármálastöðugleika og ættu, þótt ekki teljist rétt að breyta þeim í lánastofnanir í ljósi eð</w:t>
      </w:r>
      <w:r>
        <w:t>lis þeirra og flækjustigs, áfram að falla undir sömu varfærnismeðferð og lánastofnanir. Til að koma í veg fyrir eftirlitshögnun og draga úr hættu á sniðgöngu ættu lögbær yfirvöld að reyna að forðast aðstæður þar sem verðbréfafyrirtæki skipuleggja starfsemi sína þannig að hún fari ekki yfir 15 milljarða evra viðmiðunarmarkið í tengslum við heildarvirði eigna á eininga- eða samstæðugrunni eða takmarki með óréttmætum hætti vald lögbærra yfirvalda til að fella verðbréfafyrirtæki undir kröfurnar í reglugerð (ESB</w:t>
      </w:r>
      <w:r>
        <w:t>) nr. 575/2013 og til að lúta eftirliti um hlítingu við varfærniskröfurnar sem mælt er fyrir um í tilskipun 2013/36/ESB, í samræmi við 5. gr. tilskipunar (ESB) 2019/2034.</w:t>
      </w:r>
      <w:r>
        <w:br w:type="page"/>
      </w:r>
    </w:p>
    <w:p w14:paraId="27AFA461" w14:textId="77777777" w:rsidR="001D6FFE" w:rsidRDefault="00E40155">
      <w:pPr>
        <w:pStyle w:val="Consid"/>
      </w:pPr>
      <w:r>
        <w:t>43)</w:t>
      </w:r>
      <w:r>
        <w:tab/>
        <w:t>Með reglugerð Evrópuþingsins og ráðsins (ESB) nr. 600/2014 (</w:t>
      </w:r>
      <w:bookmarkStart w:id="12" w:name="NOTE_13"/>
      <w:r>
        <w:rPr>
          <w:rStyle w:val="FootnoteReference"/>
          <w:sz w:val="18"/>
        </w:rPr>
        <w:footnoteReference w:id="14"/>
      </w:r>
      <w:bookmarkEnd w:id="12"/>
      <w:r>
        <w:t>) var tekið upp samræmt fyrirkomulag í Sambandinu fyrir veitingu á aðgangi til fyrirtækja þriðju landa sem veita viðurkenndum gagnaðilum og fagfjárfestum með staðfestu í Sambandinu fjárfestingarþjónustu eða sem stunda fjárfestingarstarfsemi. Skilyrði fyrir aðgangi að innri markaðnum er að framkvæmdastjórnin samþykki ákvörðun um jafngildi og að Evrópska eftirlitsstofnunin (Evrópska verðbréfamarkaðseftirlitsstofnunin) sem komið var á fót með reglugerð Evrópuþingsins og ráðsins (ESB) nr. 1095/2010 (</w:t>
      </w:r>
      <w:bookmarkStart w:id="13" w:name="NOTE_14"/>
      <w:r>
        <w:rPr>
          <w:rStyle w:val="FootnoteReference"/>
          <w:sz w:val="18"/>
        </w:rPr>
        <w:footnoteReference w:id="15"/>
      </w:r>
      <w:bookmarkEnd w:id="13"/>
      <w:r>
        <w:t>) skrái fyrirtæki þriðja landsins. Mikilvægt er að mat á jafngildi sé gert á grundvelli viðeigandi gildandi laga Sambandsins og að fyrir hendi verði skilvirk tól til að hafa eftirlit með því að skilyrðin sem jafngildið byggist á séu uppfyllt. Af þessum sökum ætti skráðum fyrirtækjum þriðju landa að vera skylt að tilkynna Evrópsku verðbréfamarkaðseftirlitsstofnuninni árlega um upplýsingar sem varða stærð og umfang veittrar þjónustu og um starfsemi sem stunduð er í Sambandinu. Einnig ætti að bæta eftirlitssam</w:t>
      </w:r>
      <w:r>
        <w:t>starf í tengslum við eftirlit, framfylgd og uppfyllingu jafngildisskilyrðanna.</w:t>
      </w:r>
    </w:p>
    <w:p w14:paraId="1841DECE" w14:textId="77777777" w:rsidR="001D6FFE" w:rsidRDefault="00E40155">
      <w:pPr>
        <w:pStyle w:val="Consid"/>
      </w:pPr>
      <w:r>
        <w:t>44)</w:t>
      </w:r>
      <w:r>
        <w:tab/>
        <w:t>Í því augnamiði að tryggja jöfn samkeppnisskilyrði og stuðla að gagnsæi á markaði Sambandsins ætti að breyta reglugerð (ESB) nr. 600/2014 til að fella verðtilboð, betri verð og fullnustuverð innmiðlara undir kerfi verðskrefa í viðskiptum af öllum stærðum. Af þessum sökum ættu núgildandi tæknilegir eftirlitsstaðlar sem eiga við um kerfi verðskrefa einnig að gilda um rýmkað gildissvið reglugerðar (EBE) nr. 600/2014.</w:t>
      </w:r>
    </w:p>
    <w:p w14:paraId="320D35D7" w14:textId="77777777" w:rsidR="001D6FFE" w:rsidRDefault="00E40155">
      <w:pPr>
        <w:pStyle w:val="Consid"/>
      </w:pPr>
      <w:r>
        <w:t>45)</w:t>
      </w:r>
      <w:r>
        <w:tab/>
        <w:t>Til að tryggja fjárfestavernd sem og heilleika og stöðugleika fjármálamarkaða í Sambandinu ætti framkvæmdastjórnin, þegar samþykkt er ákvörðun um jafngildi, að taka tillit til mögulegrar áhættu sem leiðir af þjónustunni og starfseminni sem fyrirtækin frá því þriðja landi gætu stundað í Sambandinu í kjölfar þeirrar ákvörðunar. Taka ætti tillit til kerfislegs mikilvægis á grundvelli viðmiða, s.s. líklegrar stærðar og umfangs þjónustuveitingar og starfsemi fyrirtækja frá hlutaðeigandi þriðja landi. Í sama til</w:t>
      </w:r>
      <w:r>
        <w:t>gangi ætti framkvæmdastjórnin að geta tekið tillit til þess hvort það þriðja land er tilgreint sem ósamvinnuþýð lögsaga í skattalegu tilliti samkvæmt viðkomandi stefnu Sambandsins eða sem áhættusamt þriðja land skv. 2. mgr. 9. gr. tilskipunar Evrópuþingsins og ráðsins (ESB) 2015/849 (</w:t>
      </w:r>
      <w:bookmarkStart w:id="14" w:name="NOTE_15"/>
      <w:r>
        <w:rPr>
          <w:rStyle w:val="FootnoteReference"/>
          <w:sz w:val="18"/>
        </w:rPr>
        <w:footnoteReference w:id="16"/>
      </w:r>
      <w:bookmarkEnd w:id="14"/>
      <w:r>
        <w:t>). Framkvæmdastjórnin ætti aðeins að telja sértækar varfærniskröfur, skipulagskröfur eða kröfur um viðskiptahætti jafngildar ef þær ná fram sömu áhrifum. Enn fremur ætti framkvæmdastjórnin að geta, eftir því sem við á, samþykkt ákvarðanir um jafngildi sem takmarkast við tiltekna þjónustu og starfsemi eða flokka þjónustu og starfsemi sem taldir eru upp í þáttar A I. viðauka við tilskipun 2014/65/EB.</w:t>
      </w:r>
    </w:p>
    <w:p w14:paraId="3FD74B01" w14:textId="77777777" w:rsidR="001D6FFE" w:rsidRDefault="00E40155">
      <w:pPr>
        <w:pStyle w:val="Consid"/>
      </w:pPr>
      <w:r>
        <w:t>46)</w:t>
      </w:r>
      <w:r>
        <w:tab/>
        <w:t>Evrópska bankaeftirlitsstofnunin hefur, í samstarfi við Evrópsku verðbréfamarkaðseftirlitsstofnunina, gefið út skýrslu á grundvelli ítarlegrar bakgrunnsgreiningar, gagnaöflunar og samráðs um sérsniðið varfærnisfyrirkomulag fyrir öll verðbréfafyrirtæki sem ekki eru kerfislega mikilvæg, er þjónar sem grundvöllur fyrir endurskoðuðum varfærnisramma fyrir verðbréfafyrirtæki.</w:t>
      </w:r>
    </w:p>
    <w:p w14:paraId="41652D4B" w14:textId="77777777" w:rsidR="001D6FFE" w:rsidRDefault="00E40155">
      <w:pPr>
        <w:pStyle w:val="Consid"/>
        <w:spacing w:after="0"/>
      </w:pPr>
      <w:r>
        <w:t>47)</w:t>
      </w:r>
      <w:r>
        <w:tab/>
        <w:t>Til að tryggja samræmda beitingu þessarar reglugerðar ætti Evrópska bankaeftirlitsstofnunin að semja drög að tæknilegum eftirlitsstöðlum til að tilgreina umfang og aðferðir við beitingu varfærniskrafna á samstæðugrunni fyrir samstæður verðbréfafyrirtækis, útreikninginn á föstum kostnaði, mælingar á K-þáttum, skilgreiningu á hugtakinu aðgreindir reikningar að því er varðar peninga viðskiptavina, aðlögun reiknistuðlanna fyrir K-DTF við erfiðar markaðsaðstæður, útreikninginn fyrir að ákvarða kröfur um eiginfj</w:t>
      </w:r>
      <w:r>
        <w:t>árgrunn sem samsvara heildartryggingafjárkröfunni sem stöðustofnunaraðilar krefjast, sniðmátin fyrir opinbera birtingu þ.m.t. að því er varðar fjárfestingarstefnu verðbréfafyrirtækja og lögboðna skýrslugjöf sem krafist er samkvæmt þessari reglugerð og upplýsingarnar sem veita skal lögbærum yfirvöldum er varða viðmiðunarmörkin fyrir því að starfsleyfis sem lánastofnun sé krafist. Framkvæmdastjórnin ætti að hafa vald til að bæta við þessa reglugerð með því að samþykkja tæknilegu eftirlitsstaðlana, sem Evrópsk</w:t>
      </w:r>
      <w:r>
        <w:t>a bankaeftirlitsstofnunin útfærir, með framseldum gerðum skv. 290. gr. sáttmálans um starfshætti Evrópusambandsins og í samræmi við 10.–14. gr. reglugerðar (ESB) nr. 1093/2010. Framkvæmdastjórnin og Evrópska bankaeftirlitsstofnunin ættu að tryggja að öll hlutaðeigandi verðbréfafyrirtæki geti beitt þessum tæknilegu eftirlitsstöðlum með hætti sem er í réttu hlutfalli við eðli, umfang og flækjustig þessara verðbréfafyrirtækja og í starfsemi þeirra.</w:t>
      </w:r>
      <w:r>
        <w:br w:type="page"/>
      </w:r>
    </w:p>
    <w:p w14:paraId="61877E78" w14:textId="77777777" w:rsidR="001D6FFE" w:rsidRDefault="00E40155">
      <w:pPr>
        <w:pStyle w:val="Consid"/>
      </w:pPr>
      <w:r>
        <w:t>48)</w:t>
      </w:r>
      <w:r>
        <w:tab/>
      </w:r>
      <w:r>
        <w:t>Framkvæmdastjórnin ætti einnig að hafa vald til að samþykkja tæknilegu framkvæmdarstaðlana, sem Evrópska bankaeftirlitsstofnunin og Evrópska verðbréfamarkaðseftirlitsstofnunin útfæra, með framkvæmdargerðum skv. 291. gr. sáttmálans um starfshætti Evrópusambandsins og í samræmi við 15. gr. reglugerðar (ESB) nr. 1093/2010 og 15. gr. reglugerðar (ESB) nr. 1095/2010.</w:t>
      </w:r>
    </w:p>
    <w:p w14:paraId="260BB4D6" w14:textId="77777777" w:rsidR="001D6FFE" w:rsidRDefault="00E40155">
      <w:pPr>
        <w:pStyle w:val="Consid"/>
      </w:pPr>
      <w:r>
        <w:t>49)</w:t>
      </w:r>
      <w:r>
        <w:tab/>
        <w:t>Til að tryggja samræmda beitingu þessarar reglugerðar og til að taka til tillit til þróunar á fjármálamörkuðum ætti að fela framkvæmdastjórninni vald til að samþykkja gerðir í samræmi við 290. gr. sáttmálans um starfshætti Evrópusambandsins til að bæta við þessa reglugerð með nánari útskýringu á skilgreiningunum í þessari reglugerð. Einkum er mikilvægt að framkvæmdastjórnin hafi viðeigandi samráð meðan á undirbúningsvinnu hennar stendur, þ.m.t. við sérfræðinga, og að þetta samráð fari fram í samræmi við me</w:t>
      </w:r>
      <w:r>
        <w:t>ginreglurnar sem mælt er fyrir um í samstarfssamningi milli stofnana um betri lagasetningu frá 13. apríl 2016 (</w:t>
      </w:r>
      <w:bookmarkStart w:id="15" w:name="NOTE_16"/>
      <w:r>
        <w:rPr>
          <w:rStyle w:val="FootnoteReference"/>
          <w:sz w:val="18"/>
        </w:rPr>
        <w:footnoteReference w:id="17"/>
      </w:r>
      <w:bookmarkEnd w:id="15"/>
      <w:r>
        <w:t>). Einkum, í því skyni að tryggja jafna þátttöku við undirbúning framseldra gerða, fá Evrópuþingið og ráðið öll skjöl á sama tíma og sérfræðingar aðildarríkjanna og hafa sérfræðingar þeirra kerfisbundinn aðgang að fundum sérfræðingahópa framkvæmdastjórnarinnar sem vinna að undirbúningi framseldra gerða.</w:t>
      </w:r>
    </w:p>
    <w:p w14:paraId="2A253728" w14:textId="77777777" w:rsidR="001D6FFE" w:rsidRDefault="00E40155">
      <w:pPr>
        <w:pStyle w:val="Consid"/>
      </w:pPr>
      <w:r>
        <w:t>50)</w:t>
      </w:r>
      <w:r>
        <w:tab/>
        <w:t>Til að tryggja réttaröryggi og komast hjá skörun milli núverandi varfærnisramma, sem gildir bæði um lánastofnanir og verðbréfafyrirtæki, og þessarar reglugerðar, ætti að breyta reglugerð (ESB) nr. 575/2013 og tilskipun 2013/36/ESB til að færa verðbréfafyrirtæki undan gildissviði þeirra. Verðbréfafyrirtæki sem eru hluti af bankasamstæðu ættu þó áfram að falla undir þau ákvæði í reglugerð (ESB) nr. 575/2013 og tilskipun 2013/36/ESB sem eiga við um bankasamstæðuna, s.s. ákvæðin um milligöngumóðurfélag í Samba</w:t>
      </w:r>
      <w:r>
        <w:t>ndinu sem um getur í 21. gr. b í tilskipun 2013/36/ESB og um reglurnar um beitingu varfærniskrafna á samstæðugrunni í 2. kafla II. bálks fyrsta hluta reglugerðar (ESB) nr. 575/2013.</w:t>
      </w:r>
    </w:p>
    <w:p w14:paraId="70C1C2F5" w14:textId="77777777" w:rsidR="001D6FFE" w:rsidRDefault="00E40155">
      <w:pPr>
        <w:pStyle w:val="Consid"/>
      </w:pPr>
      <w:r>
        <w:t>51)</w:t>
      </w:r>
      <w:r>
        <w:tab/>
        <w:t>Þar eð aðildarríkin geta ekki fyllilega náð markmiðum þessarar reglugerðar, þ.e. að koma á skilvirkum og hóflegum varfærnisramma til að tryggja að verðbréfafyrirtæki sem hafa leyfi til að starfa innan Sambandsins séu á traustum fjárhagslegum grunni og sé stjórnað á skipulegan hátt, þ.m.t., þar sem við á, með hagsmuni viðskiptavina þeirra í huga, og þeim verður betur náð á vettvangi Sambandsins, vegna umfangs og áhrifa þeirra, er Sambandinu heimilt að samþykkja ráðstafanir í samræmi við nálægðarregluna eins</w:t>
      </w:r>
      <w:r>
        <w:t xml:space="preserve"> og kveðið er á um í 5. gr. sáttmálans um Evrópusambandið. Í samræmi við meðalhófsregluna, eins og hún er sett fram í þeirri grein, er ekki gengið lengra en nauðsyn krefur í þessari reglugerð til að ná þessu markmiði.</w:t>
      </w:r>
    </w:p>
    <w:p w14:paraId="54613181" w14:textId="77777777" w:rsidR="001D6FFE" w:rsidRDefault="00E40155">
      <w:pPr>
        <w:pStyle w:val="PreambleFinal"/>
        <w:spacing w:line="200" w:lineRule="exact"/>
      </w:pPr>
      <w:r>
        <w:t>SAMÞYKKT REGLUGERÐ ÞESSA:</w:t>
      </w:r>
    </w:p>
    <w:p w14:paraId="2FB50F7C" w14:textId="77777777" w:rsidR="001D6FFE" w:rsidRDefault="00E40155">
      <w:pPr>
        <w:pStyle w:val="DivisionTI1"/>
        <w:spacing w:after="120" w:line="200" w:lineRule="exact"/>
        <w:rPr>
          <w:caps w:val="0"/>
          <w:szCs w:val="16"/>
        </w:rPr>
      </w:pPr>
      <w:r>
        <w:rPr>
          <w:caps w:val="0"/>
        </w:rPr>
        <w:t>FYRSTI HLUTI</w:t>
      </w:r>
    </w:p>
    <w:p w14:paraId="501FD7EB" w14:textId="77777777" w:rsidR="001D6FFE" w:rsidRDefault="00E40155">
      <w:pPr>
        <w:pStyle w:val="DivisionSTI1"/>
        <w:spacing w:after="240" w:line="200" w:lineRule="exact"/>
        <w:rPr>
          <w:sz w:val="16"/>
          <w:szCs w:val="16"/>
        </w:rPr>
      </w:pPr>
      <w:r>
        <w:rPr>
          <w:b/>
          <w:sz w:val="16"/>
        </w:rPr>
        <w:t>ALMENN ÁKVÆÐI</w:t>
      </w:r>
    </w:p>
    <w:p w14:paraId="70AB4456" w14:textId="77777777" w:rsidR="001D6FFE" w:rsidRDefault="00E40155">
      <w:pPr>
        <w:pStyle w:val="DivisionTI2"/>
        <w:spacing w:after="120" w:line="200" w:lineRule="exact"/>
        <w:rPr>
          <w:sz w:val="16"/>
          <w:szCs w:val="16"/>
        </w:rPr>
      </w:pPr>
      <w:r>
        <w:rPr>
          <w:sz w:val="16"/>
        </w:rPr>
        <w:t>I. BÁLKUR</w:t>
      </w:r>
    </w:p>
    <w:p w14:paraId="75697BA5" w14:textId="77777777" w:rsidR="001D6FFE" w:rsidRDefault="00E40155">
      <w:pPr>
        <w:pStyle w:val="DivisionSTI2"/>
        <w:spacing w:after="240" w:line="200" w:lineRule="exact"/>
        <w:rPr>
          <w:sz w:val="16"/>
          <w:szCs w:val="16"/>
        </w:rPr>
      </w:pPr>
      <w:r>
        <w:rPr>
          <w:b/>
          <w:sz w:val="16"/>
        </w:rPr>
        <w:t>EFNI, GILDISSVIÐ OG SKILGREININGAR</w:t>
      </w:r>
    </w:p>
    <w:p w14:paraId="6AB95210" w14:textId="77777777" w:rsidR="001D6FFE" w:rsidRDefault="00E40155">
      <w:pPr>
        <w:pStyle w:val="TIART"/>
        <w:spacing w:after="120"/>
      </w:pPr>
      <w:r>
        <w:t>1. gr.</w:t>
      </w:r>
    </w:p>
    <w:p w14:paraId="628E2A05" w14:textId="77777777" w:rsidR="001D6FFE" w:rsidRDefault="00E40155">
      <w:pPr>
        <w:pStyle w:val="STIART"/>
      </w:pPr>
      <w:r>
        <w:t>Efni og gildissvið</w:t>
      </w:r>
    </w:p>
    <w:p w14:paraId="02EEE57A" w14:textId="77777777" w:rsidR="001D6FFE" w:rsidRDefault="00E40155">
      <w:pPr>
        <w:pStyle w:val="AlineaWithParag"/>
      </w:pPr>
      <w:r>
        <w:t>1.</w:t>
      </w:r>
      <w:r>
        <w:tab/>
        <w:t>Í þessari reglugerð er mælt fyrir um samræmdar varfærniskröfur sem gilda um verðbréfafyrirtæki sem hafa starfsleyfi og lúta eftirliti samkvæmt tilskipun 2014/65/ESB og lúta eftirliti um hlítingu við varfærniskröfur samkvæmt tilskipun 2019/2034 í tengslum við eftirfarandi:</w:t>
      </w:r>
    </w:p>
    <w:p w14:paraId="21E61CC3" w14:textId="77777777" w:rsidR="001D6FFE" w:rsidRDefault="00E40155">
      <w:pPr>
        <w:pStyle w:val="NumberedText"/>
        <w:ind w:left="300" w:hanging="300"/>
      </w:pPr>
      <w:r>
        <w:t>a)</w:t>
      </w:r>
      <w:r>
        <w:tab/>
        <w:t>kröfur um eiginfjárgrunn að því er varðar mælanlega, samræmda og staðlaða áhættuþætti fyrirtækis, viðskiptavinar og markaðar,</w:t>
      </w:r>
    </w:p>
    <w:p w14:paraId="13EA3B76" w14:textId="77777777" w:rsidR="001D6FFE" w:rsidRDefault="00E40155">
      <w:pPr>
        <w:pStyle w:val="NumberedText"/>
        <w:ind w:left="300" w:hanging="300"/>
      </w:pPr>
      <w:r>
        <w:t>b)</w:t>
      </w:r>
      <w:r>
        <w:tab/>
        <w:t>kröfur til að takmarka samþjöppunaráhættu,</w:t>
      </w:r>
    </w:p>
    <w:p w14:paraId="1BF7E773" w14:textId="77777777" w:rsidR="001D6FFE" w:rsidRDefault="00E40155">
      <w:pPr>
        <w:pStyle w:val="NumberedText"/>
        <w:spacing w:after="0"/>
        <w:ind w:left="300" w:hanging="300"/>
      </w:pPr>
      <w:r>
        <w:t>c)</w:t>
      </w:r>
      <w:r>
        <w:tab/>
        <w:t>lausafjárkröfur að því er varðar mælanlega, samræmda og staðlaða þætti lausafjáráhættu,</w:t>
      </w:r>
      <w:r>
        <w:br w:type="page"/>
      </w:r>
    </w:p>
    <w:p w14:paraId="1076E87E" w14:textId="77777777" w:rsidR="001D6FFE" w:rsidRDefault="00E40155">
      <w:pPr>
        <w:pStyle w:val="NumberedText"/>
        <w:ind w:left="300" w:hanging="300"/>
      </w:pPr>
      <w:r>
        <w:t>d)</w:t>
      </w:r>
      <w:r>
        <w:tab/>
        <w:t>skýrslugjafarkröfur í tengslum við a-, b- og c-lið,</w:t>
      </w:r>
    </w:p>
    <w:p w14:paraId="3CC1E8B7" w14:textId="77777777" w:rsidR="001D6FFE" w:rsidRDefault="00E40155">
      <w:pPr>
        <w:pStyle w:val="NumberedText"/>
        <w:ind w:left="300" w:hanging="300"/>
      </w:pPr>
      <w:r>
        <w:t>e)</w:t>
      </w:r>
      <w:r>
        <w:tab/>
        <w:t>kröfur um opinbera birtingu.</w:t>
      </w:r>
    </w:p>
    <w:p w14:paraId="76097E22" w14:textId="77777777" w:rsidR="001D6FFE" w:rsidRDefault="00E40155">
      <w:pPr>
        <w:pStyle w:val="AlineaWithParag"/>
      </w:pPr>
      <w:r>
        <w:t>2.</w:t>
      </w:r>
      <w:r>
        <w:tab/>
        <w:t>Þrátt fyrir 1. mgr. skal verðbréfafyrirtæki sem hefur starfsleyfi og lýtur eftirliti samkvæmt tilskipun 2014/65/ESB og stundar einhverja þá starfsemi sem um getur í 3. og 6. lið þáttar A I. viðauka við tilskipun 2014/65/ESB, beita kröfunum í reglugerð (ESB) nr. 575/2013 ef fyrirtækið er ekki miðlari hrávöru og losunarheimilda, sjóður um sameiginlega fjárfestingu eða vátryggingafélag, og einhver af eftirtöldum skilyrðum eiga við:</w:t>
      </w:r>
    </w:p>
    <w:p w14:paraId="6538CD65" w14:textId="77777777" w:rsidR="001D6FFE" w:rsidRDefault="00E40155">
      <w:pPr>
        <w:pStyle w:val="NumberedText"/>
        <w:ind w:left="300" w:hanging="300"/>
      </w:pPr>
      <w:r>
        <w:t>a)</w:t>
      </w:r>
      <w:r>
        <w:tab/>
        <w:t>heildarvirði samstæðueigna verðbréfafyrirtækisins nemur 15 milljörðum evra eða meira, reiknað út sem meðaltal næstliðinna 12 mánaða að undanskildu virði einstakra eigna dótturfélaga með staðfestu utan Sambandsins sem stunda einhverja þá starfsemi sem um getur í þessari undirgrein,</w:t>
      </w:r>
    </w:p>
    <w:p w14:paraId="4F2C7D06" w14:textId="77777777" w:rsidR="001D6FFE" w:rsidRDefault="00E40155">
      <w:pPr>
        <w:pStyle w:val="NumberedText"/>
        <w:ind w:left="300" w:hanging="300"/>
      </w:pPr>
      <w:r>
        <w:t>b)</w:t>
      </w:r>
      <w:r>
        <w:tab/>
        <w:t>heildarvirði samstæðueigna verðbréfafyrirtækisins er lægra en 15 milljarðar evra og verðbréfafyrirtækið er hluti samstæðu þar sem heildarvirði samstæðueigna allra fyrirtækja í samstæðunni, sem hvert um sig á heildareignir að andvirði undir 15 milljarða evra og stundar einhverja þá starfsemi sem um getur í 3. og 6. lið þáttar A I. viðauka við tilskipun 2014/65/ESB, nemur 15 milljörðum evra eða meira, í öllum tilvikum reiknað sem meðaltal næstliðinna 12 mánaða, að undanskildu virði einstakra eigna dótturféla</w:t>
      </w:r>
      <w:r>
        <w:t>ga með staðfestu utan Sambandsins sem stunda aðra hvora þá starfsemi sem um getur í þessari undirgrein, eða</w:t>
      </w:r>
    </w:p>
    <w:p w14:paraId="78C52724" w14:textId="77777777" w:rsidR="001D6FFE" w:rsidRDefault="00E40155">
      <w:pPr>
        <w:pStyle w:val="NumberedText"/>
        <w:ind w:left="300" w:hanging="300"/>
      </w:pPr>
      <w:r>
        <w:t>c)</w:t>
      </w:r>
      <w:r>
        <w:tab/>
        <w:t>verðbréfafyrirtækið fellur undir ákvörðun lögbærs yfirvalds í samræmi við 5. gr. tilskipunar (ESB) 2019/2034.</w:t>
      </w:r>
    </w:p>
    <w:p w14:paraId="3E7B99B9" w14:textId="77777777" w:rsidR="001D6FFE" w:rsidRDefault="00E40155">
      <w:pPr>
        <w:pStyle w:val="Alinea"/>
      </w:pPr>
      <w:r>
        <w:t>Verðbréfafyrirtæki sem um getur í þessari málsgrein skulu lúta eftirliti um hlítingu við varfærniskröfur skv. VII. og VIII. bálki tilskipunar 2013/36/ESB, þ.m.t. í því skyni að ákvarða eftirlitsaðila á samstæðugrunni ef slík verðbréfafyrirtæki tilheyra samstæðu verðbréfafyrirtækis eins og hún er skilgreind í 25. lið 1. mgr. 4. gr. þessarar reglugerðar.</w:t>
      </w:r>
    </w:p>
    <w:p w14:paraId="26C51B9C" w14:textId="77777777" w:rsidR="001D6FFE" w:rsidRDefault="00E40155">
      <w:pPr>
        <w:pStyle w:val="AlineaWithParag"/>
      </w:pPr>
      <w:r>
        <w:t>3.</w:t>
      </w:r>
      <w:r>
        <w:tab/>
        <w:t>Undanþágan sem kveðið er á um í 2. mgr. gildir ekki ef verðbréfafyrirtæki uppfyllir ekki lengur einhver þau viðmiðunarmörk sem sett eru fram í þeirri málsgrein, reiknað út yfir 12 samfellda mánuði, eða ef lögbært yfirvald ákveður svo í samræmi við 5. gr. tilskipunar (ESB) 2019/2034. Verðbréfafyrirtækið skal upplýsa lögbært yfirvald án ótilhlýðilegrar tafar um hvers konar brot á viðmiðunarmörkunum á því tímabili.</w:t>
      </w:r>
    </w:p>
    <w:p w14:paraId="72C0FB7F" w14:textId="77777777" w:rsidR="001D6FFE" w:rsidRDefault="00E40155">
      <w:pPr>
        <w:pStyle w:val="AlineaWithParag"/>
      </w:pPr>
      <w:r>
        <w:t>4.</w:t>
      </w:r>
      <w:r>
        <w:tab/>
        <w:t>Verðbréfafyrirtæki sem uppfylla skilyrðin sem sett eru fram í 2. gr. skulu áfram falla undir kröfurnar í 55. og 59. gr.</w:t>
      </w:r>
    </w:p>
    <w:p w14:paraId="707D3071" w14:textId="77777777" w:rsidR="001D6FFE" w:rsidRDefault="00E40155">
      <w:pPr>
        <w:pStyle w:val="AlineaWithParag"/>
      </w:pPr>
      <w:r>
        <w:t>5.</w:t>
      </w:r>
      <w:r>
        <w:tab/>
        <w:t>Þrátt fyrir 1. mgr. geta lögbær yfirvöld heimilað verðbréfafyrirtæki sem hefur starfsleyfi og lýtur eftirliti samkvæmt tilskipun 2014/65/ESB og stundar einhverja þá starfsemi sem um getur í 3. og 6. lið þáttar A I. viðauka við tilskipun 2014/65/ESB, að beita kröfunum í reglugerð (ESB) nr. 575/2013 ef öll eftirfarandi skilyrði eru uppfyllt:</w:t>
      </w:r>
    </w:p>
    <w:p w14:paraId="0DB86241" w14:textId="77777777" w:rsidR="001D6FFE" w:rsidRDefault="00E40155">
      <w:pPr>
        <w:pStyle w:val="NumberedText"/>
        <w:ind w:left="300" w:hanging="300"/>
      </w:pPr>
      <w:r>
        <w:t>a)</w:t>
      </w:r>
      <w:r>
        <w:tab/>
        <w:t>verðbréfafyrirtækið er dótturfélag og er tekið með í eftirlitið á samstæðugrunni með lánastofnun, eignarhaldsfélagi á fjármálasviði eða blönduðu eignarhaldsfélagi í fjármálastarfsemi í samræmi við ákvæði 2. kafla II. bálks fyrsta hluta reglugerðar (ESB) nr. 575/2013,</w:t>
      </w:r>
    </w:p>
    <w:p w14:paraId="759E0D2F" w14:textId="77777777" w:rsidR="001D6FFE" w:rsidRDefault="00E40155">
      <w:pPr>
        <w:pStyle w:val="NumberedText"/>
        <w:ind w:left="300" w:hanging="300"/>
      </w:pPr>
      <w:r>
        <w:t>b)</w:t>
      </w:r>
      <w:r>
        <w:tab/>
        <w:t>verðbréfafyrirtækið tilkynnir til lögbæra yfirvaldsins samkvæmt þessari reglugerð og eftirlitsaðilans á samstæðugrunni, ef við á,</w:t>
      </w:r>
    </w:p>
    <w:p w14:paraId="4B6CBF68" w14:textId="77777777" w:rsidR="001D6FFE" w:rsidRDefault="00E40155">
      <w:pPr>
        <w:pStyle w:val="NumberedText"/>
        <w:ind w:left="300" w:hanging="300"/>
      </w:pPr>
      <w:r>
        <w:t>c)</w:t>
      </w:r>
      <w:r>
        <w:tab/>
        <w:t>lögbært yfirvald hefur gengið úr skugga um að beiting krafnanna um eiginfjárgrunn samkvæmt reglugerð (ESB) nr. 575/2013 á einingargrunni á verðbréfafyrirtækið og á samstæðugrunni á samstæðuna, eftir því sem við á, sé varfærnislega traust, leiði ekki til lækkunar á kröfum verðbréfafyrirtækisins um eiginfjárgrunn samkvæmt þessari reglugerð og sé ekki í eftirlitshögnunarskyni.</w:t>
      </w:r>
    </w:p>
    <w:p w14:paraId="25F7D206" w14:textId="77777777" w:rsidR="001D6FFE" w:rsidRDefault="00E40155">
      <w:pPr>
        <w:pStyle w:val="Alinea"/>
      </w:pPr>
      <w:r>
        <w:t>Lögbær yfirvöld skulu upplýsa verðbréfafyrirtækið um þá ákvörðun að heimila beitingu reglugerðar (EB) nr. 575/2013 og tilskipunar 2013/36/ESB í samræmi við fyrstu undirgrein, innan tveggja mánaða frá móttöku tilkynningar sem um getur í b-lið fyrstu undirgreinar þessarar málsgreinar, og skulu upplýsa Evrópsku bankaeftirlitsstofnunina um það. Ef lögbært yfirvald neitar að heimila beitingu reglugerðar (ESB) nr. 575/2013 og tilskipunar 2013/36/ESB skal það gera fulla grein fyrir ástæðum þess.</w:t>
      </w:r>
    </w:p>
    <w:p w14:paraId="2F40F078" w14:textId="77777777" w:rsidR="001D6FFE" w:rsidRDefault="00E40155">
      <w:pPr>
        <w:pStyle w:val="Alinea"/>
      </w:pPr>
      <w:r>
        <w:t>Verðbréfafyrirtæki sem um getur í þessari málsgrein skulu lúta eftirliti um hlítingu við varfærniskröfur skv. VII. og VIII. bálki tilskipunar 2013/36/ESB, þ.m.t. í því skyni að ákvarða eftirlitsaðila á samstæðugrunni ef slík verðbréfafyrirtæki tilheyra samstæðu verðbréfafyrirtækis eins og hún er skilgreind í 25. lið 1. mgr. 4. gr. þessarar reglugerðar.</w:t>
      </w:r>
    </w:p>
    <w:p w14:paraId="6955FF96" w14:textId="77777777" w:rsidR="001D6FFE" w:rsidRDefault="00E40155">
      <w:pPr>
        <w:pStyle w:val="Alinea"/>
        <w:spacing w:after="0"/>
      </w:pPr>
      <w:r>
        <w:t>Að því er þessa málsgrein varðar gilda ákvæði 7. gr. reglugerðar (ESB) nr. 575/2013 ekki.</w:t>
      </w:r>
      <w:r>
        <w:br w:type="page"/>
      </w:r>
    </w:p>
    <w:p w14:paraId="233B0F16" w14:textId="77777777" w:rsidR="001D6FFE" w:rsidRDefault="00E40155">
      <w:pPr>
        <w:pStyle w:val="TIART"/>
      </w:pPr>
      <w:r>
        <w:t>2. gr.</w:t>
      </w:r>
    </w:p>
    <w:p w14:paraId="2BBE808E" w14:textId="77777777" w:rsidR="001D6FFE" w:rsidRDefault="00E40155">
      <w:pPr>
        <w:pStyle w:val="STIART"/>
      </w:pPr>
      <w:r>
        <w:t>Eftirlitsheimildir</w:t>
      </w:r>
    </w:p>
    <w:p w14:paraId="46569EF4" w14:textId="77777777" w:rsidR="001D6FFE" w:rsidRDefault="00E40155">
      <w:pPr>
        <w:pStyle w:val="Alinea"/>
      </w:pPr>
      <w:r>
        <w:t>Í því skyni að tryggja hlítingu við þessa reglugerð skulu lögbær yfirvöld hafa þær heimildir og fylgja þeim málsmeðferðarreglum sem settar eru fram í tilskipun (ESB) 2019/2034.</w:t>
      </w:r>
    </w:p>
    <w:p w14:paraId="041CC88B" w14:textId="77777777" w:rsidR="001D6FFE" w:rsidRDefault="00E40155">
      <w:pPr>
        <w:pStyle w:val="TIART"/>
      </w:pPr>
      <w:r>
        <w:t>3. gr.</w:t>
      </w:r>
    </w:p>
    <w:p w14:paraId="5F461E10" w14:textId="77777777" w:rsidR="001D6FFE" w:rsidRDefault="00E40155">
      <w:pPr>
        <w:pStyle w:val="STIART"/>
      </w:pPr>
      <w:r>
        <w:t>Beiting strangari krafna af hálfu verðbréfafyrirtækja</w:t>
      </w:r>
    </w:p>
    <w:p w14:paraId="1FFC340A" w14:textId="77777777" w:rsidR="001D6FFE" w:rsidRDefault="00E40155">
      <w:pPr>
        <w:pStyle w:val="Alinea"/>
      </w:pPr>
      <w:r>
        <w:t>Þessi reglugerð kemur ekki í veg fyrir að verðbréfafyrirtæki hafi hærri fjárhæð eiginfjárgrunns og þátta hans eða meiri lausafjáreignir eða að þau grípi til strangari ráðstafana en krafist er samkvæmt þessari reglugerð.</w:t>
      </w:r>
    </w:p>
    <w:p w14:paraId="29653083" w14:textId="77777777" w:rsidR="001D6FFE" w:rsidRDefault="00E40155">
      <w:pPr>
        <w:pStyle w:val="TIART"/>
      </w:pPr>
      <w:r>
        <w:t>4. gr.</w:t>
      </w:r>
    </w:p>
    <w:p w14:paraId="2A02D301" w14:textId="77777777" w:rsidR="001D6FFE" w:rsidRDefault="00E40155">
      <w:pPr>
        <w:pStyle w:val="STIART"/>
      </w:pPr>
      <w:r>
        <w:t>Skilgreiningar</w:t>
      </w:r>
    </w:p>
    <w:p w14:paraId="496596CB" w14:textId="77777777" w:rsidR="001D6FFE" w:rsidRDefault="00E40155">
      <w:pPr>
        <w:pStyle w:val="AlineaWithParag"/>
      </w:pPr>
      <w:r>
        <w:t>1.</w:t>
      </w:r>
      <w:r>
        <w:tab/>
        <w:t>Í þessari reglugerð er merking eftirfarandi hugtaka sem hér segir:</w:t>
      </w:r>
    </w:p>
    <w:p w14:paraId="5956C3E2" w14:textId="77777777" w:rsidR="001D6FFE" w:rsidRDefault="00E40155">
      <w:pPr>
        <w:pStyle w:val="NumberedText"/>
        <w:tabs>
          <w:tab w:val="clear" w:pos="2047"/>
        </w:tabs>
        <w:ind w:left="400" w:hanging="400"/>
      </w:pPr>
      <w:r>
        <w:t>1)</w:t>
      </w:r>
      <w:r>
        <w:tab/>
        <w:t>„fyrirtæki í viðbótarstarfsemi“: fyrirtæki sem hefur að meginstarfsemi að eiga eða hafa umsjón með fasteignum, sjá um gagnavinnsluþjónustu eða aðra svipaða starfsemi sem er til viðbótar við meginstarfsemi eins eða fleiri verðbréfafyrirtækja,</w:t>
      </w:r>
    </w:p>
    <w:p w14:paraId="70A5A2A5" w14:textId="77777777" w:rsidR="001D6FFE" w:rsidRDefault="00E40155">
      <w:pPr>
        <w:pStyle w:val="NumberedText"/>
        <w:tabs>
          <w:tab w:val="clear" w:pos="2047"/>
        </w:tabs>
        <w:ind w:left="400" w:hanging="400"/>
      </w:pPr>
      <w:r>
        <w:t>2)</w:t>
      </w:r>
      <w:r>
        <w:tab/>
        <w:t>„eignastýringarfélag“: eignastýringarfélag eins og það er skilgreint í 19. lið 1. mgr. 4. gr. reglugerðar (ESB) nr. 575/2013,</w:t>
      </w:r>
    </w:p>
    <w:p w14:paraId="1D5D8336" w14:textId="77777777" w:rsidR="001D6FFE" w:rsidRDefault="00E40155">
      <w:pPr>
        <w:pStyle w:val="NumberedText"/>
        <w:tabs>
          <w:tab w:val="clear" w:pos="2047"/>
        </w:tabs>
        <w:ind w:left="400" w:hanging="400"/>
      </w:pPr>
      <w:r>
        <w:t>3)</w:t>
      </w:r>
      <w:r>
        <w:tab/>
        <w:t>„stöðustofnunaraðili“: félag með staðfestu í aðildarríki sem fellur undir skilgreininguna í 14. lið 2. gr. reglugerðar Evrópuþingsins og ráðsins (ESB) nr. 648/2012 (</w:t>
      </w:r>
      <w:bookmarkStart w:id="16" w:name="NOTE_17"/>
      <w:r>
        <w:rPr>
          <w:rStyle w:val="FootnoteReference"/>
          <w:sz w:val="18"/>
        </w:rPr>
        <w:footnoteReference w:id="18"/>
      </w:r>
      <w:bookmarkEnd w:id="16"/>
      <w:r>
        <w:t>),</w:t>
      </w:r>
    </w:p>
    <w:p w14:paraId="277F7E6B" w14:textId="77777777" w:rsidR="001D6FFE" w:rsidRDefault="00E40155">
      <w:pPr>
        <w:pStyle w:val="NumberedText"/>
        <w:tabs>
          <w:tab w:val="clear" w:pos="2047"/>
        </w:tabs>
        <w:ind w:left="400" w:hanging="400"/>
      </w:pPr>
      <w:r>
        <w:t>4)</w:t>
      </w:r>
      <w:r>
        <w:tab/>
        <w:t>„viðskiptavinur“: viðskiptavinur eins og hann er skilgreindur í 9. lið 1. mgr. 4. gr. tilskipunar 2014/65/ESB nema að því er varðar fjórða hluta þessarar reglugerðar þar sem „viðskiptavinur“ merkir sérhvern mótaðila verðbréfafyrirtækis,</w:t>
      </w:r>
    </w:p>
    <w:p w14:paraId="61219381" w14:textId="77777777" w:rsidR="001D6FFE" w:rsidRDefault="00E40155">
      <w:pPr>
        <w:pStyle w:val="NumberedText"/>
        <w:tabs>
          <w:tab w:val="clear" w:pos="2047"/>
        </w:tabs>
        <w:ind w:left="400" w:hanging="400"/>
      </w:pPr>
      <w:r>
        <w:t>5)</w:t>
      </w:r>
      <w:r>
        <w:tab/>
        <w:t>„miðlari hrávöru og losunarheimilda“: miðlari hrávöru og losunarheimilda eins og hann er skilgreindur í 150. lið 1. mgr. 4. gr. reglugerðar (ESB) nr. 575/2013,</w:t>
      </w:r>
    </w:p>
    <w:p w14:paraId="6024A463" w14:textId="77777777" w:rsidR="001D6FFE" w:rsidRDefault="00E40155">
      <w:pPr>
        <w:pStyle w:val="NumberedText"/>
        <w:tabs>
          <w:tab w:val="clear" w:pos="2047"/>
        </w:tabs>
        <w:ind w:left="400" w:hanging="400"/>
      </w:pPr>
      <w:r>
        <w:t>6)</w:t>
      </w:r>
      <w:r>
        <w:tab/>
      </w:r>
      <w:r>
        <w:t>„hrávöruafleiður“: hrávöruafleiður eins og skilgreindar eru í 30. lið 1. mgr. 2. gr. reglugerðar (ESB) nr. 600/2014,</w:t>
      </w:r>
    </w:p>
    <w:p w14:paraId="78C352B6" w14:textId="77777777" w:rsidR="001D6FFE" w:rsidRDefault="00E40155">
      <w:pPr>
        <w:pStyle w:val="NumberedText"/>
        <w:tabs>
          <w:tab w:val="clear" w:pos="2047"/>
        </w:tabs>
        <w:ind w:left="400" w:hanging="400"/>
      </w:pPr>
      <w:r>
        <w:t>7)</w:t>
      </w:r>
      <w:r>
        <w:tab/>
        <w:t>„lögbært yfirvald“: lögbært yfirvald eins og það er skilgreint í 5. lið 1. mgr. 3. gr. tilskipunar (ESB) 2019/2034,</w:t>
      </w:r>
    </w:p>
    <w:p w14:paraId="78490DC5" w14:textId="77777777" w:rsidR="001D6FFE" w:rsidRDefault="00E40155">
      <w:pPr>
        <w:pStyle w:val="NumberedText"/>
        <w:tabs>
          <w:tab w:val="clear" w:pos="2047"/>
        </w:tabs>
        <w:ind w:left="400" w:hanging="400"/>
      </w:pPr>
      <w:r>
        <w:t>8)</w:t>
      </w:r>
      <w:r>
        <w:tab/>
        <w:t>„lánastofnun“: lánastofnun eins og hún er skilgreind í 1. lið 1. mgr. 4. gr. reglugerðar (ESB) nr. 575/2013,</w:t>
      </w:r>
    </w:p>
    <w:p w14:paraId="25A22FEF" w14:textId="77777777" w:rsidR="001D6FFE" w:rsidRDefault="00E40155">
      <w:pPr>
        <w:pStyle w:val="NumberedText"/>
        <w:tabs>
          <w:tab w:val="clear" w:pos="2047"/>
        </w:tabs>
        <w:ind w:left="400" w:hanging="400"/>
      </w:pPr>
      <w:r>
        <w:t>9)</w:t>
      </w:r>
      <w:r>
        <w:tab/>
      </w:r>
      <w:r>
        <w:t>„viðskipti fyrir eigin reikning“: viðskipti fyrir eigin reikning eins og þau eru skilgreind í 6. lið 1. mgr. 4. gr. tilskipunar 2014/65/ESB,</w:t>
      </w:r>
    </w:p>
    <w:p w14:paraId="5A15B6EB" w14:textId="77777777" w:rsidR="001D6FFE" w:rsidRDefault="00E40155">
      <w:pPr>
        <w:pStyle w:val="NumberedText"/>
        <w:tabs>
          <w:tab w:val="right" w:pos="239"/>
        </w:tabs>
        <w:ind w:left="400" w:hanging="400"/>
      </w:pPr>
      <w:r>
        <w:tab/>
        <w:t>10)</w:t>
      </w:r>
      <w:r>
        <w:tab/>
        <w:t>„afleiður“: afleiður eins og þær eru skilgreindar í 29. lið 1. mgr. 2. gr. reglugerðar (ESB) nr. 600/2014,</w:t>
      </w:r>
    </w:p>
    <w:p w14:paraId="0E174013" w14:textId="77777777" w:rsidR="001D6FFE" w:rsidRDefault="00E40155">
      <w:pPr>
        <w:pStyle w:val="NumberedText"/>
        <w:tabs>
          <w:tab w:val="right" w:pos="239"/>
        </w:tabs>
        <w:ind w:left="400" w:hanging="400"/>
      </w:pPr>
      <w:r>
        <w:tab/>
        <w:t>11)</w:t>
      </w:r>
      <w:r>
        <w:tab/>
        <w:t>„samstæðustaða“: staða sem leiðir af beitingu krafnanna í þessari reglugerð í samræmi við 7. gr. á móðurverðbréfafyrirtæki í Sambandinu, móðureignarhaldsfélag á verðbréfasviði í Sambandinu eða blandað móðureignarhaldsfélag í fjármálastarfsemi í Sambandinu eins og ef það fyrirtæki ásamt öllum verðbréfafyrirtækjunum, fjármálastofnunum, fyrirtækjunum í viðbótarstarfsemi og einkaumboðsmönnum í þeirri samstæðu verðbréfafyrirtækis mynduðu eitt verðbréfafyrirtæki. Að því er varðar þessa skilgreiningu skulu hugtök</w:t>
      </w:r>
      <w:r>
        <w:t>in „verðbréfafyrirtæki“, „fjármálastofnun“, „fyrirtæki í viðbótarstarfsemi“ og „einkaumboðsmaður“ einnig gilda um fyrirtæki með staðfestu í þriðju löndum sem myndu falla undir skilgreiningar þessara hugtaka væru þau með staðfestu í Sambandinu,</w:t>
      </w:r>
    </w:p>
    <w:p w14:paraId="2D01BF31" w14:textId="77777777" w:rsidR="001D6FFE" w:rsidRDefault="00E40155">
      <w:pPr>
        <w:pStyle w:val="NumberedText"/>
        <w:tabs>
          <w:tab w:val="right" w:pos="239"/>
        </w:tabs>
        <w:ind w:left="400" w:hanging="400"/>
      </w:pPr>
      <w:r>
        <w:tab/>
        <w:t>12)</w:t>
      </w:r>
      <w:r>
        <w:tab/>
        <w:t>„samstæðugrunnur“: á grundvelli samstæðustöðunnar,</w:t>
      </w:r>
    </w:p>
    <w:p w14:paraId="37108DAC" w14:textId="77777777" w:rsidR="001D6FFE" w:rsidRDefault="00E40155">
      <w:pPr>
        <w:pStyle w:val="NumberedText"/>
        <w:tabs>
          <w:tab w:val="right" w:pos="239"/>
        </w:tabs>
        <w:spacing w:after="0"/>
        <w:ind w:left="400" w:hanging="400"/>
      </w:pPr>
      <w:r>
        <w:tab/>
        <w:t>13)</w:t>
      </w:r>
      <w:r>
        <w:tab/>
        <w:t>„framkvæmd fyrirmæla fyrir hönd viðskiptavina“: framkvæmd fyrirmæla fyrir hönd viðskiptavina eins og skilgreint er í 5. lið 1. mgr. 4. gr. tilskipunar 2014/65/ESB,</w:t>
      </w:r>
      <w:r>
        <w:br w:type="page"/>
      </w:r>
    </w:p>
    <w:p w14:paraId="1117D548" w14:textId="77777777" w:rsidR="001D6FFE" w:rsidRDefault="00E40155">
      <w:pPr>
        <w:pStyle w:val="NumberedText"/>
        <w:tabs>
          <w:tab w:val="right" w:pos="239"/>
        </w:tabs>
        <w:spacing w:after="180"/>
        <w:ind w:left="400" w:hanging="400"/>
      </w:pPr>
      <w:r>
        <w:tab/>
        <w:t>14)</w:t>
      </w:r>
      <w:r>
        <w:tab/>
        <w:t>„fjármálastofnun“: fyrirtæki, annað en lánastofnun eða verðbréfafyrirtæki og annað en hreint iðnaðareignarhaldsfélag, sem hefur að meginstarfsemi að afla eignarhluta eða annast eina eða fleiri tegundir þeirrar starfsemi sem um getur í 2.–12. lið og 15. lið I. viðauka við tilskipun 2013/36/ESB, þar með talin eignarhaldsfélög á fjármálasviði, blönduð eignarhaldsfélög í fjármálastarfsemi, eignarhaldsfélög á verðbréfasviði, greiðslustofnanir í skilningi tilskipunar Evrópuþingsins og ráðsins (ESB) 2015/2366 (</w:t>
      </w:r>
      <w:bookmarkStart w:id="17" w:name="NOTE_18"/>
      <w:r>
        <w:rPr>
          <w:rStyle w:val="FootnoteReference"/>
          <w:sz w:val="18"/>
        </w:rPr>
        <w:footnoteReference w:id="19"/>
      </w:r>
      <w:bookmarkEnd w:id="17"/>
      <w:r>
        <w:t>) og eignarstýringarfélög, en að undanskildum eignarhaldsfélögum á vátryggingasviði og blönduðum eignarhaldsfélögum í vátryggingastarfsemi eins og þau eru skilgreind í g-lið 1. mgr. 212. gr. tilskipunar Evrópuþingsins og ráðsins 2009/138/EB (</w:t>
      </w:r>
      <w:bookmarkStart w:id="18" w:name="NOTE_19"/>
      <w:r>
        <w:rPr>
          <w:rStyle w:val="FootnoteReference"/>
          <w:sz w:val="18"/>
        </w:rPr>
        <w:footnoteReference w:id="20"/>
      </w:r>
      <w:bookmarkEnd w:id="18"/>
      <w:r>
        <w:t>),</w:t>
      </w:r>
    </w:p>
    <w:p w14:paraId="5A5DDDCE" w14:textId="77777777" w:rsidR="001D6FFE" w:rsidRDefault="00E40155">
      <w:pPr>
        <w:pStyle w:val="NumberedText"/>
        <w:tabs>
          <w:tab w:val="right" w:pos="239"/>
        </w:tabs>
        <w:spacing w:after="180"/>
        <w:ind w:left="400" w:hanging="400"/>
      </w:pPr>
      <w:r>
        <w:tab/>
        <w:t>15)</w:t>
      </w:r>
      <w:r>
        <w:tab/>
        <w:t>„fjármálagerningur“: fjármálagerningur eins og hann er skilgreindur í 15. lið 1. mgr. 4. gr. tilskipunar 2014/65/ESB,</w:t>
      </w:r>
    </w:p>
    <w:p w14:paraId="5E131FF2" w14:textId="77777777" w:rsidR="001D6FFE" w:rsidRDefault="00E40155">
      <w:pPr>
        <w:pStyle w:val="NumberedText"/>
        <w:tabs>
          <w:tab w:val="right" w:pos="239"/>
        </w:tabs>
        <w:spacing w:after="180"/>
        <w:ind w:left="400" w:hanging="400"/>
      </w:pPr>
      <w:r>
        <w:tab/>
        <w:t>16)</w:t>
      </w:r>
      <w:r>
        <w:tab/>
        <w:t>„eignarhaldsfélag á fjármálasviði“: eignarhaldsfélag á fjármálasviði eins og það er skilgreint í 20. lið 1. mgr. 4. gr. reglugerðar (ESB) nr. 575/2013,</w:t>
      </w:r>
    </w:p>
    <w:p w14:paraId="1EBD6746" w14:textId="77777777" w:rsidR="001D6FFE" w:rsidRDefault="00E40155">
      <w:pPr>
        <w:pStyle w:val="NumberedText"/>
        <w:tabs>
          <w:tab w:val="right" w:pos="239"/>
        </w:tabs>
        <w:spacing w:after="180"/>
        <w:ind w:left="400" w:hanging="400"/>
      </w:pPr>
      <w:r>
        <w:tab/>
        <w:t>17)</w:t>
      </w:r>
      <w:r>
        <w:tab/>
        <w:t>„aðili á fjármálamarkaði“: aðili á fjármálamarkaði eins og hann er skilgreindur í 27. lið 1. mgr. 4. gr. reglugerðar (ESB) nr. 575/2013,</w:t>
      </w:r>
    </w:p>
    <w:p w14:paraId="632FB288" w14:textId="77777777" w:rsidR="001D6FFE" w:rsidRDefault="00E40155">
      <w:pPr>
        <w:pStyle w:val="NumberedText"/>
        <w:tabs>
          <w:tab w:val="right" w:pos="239"/>
        </w:tabs>
        <w:spacing w:after="180"/>
        <w:ind w:left="400" w:hanging="400"/>
      </w:pPr>
      <w:r>
        <w:tab/>
        <w:t>18)</w:t>
      </w:r>
      <w:r>
        <w:tab/>
        <w:t>„stofnfé“: stofnfé eins og það er skilgreint í 18. lið 1. mgr. 3. gr. tilskipunar (ESB) 2019/2034,</w:t>
      </w:r>
    </w:p>
    <w:p w14:paraId="37E0FDE6" w14:textId="77777777" w:rsidR="001D6FFE" w:rsidRDefault="00E40155">
      <w:pPr>
        <w:pStyle w:val="NumberedText"/>
        <w:tabs>
          <w:tab w:val="right" w:pos="239"/>
        </w:tabs>
        <w:spacing w:after="180"/>
        <w:ind w:left="400" w:hanging="400"/>
      </w:pPr>
      <w:r>
        <w:tab/>
        <w:t>19)</w:t>
      </w:r>
      <w:r>
        <w:tab/>
        <w:t>„hópur tengdra viðskiptavina“: hópur tengdra viðskiptavina eins og hann er skilgreindur í 39. lið 1. mgr. 4. gr. reglugerðar (ESB) nr. 575/2013,</w:t>
      </w:r>
    </w:p>
    <w:p w14:paraId="4D792903" w14:textId="77777777" w:rsidR="001D6FFE" w:rsidRDefault="00E40155">
      <w:pPr>
        <w:pStyle w:val="NumberedText"/>
        <w:tabs>
          <w:tab w:val="right" w:pos="239"/>
        </w:tabs>
        <w:spacing w:after="180"/>
        <w:ind w:left="400" w:hanging="400"/>
      </w:pPr>
      <w:r>
        <w:tab/>
        <w:t>20)</w:t>
      </w:r>
      <w:r>
        <w:tab/>
        <w:t>„fjárfestingarráðgjöf“: fjárfestingarráðgjöf eins og hún er skilgreind í 4. lið 1. mgr. 4. gr. tilskipunar 2014/65/ESB,</w:t>
      </w:r>
    </w:p>
    <w:p w14:paraId="3C27245E" w14:textId="77777777" w:rsidR="001D6FFE" w:rsidRDefault="00E40155">
      <w:pPr>
        <w:pStyle w:val="NumberedText"/>
        <w:tabs>
          <w:tab w:val="right" w:pos="239"/>
        </w:tabs>
        <w:spacing w:after="180"/>
        <w:ind w:left="400" w:hanging="400"/>
      </w:pPr>
      <w:r>
        <w:tab/>
        <w:t>21)</w:t>
      </w:r>
      <w:r>
        <w:tab/>
        <w:t>„viðvarandi fjárfestingarráðgjöf“: endurtekin veiting fjárfestingarráðgjafar sem og samfellt eða reglubundið mat og vöktun eða endurskoðun á eignasafni viðskiptavinar í fjármálagerningum, þ.m.t. fjárfestingum viðskiptavinarins á grundvelli samningsbundins fyrirkomulags.</w:t>
      </w:r>
    </w:p>
    <w:p w14:paraId="44AB008A" w14:textId="77777777" w:rsidR="001D6FFE" w:rsidRDefault="00E40155">
      <w:pPr>
        <w:pStyle w:val="NumberedText"/>
        <w:tabs>
          <w:tab w:val="right" w:pos="239"/>
        </w:tabs>
        <w:spacing w:after="180"/>
        <w:ind w:left="400" w:hanging="400"/>
      </w:pPr>
      <w:r>
        <w:tab/>
        <w:t>22)</w:t>
      </w:r>
      <w:r>
        <w:tab/>
        <w:t>„verðbréfafyrirtæki“: verðbréfafyrirtæki eins og það er skilgreint í 1. lið 1. mgr. 4. gr. tilskipunar 2014/65/ESB,</w:t>
      </w:r>
    </w:p>
    <w:p w14:paraId="6F409887" w14:textId="77777777" w:rsidR="001D6FFE" w:rsidRDefault="00E40155">
      <w:pPr>
        <w:pStyle w:val="NumberedText"/>
        <w:tabs>
          <w:tab w:val="right" w:pos="239"/>
        </w:tabs>
        <w:spacing w:after="180"/>
        <w:ind w:left="400" w:hanging="400"/>
      </w:pPr>
      <w:r>
        <w:tab/>
        <w:t>23)</w:t>
      </w:r>
      <w:r>
        <w:tab/>
        <w:t>„eignarhaldsfélag á verðbréfasviði“: fjármálastofnun með dótturfélög sem eru eingöngu eða aðallega verðbréfafyrirtæki eða fjármálastofnanir, þar sem a.m.k. eitt slíkt dótturfélag er verðbréfafyrirtæki, og sem er ekki eignarhaldsfélag á fjármálasviði eins og það er skilgreint í 20. lið 1. mgr. 4. gr. reglugerðar (ESB) nr. 575/2013,</w:t>
      </w:r>
    </w:p>
    <w:p w14:paraId="1C28708D" w14:textId="77777777" w:rsidR="001D6FFE" w:rsidRDefault="00E40155">
      <w:pPr>
        <w:pStyle w:val="NumberedText"/>
        <w:tabs>
          <w:tab w:val="right" w:pos="239"/>
        </w:tabs>
        <w:spacing w:after="180"/>
        <w:ind w:left="400" w:hanging="400"/>
      </w:pPr>
      <w:r>
        <w:tab/>
        <w:t>24)</w:t>
      </w:r>
      <w:r>
        <w:tab/>
        <w:t>„fjárfestingarþjónusta og -starfsemi“: fjárfestingarþjónusta og -starfsemi eins og hún er skilgreind í 2. lið 1. mgr. 4. gr. tilskipunar 2014/65/ESB,</w:t>
      </w:r>
    </w:p>
    <w:p w14:paraId="56728E4A" w14:textId="77777777" w:rsidR="001D6FFE" w:rsidRDefault="00E40155">
      <w:pPr>
        <w:pStyle w:val="NumberedText"/>
        <w:tabs>
          <w:tab w:val="right" w:pos="239"/>
        </w:tabs>
        <w:spacing w:after="180"/>
        <w:ind w:left="400" w:hanging="400"/>
      </w:pPr>
      <w:r>
        <w:tab/>
        <w:t>25)</w:t>
      </w:r>
      <w:r>
        <w:tab/>
        <w:t>„samstæða verðbréfafyrirtækis“: fyrirtækjasamstæða sem samanstendur af móðurfélagi og dótturfélögum þess eða fyrirtækjum sem uppfylla skilyrðin í 22. gr. tilskipunar Evrópuþingsins og ráðsins 2013/34/ESB (</w:t>
      </w:r>
      <w:bookmarkStart w:id="19" w:name="NOTE_20"/>
      <w:r>
        <w:rPr>
          <w:rStyle w:val="FootnoteReference"/>
          <w:sz w:val="18"/>
        </w:rPr>
        <w:footnoteReference w:id="21"/>
      </w:r>
      <w:bookmarkEnd w:id="19"/>
      <w:r>
        <w:t>) þar sem a.m.k. eitt er verðbréfafyrirtæki og ekkert er lánastofnun,</w:t>
      </w:r>
    </w:p>
    <w:p w14:paraId="03C98826" w14:textId="77777777" w:rsidR="001D6FFE" w:rsidRDefault="00E40155">
      <w:pPr>
        <w:pStyle w:val="NumberedText"/>
        <w:tabs>
          <w:tab w:val="right" w:pos="239"/>
        </w:tabs>
        <w:spacing w:after="180"/>
        <w:ind w:left="400" w:hanging="400"/>
      </w:pPr>
      <w:r>
        <w:tab/>
        <w:t>26)</w:t>
      </w:r>
      <w:r>
        <w:tab/>
      </w:r>
      <w:r>
        <w:t>„K-þættir“: kröfur um eiginfjárgrunn sem settar eru fram í II. bálki þriðja hluta vegna áhættu sem verðbréfafyrirtæki veldur viðskiptavinum, mörkuðum og sjálfu sér,</w:t>
      </w:r>
    </w:p>
    <w:p w14:paraId="6578D66B" w14:textId="77777777" w:rsidR="001D6FFE" w:rsidRDefault="00E40155">
      <w:pPr>
        <w:pStyle w:val="NumberedText"/>
        <w:tabs>
          <w:tab w:val="right" w:pos="239"/>
        </w:tabs>
        <w:spacing w:after="180"/>
        <w:ind w:left="400" w:hanging="400"/>
      </w:pPr>
      <w:r>
        <w:tab/>
        <w:t>27)</w:t>
      </w:r>
      <w:r>
        <w:tab/>
        <w:t xml:space="preserve">„eignir í stýringu (e. </w:t>
      </w:r>
      <w:r>
        <w:rPr>
          <w:i/>
          <w:iCs/>
        </w:rPr>
        <w:t>assets under management</w:t>
      </w:r>
      <w:r>
        <w:t>)“ eða „AUM“: virði eigna sem verðbréfafyrirtæki stýrir fyrir viðskiptavini sína samkvæmt bæði stýringu eignasafns og ráðgefandi fyrirkomulagi sem felur í sér viðvarandi fjárfestingarráðgjöf,</w:t>
      </w:r>
    </w:p>
    <w:p w14:paraId="67C6C50C" w14:textId="77777777" w:rsidR="001D6FFE" w:rsidRDefault="00E40155">
      <w:pPr>
        <w:pStyle w:val="NumberedText"/>
        <w:tabs>
          <w:tab w:val="right" w:pos="239"/>
        </w:tabs>
        <w:spacing w:after="180"/>
        <w:ind w:left="400" w:hanging="400"/>
      </w:pPr>
      <w:r>
        <w:tab/>
        <w:t>28)</w:t>
      </w:r>
      <w:r>
        <w:tab/>
        <w:t xml:space="preserve">„varðveitt fé viðskiptavina (e. </w:t>
      </w:r>
      <w:r>
        <w:rPr>
          <w:i/>
          <w:iCs/>
        </w:rPr>
        <w:t>client money held</w:t>
      </w:r>
      <w:r>
        <w:t>)“ eða „CMH“: sú upphæð fjár viðskiptavina sem verðbréfafyrirtæki varðveitir, að teknu tilliti til lagalegs fyrirkomulags í tengslum við aðgreiningu eigna og án tillits til landsbundins reikningsskilafyrirkomulags sem gildir um varðveitt fé viðskiptavina hjá verðbréfafyrirtækinu,</w:t>
      </w:r>
    </w:p>
    <w:p w14:paraId="4F825911" w14:textId="77777777" w:rsidR="001D6FFE" w:rsidRDefault="00E40155">
      <w:pPr>
        <w:pStyle w:val="NumberedText"/>
        <w:tabs>
          <w:tab w:val="right" w:pos="239"/>
        </w:tabs>
        <w:spacing w:after="0"/>
        <w:ind w:left="400" w:hanging="400"/>
      </w:pPr>
      <w:r>
        <w:tab/>
        <w:t>29)</w:t>
      </w:r>
      <w:r>
        <w:tab/>
        <w:t xml:space="preserve">„eignir í varðveislu og umsjón“ (e. </w:t>
      </w:r>
      <w:r>
        <w:rPr>
          <w:i/>
          <w:iCs/>
        </w:rPr>
        <w:t>assets safeguarded and administered</w:t>
      </w:r>
      <w:r>
        <w:t>)“ eða „ASA“: virði eigna sem verðbréfafyrirtæki varðveita og hafa umsjón með fyrir hönd viðskiptavina, án tillits til þess hvort eignirnar komi fram á efnahagsreikningi verðbréfafyrirtækisins sjálfs eða á reikningum þriðju aðila,</w:t>
      </w:r>
      <w:r>
        <w:br w:type="page"/>
      </w:r>
    </w:p>
    <w:p w14:paraId="569FB6BE" w14:textId="77777777" w:rsidR="001D6FFE" w:rsidRDefault="00E40155">
      <w:pPr>
        <w:pStyle w:val="NumberedText"/>
        <w:tabs>
          <w:tab w:val="right" w:pos="239"/>
        </w:tabs>
        <w:ind w:left="400" w:hanging="400"/>
      </w:pPr>
      <w:r>
        <w:tab/>
        <w:t>30)</w:t>
      </w:r>
      <w:r>
        <w:tab/>
        <w:t xml:space="preserve">„meðhöndluð fyrirmæli viðskiptavina (e. </w:t>
      </w:r>
      <w:r>
        <w:rPr>
          <w:i/>
          <w:iCs/>
        </w:rPr>
        <w:t>client orders handled</w:t>
      </w:r>
      <w:r>
        <w:t>)“ eða „COH“: virði fyrirmæla sem verðbréfafyrirtæki meðhöndla fyrir viðskiptavini, með móttöku og sendingu fyrirmæla viðskiptavinar og með framkvæmd fyrirmæla fyrir hönd viðskiptavina,</w:t>
      </w:r>
    </w:p>
    <w:p w14:paraId="4832817F" w14:textId="77777777" w:rsidR="001D6FFE" w:rsidRDefault="00E40155">
      <w:pPr>
        <w:pStyle w:val="NumberedText"/>
        <w:tabs>
          <w:tab w:val="right" w:pos="239"/>
        </w:tabs>
        <w:ind w:left="400" w:hanging="400"/>
      </w:pPr>
      <w:r>
        <w:tab/>
        <w:t>31)</w:t>
      </w:r>
      <w:r>
        <w:tab/>
        <w:t xml:space="preserve">„samþjöppunaráhætta (e. </w:t>
      </w:r>
      <w:r>
        <w:rPr>
          <w:i/>
          <w:iCs/>
        </w:rPr>
        <w:t>concentration risk</w:t>
      </w:r>
      <w:r>
        <w:t>)“ eða „CON“: áhættuskuldbindingar í veltubók verðbréfafyrirtækis vegna viðskiptavinar eða hóps tengdra viðskiptavina sem eru að virði umfram mörkin í 1. mgr. 37. gr.,</w:t>
      </w:r>
    </w:p>
    <w:p w14:paraId="549EC33F" w14:textId="77777777" w:rsidR="001D6FFE" w:rsidRDefault="00E40155">
      <w:pPr>
        <w:pStyle w:val="NumberedText"/>
        <w:tabs>
          <w:tab w:val="right" w:pos="239"/>
        </w:tabs>
        <w:ind w:left="400" w:hanging="400"/>
      </w:pPr>
      <w:r>
        <w:tab/>
        <w:t>32)</w:t>
      </w:r>
      <w:r>
        <w:tab/>
        <w:t xml:space="preserve">„tryggingafjárkrafa stöðustofnunar (e. </w:t>
      </w:r>
      <w:r>
        <w:rPr>
          <w:i/>
          <w:iCs/>
        </w:rPr>
        <w:t>clearing margin given</w:t>
      </w:r>
      <w:r>
        <w:t>)“ eða „CMG“: fjárhæð heildartryggingafjár sem stöðustofnunaraðili eða fullgildur miðlægur mótaðili krefst, ef framkvæmd og uppgjör viðskipta sem verðbréfafyrirtæki á fyrir eigin reikning eru gerð á ábyrgð stöðustofnunaraðila eða fullgilds miðlægs mótaðila,</w:t>
      </w:r>
    </w:p>
    <w:p w14:paraId="69B5271E" w14:textId="77777777" w:rsidR="001D6FFE" w:rsidRDefault="00E40155">
      <w:pPr>
        <w:pStyle w:val="NumberedText"/>
        <w:tabs>
          <w:tab w:val="right" w:pos="239"/>
        </w:tabs>
        <w:ind w:left="400" w:hanging="400"/>
      </w:pPr>
      <w:r>
        <w:tab/>
        <w:t>33)</w:t>
      </w:r>
      <w:r>
        <w:tab/>
        <w:t xml:space="preserve">„daglegt viðskiptaflæði (e. </w:t>
      </w:r>
      <w:r>
        <w:rPr>
          <w:i/>
          <w:iCs/>
        </w:rPr>
        <w:t>daily trading flow</w:t>
      </w:r>
      <w:r>
        <w:t>)“ eða „DTF“: daglegt virði viðskipta sem verðbréfafyrirtæki á fyrir eigin reikning eða framkvæmdar fyrirmæla fyrir hönd viðskiptavina í eigin nafni, að undanskildu virði fyrirmæla sem verðbréfafyrirtæki meðhöndlar fyrir viðskiptavini með móttöku og sendingu fyrirmæla viðskiptavina og með framkvæmd fyrirmæla fyrir hönd viðskiptavina sem þegar er tekið tillit til í meðhöndluðum fyrirmælum viðskiptavina,</w:t>
      </w:r>
    </w:p>
    <w:p w14:paraId="65AAA4EE" w14:textId="77777777" w:rsidR="001D6FFE" w:rsidRDefault="00E40155">
      <w:pPr>
        <w:pStyle w:val="NumberedText"/>
        <w:tabs>
          <w:tab w:val="right" w:pos="239"/>
        </w:tabs>
        <w:ind w:left="400" w:hanging="400"/>
      </w:pPr>
      <w:r>
        <w:tab/>
        <w:t>34)</w:t>
      </w:r>
      <w:r>
        <w:tab/>
        <w:t xml:space="preserve">„hrein stöðuáhætta (e. </w:t>
      </w:r>
      <w:r>
        <w:rPr>
          <w:i/>
          <w:iCs/>
        </w:rPr>
        <w:t>net position risk</w:t>
      </w:r>
      <w:r>
        <w:t>)“ eða „NPR“: virði viðskipta sem skráð eru í veltubók verðbréfafyrirtækis,</w:t>
      </w:r>
    </w:p>
    <w:p w14:paraId="5E86220A" w14:textId="77777777" w:rsidR="001D6FFE" w:rsidRDefault="00E40155">
      <w:pPr>
        <w:pStyle w:val="NumberedText"/>
        <w:tabs>
          <w:tab w:val="right" w:pos="239"/>
        </w:tabs>
        <w:ind w:left="400" w:hanging="400"/>
      </w:pPr>
      <w:r>
        <w:tab/>
        <w:t>35)</w:t>
      </w:r>
      <w:r>
        <w:tab/>
        <w:t xml:space="preserve">„vanskil mótaðila í viðskiptum (e. </w:t>
      </w:r>
      <w:r>
        <w:rPr>
          <w:i/>
          <w:iCs/>
        </w:rPr>
        <w:t>trading counterparty default</w:t>
      </w:r>
      <w:r>
        <w:t>)“ eða „TCD“: áhættuskuldbindingar í veltubók verðbréfafyrirtækis í gerningum og viðskiptum sem um getur í 25. gr. sem valda áhættu á vanskilum mótaðila í viðskiptum,</w:t>
      </w:r>
    </w:p>
    <w:p w14:paraId="5AD4C2D5" w14:textId="77777777" w:rsidR="001D6FFE" w:rsidRDefault="00E40155">
      <w:pPr>
        <w:pStyle w:val="NumberedText"/>
        <w:tabs>
          <w:tab w:val="right" w:pos="239"/>
        </w:tabs>
        <w:ind w:left="400" w:hanging="400"/>
      </w:pPr>
      <w:r>
        <w:tab/>
        <w:t>36)</w:t>
      </w:r>
      <w:r>
        <w:tab/>
        <w:t xml:space="preserve">„gildandi markaðsvirði“ (e. </w:t>
      </w:r>
      <w:r>
        <w:rPr>
          <w:i/>
          <w:iCs/>
        </w:rPr>
        <w:t>current market value</w:t>
      </w:r>
      <w:r>
        <w:t xml:space="preserve">)“ eða „CMV“: hreint markaðsvirði á safni viðskipta eða verðbréfaleggjum (e. </w:t>
      </w:r>
      <w:r>
        <w:rPr>
          <w:i/>
          <w:iCs/>
        </w:rPr>
        <w:t>securities legs</w:t>
      </w:r>
      <w:r>
        <w:t>) sem falla undir skuldajöfnun í samræmi við 31. gr., ef bæði jákvætt og neikvætt markaðsvirði er notað í útreikningum á CMV,</w:t>
      </w:r>
    </w:p>
    <w:p w14:paraId="2F43401E" w14:textId="77777777" w:rsidR="001D6FFE" w:rsidRDefault="00E40155">
      <w:pPr>
        <w:pStyle w:val="NumberedText"/>
        <w:tabs>
          <w:tab w:val="right" w:pos="239"/>
        </w:tabs>
        <w:ind w:left="400" w:hanging="400"/>
      </w:pPr>
      <w:r>
        <w:tab/>
        <w:t>37)</w:t>
      </w:r>
      <w:r>
        <w:tab/>
        <w:t>„gnóttsamningar“: gnóttsamningar eins og skilgreindir eru í 2. lið 272. gr. reglugerðar (ESB) nr. 575/2013,</w:t>
      </w:r>
    </w:p>
    <w:p w14:paraId="41FF9777" w14:textId="77777777" w:rsidR="001D6FFE" w:rsidRDefault="00E40155">
      <w:pPr>
        <w:pStyle w:val="NumberedText"/>
        <w:tabs>
          <w:tab w:val="right" w:pos="239"/>
        </w:tabs>
        <w:ind w:left="400" w:hanging="400"/>
      </w:pPr>
      <w:r>
        <w:tab/>
        <w:t>38)</w:t>
      </w:r>
      <w:r>
        <w:tab/>
        <w:t xml:space="preserve">„viðbótarlánveiting vegna kaupa/sölu verðbréfa (e. </w:t>
      </w:r>
      <w:r>
        <w:rPr>
          <w:i/>
          <w:iCs/>
        </w:rPr>
        <w:t>margin lending transaction</w:t>
      </w:r>
      <w:r>
        <w:t>)“: viðbótarlánveiting vegna kaupa/sölu verðbréfa eins og skilgreint er í 10. lið 3. gr. reglugerðar Evrópuþingsins og ráðsins (ESB) 2015/2365 (</w:t>
      </w:r>
      <w:bookmarkStart w:id="20" w:name="NOTE_21"/>
      <w:r>
        <w:rPr>
          <w:rStyle w:val="FootnoteReference"/>
          <w:sz w:val="18"/>
        </w:rPr>
        <w:footnoteReference w:id="22"/>
      </w:r>
      <w:bookmarkEnd w:id="20"/>
      <w:r>
        <w:t>),</w:t>
      </w:r>
    </w:p>
    <w:p w14:paraId="05627E89" w14:textId="77777777" w:rsidR="001D6FFE" w:rsidRDefault="00E40155">
      <w:pPr>
        <w:pStyle w:val="NumberedText"/>
        <w:tabs>
          <w:tab w:val="right" w:pos="239"/>
        </w:tabs>
        <w:ind w:left="400" w:hanging="400"/>
      </w:pPr>
      <w:r>
        <w:tab/>
        <w:t>39)</w:t>
      </w:r>
      <w:r>
        <w:tab/>
        <w:t>„stjórn og/eða framkvæmdastjórn“: stjórn og/eða framkvæmdastjórn samkvæmt skilgreiningu í 36. lið 1. mgr. 4. gr. tilskipunar 2014/65/ESB,</w:t>
      </w:r>
    </w:p>
    <w:p w14:paraId="2E9CFA21" w14:textId="77777777" w:rsidR="001D6FFE" w:rsidRDefault="00E40155">
      <w:pPr>
        <w:pStyle w:val="NumberedText"/>
        <w:tabs>
          <w:tab w:val="right" w:pos="239"/>
        </w:tabs>
        <w:ind w:left="400" w:hanging="400"/>
      </w:pPr>
      <w:r>
        <w:tab/>
        <w:t>40)</w:t>
      </w:r>
      <w:r>
        <w:tab/>
        <w:t>„blandað eignarhaldsfélag í fjármálastarfsemi“: blandað eignarhaldsfélag í fjármálastarfsemi eins og það er skilgreint í 15. lið 2. gr. tilskipunar Evrópuþingsins og ráðsins 2002/87/EB (</w:t>
      </w:r>
      <w:bookmarkStart w:id="21" w:name="NOTE_22"/>
      <w:r>
        <w:rPr>
          <w:rStyle w:val="FootnoteReference"/>
          <w:sz w:val="18"/>
        </w:rPr>
        <w:footnoteReference w:id="23"/>
      </w:r>
      <w:bookmarkEnd w:id="21"/>
      <w:r>
        <w:t>),</w:t>
      </w:r>
    </w:p>
    <w:p w14:paraId="57348BD8" w14:textId="77777777" w:rsidR="001D6FFE" w:rsidRDefault="00E40155">
      <w:pPr>
        <w:pStyle w:val="NumberedText"/>
        <w:tabs>
          <w:tab w:val="right" w:pos="239"/>
        </w:tabs>
        <w:ind w:left="400" w:hanging="400"/>
      </w:pPr>
      <w:r>
        <w:tab/>
        <w:t>41)</w:t>
      </w:r>
      <w:r>
        <w:tab/>
        <w:t>„liður utan efnahagsreiknings“: einhver af þeim liðum sem um getur í I. viðauka við reglugerð (ESB) nr. 575/2013,</w:t>
      </w:r>
    </w:p>
    <w:p w14:paraId="15E5BEBB" w14:textId="77777777" w:rsidR="001D6FFE" w:rsidRDefault="00E40155">
      <w:pPr>
        <w:pStyle w:val="NumberedText"/>
        <w:tabs>
          <w:tab w:val="right" w:pos="239"/>
        </w:tabs>
        <w:ind w:left="400" w:hanging="400"/>
      </w:pPr>
      <w:r>
        <w:tab/>
        <w:t>42)</w:t>
      </w:r>
      <w:r>
        <w:tab/>
      </w:r>
      <w:r>
        <w:t>„móðurfélag“: móðurfélag í skilningi 9. liðar 2. gr. og 22. gr. tilskipunar 2013/34/ESB,</w:t>
      </w:r>
    </w:p>
    <w:p w14:paraId="29D2B692" w14:textId="77777777" w:rsidR="001D6FFE" w:rsidRDefault="00E40155">
      <w:pPr>
        <w:pStyle w:val="NumberedText"/>
        <w:tabs>
          <w:tab w:val="right" w:pos="239"/>
        </w:tabs>
        <w:ind w:left="400" w:hanging="400"/>
      </w:pPr>
      <w:r>
        <w:tab/>
        <w:t>43)</w:t>
      </w:r>
      <w:r>
        <w:tab/>
        <w:t>„hlutdeild“: hlutdeild eins og hún er skilgreind í 35. lið 1. mgr. 4. gr. reglugerðar (ESB) nr. 575/2013,</w:t>
      </w:r>
    </w:p>
    <w:p w14:paraId="13B2C014" w14:textId="77777777" w:rsidR="001D6FFE" w:rsidRDefault="00E40155">
      <w:pPr>
        <w:pStyle w:val="NumberedText"/>
        <w:tabs>
          <w:tab w:val="right" w:pos="239"/>
        </w:tabs>
        <w:ind w:left="400" w:hanging="400"/>
      </w:pPr>
      <w:r>
        <w:tab/>
        <w:t>44)</w:t>
      </w:r>
      <w:r>
        <w:tab/>
        <w:t>„hagnaður“: hagnaður eins og hann er skilgreindur í 121. lið 1. mgr. 4. gr. reglugerðar (ESB) nr. 575/2013,</w:t>
      </w:r>
    </w:p>
    <w:p w14:paraId="4B7F8C37" w14:textId="77777777" w:rsidR="001D6FFE" w:rsidRDefault="00E40155">
      <w:pPr>
        <w:pStyle w:val="NumberedText"/>
        <w:tabs>
          <w:tab w:val="right" w:pos="239"/>
        </w:tabs>
        <w:ind w:left="400" w:hanging="400"/>
      </w:pPr>
      <w:r>
        <w:tab/>
        <w:t>45)</w:t>
      </w:r>
      <w:r>
        <w:tab/>
        <w:t xml:space="preserve">„fullgildur, miðlægur mótaðili (e. </w:t>
      </w:r>
      <w:r>
        <w:rPr>
          <w:i/>
          <w:iCs/>
        </w:rPr>
        <w:t>qualifying central counterparty, QCCP</w:t>
      </w:r>
      <w:r>
        <w:t>)“: fullgildur, miðlægur mótaðili eins og hann er skilgreindur í 88. lið 1. mgr. 4. gr. reglugerðar (ESB) nr. 575/2013,</w:t>
      </w:r>
    </w:p>
    <w:p w14:paraId="773308B9" w14:textId="77777777" w:rsidR="001D6FFE" w:rsidRDefault="00E40155">
      <w:pPr>
        <w:pStyle w:val="NumberedText"/>
        <w:tabs>
          <w:tab w:val="right" w:pos="239"/>
        </w:tabs>
        <w:ind w:left="400" w:hanging="400"/>
      </w:pPr>
      <w:r>
        <w:tab/>
        <w:t>46)</w:t>
      </w:r>
      <w:r>
        <w:tab/>
        <w:t>„stýring eignasafns“: stýring eignasafns eins og hún er skilgreind í 8. lið 1. mgr. 4. gr. tilskipunar 2014/65/ESB,</w:t>
      </w:r>
    </w:p>
    <w:p w14:paraId="7BE28CE0" w14:textId="77777777" w:rsidR="001D6FFE" w:rsidRDefault="00E40155">
      <w:pPr>
        <w:pStyle w:val="NumberedText"/>
        <w:tabs>
          <w:tab w:val="right" w:pos="239"/>
        </w:tabs>
        <w:spacing w:after="0"/>
        <w:ind w:left="400" w:hanging="400"/>
      </w:pPr>
      <w:r>
        <w:tab/>
        <w:t>47)</w:t>
      </w:r>
      <w:r>
        <w:tab/>
      </w:r>
      <w:r>
        <w:t>„virkur eignarhlutur“: virkur eignarhlutur eins og hann er skilgreindur í 36. lið 1. mgr. 4. gr. reglugerðar (ESB) nr. 575/2013,</w:t>
      </w:r>
      <w:r>
        <w:br w:type="page"/>
      </w:r>
    </w:p>
    <w:p w14:paraId="3D436E54" w14:textId="77777777" w:rsidR="001D6FFE" w:rsidRDefault="00E40155">
      <w:pPr>
        <w:pStyle w:val="NumberedText"/>
        <w:tabs>
          <w:tab w:val="right" w:pos="239"/>
        </w:tabs>
        <w:ind w:left="400" w:hanging="400"/>
      </w:pPr>
      <w:r>
        <w:tab/>
        <w:t>48)</w:t>
      </w:r>
      <w:r>
        <w:tab/>
        <w:t>„fjármögnunarviðskipti með verðbréf“: fjármögnunarviðskipti með verðbréf eins og þau eru skilgreind í 11. lið 3. gr. reglugerðar (ESB) nr. 2015/2365,</w:t>
      </w:r>
    </w:p>
    <w:p w14:paraId="5EEC5738" w14:textId="77777777" w:rsidR="001D6FFE" w:rsidRDefault="00E40155">
      <w:pPr>
        <w:pStyle w:val="NumberedText"/>
        <w:tabs>
          <w:tab w:val="right" w:pos="239"/>
        </w:tabs>
        <w:ind w:left="400" w:hanging="400"/>
      </w:pPr>
      <w:r>
        <w:tab/>
        <w:t>49)</w:t>
      </w:r>
      <w:r>
        <w:tab/>
        <w:t>„aðskildir reikningar“, að því er varðar töflu 1 í 2. mgr. 15. gr.: reikningar hjá aðilum þar sem varðveitt fé viðskiptavina hjá verðbréfafyrirtækinu er lagt inn í samræmi við 4. gr. framseldrar tilskipunar framkvæmdastjórnarinnar (ESB) 2017/593 (</w:t>
      </w:r>
      <w:bookmarkStart w:id="22" w:name="NOTE_23"/>
      <w:r>
        <w:rPr>
          <w:rStyle w:val="FootnoteReference"/>
          <w:sz w:val="18"/>
        </w:rPr>
        <w:footnoteReference w:id="24"/>
      </w:r>
      <w:bookmarkEnd w:id="22"/>
      <w:r>
        <w:t>) og, eftir atvikum, ef landslög kveða á um, komi til ógjaldfærni eða skila- eða ógjaldfærnimeðferðar verðbréfafyrirtækisins, að ekki sé hægt að nota fé viðskiptavinar til að uppfylla aðrar kröfur í tengslum við verðbréfafyrirtækið en kröfur viðskiptavinarins,</w:t>
      </w:r>
    </w:p>
    <w:p w14:paraId="2BDADCDB" w14:textId="77777777" w:rsidR="001D6FFE" w:rsidRDefault="00E40155">
      <w:pPr>
        <w:pStyle w:val="NumberedText"/>
        <w:tabs>
          <w:tab w:val="right" w:pos="239"/>
        </w:tabs>
        <w:ind w:left="400" w:hanging="400"/>
      </w:pPr>
      <w:r>
        <w:tab/>
        <w:t>50)</w:t>
      </w:r>
      <w:r>
        <w:tab/>
        <w:t>„endurhverf viðskipti“: endurhverf viðskipti eins og þau eru skilgreind í 9. lið 3. mgr. reglugerðar (ESB) 2015/2365,</w:t>
      </w:r>
    </w:p>
    <w:p w14:paraId="06578B6A" w14:textId="77777777" w:rsidR="001D6FFE" w:rsidRDefault="00E40155">
      <w:pPr>
        <w:pStyle w:val="NumberedText"/>
        <w:tabs>
          <w:tab w:val="right" w:pos="239"/>
        </w:tabs>
        <w:ind w:left="400" w:hanging="400"/>
      </w:pPr>
      <w:r>
        <w:tab/>
        <w:t>51)</w:t>
      </w:r>
      <w:r>
        <w:tab/>
        <w:t>„dótturfélag“: dótturfélag eins og það er skilgreint í 10. lið 2. gr. og í skilningi 22. gr. tilskipunar 2013/34/ESB, þ.m.t. sérhvert dótturfélag dótturfélags endanlegs móðurfélags,</w:t>
      </w:r>
    </w:p>
    <w:p w14:paraId="678C0A6B" w14:textId="77777777" w:rsidR="001D6FFE" w:rsidRDefault="00E40155">
      <w:pPr>
        <w:pStyle w:val="NumberedText"/>
        <w:tabs>
          <w:tab w:val="right" w:pos="239"/>
        </w:tabs>
        <w:ind w:left="400" w:hanging="400"/>
      </w:pPr>
      <w:r>
        <w:tab/>
        <w:t>52)</w:t>
      </w:r>
      <w:r>
        <w:tab/>
        <w:t>„einkaumboðsmaður“: einkaumboðsmaður eins og hann er skilgreindur í 29. lið 1. mgr. 4. gr. tilskipunar 2014/65/ESB,</w:t>
      </w:r>
    </w:p>
    <w:p w14:paraId="02788B75" w14:textId="77777777" w:rsidR="001D6FFE" w:rsidRDefault="00E40155">
      <w:pPr>
        <w:pStyle w:val="NumberedText"/>
        <w:tabs>
          <w:tab w:val="right" w:pos="239"/>
        </w:tabs>
        <w:ind w:left="400" w:hanging="400"/>
      </w:pPr>
      <w:r>
        <w:tab/>
        <w:t>53)</w:t>
      </w:r>
      <w:r>
        <w:tab/>
        <w:t>„vergar heildartekjur“: árlegar rekstrartekjur verðbréfafyrirtækis, í tengslum við þá fjárfestingarþjónustu og -starfsemi verðbréfafyrirtækisins sem það hefur starfsleyfi til að stunda, þ.m.t. vaxtatekjur, tekjur af hlutabréfum og öðrum verðbréfum hvort sem um fasta eða breytilega ávöxtun er að ræða, af umboðslaunum og þóknunum, hvers konar ágóða og tapi verðbréfafyrirtækisins af viðskiptalegum eignum, eignum sem haldið er á gangvirði eða af áhættuvarnaraðgerðum, en að undanskildum öllum tekjum sem ekki te</w:t>
      </w:r>
      <w:r>
        <w:t>ngjast fjárfestingarþjónustu og -starfsemi sem stunduð er.</w:t>
      </w:r>
    </w:p>
    <w:p w14:paraId="658AC026" w14:textId="77777777" w:rsidR="001D6FFE" w:rsidRDefault="00E40155">
      <w:pPr>
        <w:pStyle w:val="NumberedText"/>
        <w:tabs>
          <w:tab w:val="right" w:pos="239"/>
        </w:tabs>
        <w:ind w:left="400" w:hanging="400"/>
      </w:pPr>
      <w:r>
        <w:tab/>
        <w:t>54)</w:t>
      </w:r>
      <w:r>
        <w:tab/>
        <w:t>„veltubók“: allar stöður í fjármálagerningum og hrávörum sem verðbréfafyrirtæki heldur, annaðhvort til veltuviðskipta eða til að verja stöður sem eru ætlaðar til veltuviðskipta,</w:t>
      </w:r>
    </w:p>
    <w:p w14:paraId="16FA57F0" w14:textId="77777777" w:rsidR="001D6FFE" w:rsidRDefault="00E40155">
      <w:pPr>
        <w:pStyle w:val="NumberedText"/>
        <w:tabs>
          <w:tab w:val="right" w:pos="239"/>
        </w:tabs>
        <w:ind w:left="400" w:hanging="400"/>
      </w:pPr>
      <w:r>
        <w:tab/>
        <w:t>55)</w:t>
      </w:r>
      <w:r>
        <w:tab/>
        <w:t>„stöður sem eru ætlaðar til veltuviðskipta“: eitthvert eftirfarandi:</w:t>
      </w:r>
    </w:p>
    <w:p w14:paraId="1D0C4C69" w14:textId="77777777" w:rsidR="001D6FFE" w:rsidRDefault="00E40155">
      <w:pPr>
        <w:pStyle w:val="NumberedText"/>
        <w:ind w:left="700" w:hanging="300"/>
      </w:pPr>
      <w:r>
        <w:t>a)</w:t>
      </w:r>
      <w:r>
        <w:tab/>
        <w:t>stöður fyrir eigin reikning og stöður sem tengjast umsýslu fyrir viðskiptavin og viðskiptavakt,</w:t>
      </w:r>
    </w:p>
    <w:p w14:paraId="7BDC10C9" w14:textId="77777777" w:rsidR="001D6FFE" w:rsidRDefault="00E40155">
      <w:pPr>
        <w:pStyle w:val="NumberedText"/>
        <w:ind w:left="700" w:hanging="300"/>
      </w:pPr>
      <w:r>
        <w:t>b)</w:t>
      </w:r>
      <w:r>
        <w:tab/>
        <w:t>stöður sem ætlunin er að selja aftur innan skamms tíma,</w:t>
      </w:r>
    </w:p>
    <w:p w14:paraId="447CFB83" w14:textId="77777777" w:rsidR="001D6FFE" w:rsidRDefault="00E40155">
      <w:pPr>
        <w:pStyle w:val="NumberedText"/>
        <w:ind w:left="700" w:hanging="300"/>
      </w:pPr>
      <w:r>
        <w:t>c)</w:t>
      </w:r>
      <w:r>
        <w:tab/>
        <w:t>stöður sem búist er við að hækki að verðmæti vegna raunverulegs eða vænst skammtímamismunar á milli kaup- og söluverðs eða vegna annarra verð- eða vaxtabreytinga,</w:t>
      </w:r>
    </w:p>
    <w:p w14:paraId="09C99A3F" w14:textId="77777777" w:rsidR="001D6FFE" w:rsidRDefault="00E40155">
      <w:pPr>
        <w:pStyle w:val="NumberedText"/>
        <w:tabs>
          <w:tab w:val="right" w:pos="239"/>
        </w:tabs>
        <w:ind w:left="400" w:hanging="400"/>
      </w:pPr>
      <w:r>
        <w:tab/>
        <w:t>56)</w:t>
      </w:r>
      <w:r>
        <w:tab/>
        <w:t>„móðurverðbréfafyrirtæki í Sambandinu“: verðbréfafyrirtæki í aðildarríki sem er hluti af samstæðu verðbréfafyrirtækis og á verðbréfafyrirtæki eða fjármálastofnun að dótturfélagi eða á hlutdeild í slíku verðbréfafyrirtæki eða fjármálastofnun og sem ekki er sjálft dótturfélag annars verðbréfafyrirtækis með starfsleyfi í einhverju aðildarríki eða eignarhaldsfélags á verðbréfasviði eða blandaðs eignarhaldsfélags í fjármálastarfsemi sem komið er á fót í einhverju aðildarríki,</w:t>
      </w:r>
    </w:p>
    <w:p w14:paraId="162F2B92" w14:textId="77777777" w:rsidR="001D6FFE" w:rsidRDefault="00E40155">
      <w:pPr>
        <w:pStyle w:val="NumberedText"/>
        <w:tabs>
          <w:tab w:val="right" w:pos="239"/>
        </w:tabs>
        <w:ind w:left="400" w:hanging="400"/>
      </w:pPr>
      <w:r>
        <w:tab/>
        <w:t>57)</w:t>
      </w:r>
      <w:r>
        <w:tab/>
        <w:t>„móðureignarhaldsfélag á verðbréfasviði í Sambandinu“: eignarhaldsfélag á verðbréfasviði í aðildarríki sem er hluti af samstæðu verðbréfafyrirtækis og er ekki sjálft dótturfélag verðbréfafyrirtækis með starfsleyfi í einhverju aðildarríki eða annars eignarhaldsfélags á verðbréfasviði í einhverju aðildarríki,</w:t>
      </w:r>
    </w:p>
    <w:p w14:paraId="2AA73ADC" w14:textId="77777777" w:rsidR="001D6FFE" w:rsidRDefault="00E40155">
      <w:pPr>
        <w:pStyle w:val="NumberedText"/>
        <w:tabs>
          <w:tab w:val="right" w:pos="239"/>
        </w:tabs>
        <w:ind w:left="400" w:hanging="400"/>
      </w:pPr>
      <w:r>
        <w:tab/>
        <w:t>58)</w:t>
      </w:r>
      <w:r>
        <w:tab/>
        <w:t>„blandað móðureignarhaldsfélag í fjármálastarfsemi í Sambandinu“: móðurfélag samstæðu verðbréfafyrirtækis sem er blandað móðureignarhaldsfélag í fjármálastarfsemi eins og skilgreint er í 15. lið 2. gr. tilskipunar 2002/87/EB.</w:t>
      </w:r>
    </w:p>
    <w:p w14:paraId="6C89D3F3" w14:textId="77777777" w:rsidR="001D6FFE" w:rsidRDefault="00E40155">
      <w:pPr>
        <w:pStyle w:val="AlineaWithParag"/>
      </w:pPr>
      <w:r>
        <w:t>2.</w:t>
      </w:r>
      <w:r>
        <w:tab/>
        <w:t>Framkvæmdastjórninni er falið vald til að samþykkja framseldar gerðir, í samræmi við 56. gr. í því skyni að bæta við þessa reglugerð með nánari útskýringu á skilgreiningunum sem settar eru fram í 1. mgr. til að:</w:t>
      </w:r>
    </w:p>
    <w:p w14:paraId="7E94FCCC" w14:textId="77777777" w:rsidR="001D6FFE" w:rsidRDefault="00E40155">
      <w:pPr>
        <w:pStyle w:val="NumberedText"/>
        <w:ind w:left="300" w:hanging="300"/>
      </w:pPr>
      <w:r>
        <w:t>a)</w:t>
      </w:r>
      <w:r>
        <w:tab/>
        <w:t>tryggja samræmda beitingu þessarar reglugerðar,</w:t>
      </w:r>
    </w:p>
    <w:p w14:paraId="34B31120" w14:textId="77777777" w:rsidR="001D6FFE" w:rsidRDefault="00E40155">
      <w:pPr>
        <w:pStyle w:val="NumberedText"/>
        <w:spacing w:after="0"/>
        <w:ind w:left="300" w:hanging="300"/>
      </w:pPr>
      <w:r>
        <w:t>b)</w:t>
      </w:r>
      <w:r>
        <w:tab/>
        <w:t>taka tillit til þróunar á fjármálamörkuðum við beitingu þessarar reglugerðar.</w:t>
      </w:r>
      <w:r>
        <w:br w:type="page"/>
      </w:r>
    </w:p>
    <w:p w14:paraId="54A4CB92" w14:textId="77777777" w:rsidR="001D6FFE" w:rsidRDefault="00E40155">
      <w:pPr>
        <w:pStyle w:val="DivisionTI2"/>
        <w:spacing w:after="120" w:line="200" w:lineRule="exact"/>
        <w:rPr>
          <w:sz w:val="16"/>
          <w:szCs w:val="16"/>
        </w:rPr>
      </w:pPr>
      <w:r>
        <w:rPr>
          <w:sz w:val="16"/>
        </w:rPr>
        <w:t>II. BÁLKUR</w:t>
      </w:r>
    </w:p>
    <w:p w14:paraId="51227CCD" w14:textId="77777777" w:rsidR="001D6FFE" w:rsidRDefault="00E40155">
      <w:pPr>
        <w:pStyle w:val="DivisionSTI2"/>
        <w:spacing w:line="200" w:lineRule="exact"/>
        <w:rPr>
          <w:sz w:val="16"/>
          <w:szCs w:val="16"/>
        </w:rPr>
      </w:pPr>
      <w:r>
        <w:rPr>
          <w:b/>
          <w:sz w:val="16"/>
        </w:rPr>
        <w:t>BEITINGARSTIG KRAFNA</w:t>
      </w:r>
    </w:p>
    <w:p w14:paraId="331A995E" w14:textId="77777777" w:rsidR="001D6FFE" w:rsidRDefault="00E40155">
      <w:pPr>
        <w:pStyle w:val="DivisionTI3"/>
        <w:spacing w:after="120" w:line="200" w:lineRule="exact"/>
        <w:jc w:val="center"/>
        <w:rPr>
          <w:sz w:val="16"/>
        </w:rPr>
      </w:pPr>
      <w:r>
        <w:rPr>
          <w:i/>
          <w:sz w:val="16"/>
        </w:rPr>
        <w:t>1. KAFLI</w:t>
      </w:r>
    </w:p>
    <w:p w14:paraId="1E7A7D46" w14:textId="77777777" w:rsidR="001D6FFE" w:rsidRDefault="00E40155">
      <w:pPr>
        <w:pStyle w:val="DivisionSTI3"/>
        <w:jc w:val="center"/>
      </w:pPr>
      <w:r>
        <w:rPr>
          <w:b/>
          <w:i/>
        </w:rPr>
        <w:t>Beiting krafna á einingargrunni</w:t>
      </w:r>
    </w:p>
    <w:p w14:paraId="5C249CE7" w14:textId="77777777" w:rsidR="001D6FFE" w:rsidRDefault="00E40155">
      <w:pPr>
        <w:pStyle w:val="TIART"/>
        <w:spacing w:after="120"/>
      </w:pPr>
      <w:r>
        <w:t>5. gr.</w:t>
      </w:r>
    </w:p>
    <w:p w14:paraId="03A425C9" w14:textId="77777777" w:rsidR="001D6FFE" w:rsidRDefault="00E40155">
      <w:pPr>
        <w:pStyle w:val="STIART"/>
      </w:pPr>
      <w:r>
        <w:t>Almenn meginregla</w:t>
      </w:r>
    </w:p>
    <w:p w14:paraId="4B4A37A8" w14:textId="77777777" w:rsidR="001D6FFE" w:rsidRDefault="00E40155">
      <w:pPr>
        <w:pStyle w:val="Alinea"/>
      </w:pPr>
      <w:r>
        <w:t>Verðbréfafyrirtæki skulu uppfylla kröfurnar sem mælt er fyrir um í öðrum til sjöunda hluta á einingargrunni.</w:t>
      </w:r>
    </w:p>
    <w:p w14:paraId="7946053D" w14:textId="77777777" w:rsidR="001D6FFE" w:rsidRDefault="00E40155">
      <w:pPr>
        <w:pStyle w:val="TIART"/>
        <w:spacing w:after="120"/>
      </w:pPr>
      <w:r>
        <w:t>6. gr.</w:t>
      </w:r>
    </w:p>
    <w:p w14:paraId="0E43F3DE" w14:textId="77777777" w:rsidR="001D6FFE" w:rsidRDefault="00E40155">
      <w:pPr>
        <w:pStyle w:val="STIART"/>
      </w:pPr>
      <w:r>
        <w:t>Undanþágur</w:t>
      </w:r>
    </w:p>
    <w:p w14:paraId="5FEF451E" w14:textId="77777777" w:rsidR="001D6FFE" w:rsidRDefault="00E40155">
      <w:pPr>
        <w:pStyle w:val="AlineaWithParag"/>
      </w:pPr>
      <w:r>
        <w:t>1.</w:t>
      </w:r>
      <w:r>
        <w:tab/>
        <w:t>Lögbær yfirvöld geta undanþegið verðbréfafyrirtæki frá beitingu 5. gr. að því er varðar annan, þriðja, fjórða, sjötta og sjöunda hluta ef öll eftirfarandi skilyrði eiga við:</w:t>
      </w:r>
    </w:p>
    <w:p w14:paraId="793B75F3" w14:textId="77777777" w:rsidR="001D6FFE" w:rsidRDefault="00E40155">
      <w:pPr>
        <w:pStyle w:val="NumberedText"/>
        <w:ind w:left="300" w:hanging="300"/>
      </w:pPr>
      <w:r>
        <w:t>a)</w:t>
      </w:r>
      <w:r>
        <w:tab/>
        <w:t>verðbréfafyrirtækið uppfyllir skilyrðin til að flokkast sem lítið og ótengt verðbréfafyrirtæki eins og sett er fram í 1. mgr. 12. gr.,</w:t>
      </w:r>
    </w:p>
    <w:p w14:paraId="7928D440" w14:textId="77777777" w:rsidR="001D6FFE" w:rsidRDefault="00E40155">
      <w:pPr>
        <w:pStyle w:val="NumberedText"/>
        <w:ind w:left="300" w:hanging="300"/>
      </w:pPr>
      <w:r>
        <w:t>b)</w:t>
      </w:r>
      <w:r>
        <w:tab/>
        <w:t>eitt af eftirfarandi skilyrðum er uppfyllt:</w:t>
      </w:r>
    </w:p>
    <w:p w14:paraId="2E638786" w14:textId="77777777" w:rsidR="001D6FFE" w:rsidRDefault="00E40155">
      <w:pPr>
        <w:pStyle w:val="NumberedText"/>
        <w:tabs>
          <w:tab w:val="clear" w:pos="2047"/>
        </w:tabs>
        <w:ind w:left="600" w:hanging="300"/>
      </w:pPr>
      <w:r>
        <w:t>i.</w:t>
      </w:r>
      <w:r>
        <w:tab/>
        <w:t>verðbréfafyrirtækið er dótturfélag og er tekið með í eftirlitið á samstæðugrunni með lánastofnun, eignarhaldsfélagi á fjármálasviði eða blönduðu eignarhaldsfélagi í fjármálastarfsemi í samræmi við ákvæði 2. kafla II. bálks fyrsta hluta reglugerðar (ESB) nr. 575/2013,</w:t>
      </w:r>
    </w:p>
    <w:p w14:paraId="3B52E54A" w14:textId="77777777" w:rsidR="001D6FFE" w:rsidRDefault="00E40155">
      <w:pPr>
        <w:pStyle w:val="NumberedText"/>
        <w:tabs>
          <w:tab w:val="right" w:pos="453"/>
        </w:tabs>
        <w:ind w:left="600" w:hanging="300"/>
      </w:pPr>
      <w:r>
        <w:tab/>
        <w:t>ii.</w:t>
      </w:r>
      <w:r>
        <w:tab/>
        <w:t>verðbréfafyrirtækið er dótturfélag og heyrir til samstæðu verðbréfafyrirtækis sem eftirlit er með á samstæðugrunni í samræmi við 7. gr.,</w:t>
      </w:r>
    </w:p>
    <w:p w14:paraId="763317E7" w14:textId="77777777" w:rsidR="001D6FFE" w:rsidRDefault="00E40155">
      <w:pPr>
        <w:pStyle w:val="NumberedText"/>
        <w:ind w:left="300" w:hanging="300"/>
      </w:pPr>
      <w:r>
        <w:t>c)</w:t>
      </w:r>
      <w:r>
        <w:tab/>
        <w:t>bæði verðbréfafyrirtækið og móðurfélag þess falla undir starfsleyfi og eftirlit af hálfu sama aðildarríkis,</w:t>
      </w:r>
    </w:p>
    <w:p w14:paraId="2128F8D3" w14:textId="77777777" w:rsidR="001D6FFE" w:rsidRDefault="00E40155">
      <w:pPr>
        <w:pStyle w:val="NumberedText"/>
        <w:ind w:left="300" w:hanging="300"/>
      </w:pPr>
      <w:r>
        <w:t>d)</w:t>
      </w:r>
      <w:r>
        <w:tab/>
      </w:r>
      <w:r>
        <w:t>yfirvöldin sem lögbær eru til að hafa eftirlit á samstæðugrunni í samræmi við reglugerð (ESB) nr. 575/2013 eða í samræmi við 7. gr. þessarar reglugerðar, gefa samþykki fyrir slíkri undanþágu,</w:t>
      </w:r>
    </w:p>
    <w:p w14:paraId="3BDE6C87" w14:textId="77777777" w:rsidR="001D6FFE" w:rsidRDefault="00E40155">
      <w:pPr>
        <w:pStyle w:val="NumberedText"/>
        <w:ind w:left="300" w:hanging="300"/>
      </w:pPr>
      <w:r>
        <w:t>e)</w:t>
      </w:r>
      <w:r>
        <w:tab/>
        <w:t>eiginfjárgrunni er dreift á fullnægjandi hátt milli móðurfélagsins og verðbréfafyrirtækisins og öll eftirfarandi skilyrði eru uppfyllt:</w:t>
      </w:r>
    </w:p>
    <w:p w14:paraId="5EF64185" w14:textId="77777777" w:rsidR="001D6FFE" w:rsidRDefault="00E40155">
      <w:pPr>
        <w:pStyle w:val="NumberedText"/>
        <w:tabs>
          <w:tab w:val="clear" w:pos="2047"/>
        </w:tabs>
        <w:ind w:left="660" w:hanging="360"/>
      </w:pPr>
      <w:r>
        <w:t>i.</w:t>
      </w:r>
      <w:r>
        <w:tab/>
        <w:t>ekki eru neinar verulegar núverandi eða fyrirsjáanlegar, hagnýtar eða lagalegar hömlur á því að móðurfélagið yfirfæri fjármagn eða endurgreiði skuldir með skjótum hætti,</w:t>
      </w:r>
    </w:p>
    <w:p w14:paraId="283C7A49" w14:textId="77777777" w:rsidR="001D6FFE" w:rsidRDefault="00E40155">
      <w:pPr>
        <w:pStyle w:val="NumberedText"/>
        <w:tabs>
          <w:tab w:val="clear" w:pos="2047"/>
        </w:tabs>
        <w:ind w:left="660" w:hanging="360"/>
      </w:pPr>
      <w:r>
        <w:t>ii.</w:t>
      </w:r>
      <w:r>
        <w:tab/>
        <w:t>með fyrirframsamþykki lögbærs yfirvalds lýsir móðurfélagið því yfir að það ábyrgist skuldbindingar sem verðbréfafyrirtækið hefur gengist undir eða að áhætta í verðbréfafyrirtækinu hafi óverulega þýðingu,</w:t>
      </w:r>
    </w:p>
    <w:p w14:paraId="332C1CBC" w14:textId="77777777" w:rsidR="001D6FFE" w:rsidRDefault="00E40155">
      <w:pPr>
        <w:pStyle w:val="NumberedText"/>
        <w:tabs>
          <w:tab w:val="clear" w:pos="2047"/>
        </w:tabs>
        <w:ind w:left="660" w:hanging="360"/>
      </w:pPr>
      <w:r>
        <w:t>iii.</w:t>
      </w:r>
      <w:r>
        <w:tab/>
        <w:t>aðferðir móðurfélagsins við að meta, mæla og stýra áhættu ná til verðbréfafyrirtækisins og</w:t>
      </w:r>
    </w:p>
    <w:p w14:paraId="3E572673" w14:textId="77777777" w:rsidR="001D6FFE" w:rsidRDefault="00E40155">
      <w:pPr>
        <w:pStyle w:val="NumberedText"/>
        <w:tabs>
          <w:tab w:val="clear" w:pos="2047"/>
        </w:tabs>
        <w:ind w:left="660" w:hanging="360"/>
      </w:pPr>
      <w:r>
        <w:t>iv.</w:t>
      </w:r>
      <w:r>
        <w:tab/>
        <w:t>móðurfélagið ræður yfir meira en 50% atkvæðisréttar sem fylgir hlutum í hlutafé verðbréfafyrirtækisins eða hefur rétt til að skipa eða leysa frá störfum meirihluta aðila í stjórn og/eða framkvæmdastjórn verðbréfafyrirtækisins.</w:t>
      </w:r>
    </w:p>
    <w:p w14:paraId="306ACE90" w14:textId="77777777" w:rsidR="001D6FFE" w:rsidRDefault="00E40155">
      <w:pPr>
        <w:pStyle w:val="AlineaWithParag"/>
      </w:pPr>
      <w:r>
        <w:t>2.</w:t>
      </w:r>
      <w:r>
        <w:tab/>
      </w:r>
      <w:r>
        <w:t>Lögbær yfirvöld geta undanþegið verðbréfafyrirtæki frá beitingu 5. gr. að því er varðar sjötta hluta ef öll eftirfarandi skilyrði eiga við:</w:t>
      </w:r>
    </w:p>
    <w:p w14:paraId="0C833A6A" w14:textId="77777777" w:rsidR="001D6FFE" w:rsidRDefault="00E40155">
      <w:pPr>
        <w:pStyle w:val="NumberedText"/>
        <w:ind w:left="300" w:hanging="300"/>
      </w:pPr>
      <w:r>
        <w:t>a)</w:t>
      </w:r>
      <w:r>
        <w:tab/>
        <w:t>verðbréfafyrirtækið uppfyllir skilyrðin til að flokkast sem lítið og ótengt verðbréfafyrirtæki eins og sett er fram í 1. mgr. 12. gr.,</w:t>
      </w:r>
    </w:p>
    <w:p w14:paraId="2164AEA8" w14:textId="77777777" w:rsidR="001D6FFE" w:rsidRDefault="00E40155">
      <w:pPr>
        <w:pStyle w:val="NumberedText"/>
        <w:ind w:left="300" w:hanging="300"/>
      </w:pPr>
      <w:r>
        <w:t>b)</w:t>
      </w:r>
      <w:r>
        <w:tab/>
        <w:t>verðbréfafyrirtækið er dótturfélag og er tekið með í eftirlitið á samstæðugrunni með vátrygginga- eða endurtryggingafélagi í samræmi við 228. gr. tilskipunar 2009/138/ESB,</w:t>
      </w:r>
    </w:p>
    <w:p w14:paraId="2E8D14B6" w14:textId="77777777" w:rsidR="001D6FFE" w:rsidRDefault="00E40155">
      <w:pPr>
        <w:pStyle w:val="NumberedText"/>
        <w:ind w:left="300" w:hanging="300"/>
      </w:pPr>
      <w:r>
        <w:t>c)</w:t>
      </w:r>
      <w:r>
        <w:tab/>
        <w:t>bæði verðbréfafyrirtækið og móðurfélag þess falla undir starfsleyfi og eftirlit af hálfu sama aðildarríkis,</w:t>
      </w:r>
    </w:p>
    <w:p w14:paraId="75604E00" w14:textId="77777777" w:rsidR="001D6FFE" w:rsidRDefault="00E40155">
      <w:pPr>
        <w:pStyle w:val="NumberedText"/>
        <w:spacing w:after="0"/>
        <w:ind w:left="300" w:hanging="300"/>
      </w:pPr>
      <w:r>
        <w:t>d)</w:t>
      </w:r>
      <w:r>
        <w:tab/>
        <w:t>yfirvöldin sem lögbær eru til að hafa eftirlit á samstæðugrunni í samræmi við tilskipun 2009/138/EB gefa samþykki fyrir slíkri undanþágu,</w:t>
      </w:r>
      <w:r>
        <w:br w:type="page"/>
      </w:r>
    </w:p>
    <w:p w14:paraId="0A9D4592" w14:textId="77777777" w:rsidR="001D6FFE" w:rsidRDefault="00E40155">
      <w:pPr>
        <w:pStyle w:val="NumberedText"/>
        <w:ind w:left="300" w:hanging="300"/>
      </w:pPr>
      <w:r>
        <w:t>e)</w:t>
      </w:r>
      <w:r>
        <w:tab/>
        <w:t>eiginfjárgrunni er dreift á fullnægjandi hátt milli móðurfélagsins og verðbréfafyrirtækisins og öll eftirfarandi skilyrði eru uppfyllt:</w:t>
      </w:r>
    </w:p>
    <w:p w14:paraId="4E82B759" w14:textId="77777777" w:rsidR="001D6FFE" w:rsidRDefault="00E40155">
      <w:pPr>
        <w:pStyle w:val="NumberedText"/>
        <w:tabs>
          <w:tab w:val="clear" w:pos="2047"/>
        </w:tabs>
        <w:ind w:left="640" w:hanging="340"/>
      </w:pPr>
      <w:r>
        <w:t>i.</w:t>
      </w:r>
      <w:r>
        <w:tab/>
        <w:t>ekki eru neinar verulegar núverandi eða fyrirsjáanlegar, hagnýtar eða lagalegar hömlur á því að móðurfélagið yfirfæri fjármagn eða endurgreiði skuldir með skjótum hætti,</w:t>
      </w:r>
    </w:p>
    <w:p w14:paraId="07C0ABD9" w14:textId="77777777" w:rsidR="001D6FFE" w:rsidRDefault="00E40155">
      <w:pPr>
        <w:pStyle w:val="NumberedText"/>
        <w:tabs>
          <w:tab w:val="clear" w:pos="2047"/>
        </w:tabs>
        <w:ind w:left="640" w:hanging="340"/>
      </w:pPr>
      <w:r>
        <w:t>ii.</w:t>
      </w:r>
      <w:r>
        <w:tab/>
        <w:t>með fyrirframsamþykki lögbærs yfirvalds lýsir móðurfélagið því yfir að það ábyrgist skuldbindingar sem verðbréfafyrirtækið hefur gengist undir eða að áhætta í verðbréfafyrirtækinu hafi óverulega þýðingu,</w:t>
      </w:r>
    </w:p>
    <w:p w14:paraId="058D677F" w14:textId="77777777" w:rsidR="001D6FFE" w:rsidRDefault="00E40155">
      <w:pPr>
        <w:pStyle w:val="NumberedText"/>
        <w:tabs>
          <w:tab w:val="clear" w:pos="2047"/>
        </w:tabs>
        <w:ind w:left="640" w:hanging="340"/>
      </w:pPr>
      <w:r>
        <w:t>iii.</w:t>
      </w:r>
      <w:r>
        <w:tab/>
        <w:t>aðferðir móðurfélagsins við að meta, mæla og stýra áhættu ná til verðbréfafyrirtækisins og</w:t>
      </w:r>
    </w:p>
    <w:p w14:paraId="1CC82770" w14:textId="77777777" w:rsidR="001D6FFE" w:rsidRDefault="00E40155">
      <w:pPr>
        <w:pStyle w:val="NumberedText"/>
        <w:tabs>
          <w:tab w:val="clear" w:pos="2047"/>
        </w:tabs>
        <w:ind w:left="640" w:hanging="340"/>
      </w:pPr>
      <w:r>
        <w:t>iv.</w:t>
      </w:r>
      <w:r>
        <w:tab/>
        <w:t>móðurfélagið ræður yfir meira en 50% atkvæðisréttar sem fylgir hlutum í hlutafé verðbréfafyrirtækisins eða hefur rétt til að skipa eða leysa frá störfum meirihluta aðila í stjórn og/eða framkvæmdastjórn verðbréfafyrirtækisins.</w:t>
      </w:r>
    </w:p>
    <w:p w14:paraId="459DC549" w14:textId="77777777" w:rsidR="001D6FFE" w:rsidRDefault="00E40155">
      <w:pPr>
        <w:pStyle w:val="AlineaWithParag"/>
      </w:pPr>
      <w:r>
        <w:t>3.</w:t>
      </w:r>
      <w:r>
        <w:tab/>
        <w:t>Lögbær yfirvöld geta undanþegið verðbréfafyrirtæki frá beitingu 5. gr. að því er varðar fimmta hluta ef öll eftirfarandi skilyrði eru uppfyllt:</w:t>
      </w:r>
    </w:p>
    <w:p w14:paraId="50A653F1" w14:textId="77777777" w:rsidR="001D6FFE" w:rsidRDefault="00E40155">
      <w:pPr>
        <w:pStyle w:val="NumberedText"/>
        <w:ind w:left="300" w:hanging="300"/>
      </w:pPr>
      <w:r>
        <w:t>a)</w:t>
      </w:r>
      <w:r>
        <w:tab/>
        <w:t>verðbréfafyrirtækið er tekið með í eftirlitið á samstæðugrunni í samræmi við 2. kafla II. bálks fyrsta hluta reglugerðar (ESB) nr. 575/2013 eða heyrir til samstæðu verðbréfafyrirtækis sem 3. mgr. 7. gr. þessarar reglugerðar á við um, og undanþágan sem kveðið er á um í 4. mgr. 7. gr. á ekki við,</w:t>
      </w:r>
    </w:p>
    <w:p w14:paraId="17EF16E6" w14:textId="77777777" w:rsidR="001D6FFE" w:rsidRDefault="00E40155">
      <w:pPr>
        <w:pStyle w:val="NumberedText"/>
        <w:ind w:left="300" w:hanging="300"/>
      </w:pPr>
      <w:r>
        <w:t>b)</w:t>
      </w:r>
      <w:r>
        <w:tab/>
        <w:t>móðurfélagið á samstæðugrunni vaktar og hefur ávallt yfirsýn yfir lausafjárstöðu allra stofnana og verðbréfafyrirtækja innan samstæðunnar eða undirsamstæðunnar sem undanþágan nær til og tryggir öllum þessum stofnunum og verðbréfafyrirtækjum nægt lausafé,</w:t>
      </w:r>
    </w:p>
    <w:p w14:paraId="4A4E40EF" w14:textId="77777777" w:rsidR="001D6FFE" w:rsidRDefault="00E40155">
      <w:pPr>
        <w:pStyle w:val="NumberedText"/>
        <w:ind w:left="300" w:hanging="300"/>
      </w:pPr>
      <w:r>
        <w:t>c)</w:t>
      </w:r>
      <w:r>
        <w:tab/>
        <w:t>móðurfélagið og verðbréfafyrirtækið hafa gert með sér samninga, sem lögbæru yfirvöldin telja fullnægjandi, er gera þeim kleift að flytja fjármuni óhindrað á milli móðurfélagsins og verðbréfafyrirtækisins til að geta mætt einstökum skuldbindingum sínum og sameiginlegum skuldbindingum, eftir því sem þær falla í gjalddaga,</w:t>
      </w:r>
    </w:p>
    <w:p w14:paraId="371DE053" w14:textId="77777777" w:rsidR="001D6FFE" w:rsidRDefault="00E40155">
      <w:pPr>
        <w:pStyle w:val="NumberedText"/>
        <w:ind w:left="300" w:hanging="300"/>
      </w:pPr>
      <w:r>
        <w:t>d)</w:t>
      </w:r>
      <w:r>
        <w:tab/>
        <w:t>ekki eru neinar verulegar núverandi eða fyrirsjáanlegar, hagnýtar eða lagalegar hömlur á því að samningarnir sem um getur í c-lið verði uppfylltir,</w:t>
      </w:r>
    </w:p>
    <w:p w14:paraId="10339F48" w14:textId="77777777" w:rsidR="001D6FFE" w:rsidRDefault="00E40155">
      <w:pPr>
        <w:pStyle w:val="NumberedText"/>
        <w:ind w:left="300" w:hanging="300"/>
      </w:pPr>
      <w:r>
        <w:t>e)</w:t>
      </w:r>
      <w:r>
        <w:tab/>
        <w:t>yfirvöldin sem lögbær eru til að hafa eftirlit á samstæðugrunni í samræmi við reglugerð (ESB) nr. 575/2013 eða í samræmi við 7. gr. þessarar reglugerðar gefa samþykki fyrir slíkri undanþágu.</w:t>
      </w:r>
    </w:p>
    <w:p w14:paraId="27723971" w14:textId="77777777" w:rsidR="001D6FFE" w:rsidRDefault="00E40155">
      <w:pPr>
        <w:pStyle w:val="DivisionTI3"/>
        <w:spacing w:after="120" w:line="200" w:lineRule="exact"/>
        <w:jc w:val="center"/>
        <w:rPr>
          <w:sz w:val="16"/>
        </w:rPr>
      </w:pPr>
      <w:r>
        <w:rPr>
          <w:i/>
          <w:sz w:val="16"/>
        </w:rPr>
        <w:t>2. KAFLI</w:t>
      </w:r>
    </w:p>
    <w:p w14:paraId="641264F0" w14:textId="77777777" w:rsidR="001D6FFE" w:rsidRDefault="00E40155">
      <w:pPr>
        <w:pStyle w:val="DivisionSTI3"/>
        <w:jc w:val="center"/>
      </w:pPr>
      <w:r>
        <w:rPr>
          <w:b/>
          <w:i/>
        </w:rPr>
        <w:t>Beiting varfærniskrafna á samstæðugrunni og undanþágur fyrir samstæðu verðbréfafyrirtækis</w:t>
      </w:r>
    </w:p>
    <w:p w14:paraId="30B73091" w14:textId="77777777" w:rsidR="001D6FFE" w:rsidRDefault="00E40155">
      <w:pPr>
        <w:pStyle w:val="TIART"/>
        <w:spacing w:after="120"/>
      </w:pPr>
      <w:r>
        <w:t>7. gr.</w:t>
      </w:r>
    </w:p>
    <w:p w14:paraId="7ECEFB4C" w14:textId="77777777" w:rsidR="001D6FFE" w:rsidRDefault="00E40155">
      <w:pPr>
        <w:pStyle w:val="STIART"/>
      </w:pPr>
      <w:r>
        <w:t>Beiting varfærniskrafna á samstæðugrunni</w:t>
      </w:r>
    </w:p>
    <w:p w14:paraId="658B7D88" w14:textId="77777777" w:rsidR="001D6FFE" w:rsidRDefault="00E40155">
      <w:pPr>
        <w:pStyle w:val="AlineaWithParag"/>
      </w:pPr>
      <w:r>
        <w:t>1.</w:t>
      </w:r>
      <w:r>
        <w:tab/>
        <w:t>Móðurverðbréfafyrirtæki í Sambandinu, móðureignarhaldsfélög á verðbréfasviði í Sambandinu og blönduð móðureignarhaldsfélög í fjármálastarfsemi í Sambandinu skulu uppfylla skyldurnar sem kveðið er á um í öðrum, þriðja, fjórða og sjöunda hluta á grundvelli samstæðustöðu sinnar. Móðurfélagið og þau dótturfélög þess sem falla undir þessa reglugerð skulu koma á fót viðeigandi stjórnskipulagi og viðeigandi innra eftirlitskerfi til að tryggja að þau gögn sem beiting krafna á samstæðugrunni krefst séu unnin og áfr</w:t>
      </w:r>
      <w:r>
        <w:t>amsend á tilhlýðilega hátt. Móðurfélagið skal einkum tryggja að dótturfélög sem falla ekki undir þessa reglugerð komi á fyrirkomulagi, ferlum og kerfum til að tryggja viðeigandi beitingu krafna á samstæðugrunni.</w:t>
      </w:r>
    </w:p>
    <w:p w14:paraId="335BAC0A" w14:textId="77777777" w:rsidR="001D6FFE" w:rsidRDefault="00E40155">
      <w:pPr>
        <w:pStyle w:val="AlineaWithParag"/>
      </w:pPr>
      <w:r>
        <w:t>2.</w:t>
      </w:r>
      <w:r>
        <w:tab/>
        <w:t>Þegar öðrum hluta er beitt á samstæðugrunni, að því er varðar 1. mgr. þessarar greinar, skulu reglurnar sem mælt er fyrir um í II. bálki annars hluta reglugerðar (ESB) nr. 575/2013 einnig gilda um verðbréfafyrirtæki.</w:t>
      </w:r>
    </w:p>
    <w:p w14:paraId="5EE3C91B" w14:textId="77777777" w:rsidR="001D6FFE" w:rsidRDefault="00E40155">
      <w:pPr>
        <w:pStyle w:val="Alinea"/>
      </w:pPr>
      <w:r>
        <w:t>Í því skyni, þegar ákvæðum 84. gr. (1. mgr.) 85. gr. (1. mgr.) og 87. gr. (1. mgr.) reglugerðar (ESB) nr. 575/2013 er beitt, skulu aðeins tilvísanir til 1. mgr. 92. gr. reglugerðar (ESB) nr. 575/2013 gilda og skal af þeim sökum lesa þær sem vísanir til krafna um eiginfjárgrunn sem settar eru fram í samsvarandi ákvæðum þessarar reglugerðar.</w:t>
      </w:r>
    </w:p>
    <w:p w14:paraId="63A709F7" w14:textId="77777777" w:rsidR="001D6FFE" w:rsidRDefault="00E40155">
      <w:pPr>
        <w:pStyle w:val="AlineaWithParag"/>
        <w:spacing w:after="0"/>
      </w:pPr>
      <w:r>
        <w:t>3.</w:t>
      </w:r>
      <w:r>
        <w:tab/>
        <w:t>Móðurverðbréfafyrirtæki í Sambandinu, móðureignarhaldsfélög á verðbréfasviði í Sambandinu og blönduð móðureignarhaldsfélög í fjármálastarfsemi í Sambandinu skulu uppfylla skyldurnar sem kveðið er á um í fimmta hluta á grundvelli samstæðustöðu sinnar.</w:t>
      </w:r>
      <w:r>
        <w:br w:type="page"/>
      </w:r>
    </w:p>
    <w:p w14:paraId="1A363DEC" w14:textId="77777777" w:rsidR="001D6FFE" w:rsidRDefault="00E40155">
      <w:pPr>
        <w:pStyle w:val="AlineaWithParag"/>
      </w:pPr>
      <w:r>
        <w:t>4.</w:t>
      </w:r>
      <w:r>
        <w:tab/>
        <w:t>Þrátt fyrir 3. mgr. geta lögbær yfirvöld undanskilið móðurfélagið frá því að hlíta þeirri málsgrein að teknu tilliti til eðlis, stærðar og flækjustigs samstæðu verðbréfafyrirtækis.</w:t>
      </w:r>
    </w:p>
    <w:p w14:paraId="2DF23D82" w14:textId="77777777" w:rsidR="001D6FFE" w:rsidRDefault="00E40155">
      <w:pPr>
        <w:pStyle w:val="AlineaWithParag"/>
      </w:pPr>
      <w:r>
        <w:t>5.</w:t>
      </w:r>
      <w:r>
        <w:tab/>
        <w:t>Evrópska bankaeftirlitsstofnunin skal semja drög að tæknilegum eftirlitsstöðlum til að tilgreina nánar umfang og aðferðir við beitingu varfærniskrafna á samstæðugrunni fyrir samstæðu verðbréfafyrirtækis, einkum í því skyni að reikna út kröfu vegna fasts kostnaðar, kröfu um varanlegt lágmarksfjármagn, kröfu fyrir K-þátt á grundvelli samstæðustöðu samstæðu verðbréfafyrirtækis, og aðferðina og nauðsynlegar upplýsingar til að hrinda 2. mgr. í framkvæmd á tilhlýðilegan hátt.</w:t>
      </w:r>
    </w:p>
    <w:p w14:paraId="412E7599" w14:textId="77777777" w:rsidR="001D6FFE" w:rsidRDefault="00E40155">
      <w:pPr>
        <w:pStyle w:val="Alinea"/>
      </w:pPr>
      <w:r>
        <w:t>Evrópska bankaeftirlitsstofnunin skal leggja þessi drög að tæknilegum eftirlitsstöðlum fyrir framkvæmdastjórnina eigi síðar en 26. desember 2020.</w:t>
      </w:r>
    </w:p>
    <w:p w14:paraId="2E625276" w14:textId="77777777" w:rsidR="001D6FFE" w:rsidRDefault="00E40155">
      <w:pPr>
        <w:pStyle w:val="Alinea"/>
      </w:pPr>
      <w:r>
        <w:t>Framkvæmdastjórninni er falið vald til að bæta við þessa reglugerð með því að samþykkja tæknilegu eftirlitsstaðlana sem um getur í fyrstu undirgrein í samræmi við 10.–14. gr. reglugerðar (ESB) nr. 1093/2010.</w:t>
      </w:r>
    </w:p>
    <w:p w14:paraId="0D025794" w14:textId="77777777" w:rsidR="001D6FFE" w:rsidRDefault="00E40155">
      <w:pPr>
        <w:pStyle w:val="TIART"/>
        <w:spacing w:after="120"/>
      </w:pPr>
      <w:r>
        <w:t>8. gr.</w:t>
      </w:r>
    </w:p>
    <w:p w14:paraId="2DE69305" w14:textId="77777777" w:rsidR="001D6FFE" w:rsidRDefault="00E40155">
      <w:pPr>
        <w:pStyle w:val="STIART"/>
        <w:spacing w:after="120"/>
      </w:pPr>
      <w:r>
        <w:t>Eiginfjárpróf samstæðu</w:t>
      </w:r>
    </w:p>
    <w:p w14:paraId="01A300E2" w14:textId="77777777" w:rsidR="001D6FFE" w:rsidRDefault="00E40155">
      <w:pPr>
        <w:pStyle w:val="AlineaWithParag"/>
      </w:pPr>
      <w:r>
        <w:t>1.</w:t>
      </w:r>
      <w:r>
        <w:tab/>
        <w:t>Þrátt fyrir 7. gr. geta lögbær yfirvöld heimilað beitingu þessarar greinar þegar skipulag samstæðu telst vera nægilega einfalt, að því tilskildu að engin veruleg áhætta sé fyrir viðskiptavini eða markað af völdum samstæðu verðbréfafyrirtækis í heild sem annars myndi krefjast eftirlits á samstæðugrunni. Lögbær yfirvöld skulu tilkynna Evrópsku bankaeftirlitsstofnuninni þegar þau heimila beitingu þessarar greinar.</w:t>
      </w:r>
    </w:p>
    <w:p w14:paraId="65659E50" w14:textId="77777777" w:rsidR="001D6FFE" w:rsidRDefault="00E40155">
      <w:pPr>
        <w:pStyle w:val="AlineaWithParag"/>
      </w:pPr>
      <w:r>
        <w:t>2.</w:t>
      </w:r>
      <w:r>
        <w:tab/>
        <w:t>Að því er varðar þessa grein gildir eftirfarandi:</w:t>
      </w:r>
    </w:p>
    <w:p w14:paraId="06775675" w14:textId="77777777" w:rsidR="001D6FFE" w:rsidRDefault="00E40155">
      <w:pPr>
        <w:pStyle w:val="NumberedText"/>
        <w:ind w:left="300" w:hanging="300"/>
      </w:pPr>
      <w:r>
        <w:t>a)</w:t>
      </w:r>
      <w:r>
        <w:tab/>
        <w:t>„eiginfjárgrunnsgerningar“: eiginfjárgrunnur eins og skilgreindur er í 9. gr. þessarar reglugerðar, án þess frádráttar sem um getur í 36. gr. (i. lið 1. mgr.), 56. gr. (d-lið) og 66. gr. (d-lið) reglugerðar (ESB) nr. 575/2013,</w:t>
      </w:r>
    </w:p>
    <w:p w14:paraId="2B3C7AF5" w14:textId="77777777" w:rsidR="001D6FFE" w:rsidRDefault="00E40155">
      <w:pPr>
        <w:pStyle w:val="NumberedText"/>
        <w:ind w:left="300" w:hanging="300"/>
      </w:pPr>
      <w:r>
        <w:t>b)</w:t>
      </w:r>
      <w:r>
        <w:tab/>
        <w:t>hugtökin „verðbréfafyrirtæki“, „fjármálastofnun“, „fyrirtæki í viðbótarstarfsemi“ og „einkaumboðsmaður“ skulu einnig gilda um fyrirtæki með staðfestu í þriðju löndum sem myndu uppfylla skilgreiningar þessara hugtaka í 4. gr. ef þau hefðu staðfestu í Sambandinu.</w:t>
      </w:r>
    </w:p>
    <w:p w14:paraId="4A45C22D" w14:textId="77777777" w:rsidR="001D6FFE" w:rsidRDefault="00E40155">
      <w:pPr>
        <w:pStyle w:val="AlineaWithParag"/>
      </w:pPr>
      <w:r>
        <w:t>3.</w:t>
      </w:r>
      <w:r>
        <w:tab/>
        <w:t>Móðurverðbréfafyrirtæki í Sambandinu, móðureignarhaldsfélög á verðbréfasviði í Sambandinu, blönduð móðureignarhaldsfélög í fjármálastarfsemi í Sambandinu og öll önnur móðurfélög sem eru verðbréfafyrirtæki, fjármálastofnanir, fyrirtæki í viðbótarstarfsemi eða einkaumboðsmenn í samstæðu verðbréfafyrirtækis skulu a.m.k. hafa nógu háa eignfjárgrunnsgerninga til að ná yfir samtöluna á eftirfarandi:</w:t>
      </w:r>
    </w:p>
    <w:p w14:paraId="71370286" w14:textId="77777777" w:rsidR="001D6FFE" w:rsidRDefault="00E40155">
      <w:pPr>
        <w:pStyle w:val="NumberedText"/>
        <w:ind w:left="300" w:hanging="300"/>
      </w:pPr>
      <w:r>
        <w:t>a)</w:t>
      </w:r>
      <w:r>
        <w:tab/>
        <w:t>samtölu alls bókfærðs virðis eignarhluta, víkjandi krafna og gerninga sem um getur í 36. gr. (i. lið 1. mgr.), 56. gr. (d-lið) og 66. gr. (d-lið) reglugerðar (ESB) nr. 575/2013 í verðbréfafyrirtækjum, fjármálastofnunum, fyrirtækjum í viðbótarstarfsemi og einkaumboðsmönnum í samstæðu verðbréfafyrirtækis, og</w:t>
      </w:r>
    </w:p>
    <w:p w14:paraId="6668C823" w14:textId="77777777" w:rsidR="001D6FFE" w:rsidRDefault="00E40155">
      <w:pPr>
        <w:pStyle w:val="NumberedText"/>
        <w:ind w:left="300" w:hanging="300"/>
      </w:pPr>
      <w:r>
        <w:t>b)</w:t>
      </w:r>
      <w:r>
        <w:tab/>
        <w:t>heildarfjárhæð allra skilyrtra skulda vegna verðbréfafyrirtækja, fjármálastofnana, fyrirtækja í viðbótarstarfsemi og einkaumboðsmanna í samstæðu verðbréfafyrirtækis.</w:t>
      </w:r>
    </w:p>
    <w:p w14:paraId="5CD2D17C" w14:textId="77777777" w:rsidR="001D6FFE" w:rsidRDefault="00E40155">
      <w:pPr>
        <w:pStyle w:val="AlineaWithParag"/>
      </w:pPr>
      <w:r>
        <w:t>4.</w:t>
      </w:r>
      <w:r>
        <w:tab/>
        <w:t xml:space="preserve">Lögbær yfirvöld geta heimilað móðureignarhaldsfélagi á verðbréfasviði í Sambandinu eða blönduðu móðureignarhaldsfélagi í fjármálastarfsemi í Sambandinu og hverju öðru móðurfélagi sem er verðbréfafyrirtæki, fjármálastofnun, fyrirtæki í viðbótarstarfsemi eða einkaumboðsmaður í samstæðu verðbréfafyrirtækis, að hafa lægri eiginfjárgrunn en fjárhæðin sem reiknuð er út skv. 3. mgr., að því tilskildu að sú fjárhæð sé ekki lægri en samanlagðar kröfur um eiginfjárgrunn sem á einingargrunni eru lagðar á dótturfélög </w:t>
      </w:r>
      <w:r>
        <w:t>þess sem eru verðbréfafyrirtæki, fjármálastofnanir, fyrirtæki í viðbótarstarfsemi og einkaumboðsmenn og heildarfjárhæð skilyrtra skulda í þágu þessara eininga.</w:t>
      </w:r>
    </w:p>
    <w:p w14:paraId="1EBB7C08" w14:textId="77777777" w:rsidR="001D6FFE" w:rsidRDefault="00E40155">
      <w:pPr>
        <w:pStyle w:val="Alinea"/>
      </w:pPr>
      <w:r>
        <w:t>Að því er varðar þessa málsgrein skulu kröfurnar um eiginfjárgrunn fyrir dótturfélög, eins og um getur í fyrstu undirgrein, sem staðsett eru í þriðju löndum, vera ígildi eiginfjárgrunnskrafna sem tryggja nægilega varfærni til að ná yfir þá áhættu sem leiðir af þessum dótturfélögum, eins og viðkomandi lögbær yfirvöld hafa samþykkt.</w:t>
      </w:r>
    </w:p>
    <w:p w14:paraId="19920DA9" w14:textId="77777777" w:rsidR="001D6FFE" w:rsidRDefault="00E40155">
      <w:pPr>
        <w:pStyle w:val="AlineaWithParag"/>
        <w:spacing w:after="0"/>
      </w:pPr>
      <w:r>
        <w:t>5.</w:t>
      </w:r>
      <w:r>
        <w:tab/>
        <w:t>Móðurverðbréfafyrirtæki í Sambandinu, móðureignarhaldsfélög á verðbréfasviði í Sambandinu og blönduð móðureignarhaldsfélög í fjármálastarfsemi í Sambandinu skulu hafa til staðar kerfi til að vakta og hafa eftirlit með fjármagns- og fjármögnunaruppsprettum allra verðbréfafyrirtækja, eignarhaldsfélaga á verðbréfasviði, blandaðra eignarhaldsfélaga í fjármálastarfsemi, fjármálastofnana, fyrirtækja í viðbótarstarfsemi og einkaumboðsmanna innan samstæðu verðbréfafyrirtækis.</w:t>
      </w:r>
    </w:p>
    <w:p w14:paraId="1322BC34" w14:textId="77777777" w:rsidR="001D6FFE" w:rsidRDefault="001D6FFE">
      <w:pPr>
        <w:pStyle w:val="DivisionTI1"/>
        <w:spacing w:after="120" w:line="200" w:lineRule="exact"/>
        <w:rPr>
          <w:szCs w:val="16"/>
        </w:rPr>
        <w:sectPr w:rsidR="001D6FFE">
          <w:headerReference w:type="default" r:id="rId8"/>
          <w:footnotePr>
            <w:pos w:val="beneathText"/>
          </w:footnotePr>
          <w:type w:val="continuous"/>
          <w:pgSz w:w="11906" w:h="16838" w:code="9"/>
          <w:pgMar w:top="1680" w:right="1333" w:bottom="840" w:left="1333" w:header="920" w:footer="280" w:gutter="0"/>
          <w:cols w:space="708"/>
          <w:vAlign w:val="both"/>
          <w:docGrid w:linePitch="360"/>
        </w:sectPr>
      </w:pPr>
    </w:p>
    <w:p w14:paraId="369AC605" w14:textId="77777777" w:rsidR="001D6FFE" w:rsidRDefault="00E40155">
      <w:pPr>
        <w:pStyle w:val="DivisionTI1"/>
        <w:spacing w:after="120" w:line="200" w:lineRule="exact"/>
        <w:rPr>
          <w:szCs w:val="16"/>
        </w:rPr>
      </w:pPr>
      <w:r>
        <w:t>ANNAR HLUTI</w:t>
      </w:r>
    </w:p>
    <w:p w14:paraId="6AAB9152" w14:textId="77777777" w:rsidR="001D6FFE" w:rsidRDefault="00E40155">
      <w:pPr>
        <w:pStyle w:val="DivisionSTI1"/>
        <w:spacing w:after="300" w:line="200" w:lineRule="exact"/>
        <w:rPr>
          <w:sz w:val="16"/>
          <w:szCs w:val="16"/>
        </w:rPr>
      </w:pPr>
      <w:r>
        <w:rPr>
          <w:b/>
          <w:sz w:val="16"/>
        </w:rPr>
        <w:t>EIGINFJÁRGRUNNUR</w:t>
      </w:r>
    </w:p>
    <w:p w14:paraId="52F2D905" w14:textId="77777777" w:rsidR="001D6FFE" w:rsidRDefault="00E40155">
      <w:pPr>
        <w:pStyle w:val="TIART"/>
      </w:pPr>
      <w:r>
        <w:t>9. gr.</w:t>
      </w:r>
    </w:p>
    <w:p w14:paraId="497C73AD" w14:textId="77777777" w:rsidR="001D6FFE" w:rsidRDefault="00E40155">
      <w:pPr>
        <w:pStyle w:val="STIART"/>
      </w:pPr>
      <w:r>
        <w:t>Samsetning eiginfjárgrunns</w:t>
      </w:r>
    </w:p>
    <w:p w14:paraId="466E8C0A" w14:textId="77777777" w:rsidR="001D6FFE" w:rsidRDefault="00E40155">
      <w:pPr>
        <w:pStyle w:val="AlineaWithParag"/>
      </w:pPr>
      <w:r>
        <w:t>1.</w:t>
      </w:r>
      <w:r>
        <w:tab/>
      </w:r>
      <w:r>
        <w:t>Verðbréfafyrirtæki skulu hafa eiginfjárgrunn sem samanstendur af samanlögðu almennu eigin fé þáttar 1, viðbótareiginfé þáttar 1 og eiginfjárþætti 2 og skulu ávallt uppfylla öll eftirfarandi skilyrði:</w:t>
      </w:r>
    </w:p>
    <w:p w14:paraId="19FF2D75" w14:textId="77777777" w:rsidR="001D6FFE" w:rsidRDefault="001D6FFE">
      <w:pPr>
        <w:pStyle w:val="NumberedText"/>
        <w:ind w:left="300" w:hanging="300"/>
      </w:pPr>
    </w:p>
    <w:tbl>
      <w:tblPr>
        <w:tblStyle w:val="EFTATable"/>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9"/>
        <w:gridCol w:w="2328"/>
        <w:gridCol w:w="6623"/>
      </w:tblGrid>
      <w:tr w:rsidR="001D6FFE" w14:paraId="069E60BF" w14:textId="77777777">
        <w:tc>
          <w:tcPr>
            <w:tcW w:w="156" w:type="pct"/>
            <w:vMerge w:val="restart"/>
            <w:tcMar>
              <w:top w:w="20" w:type="dxa"/>
              <w:left w:w="0" w:type="dxa"/>
              <w:bottom w:w="20" w:type="dxa"/>
              <w:right w:w="60" w:type="dxa"/>
            </w:tcMar>
            <w:vAlign w:val="center"/>
          </w:tcPr>
          <w:p w14:paraId="6D7FA277" w14:textId="77777777" w:rsidR="001D6FFE" w:rsidRDefault="00E40155">
            <w:pPr>
              <w:pStyle w:val="NumberedText"/>
              <w:spacing w:line="240" w:lineRule="auto"/>
              <w:ind w:left="300" w:hanging="300"/>
              <w:jc w:val="left"/>
            </w:pPr>
            <w:r>
              <w:t>a)</w:t>
            </w:r>
          </w:p>
        </w:tc>
        <w:tc>
          <w:tcPr>
            <w:tcW w:w="1260" w:type="pct"/>
            <w:tcBorders>
              <w:bottom w:val="single" w:sz="4" w:space="0" w:color="auto"/>
            </w:tcBorders>
            <w:tcMar>
              <w:top w:w="20" w:type="dxa"/>
              <w:bottom w:w="20" w:type="dxa"/>
            </w:tcMar>
          </w:tcPr>
          <w:p w14:paraId="54889B93" w14:textId="77777777" w:rsidR="001D6FFE" w:rsidRDefault="00E40155">
            <w:pPr>
              <w:pStyle w:val="NumberedText"/>
              <w:ind w:left="0" w:firstLine="0"/>
              <w:jc w:val="center"/>
            </w:pPr>
            <w:r>
              <w:t>almennt eigið fé þáttar 1</w:t>
            </w:r>
          </w:p>
        </w:tc>
        <w:tc>
          <w:tcPr>
            <w:tcW w:w="3584" w:type="pct"/>
            <w:vMerge w:val="restart"/>
            <w:tcMar>
              <w:top w:w="20" w:type="dxa"/>
              <w:left w:w="60" w:type="dxa"/>
              <w:bottom w:w="20" w:type="dxa"/>
              <w:right w:w="0" w:type="dxa"/>
            </w:tcMar>
            <w:vAlign w:val="center"/>
          </w:tcPr>
          <w:p w14:paraId="17C5496C" w14:textId="77777777" w:rsidR="001D6FFE" w:rsidRDefault="00E40155">
            <w:pPr>
              <w:pStyle w:val="NumberedText"/>
              <w:ind w:left="0" w:firstLine="0"/>
              <w:jc w:val="left"/>
            </w:pPr>
            <w:r>
              <w:sym w:font="Symbol" w:char="F0B3"/>
            </w:r>
            <w:r>
              <w:t xml:space="preserve"> 56%,</w:t>
            </w:r>
          </w:p>
        </w:tc>
      </w:tr>
      <w:tr w:rsidR="001D6FFE" w14:paraId="3CB2F6F8" w14:textId="77777777">
        <w:tc>
          <w:tcPr>
            <w:tcW w:w="156" w:type="pct"/>
            <w:vMerge/>
            <w:tcMar>
              <w:top w:w="20" w:type="dxa"/>
              <w:left w:w="0" w:type="dxa"/>
              <w:bottom w:w="20" w:type="dxa"/>
              <w:right w:w="60" w:type="dxa"/>
            </w:tcMar>
          </w:tcPr>
          <w:p w14:paraId="04F22ED2" w14:textId="77777777" w:rsidR="001D6FFE" w:rsidRDefault="001D6FFE">
            <w:pPr>
              <w:pStyle w:val="NumberedText"/>
              <w:ind w:left="300" w:hanging="300"/>
            </w:pPr>
          </w:p>
        </w:tc>
        <w:tc>
          <w:tcPr>
            <w:tcW w:w="1260" w:type="pct"/>
            <w:tcBorders>
              <w:top w:val="single" w:sz="4" w:space="0" w:color="auto"/>
            </w:tcBorders>
            <w:tcMar>
              <w:top w:w="20" w:type="dxa"/>
              <w:bottom w:w="20" w:type="dxa"/>
            </w:tcMar>
          </w:tcPr>
          <w:p w14:paraId="59FAE0F0" w14:textId="77777777" w:rsidR="001D6FFE" w:rsidRDefault="00E40155">
            <w:pPr>
              <w:pStyle w:val="NumberedText"/>
              <w:ind w:left="0" w:firstLine="0"/>
              <w:jc w:val="center"/>
              <w:rPr>
                <w:i/>
              </w:rPr>
            </w:pPr>
            <w:r>
              <w:rPr>
                <w:i/>
              </w:rPr>
              <w:t>D</w:t>
            </w:r>
          </w:p>
        </w:tc>
        <w:tc>
          <w:tcPr>
            <w:tcW w:w="3584" w:type="pct"/>
            <w:vMerge/>
            <w:tcMar>
              <w:top w:w="20" w:type="dxa"/>
              <w:left w:w="60" w:type="dxa"/>
              <w:bottom w:w="20" w:type="dxa"/>
              <w:right w:w="0" w:type="dxa"/>
            </w:tcMar>
          </w:tcPr>
          <w:p w14:paraId="08944F4D" w14:textId="77777777" w:rsidR="001D6FFE" w:rsidRDefault="001D6FFE">
            <w:pPr>
              <w:pStyle w:val="NumberedText"/>
              <w:ind w:left="0" w:firstLine="0"/>
            </w:pPr>
          </w:p>
        </w:tc>
      </w:tr>
    </w:tbl>
    <w:p w14:paraId="38B95233" w14:textId="77777777" w:rsidR="001D6FFE" w:rsidRDefault="001D6FFE">
      <w:pPr>
        <w:pStyle w:val="NumberedText"/>
        <w:spacing w:after="0"/>
        <w:ind w:left="300" w:hanging="300"/>
      </w:pPr>
    </w:p>
    <w:tbl>
      <w:tblPr>
        <w:tblStyle w:val="EFTATable"/>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8"/>
        <w:gridCol w:w="4260"/>
        <w:gridCol w:w="4692"/>
      </w:tblGrid>
      <w:tr w:rsidR="001D6FFE" w14:paraId="3383C055" w14:textId="77777777">
        <w:tc>
          <w:tcPr>
            <w:tcW w:w="156" w:type="pct"/>
            <w:vMerge w:val="restart"/>
            <w:tcMar>
              <w:top w:w="20" w:type="dxa"/>
              <w:left w:w="0" w:type="dxa"/>
              <w:bottom w:w="20" w:type="dxa"/>
              <w:right w:w="60" w:type="dxa"/>
            </w:tcMar>
            <w:vAlign w:val="center"/>
          </w:tcPr>
          <w:p w14:paraId="38933AA8" w14:textId="77777777" w:rsidR="001D6FFE" w:rsidRDefault="00E40155">
            <w:pPr>
              <w:pStyle w:val="NumberedText"/>
              <w:spacing w:line="240" w:lineRule="auto"/>
              <w:ind w:left="300" w:hanging="300"/>
              <w:jc w:val="left"/>
            </w:pPr>
            <w:r>
              <w:t>b)</w:t>
            </w:r>
          </w:p>
        </w:tc>
        <w:tc>
          <w:tcPr>
            <w:tcW w:w="2305" w:type="pct"/>
            <w:tcBorders>
              <w:bottom w:val="single" w:sz="4" w:space="0" w:color="auto"/>
            </w:tcBorders>
            <w:tcMar>
              <w:top w:w="20" w:type="dxa"/>
              <w:bottom w:w="20" w:type="dxa"/>
            </w:tcMar>
          </w:tcPr>
          <w:p w14:paraId="033E077E" w14:textId="77777777" w:rsidR="001D6FFE" w:rsidRDefault="00E40155">
            <w:pPr>
              <w:pStyle w:val="NumberedText"/>
              <w:ind w:left="0" w:firstLine="0"/>
              <w:jc w:val="center"/>
            </w:pPr>
            <w:r>
              <w:t>almennt eigið fé þáttar 1 + viðbótareigiðfé þáttar 1</w:t>
            </w:r>
          </w:p>
        </w:tc>
        <w:tc>
          <w:tcPr>
            <w:tcW w:w="2539" w:type="pct"/>
            <w:vMerge w:val="restart"/>
            <w:tcMar>
              <w:top w:w="20" w:type="dxa"/>
              <w:left w:w="60" w:type="dxa"/>
              <w:bottom w:w="20" w:type="dxa"/>
              <w:right w:w="0" w:type="dxa"/>
            </w:tcMar>
            <w:vAlign w:val="center"/>
          </w:tcPr>
          <w:p w14:paraId="7DB212AF" w14:textId="77777777" w:rsidR="001D6FFE" w:rsidRDefault="00E40155">
            <w:pPr>
              <w:pStyle w:val="NumberedText"/>
              <w:ind w:left="0" w:firstLine="0"/>
              <w:jc w:val="left"/>
            </w:pPr>
            <w:r>
              <w:sym w:font="Symbol" w:char="F0B3"/>
            </w:r>
            <w:r>
              <w:t xml:space="preserve"> 75%,</w:t>
            </w:r>
          </w:p>
        </w:tc>
      </w:tr>
      <w:tr w:rsidR="001D6FFE" w14:paraId="7AA9B06F" w14:textId="77777777">
        <w:tc>
          <w:tcPr>
            <w:tcW w:w="156" w:type="pct"/>
            <w:vMerge/>
            <w:tcMar>
              <w:top w:w="20" w:type="dxa"/>
              <w:left w:w="0" w:type="dxa"/>
              <w:bottom w:w="20" w:type="dxa"/>
              <w:right w:w="60" w:type="dxa"/>
            </w:tcMar>
          </w:tcPr>
          <w:p w14:paraId="607657EA" w14:textId="77777777" w:rsidR="001D6FFE" w:rsidRDefault="001D6FFE">
            <w:pPr>
              <w:pStyle w:val="NumberedText"/>
              <w:ind w:left="300" w:hanging="300"/>
            </w:pPr>
          </w:p>
        </w:tc>
        <w:tc>
          <w:tcPr>
            <w:tcW w:w="2305" w:type="pct"/>
            <w:tcBorders>
              <w:top w:val="single" w:sz="4" w:space="0" w:color="auto"/>
            </w:tcBorders>
            <w:tcMar>
              <w:top w:w="20" w:type="dxa"/>
              <w:bottom w:w="20" w:type="dxa"/>
            </w:tcMar>
          </w:tcPr>
          <w:p w14:paraId="3717A072" w14:textId="77777777" w:rsidR="001D6FFE" w:rsidRDefault="00E40155">
            <w:pPr>
              <w:pStyle w:val="NumberedText"/>
              <w:ind w:left="0" w:firstLine="0"/>
              <w:jc w:val="center"/>
              <w:rPr>
                <w:i/>
              </w:rPr>
            </w:pPr>
            <w:r>
              <w:rPr>
                <w:i/>
              </w:rPr>
              <w:t>D</w:t>
            </w:r>
          </w:p>
        </w:tc>
        <w:tc>
          <w:tcPr>
            <w:tcW w:w="2539" w:type="pct"/>
            <w:vMerge/>
            <w:tcMar>
              <w:top w:w="20" w:type="dxa"/>
              <w:left w:w="60" w:type="dxa"/>
              <w:bottom w:w="20" w:type="dxa"/>
              <w:right w:w="0" w:type="dxa"/>
            </w:tcMar>
          </w:tcPr>
          <w:p w14:paraId="20731998" w14:textId="77777777" w:rsidR="001D6FFE" w:rsidRDefault="001D6FFE">
            <w:pPr>
              <w:pStyle w:val="NumberedText"/>
              <w:ind w:left="0" w:firstLine="0"/>
            </w:pPr>
          </w:p>
        </w:tc>
      </w:tr>
    </w:tbl>
    <w:p w14:paraId="5AE298D2" w14:textId="77777777" w:rsidR="001D6FFE" w:rsidRDefault="001D6FFE">
      <w:pPr>
        <w:pStyle w:val="NumberedText"/>
        <w:spacing w:after="0"/>
        <w:ind w:left="300" w:hanging="300"/>
      </w:pPr>
    </w:p>
    <w:tbl>
      <w:tblPr>
        <w:tblStyle w:val="EFTATable"/>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8"/>
        <w:gridCol w:w="5437"/>
        <w:gridCol w:w="3515"/>
      </w:tblGrid>
      <w:tr w:rsidR="001D6FFE" w14:paraId="68B53B1C" w14:textId="77777777">
        <w:tc>
          <w:tcPr>
            <w:tcW w:w="156" w:type="pct"/>
            <w:vMerge w:val="restart"/>
            <w:tcMar>
              <w:top w:w="20" w:type="dxa"/>
              <w:left w:w="0" w:type="dxa"/>
              <w:bottom w:w="20" w:type="dxa"/>
              <w:right w:w="60" w:type="dxa"/>
            </w:tcMar>
            <w:vAlign w:val="center"/>
          </w:tcPr>
          <w:p w14:paraId="420D8BED" w14:textId="77777777" w:rsidR="001D6FFE" w:rsidRDefault="00E40155">
            <w:pPr>
              <w:pStyle w:val="NumberedText"/>
              <w:spacing w:line="240" w:lineRule="auto"/>
              <w:ind w:left="300" w:hanging="300"/>
              <w:jc w:val="left"/>
            </w:pPr>
            <w:r>
              <w:t>c)</w:t>
            </w:r>
          </w:p>
        </w:tc>
        <w:tc>
          <w:tcPr>
            <w:tcW w:w="2942" w:type="pct"/>
            <w:tcBorders>
              <w:bottom w:val="single" w:sz="4" w:space="0" w:color="auto"/>
            </w:tcBorders>
            <w:tcMar>
              <w:top w:w="20" w:type="dxa"/>
              <w:bottom w:w="20" w:type="dxa"/>
            </w:tcMar>
            <w:vAlign w:val="center"/>
          </w:tcPr>
          <w:p w14:paraId="1CBDE28F" w14:textId="77777777" w:rsidR="001D6FFE" w:rsidRDefault="00E40155">
            <w:pPr>
              <w:pStyle w:val="NumberedText"/>
              <w:ind w:left="0" w:firstLine="0"/>
              <w:jc w:val="center"/>
            </w:pPr>
            <w:r>
              <w:t>almennt eigið fé þáttar 1 + viðbótareigiðfé þáttar 1 + eiginfjárþáttur 2</w:t>
            </w:r>
          </w:p>
        </w:tc>
        <w:tc>
          <w:tcPr>
            <w:tcW w:w="1903" w:type="pct"/>
            <w:vMerge w:val="restart"/>
            <w:tcMar>
              <w:top w:w="20" w:type="dxa"/>
              <w:left w:w="60" w:type="dxa"/>
              <w:bottom w:w="20" w:type="dxa"/>
              <w:right w:w="0" w:type="dxa"/>
            </w:tcMar>
            <w:vAlign w:val="center"/>
          </w:tcPr>
          <w:p w14:paraId="3BA94B29" w14:textId="77777777" w:rsidR="001D6FFE" w:rsidRDefault="00E40155">
            <w:pPr>
              <w:pStyle w:val="NumberedText"/>
              <w:ind w:left="0" w:firstLine="0"/>
              <w:jc w:val="left"/>
            </w:pPr>
            <w:r>
              <w:sym w:font="Symbol" w:char="F0B3"/>
            </w:r>
            <w:r>
              <w:t xml:space="preserve"> 100%,</w:t>
            </w:r>
          </w:p>
        </w:tc>
      </w:tr>
      <w:tr w:rsidR="001D6FFE" w14:paraId="55A4E745" w14:textId="77777777">
        <w:tc>
          <w:tcPr>
            <w:tcW w:w="156" w:type="pct"/>
            <w:vMerge/>
            <w:tcMar>
              <w:top w:w="20" w:type="dxa"/>
              <w:left w:w="0" w:type="dxa"/>
              <w:bottom w:w="20" w:type="dxa"/>
              <w:right w:w="60" w:type="dxa"/>
            </w:tcMar>
          </w:tcPr>
          <w:p w14:paraId="0BA98B80" w14:textId="77777777" w:rsidR="001D6FFE" w:rsidRDefault="001D6FFE">
            <w:pPr>
              <w:pStyle w:val="NumberedText"/>
              <w:ind w:left="300" w:hanging="300"/>
            </w:pPr>
          </w:p>
        </w:tc>
        <w:tc>
          <w:tcPr>
            <w:tcW w:w="2942" w:type="pct"/>
            <w:tcBorders>
              <w:top w:val="single" w:sz="4" w:space="0" w:color="auto"/>
            </w:tcBorders>
            <w:tcMar>
              <w:top w:w="20" w:type="dxa"/>
              <w:bottom w:w="20" w:type="dxa"/>
            </w:tcMar>
            <w:vAlign w:val="center"/>
          </w:tcPr>
          <w:p w14:paraId="02595750" w14:textId="77777777" w:rsidR="001D6FFE" w:rsidRDefault="00E40155">
            <w:pPr>
              <w:pStyle w:val="NumberedText"/>
              <w:ind w:left="0" w:firstLine="0"/>
              <w:jc w:val="center"/>
              <w:rPr>
                <w:i/>
              </w:rPr>
            </w:pPr>
            <w:r>
              <w:rPr>
                <w:i/>
              </w:rPr>
              <w:t>D</w:t>
            </w:r>
          </w:p>
        </w:tc>
        <w:tc>
          <w:tcPr>
            <w:tcW w:w="1903" w:type="pct"/>
            <w:vMerge/>
            <w:tcMar>
              <w:top w:w="20" w:type="dxa"/>
              <w:left w:w="60" w:type="dxa"/>
              <w:bottom w:w="20" w:type="dxa"/>
              <w:right w:w="0" w:type="dxa"/>
            </w:tcMar>
          </w:tcPr>
          <w:p w14:paraId="3877592D" w14:textId="77777777" w:rsidR="001D6FFE" w:rsidRDefault="001D6FFE">
            <w:pPr>
              <w:pStyle w:val="NumberedText"/>
              <w:ind w:left="0" w:firstLine="0"/>
            </w:pPr>
          </w:p>
        </w:tc>
      </w:tr>
    </w:tbl>
    <w:p w14:paraId="32491D55" w14:textId="77777777" w:rsidR="001D6FFE" w:rsidRDefault="00E40155">
      <w:pPr>
        <w:pStyle w:val="Alinea"/>
        <w:spacing w:before="200" w:after="160"/>
      </w:pPr>
      <w:r>
        <w:t>þar sem:</w:t>
      </w:r>
    </w:p>
    <w:p w14:paraId="39F7027F" w14:textId="77777777" w:rsidR="001D6FFE" w:rsidRDefault="00E40155">
      <w:pPr>
        <w:pStyle w:val="NumberedText"/>
        <w:tabs>
          <w:tab w:val="clear" w:pos="2047"/>
        </w:tabs>
        <w:spacing w:after="160"/>
        <w:ind w:left="300" w:hanging="300"/>
      </w:pPr>
      <w:r>
        <w:t>i.</w:t>
      </w:r>
      <w:r>
        <w:tab/>
      </w:r>
      <w:r>
        <w:t>almennt eigið fé þáttar 1 er skilgreint í samræmi við 2. kafla I. bálks annars hluta reglugerðar (ESB) nr. 575/2013, viðbótareiginfé þáttar 1 er skilgreint í samræmi við 3. kafla I. bálks annars kafla reglugerðar (EB) nr. 575/2013 og eiginfjárþáttur 2 er skilgreindur í samræmi við 4. kafla I bálks annars hluta reglugerðar (EB) nr. 575/2013, og</w:t>
      </w:r>
    </w:p>
    <w:p w14:paraId="542799F4" w14:textId="77777777" w:rsidR="001D6FFE" w:rsidRDefault="00E40155">
      <w:pPr>
        <w:pStyle w:val="NumberedText"/>
        <w:tabs>
          <w:tab w:val="clear" w:pos="2047"/>
        </w:tabs>
        <w:spacing w:after="160"/>
        <w:ind w:left="300" w:hanging="300"/>
      </w:pPr>
      <w:r>
        <w:t>ii.</w:t>
      </w:r>
      <w:r>
        <w:rPr>
          <w:i/>
        </w:rPr>
        <w:tab/>
      </w:r>
      <w:r>
        <w:rPr>
          <w:i/>
          <w:iCs/>
        </w:rPr>
        <w:t xml:space="preserve">D </w:t>
      </w:r>
      <w:r>
        <w:t>er skilgreint í 11. gr.</w:t>
      </w:r>
    </w:p>
    <w:p w14:paraId="0E49FAFD" w14:textId="77777777" w:rsidR="001D6FFE" w:rsidRDefault="00E40155">
      <w:pPr>
        <w:pStyle w:val="AlineaWithParag"/>
        <w:spacing w:after="160"/>
      </w:pPr>
      <w:r>
        <w:t>2.</w:t>
      </w:r>
      <w:r>
        <w:tab/>
        <w:t>Þrátt fyrir ákvæði 1. mgr.:</w:t>
      </w:r>
    </w:p>
    <w:p w14:paraId="472E6B1D" w14:textId="77777777" w:rsidR="001D6FFE" w:rsidRDefault="00E40155">
      <w:pPr>
        <w:pStyle w:val="NumberedText"/>
        <w:spacing w:after="160"/>
        <w:ind w:left="300" w:hanging="300"/>
      </w:pPr>
      <w:r>
        <w:t>a)</w:t>
      </w:r>
      <w:r>
        <w:tab/>
        <w:t>skal frádrátturinn sem um getur í c-lið 1. mgr. 36. gr. reglugerðar (ESB) nr. 575/2013 gilda að fullu, án beitingar 39. gr. og 48. gr. þeirrar reglugerðar,</w:t>
      </w:r>
    </w:p>
    <w:p w14:paraId="5AD02202" w14:textId="77777777" w:rsidR="001D6FFE" w:rsidRDefault="00E40155">
      <w:pPr>
        <w:pStyle w:val="NumberedText"/>
        <w:spacing w:after="160"/>
        <w:ind w:left="300" w:hanging="300"/>
      </w:pPr>
      <w:r>
        <w:t>b)</w:t>
      </w:r>
      <w:r>
        <w:tab/>
        <w:t>skal frádrátturinn sem um getur í e-lið 1. mgr. 36. gr. reglugerðar (ESB) nr. 575/2013 gilda að fullu án beitingar 41. gr. þeirrar reglugerðar,</w:t>
      </w:r>
    </w:p>
    <w:p w14:paraId="7DB584D5" w14:textId="77777777" w:rsidR="001D6FFE" w:rsidRDefault="00E40155">
      <w:pPr>
        <w:pStyle w:val="NumberedText"/>
        <w:spacing w:after="160"/>
        <w:ind w:left="300" w:hanging="300"/>
      </w:pPr>
      <w:r>
        <w:t>c)</w:t>
      </w:r>
      <w:r>
        <w:tab/>
        <w:t>skal frádrátturinn sem um getur í 36. gr. (h-lið 1. mgr.), 56. gr. (c-lið) og 66. gr. (c-lið) reglugerðar (ESB) nr. 575/2013, að því marki sem hann tengist eignarhlutum í fjármagnsgerningum sem eru ekki í veltubókinni, gilda að fullu án beitingar fyrirkomulagsins sem kveðið er á um í 46., 60. og 70. gr. þeirrar reglugerðar,</w:t>
      </w:r>
    </w:p>
    <w:p w14:paraId="37B5E4FA" w14:textId="77777777" w:rsidR="001D6FFE" w:rsidRDefault="00E40155">
      <w:pPr>
        <w:pStyle w:val="NumberedText"/>
        <w:spacing w:after="160"/>
        <w:ind w:left="300" w:hanging="300"/>
      </w:pPr>
      <w:r>
        <w:t>d)</w:t>
      </w:r>
      <w:r>
        <w:tab/>
        <w:t>skal frádrátturinn sem um getur í i-lið 1. mgr. 36. gr. reglugerðar (ESB) nr. 575/2013 gilda að fullu án beitingar 48. gr. þeirrar reglugerðar,</w:t>
      </w:r>
    </w:p>
    <w:p w14:paraId="581E1F90" w14:textId="77777777" w:rsidR="001D6FFE" w:rsidRDefault="00E40155">
      <w:pPr>
        <w:pStyle w:val="NumberedText"/>
        <w:spacing w:after="160"/>
        <w:ind w:left="300" w:hanging="300"/>
      </w:pPr>
      <w:r>
        <w:t>e)</w:t>
      </w:r>
      <w:r>
        <w:tab/>
        <w:t>skulu eftirfarandi ákvæði ekki gilda fyrir ákvörðunina um eiginfjárgrunn verðbréfafyrirtækja:</w:t>
      </w:r>
    </w:p>
    <w:p w14:paraId="16ADC1DD" w14:textId="77777777" w:rsidR="001D6FFE" w:rsidRDefault="00E40155">
      <w:pPr>
        <w:pStyle w:val="NumberedText"/>
        <w:tabs>
          <w:tab w:val="clear" w:pos="2047"/>
        </w:tabs>
        <w:spacing w:after="160"/>
        <w:ind w:left="640" w:hanging="340"/>
      </w:pPr>
      <w:r>
        <w:t>i.</w:t>
      </w:r>
      <w:r>
        <w:tab/>
        <w:t>ákvæði 49. gr. reglugerðar (ESB) nr. 575/2013,</w:t>
      </w:r>
    </w:p>
    <w:p w14:paraId="22F2FA01" w14:textId="77777777" w:rsidR="001D6FFE" w:rsidRDefault="00E40155">
      <w:pPr>
        <w:pStyle w:val="NumberedText"/>
        <w:tabs>
          <w:tab w:val="clear" w:pos="2047"/>
        </w:tabs>
        <w:spacing w:after="160"/>
        <w:ind w:left="640" w:hanging="340"/>
      </w:pPr>
      <w:r>
        <w:t>ii.</w:t>
      </w:r>
      <w:r>
        <w:tab/>
      </w:r>
      <w:r>
        <w:t>frádrátturinn sem um getur í 36. gr. (h-lið 1. mgr.), 56. gr. (c-lið) og 66. gr. (c-lið) reglugerðar (ESB) nr. 575/2013 og tengd ákvæði í 46., 60. og 70. gr. þeirrar reglugerðar, að því marki sem sá frádráttur tengist eignarhlutum í fjármagnsgerningum í veltubókinni,</w:t>
      </w:r>
    </w:p>
    <w:p w14:paraId="5E6DAD1C" w14:textId="77777777" w:rsidR="001D6FFE" w:rsidRDefault="00E40155">
      <w:pPr>
        <w:pStyle w:val="NumberedText"/>
        <w:tabs>
          <w:tab w:val="clear" w:pos="2047"/>
        </w:tabs>
        <w:spacing w:after="160"/>
        <w:ind w:left="640" w:hanging="340"/>
      </w:pPr>
      <w:r>
        <w:t>iii.</w:t>
      </w:r>
      <w:r>
        <w:tab/>
        <w:t>kveikjuatburðurinn sem um getur í a-lið 1. mgr. 54. gr. reglugerðar (ESB) nr. 575/2013; verðbréfafyrirtækið skal í staðinn tilgreina kveikjuatburðinn í skilmálum viðbótareiginfjárgernings þáttar 1 sem um getur í 1. mgr.,</w:t>
      </w:r>
    </w:p>
    <w:p w14:paraId="30970694" w14:textId="77777777" w:rsidR="001D6FFE" w:rsidRDefault="00E40155">
      <w:pPr>
        <w:pStyle w:val="NumberedText"/>
        <w:tabs>
          <w:tab w:val="clear" w:pos="2047"/>
        </w:tabs>
        <w:spacing w:after="160"/>
        <w:ind w:left="640" w:hanging="340"/>
      </w:pPr>
      <w:r>
        <w:t>iv.</w:t>
      </w:r>
      <w:r>
        <w:tab/>
        <w:t>samanlagða fjárhæðin sem um getur í a-liður 4. mgr. 54. gr. reglugerðar (ESB) nr. 575/2013; fjárhæðin sem skal niðurfæra eða umbreyta skal vera allur höfuðstóll viðbótareiginfjárgernings þáttar 1 sem um getur í 1. mgr.</w:t>
      </w:r>
    </w:p>
    <w:p w14:paraId="2CE43BD3" w14:textId="77777777" w:rsidR="001D6FFE" w:rsidRDefault="00E40155">
      <w:pPr>
        <w:pStyle w:val="AlineaWithParag"/>
        <w:spacing w:after="0"/>
      </w:pPr>
      <w:r>
        <w:t>3.</w:t>
      </w:r>
      <w:r>
        <w:tab/>
        <w:t>Verðbréfafyrirtæki skulu beita viðeigandi ákvæðum 6. kafla I. bálks annars hluta reglugerðar (ESB) nr. 575/2013 þegar þau ákvarða kröfur um eiginfjárgrunn samkvæmt þessari reglugerð. Við beitingu þeirra ákvæða skal leyfi eftirlitsyfirvalda í samræmi við 77. og 78. gr. reglugerð (ESB) nr. 575/2013 teljast veitt ef eitt af skilyrðunum í a-lið 1. mgr. 78. gr. eða í 4. mgr. 78. gr. þeirrar reglugerðar er uppfyllt.</w:t>
      </w:r>
    </w:p>
    <w:p w14:paraId="4AD7E23F" w14:textId="77777777" w:rsidR="001D6FFE" w:rsidRDefault="001D6FFE">
      <w:pPr>
        <w:pStyle w:val="AlineaWithParag"/>
        <w:sectPr w:rsidR="001D6FFE">
          <w:pgSz w:w="11906" w:h="16838" w:code="9"/>
          <w:pgMar w:top="1680" w:right="1333" w:bottom="840" w:left="1333" w:header="920" w:footer="280" w:gutter="0"/>
          <w:cols w:space="708"/>
          <w:docGrid w:linePitch="360"/>
        </w:sectPr>
      </w:pPr>
    </w:p>
    <w:p w14:paraId="570F677F" w14:textId="77777777" w:rsidR="001D6FFE" w:rsidRDefault="00E40155">
      <w:pPr>
        <w:pStyle w:val="AlineaWithParag"/>
      </w:pPr>
      <w:r>
        <w:t>4.</w:t>
      </w:r>
      <w:r>
        <w:tab/>
        <w:t>Í þeim tilgangi að beita a-lið 1. mgr. að því er varðar verðbréfafyrirtæki sem ekki eru lögaðilar eða hlutafélög eða sem uppfylla skilyrði fyrir að vera lítil og ótengd verðbréfafyrirtæki, sbr. 1. mgr. 12. gr. þessarar reglugerðar, geta lögbær yfirvöld, að höfðu samráði við Evrópsku bankaeftirlitsstofnunina, heimilað að fleiri gerningar eða fjármunir teljist hæfir sem eiginfjárgrunnur hjá þessum verðbréfafyrirtækjum, að því tilskildu að þessir gerningar eða fjármunir uppfylli einnig skilyrðin fyrir meðferð</w:t>
      </w:r>
      <w:r>
        <w:t xml:space="preserve"> skv. 22. gr. tilskipun ráðsins 86/635/EBE (</w:t>
      </w:r>
      <w:bookmarkStart w:id="23" w:name="NOTE_24"/>
      <w:r>
        <w:rPr>
          <w:rStyle w:val="FootnoteReference"/>
          <w:sz w:val="18"/>
        </w:rPr>
        <w:footnoteReference w:id="25"/>
      </w:r>
      <w:bookmarkEnd w:id="23"/>
      <w:r>
        <w:t xml:space="preserve">). </w:t>
      </w:r>
      <w:r>
        <w:t>Á grundvelli upplýsinga frá hverju lögbæru yfirvaldi skal Evrópska bankaeftirlitsstofnunin, ásamt Evrópsku verðbréfamarkaðseftirlitsstofnuninni, útbúa, viðhalda og birta lista yfir allar tegundir gerninga eða fjármuna í hverju aðildarríki sem teljast hæfir sem slíkur eiginfjárgrunnur. Listinn skal birtur í fyrsta skipti fyrir 26. desember 2020.</w:t>
      </w:r>
    </w:p>
    <w:p w14:paraId="05026076" w14:textId="77777777" w:rsidR="001D6FFE" w:rsidRDefault="00E40155">
      <w:pPr>
        <w:pStyle w:val="AlineaWithParag"/>
      </w:pPr>
      <w:r>
        <w:t>5.</w:t>
      </w:r>
      <w:r>
        <w:tab/>
        <w:t>Eignarhlutar í eiginfjárgrunnsgerningum aðila á fjármálamarkaði innan samstæðu verðbréfafyrirtækja skulu ekki dregnir frá við útreikning á eiginfjárgrunni verðbréfafyrirtækis í samstæðunni á einingargrunni, að því tilskildu að öll eftirfarandi skilyrði séu uppfyllt:</w:t>
      </w:r>
    </w:p>
    <w:p w14:paraId="473B42DE" w14:textId="77777777" w:rsidR="001D6FFE" w:rsidRDefault="00E40155">
      <w:pPr>
        <w:pStyle w:val="NumberedText"/>
        <w:ind w:left="300" w:hanging="300"/>
      </w:pPr>
      <w:r>
        <w:t>a)</w:t>
      </w:r>
      <w:r>
        <w:tab/>
        <w:t>ekki eru neinar verulegar núverandi eða fyrirsjáanlegar, hagnýtar eða lagalegar hömlur á því að móðurfélagið yfirfæri fjármagn eða endurgreiði skuldir með skjótum hætti,</w:t>
      </w:r>
    </w:p>
    <w:p w14:paraId="47811ABC" w14:textId="77777777" w:rsidR="001D6FFE" w:rsidRDefault="00E40155">
      <w:pPr>
        <w:pStyle w:val="NumberedText"/>
        <w:ind w:left="300" w:hanging="300"/>
      </w:pPr>
      <w:r>
        <w:t>b)</w:t>
      </w:r>
      <w:r>
        <w:tab/>
        <w:t>aðferðir móðurfélagsins við að meta, mæla og stýra áhættu ná til aðilans á fjármálamarkaði,</w:t>
      </w:r>
    </w:p>
    <w:p w14:paraId="3EEB8134" w14:textId="77777777" w:rsidR="001D6FFE" w:rsidRDefault="00E40155">
      <w:pPr>
        <w:pStyle w:val="NumberedText"/>
        <w:ind w:left="300" w:hanging="300"/>
      </w:pPr>
      <w:r>
        <w:t>c)</w:t>
      </w:r>
      <w:r>
        <w:tab/>
        <w:t>lögbær yfirvöld nota ekki undanþáguna sem kveðið er á um í 8. gr.</w:t>
      </w:r>
    </w:p>
    <w:p w14:paraId="6BC878BC" w14:textId="77777777" w:rsidR="001D6FFE" w:rsidRDefault="00E40155">
      <w:pPr>
        <w:pStyle w:val="TIART"/>
      </w:pPr>
      <w:r>
        <w:t>10. gr.</w:t>
      </w:r>
    </w:p>
    <w:p w14:paraId="04CCC421" w14:textId="77777777" w:rsidR="001D6FFE" w:rsidRDefault="00E40155">
      <w:pPr>
        <w:pStyle w:val="STIART"/>
      </w:pPr>
      <w:r>
        <w:t>Virkir eignarhlutir utan fjármálageirans</w:t>
      </w:r>
    </w:p>
    <w:p w14:paraId="3E8CD4F8" w14:textId="77777777" w:rsidR="001D6FFE" w:rsidRDefault="00E40155">
      <w:pPr>
        <w:pStyle w:val="AlineaWithParag"/>
      </w:pPr>
      <w:r>
        <w:t>1.</w:t>
      </w:r>
      <w:r>
        <w:tab/>
        <w:t>Að því er varðar þennan hluta skulu verðbréfafyrirtæki draga fjárhæðir sem eru umfram mörkin sem tiltekin eru í a- og b-lið frá ákvörðuninni á liðum í almennu eigin fé þáttar 1 sem um getur í 26. gr. reglugerðar (ESB) nr. 575/2013:</w:t>
      </w:r>
    </w:p>
    <w:p w14:paraId="3BD303AA" w14:textId="77777777" w:rsidR="001D6FFE" w:rsidRDefault="00E40155">
      <w:pPr>
        <w:pStyle w:val="NumberedText"/>
        <w:ind w:left="300" w:hanging="300"/>
      </w:pPr>
      <w:r>
        <w:t>a)</w:t>
      </w:r>
      <w:r>
        <w:tab/>
        <w:t>virkur eignarhlutur, ef fjárhæð hans er umfram 15% af eiginfjárgrunni verðbréfafyrirtækisins reiknuðum út í samræmi við 9. gr. þessarar reglugerðar en án þess að beita frádrættinum sem um getur í i. lið k-liðar 1. mgr. 36. gr. reglugerðar (ESB) nr. 575/2013, í fyrirtæki sem er ekki aðili á fjármálamarkaði,</w:t>
      </w:r>
    </w:p>
    <w:p w14:paraId="294054DF" w14:textId="77777777" w:rsidR="001D6FFE" w:rsidRDefault="00E40155">
      <w:pPr>
        <w:pStyle w:val="NumberedText"/>
        <w:ind w:left="300" w:hanging="300"/>
      </w:pPr>
      <w:r>
        <w:t>b)</w:t>
      </w:r>
      <w:r>
        <w:tab/>
        <w:t>heildarupphæð virkra eignarhluta verðbréfafyrirtækis í öðrum fyrirtækjum en aðilum á fjármálamarkaði sem er umfram 60% af eiginfjárgrunni þess reiknuðum út í samræmi við 9. gr. þessarar reglugerðar, en án þess að beita frádrættinum sem um getur í i. lið k-liðar 1. mgr. 36. gr. reglugerðar (ESB) nr. 575/2013.</w:t>
      </w:r>
    </w:p>
    <w:p w14:paraId="2404A6C3" w14:textId="77777777" w:rsidR="001D6FFE" w:rsidRDefault="00E40155">
      <w:pPr>
        <w:pStyle w:val="AlineaWithParag"/>
      </w:pPr>
      <w:r>
        <w:t>2.</w:t>
      </w:r>
      <w:r>
        <w:tab/>
        <w:t>Lögbær yfirvöld geta bannað verðbréfafyrirtæki að eiga virka eignarhluta eins og um getur í 1. mgr. ef fjárhæðin á þeim eignarhlutum er umfram hlutfall eiginfjárgrunns sem mælt er fyrir um í þeirri málsgrein. Lögbær yfirvöld skulu án tafar birta opinberlega ákvörðun sína um að beita þessari heimild.</w:t>
      </w:r>
    </w:p>
    <w:p w14:paraId="617E3FB5" w14:textId="77777777" w:rsidR="001D6FFE" w:rsidRDefault="00E40155">
      <w:pPr>
        <w:pStyle w:val="AlineaWithParag"/>
      </w:pPr>
      <w:r>
        <w:t>3.</w:t>
      </w:r>
      <w:r>
        <w:tab/>
        <w:t>Hlutir í fyrirtækjum öðrum en aðilum á fjármálamarkaði skulu ekki teknir með í útreikningnum sem tilgreindur er í 1. mgr. ef eitthvert af eftirtöldum skilyrðum er uppfyllt:</w:t>
      </w:r>
    </w:p>
    <w:p w14:paraId="435EFDC9" w14:textId="77777777" w:rsidR="001D6FFE" w:rsidRDefault="00E40155">
      <w:pPr>
        <w:pStyle w:val="NumberedText"/>
        <w:ind w:left="300" w:hanging="300"/>
      </w:pPr>
      <w:r>
        <w:t>a)</w:t>
      </w:r>
      <w:r>
        <w:tab/>
        <w:t>hlutunum er haldið tímabundið á meðan fjárhagsaðstoð sem um getur í 79. gr. reglugerðar (EBE) nr. 575/2013 stendur yfir,</w:t>
      </w:r>
    </w:p>
    <w:p w14:paraId="2E3AEB9A" w14:textId="77777777" w:rsidR="001D6FFE" w:rsidRDefault="00E40155">
      <w:pPr>
        <w:pStyle w:val="NumberedText"/>
        <w:ind w:left="300" w:hanging="300"/>
      </w:pPr>
      <w:r>
        <w:t>b)</w:t>
      </w:r>
      <w:r>
        <w:tab/>
        <w:t>eignarhlutdeild þessara hluta er sölutryggingarstaða sem haldið er í fimm virka daga eða skemur,</w:t>
      </w:r>
    </w:p>
    <w:p w14:paraId="256D35C9" w14:textId="77777777" w:rsidR="001D6FFE" w:rsidRDefault="00E40155">
      <w:pPr>
        <w:pStyle w:val="NumberedText"/>
        <w:ind w:left="300" w:hanging="300"/>
      </w:pPr>
      <w:r>
        <w:t>c)</w:t>
      </w:r>
      <w:r>
        <w:tab/>
        <w:t>hlutunum er haldið í nafni verðbréfafyrirtækisins og fyrir hönd annarra.</w:t>
      </w:r>
    </w:p>
    <w:p w14:paraId="69B51464" w14:textId="77777777" w:rsidR="001D6FFE" w:rsidRDefault="00E40155">
      <w:pPr>
        <w:pStyle w:val="AlineaWithParag"/>
        <w:spacing w:after="0"/>
      </w:pPr>
      <w:r>
        <w:t>4.</w:t>
      </w:r>
      <w:r>
        <w:tab/>
        <w:t>Hlutir sem eru ekki áhættufjármunir samkvæmt skilgreiningu í 2. mgr. 35. gr. tilskipunar 86/635/EBE skulu ekki taldir með í útreikningnum sem tilgreindur er í 1. mgr. þessarar greinar.</w:t>
      </w:r>
      <w:r>
        <w:br w:type="page"/>
      </w:r>
    </w:p>
    <w:p w14:paraId="62DC3F41" w14:textId="77777777" w:rsidR="001D6FFE" w:rsidRDefault="00E40155">
      <w:pPr>
        <w:pStyle w:val="DivisionTI1"/>
        <w:spacing w:after="120"/>
        <w:rPr>
          <w:caps w:val="0"/>
          <w:szCs w:val="16"/>
        </w:rPr>
      </w:pPr>
      <w:r>
        <w:rPr>
          <w:caps w:val="0"/>
        </w:rPr>
        <w:t>ÞRIÐJI HLUTI</w:t>
      </w:r>
    </w:p>
    <w:p w14:paraId="36739547" w14:textId="77777777" w:rsidR="001D6FFE" w:rsidRDefault="00E40155">
      <w:pPr>
        <w:pStyle w:val="DivisionSTI1"/>
        <w:spacing w:after="240"/>
        <w:rPr>
          <w:sz w:val="16"/>
          <w:szCs w:val="16"/>
        </w:rPr>
      </w:pPr>
      <w:r>
        <w:rPr>
          <w:b/>
          <w:sz w:val="16"/>
        </w:rPr>
        <w:t>EIGINFJÁRKRÖFUR</w:t>
      </w:r>
    </w:p>
    <w:p w14:paraId="0B329784" w14:textId="77777777" w:rsidR="001D6FFE" w:rsidRDefault="00E40155">
      <w:pPr>
        <w:pStyle w:val="DivisionTI2"/>
        <w:spacing w:after="120"/>
        <w:rPr>
          <w:sz w:val="16"/>
          <w:szCs w:val="16"/>
        </w:rPr>
      </w:pPr>
      <w:r>
        <w:rPr>
          <w:sz w:val="16"/>
        </w:rPr>
        <w:t>I. BÁLKUR</w:t>
      </w:r>
    </w:p>
    <w:p w14:paraId="2EEB6AD0" w14:textId="77777777" w:rsidR="001D6FFE" w:rsidRDefault="00E40155">
      <w:pPr>
        <w:pStyle w:val="DivisionSTI2"/>
        <w:spacing w:after="240"/>
        <w:rPr>
          <w:sz w:val="16"/>
          <w:szCs w:val="16"/>
        </w:rPr>
      </w:pPr>
      <w:r>
        <w:rPr>
          <w:b/>
          <w:sz w:val="16"/>
        </w:rPr>
        <w:t>ALMENNAR KRÖFUR</w:t>
      </w:r>
    </w:p>
    <w:p w14:paraId="186D6875" w14:textId="77777777" w:rsidR="001D6FFE" w:rsidRDefault="00E40155">
      <w:pPr>
        <w:pStyle w:val="TIART"/>
      </w:pPr>
      <w:r>
        <w:t>11. gr.</w:t>
      </w:r>
    </w:p>
    <w:p w14:paraId="384D2181" w14:textId="77777777" w:rsidR="001D6FFE" w:rsidRDefault="00E40155">
      <w:pPr>
        <w:pStyle w:val="STIART"/>
      </w:pPr>
      <w:r>
        <w:t>Kröfur um eiginfjárgrunn</w:t>
      </w:r>
    </w:p>
    <w:p w14:paraId="020B12E8" w14:textId="77777777" w:rsidR="001D6FFE" w:rsidRDefault="00E40155">
      <w:pPr>
        <w:pStyle w:val="AlineaWithParag"/>
        <w:spacing w:after="160"/>
      </w:pPr>
      <w:r>
        <w:t>1.</w:t>
      </w:r>
      <w:r>
        <w:tab/>
      </w:r>
      <w:r>
        <w:t xml:space="preserve">Verðbréfafyrirtæki skulu ávallt hafa eiginfjárgrunn í samræmi við 9. gr. sem nemur a.m.k. </w:t>
      </w:r>
      <w:r>
        <w:rPr>
          <w:i/>
        </w:rPr>
        <w:t>D</w:t>
      </w:r>
      <w:r>
        <w:t xml:space="preserve">, þar sem </w:t>
      </w:r>
      <w:r>
        <w:rPr>
          <w:i/>
        </w:rPr>
        <w:t>D</w:t>
      </w:r>
      <w:r>
        <w:t xml:space="preserve"> er skilgreint sem það hæsta af eftirtöldu:</w:t>
      </w:r>
    </w:p>
    <w:p w14:paraId="7DE0F4DE" w14:textId="77777777" w:rsidR="001D6FFE" w:rsidRDefault="00E40155">
      <w:pPr>
        <w:pStyle w:val="NumberedText"/>
        <w:spacing w:after="160"/>
        <w:ind w:left="300" w:hanging="300"/>
      </w:pPr>
      <w:r>
        <w:t>a)</w:t>
      </w:r>
      <w:r>
        <w:tab/>
        <w:t>kröfu þeirra um fastan kostnað, reiknuð út í samræmi við 13. gr.,</w:t>
      </w:r>
    </w:p>
    <w:p w14:paraId="3A1ED765" w14:textId="77777777" w:rsidR="001D6FFE" w:rsidRDefault="00E40155">
      <w:pPr>
        <w:pStyle w:val="NumberedText"/>
        <w:spacing w:after="160"/>
        <w:ind w:left="300" w:hanging="300"/>
      </w:pPr>
      <w:r>
        <w:t>b)</w:t>
      </w:r>
      <w:r>
        <w:tab/>
        <w:t>kröfu þeirra um varanlegt lágmarksfjármagn í samræmi við 14. gr. eða</w:t>
      </w:r>
    </w:p>
    <w:p w14:paraId="4C3A1A14" w14:textId="77777777" w:rsidR="001D6FFE" w:rsidRDefault="00E40155">
      <w:pPr>
        <w:pStyle w:val="NumberedText"/>
        <w:spacing w:after="160"/>
        <w:ind w:left="300" w:hanging="300"/>
      </w:pPr>
      <w:r>
        <w:t>c)</w:t>
      </w:r>
      <w:r>
        <w:tab/>
        <w:t>kröfu þeirra fyrir K-þátt, reiknuð út í samræmi við 15. gr.</w:t>
      </w:r>
    </w:p>
    <w:p w14:paraId="6C0749AE" w14:textId="77777777" w:rsidR="001D6FFE" w:rsidRDefault="00E40155">
      <w:pPr>
        <w:pStyle w:val="AlineaWithParag"/>
        <w:spacing w:after="160"/>
      </w:pPr>
      <w:r>
        <w:t>2.</w:t>
      </w:r>
      <w:r>
        <w:tab/>
        <w:t xml:space="preserve">Þrátt fyrir 1. mgr. skal </w:t>
      </w:r>
      <w:r>
        <w:rPr>
          <w:i/>
        </w:rPr>
        <w:t>D</w:t>
      </w:r>
      <w:r>
        <w:t xml:space="preserve"> skilgreint sem það hæsta af þeim fjárhæðum sem tilgreindar eru í a- og b-lið 1. mgr. ef verðbréfafyrirtæki uppfyllir skilyrðin til að teljast lítið og ótengt verðbréfafyrirtæki sem sett eru fram í 1. mgr. 12. gr.</w:t>
      </w:r>
    </w:p>
    <w:p w14:paraId="6EA27EEF" w14:textId="77777777" w:rsidR="001D6FFE" w:rsidRDefault="00E40155">
      <w:pPr>
        <w:pStyle w:val="AlineaWithParag"/>
        <w:spacing w:after="160"/>
      </w:pPr>
      <w:r>
        <w:t>3.</w:t>
      </w:r>
      <w:r>
        <w:tab/>
        <w:t>Ef lögbær yfirvöld telja að veruleg breyting hafi átt sér stað í atvinnustarfsemi verðbréfafyrirtækis geta þau krafist þess að verðbréfafyrirtækið falli undir aðrar kröfur um eiginfjárgrunn sem um getur í þessari grein, í samræmi við IV. bálk, 2. kafla, 4. hluta tilskipunar (ESB) 2019/2034.</w:t>
      </w:r>
    </w:p>
    <w:p w14:paraId="6AEC9839" w14:textId="77777777" w:rsidR="001D6FFE" w:rsidRDefault="00E40155">
      <w:pPr>
        <w:pStyle w:val="AlineaWithParag"/>
      </w:pPr>
      <w:r>
        <w:t>4.</w:t>
      </w:r>
      <w:r>
        <w:tab/>
        <w:t>Verðbréfafyrirtæki skulu tilkynna lögbærum yfirvöldum strax og þau verða vör við að þau fullnægi ekki lengur eða muni ekki lengur fullnægja kröfunum í þessari grein.</w:t>
      </w:r>
    </w:p>
    <w:p w14:paraId="1198B739" w14:textId="77777777" w:rsidR="001D6FFE" w:rsidRDefault="00E40155">
      <w:pPr>
        <w:pStyle w:val="TIART"/>
      </w:pPr>
      <w:r>
        <w:t>12. gr.</w:t>
      </w:r>
    </w:p>
    <w:p w14:paraId="2AB9CA91" w14:textId="77777777" w:rsidR="001D6FFE" w:rsidRDefault="00E40155">
      <w:pPr>
        <w:pStyle w:val="STIART"/>
      </w:pPr>
      <w:r>
        <w:t>Lítil og ótengd verðbréfafyrirtæki</w:t>
      </w:r>
    </w:p>
    <w:p w14:paraId="349CF3BE" w14:textId="77777777" w:rsidR="001D6FFE" w:rsidRDefault="00E40155">
      <w:pPr>
        <w:pStyle w:val="AlineaWithParag"/>
        <w:spacing w:after="160"/>
      </w:pPr>
      <w:r>
        <w:t>1.</w:t>
      </w:r>
      <w:r>
        <w:tab/>
        <w:t>Verðbréfafyrirtæki skulu teljast lítil og ótengd verðbréfafyrirtæki að því er varðar þessa reglugerð ef þau uppfylla öll eftirfarandi skilyrði:</w:t>
      </w:r>
    </w:p>
    <w:p w14:paraId="043F9C6A" w14:textId="77777777" w:rsidR="001D6FFE" w:rsidRDefault="00E40155">
      <w:pPr>
        <w:pStyle w:val="NumberedText"/>
        <w:spacing w:after="160"/>
        <w:ind w:left="300" w:hanging="300"/>
      </w:pPr>
      <w:r>
        <w:t>a)</w:t>
      </w:r>
      <w:r>
        <w:tab/>
        <w:t>AUM, mælt í samræmi við 17. gr., er lægra en 1,2 milljarður evra,</w:t>
      </w:r>
    </w:p>
    <w:p w14:paraId="17604090" w14:textId="77777777" w:rsidR="001D6FFE" w:rsidRDefault="00E40155">
      <w:pPr>
        <w:pStyle w:val="NumberedText"/>
        <w:spacing w:after="160"/>
        <w:ind w:left="300" w:hanging="300"/>
      </w:pPr>
      <w:r>
        <w:t>b)</w:t>
      </w:r>
      <w:r>
        <w:tab/>
        <w:t>COH, mælt í samræmi við 20. gr., er lægra en annaðhvort:</w:t>
      </w:r>
    </w:p>
    <w:p w14:paraId="629994AD" w14:textId="77777777" w:rsidR="001D6FFE" w:rsidRDefault="00E40155">
      <w:pPr>
        <w:pStyle w:val="NumberedText"/>
        <w:tabs>
          <w:tab w:val="clear" w:pos="2047"/>
        </w:tabs>
        <w:spacing w:after="160"/>
        <w:ind w:left="600" w:hanging="300"/>
      </w:pPr>
      <w:r>
        <w:t>i.</w:t>
      </w:r>
      <w:r>
        <w:tab/>
        <w:t>100 milljón evrur á dag fyrir reiðufjárviðskipti eða</w:t>
      </w:r>
    </w:p>
    <w:p w14:paraId="38E98BD0" w14:textId="77777777" w:rsidR="001D6FFE" w:rsidRDefault="00E40155">
      <w:pPr>
        <w:pStyle w:val="NumberedText"/>
        <w:tabs>
          <w:tab w:val="clear" w:pos="2047"/>
        </w:tabs>
        <w:spacing w:after="160"/>
        <w:ind w:left="600" w:hanging="300"/>
      </w:pPr>
      <w:r>
        <w:t>ii.</w:t>
      </w:r>
      <w:r>
        <w:tab/>
        <w:t>1 milljarður evra á dag fyrir afleiður,</w:t>
      </w:r>
    </w:p>
    <w:p w14:paraId="72A571AB" w14:textId="77777777" w:rsidR="001D6FFE" w:rsidRDefault="00E40155">
      <w:pPr>
        <w:pStyle w:val="NumberedText"/>
        <w:spacing w:after="160"/>
        <w:ind w:left="300" w:hanging="300"/>
      </w:pPr>
      <w:r>
        <w:t>c)</w:t>
      </w:r>
      <w:r>
        <w:tab/>
        <w:t>ASA, mælt í samræmi við 19. gr., er núll,</w:t>
      </w:r>
    </w:p>
    <w:p w14:paraId="5006956C" w14:textId="77777777" w:rsidR="001D6FFE" w:rsidRDefault="00E40155">
      <w:pPr>
        <w:pStyle w:val="NumberedText"/>
        <w:spacing w:after="160"/>
        <w:ind w:left="300" w:hanging="300"/>
      </w:pPr>
      <w:r>
        <w:t>d)</w:t>
      </w:r>
      <w:r>
        <w:tab/>
        <w:t>CMH, mælt í samræmi við 18. gr., er núll,</w:t>
      </w:r>
    </w:p>
    <w:p w14:paraId="279F2415" w14:textId="77777777" w:rsidR="001D6FFE" w:rsidRDefault="00E40155">
      <w:pPr>
        <w:pStyle w:val="NumberedText"/>
        <w:spacing w:after="160"/>
        <w:ind w:left="300" w:hanging="300"/>
      </w:pPr>
      <w:r>
        <w:t>e)</w:t>
      </w:r>
      <w:r>
        <w:tab/>
        <w:t>DTF, mælt í samræmi við 33. gr., er núll,</w:t>
      </w:r>
    </w:p>
    <w:p w14:paraId="1F37F6EC" w14:textId="77777777" w:rsidR="001D6FFE" w:rsidRDefault="00E40155">
      <w:pPr>
        <w:pStyle w:val="NumberedText"/>
        <w:spacing w:after="160"/>
        <w:ind w:left="300" w:hanging="300"/>
      </w:pPr>
      <w:r>
        <w:t>f)</w:t>
      </w:r>
      <w:r>
        <w:tab/>
        <w:t>NPR eða CMG, mælt í samræmi við 22. og 23. gr., er núll,</w:t>
      </w:r>
    </w:p>
    <w:p w14:paraId="4108858A" w14:textId="77777777" w:rsidR="001D6FFE" w:rsidRDefault="00E40155">
      <w:pPr>
        <w:pStyle w:val="NumberedText"/>
        <w:spacing w:after="160"/>
        <w:ind w:left="300" w:hanging="300"/>
      </w:pPr>
      <w:r>
        <w:t>g)</w:t>
      </w:r>
      <w:r>
        <w:tab/>
        <w:t>TCD, mælt í samræmi við 26. gr., er núll,</w:t>
      </w:r>
    </w:p>
    <w:p w14:paraId="7EF7D5BF" w14:textId="77777777" w:rsidR="001D6FFE" w:rsidRDefault="00E40155">
      <w:pPr>
        <w:pStyle w:val="NumberedText"/>
        <w:spacing w:after="160"/>
        <w:ind w:left="300" w:hanging="300"/>
      </w:pPr>
      <w:r>
        <w:t>h)</w:t>
      </w:r>
      <w:r>
        <w:tab/>
      </w:r>
      <w:r>
        <w:t>samtala efnahagsreiknings og liða utan efnahagsreiknings verðbréfafyrirtækisins er lægri en 100 milljón evrur,</w:t>
      </w:r>
    </w:p>
    <w:p w14:paraId="04CFFFB2" w14:textId="77777777" w:rsidR="001D6FFE" w:rsidRDefault="00E40155">
      <w:pPr>
        <w:pStyle w:val="NumberedText"/>
        <w:spacing w:after="160"/>
        <w:ind w:left="300" w:hanging="300"/>
      </w:pPr>
      <w:r>
        <w:t>i)</w:t>
      </w:r>
      <w:r>
        <w:tab/>
        <w:t>vergar heildartekjur á ári af fjárfestingarþjónustu og -starfsemi verðbréfafyrirtækisins eru lægri en 30 milljónir evra, reiknaðar út sem meðaltal á grundvelli árstalna frá næstliðnum tveimur árum á undan viðkomandi fjárhagsári.</w:t>
      </w:r>
    </w:p>
    <w:p w14:paraId="3A90F428" w14:textId="77777777" w:rsidR="001D6FFE" w:rsidRDefault="00E40155">
      <w:pPr>
        <w:pStyle w:val="Alinea"/>
      </w:pPr>
      <w:r>
        <w:t>Þrátt fyrir ákvæði II. bálks, að því er varðar a-, b-, c-, e- og f-lið, að því marki sem liðurinn tengist NPR, og g-lið fyrstu undirgreinar, skal nota verðgildi í dagslok.</w:t>
      </w:r>
    </w:p>
    <w:p w14:paraId="65F3679D" w14:textId="77777777" w:rsidR="001D6FFE" w:rsidRDefault="00E40155">
      <w:pPr>
        <w:pStyle w:val="Alinea"/>
        <w:spacing w:after="0"/>
      </w:pPr>
      <w:r>
        <w:t>Að því er varðar f-lið fyrstu undirgreinar, að því marki sem sá liður tengist CMG, skal nota verðgildi innan dags.</w:t>
      </w:r>
      <w:r>
        <w:br w:type="page"/>
      </w:r>
    </w:p>
    <w:p w14:paraId="45DADE02" w14:textId="77777777" w:rsidR="001D6FFE" w:rsidRDefault="00E40155">
      <w:pPr>
        <w:pStyle w:val="Alinea"/>
      </w:pPr>
      <w:r>
        <w:t>Að því er varðar d-lið fyrstu undirgreinar þessarar málsgreinar og án þess að hafa áhrif á 9. mgr. 16. gr. tilskipunar 2014/65/ESB og 2. og 4. gr. framseldrar tilskipunar (ESB) 2017/593, skal nota verðgildi innan dags nema villa hafi verið í skráahaldi eða afstemmingu reikninga sem gaf ranglega í skyn að verðbréfafyrirtæki hafi farið yfir núllviðmiðunarmarkið sem um getur í d-lið fyrstu undirgreinar þessarar greinar, og sem er leiðrétt fyrir lok viðskiptadagsins. Verðbréfafyrirtækið skal tilkynna lögbæru yf</w:t>
      </w:r>
      <w:r>
        <w:t>irvaldi án tafar um villuna, ástæðu þess að hún kom upp og leiðréttingu hennar.</w:t>
      </w:r>
    </w:p>
    <w:p w14:paraId="7883C2BF" w14:textId="77777777" w:rsidR="001D6FFE" w:rsidRDefault="00E40155">
      <w:pPr>
        <w:pStyle w:val="Alinea"/>
      </w:pPr>
      <w:r>
        <w:t>Að því er varðar h- og i-lið fyrstu undirgreinar skal nota gildin í lok síðasta fjárhagsárs sem reikningsskil hafa verið fullgerð fyrir og samþykkt af stjórn og/eða framkvæmdastjórn. Hafi reikningsskil ekki verið fullgerð og samþykkt sex mánuðum eftir lok næstliðins fjárhagsárs skal verðbréfafyrirtæki nota bráðabirgðareikningsskil.</w:t>
      </w:r>
    </w:p>
    <w:p w14:paraId="71D31949" w14:textId="77777777" w:rsidR="001D6FFE" w:rsidRDefault="00E40155">
      <w:pPr>
        <w:pStyle w:val="Alinea"/>
      </w:pPr>
      <w:r>
        <w:t>Verðbréfafyrirtæki geta mælt verðgildi skv. a- og b-lið fyrstu undirgreinar með því að nota aðferðina sem tilgreind er í II. bálki, með þeirri undantekningu að mælingarnar skulu gerðar yfir 12 mánuði, án þess að undanskilja gildi þriggja síðustu mánaða. Verðbréfafyrirtæki sem velja þessa mæliaðferð skulu tilkynna lögbæra yfirvaldinu um það og skulu beita hinni völdu aðferð yfir samfellt tímabil sem ekki er skemmra en 12 samfelldir mánuðir.</w:t>
      </w:r>
    </w:p>
    <w:p w14:paraId="4A7E081F" w14:textId="77777777" w:rsidR="001D6FFE" w:rsidRDefault="00E40155">
      <w:pPr>
        <w:pStyle w:val="AlineaWithParag"/>
      </w:pPr>
      <w:r>
        <w:t>2.</w:t>
      </w:r>
      <w:r>
        <w:tab/>
        <w:t>Skilyrðin sem sett eru fram í a-, b-, h-, og i-lið 1. mgr. skulu gilda á samanteknum grunni fyrir öll verðbréfafyrirtæki sem eru hluti af samstæðu. Til að mæla vergar heildartekjur á ári sem um getur í i-lið 1. mgr. er þeim verðbréfafyrirtækjum heimilt að undanskilja alla tvítalningu sem gæti komið upp í tengslum við vergar tekjur sem skapast innan samstæðunnar.</w:t>
      </w:r>
    </w:p>
    <w:p w14:paraId="600A57D0" w14:textId="77777777" w:rsidR="001D6FFE" w:rsidRDefault="00E40155">
      <w:pPr>
        <w:pStyle w:val="Alinea"/>
      </w:pPr>
      <w:r>
        <w:t>Skilyrðin sem sett eru fram í c- til g-lið 1. mgr. skulu gilda um hvert verðbréfafyrirtæki á einingargrunni.</w:t>
      </w:r>
    </w:p>
    <w:p w14:paraId="07D7BC81" w14:textId="77777777" w:rsidR="001D6FFE" w:rsidRDefault="00E40155">
      <w:pPr>
        <w:pStyle w:val="AlineaWithParag"/>
      </w:pPr>
      <w:r>
        <w:t>3.</w:t>
      </w:r>
      <w:r>
        <w:tab/>
        <w:t>Ef verðbréfafyrirtæki uppfyllir ekki lengur öll skilyrðin sem sett eru fram í 1. mgr. skal það þegar í stað hætta að teljast lítið og ótengt verðbréfafyrirtæki.</w:t>
      </w:r>
    </w:p>
    <w:p w14:paraId="7A675097" w14:textId="77777777" w:rsidR="001D6FFE" w:rsidRDefault="00E40155">
      <w:pPr>
        <w:pStyle w:val="Alinea"/>
      </w:pPr>
      <w:r>
        <w:t>Þrátt fyrir fyrstu undirgrein, ef verðbréfafyrirtæki uppfyllir ekki lengur skilyrðin sem sett eru fram í a-, b-, h- eða i- lið 1. mgr., en uppfyllir áfram skilyrðin í c- til g-lið þeirrar málsgreinar, skal það að þrem mánuðum liðnum hætta að teljast lítið og ótengt verðbréfafyrirtæki, talið frá þeim degi sem farið var yfir viðmiðunarmörkin. Verðbréfafyrirtækið skal upplýsa lögbæra yfirvaldið án ótilhlýðilegrar tafar ef það fer yfir einhver viðmiðunarmörk.</w:t>
      </w:r>
    </w:p>
    <w:p w14:paraId="688BA5BE" w14:textId="77777777" w:rsidR="001D6FFE" w:rsidRDefault="00E40155">
      <w:pPr>
        <w:pStyle w:val="AlineaWithParag"/>
      </w:pPr>
      <w:r>
        <w:t>4.</w:t>
      </w:r>
      <w:r>
        <w:tab/>
        <w:t>Ef verðbréfafyrirtæki sem ekki uppfyllti öll skilyrðin í 1. mgr. uppfyllir þau síðar skal það ekki teljast lítið og ótengt verðbréfafyrirtæki fyrr en sex mánuðum eftir daginn sem þessi skilyrði eru uppfyllt, að því tilskildu að það hafi ekki farið yfir nein viðmiðunarmörk á því tímabili og að verðbréfafyrirtækið hafi látið lögbæra yfirvaldið vita um það án tafar.</w:t>
      </w:r>
    </w:p>
    <w:p w14:paraId="506251A6" w14:textId="77777777" w:rsidR="001D6FFE" w:rsidRDefault="00E40155">
      <w:pPr>
        <w:pStyle w:val="TIART"/>
      </w:pPr>
      <w:r>
        <w:t>13. gr.</w:t>
      </w:r>
    </w:p>
    <w:p w14:paraId="66E32F29" w14:textId="77777777" w:rsidR="001D6FFE" w:rsidRDefault="00E40155">
      <w:pPr>
        <w:pStyle w:val="STIART"/>
      </w:pPr>
      <w:r>
        <w:t>Krafa um fastan kostnað</w:t>
      </w:r>
    </w:p>
    <w:p w14:paraId="34951A47" w14:textId="77777777" w:rsidR="001D6FFE" w:rsidRDefault="00E40155">
      <w:pPr>
        <w:pStyle w:val="AlineaWithParag"/>
      </w:pPr>
      <w:r>
        <w:t>1.</w:t>
      </w:r>
      <w:r>
        <w:tab/>
        <w:t>Að því er varðar a-lið 1. mgr. 11. gr. skal krafa um fastan kostnað nema a.m.k. einum fjórða hluta fasts kostnaðar næstliðins árs. Verðbréfafyrirtæki skulu nota tölur sem leiða af viðeigandi reikningsskilaumgjörð.</w:t>
      </w:r>
    </w:p>
    <w:p w14:paraId="571DDC39" w14:textId="77777777" w:rsidR="001D6FFE" w:rsidRDefault="00E40155">
      <w:pPr>
        <w:pStyle w:val="AlineaWithParag"/>
      </w:pPr>
      <w:r>
        <w:t>2.</w:t>
      </w:r>
      <w:r>
        <w:tab/>
        <w:t>Ef lögbært yfirvald telur að veruleg breyting hafi orðið á starfsemi verðbréfafyrirtækis getur lögbæra yfirvaldið aðlagað fjárhæðina sem um getur í 1. mgr.</w:t>
      </w:r>
    </w:p>
    <w:p w14:paraId="2F966D05" w14:textId="77777777" w:rsidR="001D6FFE" w:rsidRDefault="00E40155">
      <w:pPr>
        <w:pStyle w:val="AlineaWithParag"/>
      </w:pPr>
      <w:r>
        <w:t>3.</w:t>
      </w:r>
      <w:r>
        <w:tab/>
        <w:t>Ef verðbréfafyrirtæki hefur ekki verið starfrækt í heilt ár frá þeim degi sem það hóf að veita fjárfestingarþjónustu eða stunda fjárfestingarstarfsemi skal það nota, að því er varðar útreikninginn sem um getur í 1. mgr., áætlaða fasta kostnaðinn sem gert er ráð fyrir í spám þess um starfsemi fyrstu 12 mánuðina, eins og lagt var fram með umsókn þess um starfsleyfi.</w:t>
      </w:r>
    </w:p>
    <w:p w14:paraId="38E12B63" w14:textId="77777777" w:rsidR="001D6FFE" w:rsidRDefault="00E40155">
      <w:pPr>
        <w:pStyle w:val="AlineaWithParag"/>
      </w:pPr>
      <w:r>
        <w:t>4.</w:t>
      </w:r>
      <w:r>
        <w:tab/>
        <w:t>Evrópska bankaeftirlitsstofnunin, í samráði við Evrópsku verðbréfamarkaðseftirlitsstofnunina, skal semja drög að tæknilegum eftirlitsstaðli til að bæta við útreikninginn á kröfunum sem um getur í 1. mgr. sem ná yfir a.m.k. eftirfarandi liði til frádráttar:</w:t>
      </w:r>
    </w:p>
    <w:p w14:paraId="314A5540" w14:textId="77777777" w:rsidR="001D6FFE" w:rsidRDefault="00E40155">
      <w:pPr>
        <w:pStyle w:val="NumberedText"/>
        <w:ind w:left="300" w:hanging="300"/>
      </w:pPr>
      <w:r>
        <w:t>a)</w:t>
      </w:r>
      <w:r>
        <w:tab/>
        <w:t>kaupauka starfsfólks og aðrar launagreiðslur, að því marki sem þær miðast við hreinan hagnað verðbréfafyrirtækisins á viðkomandi ári,</w:t>
      </w:r>
    </w:p>
    <w:p w14:paraId="0BB53B64" w14:textId="77777777" w:rsidR="001D6FFE" w:rsidRDefault="00E40155">
      <w:pPr>
        <w:pStyle w:val="NumberedText"/>
        <w:spacing w:after="0"/>
        <w:ind w:left="300" w:hanging="300"/>
      </w:pPr>
      <w:r>
        <w:t>b)</w:t>
      </w:r>
      <w:r>
        <w:tab/>
        <w:t>hlut starfsfólks, stjórnarmanna og eigenda í hagnaði,</w:t>
      </w:r>
    </w:p>
    <w:p w14:paraId="42B41537" w14:textId="77777777" w:rsidR="001D6FFE" w:rsidRDefault="001D6FFE">
      <w:pPr>
        <w:pStyle w:val="NumberedText"/>
        <w:ind w:left="300" w:hanging="300"/>
        <w:sectPr w:rsidR="001D6FFE">
          <w:footnotePr>
            <w:pos w:val="beneathText"/>
          </w:footnotePr>
          <w:pgSz w:w="11906" w:h="16838" w:code="9"/>
          <w:pgMar w:top="1680" w:right="1333" w:bottom="840" w:left="1333" w:header="920" w:footer="280" w:gutter="0"/>
          <w:cols w:space="708"/>
          <w:vAlign w:val="both"/>
          <w:docGrid w:linePitch="360"/>
        </w:sectPr>
      </w:pPr>
    </w:p>
    <w:p w14:paraId="119EA711" w14:textId="77777777" w:rsidR="001D6FFE" w:rsidRDefault="00E40155">
      <w:pPr>
        <w:pStyle w:val="NumberedText"/>
        <w:ind w:left="300" w:hanging="300"/>
      </w:pPr>
      <w:r>
        <w:t>c)</w:t>
      </w:r>
      <w:r>
        <w:tab/>
        <w:t>aðra ráðstöfun hagnaðar og aðrar greiðslur breytilegra launa að því marki sem þær eru algerlega valkvæðar,</w:t>
      </w:r>
    </w:p>
    <w:p w14:paraId="0E7BE09D" w14:textId="77777777" w:rsidR="001D6FFE" w:rsidRDefault="00E40155">
      <w:pPr>
        <w:pStyle w:val="NumberedText"/>
        <w:ind w:left="300" w:hanging="300"/>
      </w:pPr>
      <w:r>
        <w:t>d)</w:t>
      </w:r>
      <w:r>
        <w:tab/>
        <w:t>sameiginleg ógreidd umboðslaun og þóknanir sem tengjast beint útistandandi umboðslaunum og þóknunum, sem eru innifalin í heildartekjum, og þar sem greiðsla umboðslaunanna og þóknananna er háð því að raunverulega hafi verið tekið við hinum útistandandi umboðslaunum og þóknunum,</w:t>
      </w:r>
    </w:p>
    <w:p w14:paraId="4164ABAB" w14:textId="77777777" w:rsidR="001D6FFE" w:rsidRDefault="00E40155">
      <w:pPr>
        <w:pStyle w:val="NumberedText"/>
        <w:ind w:left="300" w:hanging="300"/>
      </w:pPr>
      <w:r>
        <w:t>e)</w:t>
      </w:r>
      <w:r>
        <w:tab/>
        <w:t>þóknanir einkaumboðsmanna,</w:t>
      </w:r>
    </w:p>
    <w:p w14:paraId="4E1AA7A5" w14:textId="77777777" w:rsidR="001D6FFE" w:rsidRDefault="00E40155">
      <w:pPr>
        <w:pStyle w:val="NumberedText"/>
        <w:ind w:left="300" w:hanging="300"/>
      </w:pPr>
      <w:r>
        <w:t>f)</w:t>
      </w:r>
      <w:r>
        <w:tab/>
        <w:t>einstök útgjöld vegna starfsemi sem ekki er regluleg.</w:t>
      </w:r>
    </w:p>
    <w:p w14:paraId="6F9E4DB0" w14:textId="77777777" w:rsidR="001D6FFE" w:rsidRDefault="00E40155">
      <w:pPr>
        <w:pStyle w:val="Alinea"/>
      </w:pPr>
      <w:r>
        <w:t>Að því er varðar þessa grein skal Evrópska bankaeftirlitsstofnunin einnig skilgreina hvað felst í verulegri breytingu.</w:t>
      </w:r>
    </w:p>
    <w:p w14:paraId="27175698" w14:textId="77777777" w:rsidR="001D6FFE" w:rsidRDefault="00E40155">
      <w:pPr>
        <w:pStyle w:val="Alinea"/>
      </w:pPr>
      <w:r>
        <w:t>Evrópska bankaeftirlitsstofnunin skal leggja þessi drög að tæknilegum eftirlitsstöðlum fyrir framkvæmdastjórnina eigi síðar en 26. desember 2020.</w:t>
      </w:r>
    </w:p>
    <w:p w14:paraId="4561D039" w14:textId="77777777" w:rsidR="001D6FFE" w:rsidRDefault="00E40155">
      <w:pPr>
        <w:pStyle w:val="Alinea"/>
      </w:pPr>
      <w:r>
        <w:t>Framkvæmdastjórninni er falið vald til að bæta við þessa reglugerð með því að samþykkja tæknilegu eftirlitsstaðlana sem um getur í fyrstu undirgrein í samræmi við 10.–14. gr. reglugerðar (ESB) nr. 1093/2010.</w:t>
      </w:r>
    </w:p>
    <w:p w14:paraId="547DEDBA" w14:textId="77777777" w:rsidR="001D6FFE" w:rsidRDefault="00E40155">
      <w:pPr>
        <w:pStyle w:val="TIART"/>
      </w:pPr>
      <w:r>
        <w:t>14. gr.</w:t>
      </w:r>
    </w:p>
    <w:p w14:paraId="7E15DC4C" w14:textId="77777777" w:rsidR="001D6FFE" w:rsidRDefault="00E40155">
      <w:pPr>
        <w:pStyle w:val="STIART"/>
      </w:pPr>
      <w:r>
        <w:t>Krafa um varanlegt lágmarksfjármagn</w:t>
      </w:r>
    </w:p>
    <w:p w14:paraId="27B146BF" w14:textId="77777777" w:rsidR="001D6FFE" w:rsidRDefault="00E40155">
      <w:pPr>
        <w:pStyle w:val="Alinea"/>
      </w:pPr>
      <w:r>
        <w:t>Að því er varðar b-lið 1. mgr. 11. gr. skal krafa um varanlegt lágmarksfjármagn nema a.m.k. stofnfjárstiginu sem tilgreint er í 9. gr. tilskipunar (ESB) 2019/2034.</w:t>
      </w:r>
    </w:p>
    <w:p w14:paraId="56F3E008" w14:textId="77777777" w:rsidR="001D6FFE" w:rsidRDefault="00E40155">
      <w:pPr>
        <w:pStyle w:val="DivisionTI2"/>
        <w:spacing w:after="120" w:line="200" w:lineRule="exact"/>
        <w:rPr>
          <w:sz w:val="16"/>
          <w:szCs w:val="16"/>
        </w:rPr>
      </w:pPr>
      <w:r>
        <w:rPr>
          <w:sz w:val="16"/>
        </w:rPr>
        <w:t>II. BÁLKUR</w:t>
      </w:r>
    </w:p>
    <w:p w14:paraId="64E67A28" w14:textId="77777777" w:rsidR="001D6FFE" w:rsidRDefault="00E40155">
      <w:pPr>
        <w:pStyle w:val="DivisionSTI2"/>
        <w:spacing w:line="200" w:lineRule="exact"/>
        <w:rPr>
          <w:sz w:val="16"/>
          <w:szCs w:val="16"/>
        </w:rPr>
      </w:pPr>
      <w:r>
        <w:rPr>
          <w:b/>
          <w:sz w:val="16"/>
        </w:rPr>
        <w:t>KRAFA VEGNA K-ÞÁTTAR</w:t>
      </w:r>
    </w:p>
    <w:p w14:paraId="78E935E8" w14:textId="77777777" w:rsidR="001D6FFE" w:rsidRDefault="00E40155">
      <w:pPr>
        <w:pStyle w:val="DivisionTI3"/>
        <w:spacing w:after="120" w:line="200" w:lineRule="exact"/>
        <w:jc w:val="center"/>
        <w:rPr>
          <w:sz w:val="16"/>
          <w:szCs w:val="16"/>
        </w:rPr>
      </w:pPr>
      <w:r>
        <w:rPr>
          <w:i/>
          <w:sz w:val="16"/>
        </w:rPr>
        <w:t>1. KAFLI</w:t>
      </w:r>
    </w:p>
    <w:p w14:paraId="25C5FC45" w14:textId="77777777" w:rsidR="001D6FFE" w:rsidRDefault="00E40155">
      <w:pPr>
        <w:pStyle w:val="DivisionSTI3"/>
        <w:jc w:val="center"/>
      </w:pPr>
      <w:r>
        <w:rPr>
          <w:b/>
          <w:i/>
        </w:rPr>
        <w:t>Almennar meginreglur</w:t>
      </w:r>
    </w:p>
    <w:p w14:paraId="376BA7A0" w14:textId="77777777" w:rsidR="001D6FFE" w:rsidRDefault="00E40155">
      <w:pPr>
        <w:pStyle w:val="TIART"/>
      </w:pPr>
      <w:r>
        <w:t>15. gr.</w:t>
      </w:r>
    </w:p>
    <w:p w14:paraId="380A86AF" w14:textId="77777777" w:rsidR="001D6FFE" w:rsidRDefault="00E40155">
      <w:pPr>
        <w:pStyle w:val="STIART"/>
      </w:pPr>
      <w:r>
        <w:t>Krafa fyrir K-þátt og gildandi reiknistuðlar</w:t>
      </w:r>
    </w:p>
    <w:p w14:paraId="06DDAE16" w14:textId="77777777" w:rsidR="001D6FFE" w:rsidRDefault="00E40155">
      <w:pPr>
        <w:pStyle w:val="AlineaWithParag"/>
      </w:pPr>
      <w:r>
        <w:t>1.</w:t>
      </w:r>
      <w:r>
        <w:tab/>
        <w:t>Að því er varðar c-lið 1. mgr. 11. gr. skal krafa fyrir K-þátt nema a.m.k. samtölunni á eftirfarandi:</w:t>
      </w:r>
    </w:p>
    <w:p w14:paraId="016C328D" w14:textId="77777777" w:rsidR="001D6FFE" w:rsidRDefault="00E40155">
      <w:pPr>
        <w:pStyle w:val="NumberedText"/>
        <w:ind w:left="300" w:hanging="300"/>
      </w:pPr>
      <w:r>
        <w:t>a)</w:t>
      </w:r>
      <w:r>
        <w:tab/>
        <w:t>K-þáttum vegna áhættu viðskiptavinar reiknaðir út í samræmi við 2. kafla,</w:t>
      </w:r>
    </w:p>
    <w:p w14:paraId="2EDBF350" w14:textId="77777777" w:rsidR="001D6FFE" w:rsidRDefault="00E40155">
      <w:pPr>
        <w:pStyle w:val="NumberedText"/>
        <w:ind w:left="300" w:hanging="300"/>
      </w:pPr>
      <w:r>
        <w:t>b)</w:t>
      </w:r>
      <w:r>
        <w:tab/>
        <w:t>K-þáttum vegna áhættu markaðar reiknaðir út í samræmi við 3. kafla,</w:t>
      </w:r>
    </w:p>
    <w:p w14:paraId="4711FE5C" w14:textId="77777777" w:rsidR="001D6FFE" w:rsidRDefault="00E40155">
      <w:pPr>
        <w:pStyle w:val="NumberedText"/>
        <w:ind w:left="300" w:hanging="300"/>
      </w:pPr>
      <w:r>
        <w:t>c)</w:t>
      </w:r>
      <w:r>
        <w:tab/>
        <w:t>K-þáttum vegna áhættu fyrirtækis reiknaðir út í samræmi við 4. kafla.</w:t>
      </w:r>
    </w:p>
    <w:p w14:paraId="1857DA8A" w14:textId="77777777" w:rsidR="001D6FFE" w:rsidRDefault="00E40155">
      <w:pPr>
        <w:pStyle w:val="AlineaWithParag"/>
      </w:pPr>
      <w:r>
        <w:t>2.</w:t>
      </w:r>
      <w:r>
        <w:tab/>
        <w:t>Eftirfarandi reiknistuðlar skulu gilda um samsvarandi K-þætti:</w:t>
      </w:r>
    </w:p>
    <w:p w14:paraId="7D67AA75" w14:textId="77777777" w:rsidR="001D6FFE" w:rsidRDefault="00E40155">
      <w:pPr>
        <w:pStyle w:val="TIART"/>
      </w:pPr>
      <w:r>
        <w:t>Tafla 1</w:t>
      </w:r>
    </w:p>
    <w:tbl>
      <w:tblPr>
        <w:tblW w:w="5000" w:type="pct"/>
        <w:tblLayout w:type="fixed"/>
        <w:tblLook w:val="04A0" w:firstRow="1" w:lastRow="0" w:firstColumn="1" w:lastColumn="0" w:noHBand="0" w:noVBand="1"/>
      </w:tblPr>
      <w:tblGrid>
        <w:gridCol w:w="4896"/>
        <w:gridCol w:w="3145"/>
        <w:gridCol w:w="1199"/>
      </w:tblGrid>
      <w:tr w:rsidR="001D6FFE" w14:paraId="1C076B5D" w14:textId="77777777">
        <w:trPr>
          <w:trHeight w:val="240"/>
          <w:tblHeader/>
        </w:trPr>
        <w:tc>
          <w:tcPr>
            <w:tcW w:w="4351" w:type="pct"/>
            <w:gridSpan w:val="2"/>
            <w:tcBorders>
              <w:top w:val="single" w:sz="4" w:space="0" w:color="auto"/>
              <w:bottom w:val="single" w:sz="4" w:space="0" w:color="auto"/>
              <w:right w:val="single" w:sz="4" w:space="0" w:color="auto"/>
            </w:tcBorders>
            <w:tcMar>
              <w:top w:w="40" w:type="dxa"/>
              <w:left w:w="0" w:type="dxa"/>
              <w:bottom w:w="40" w:type="dxa"/>
              <w:right w:w="60" w:type="dxa"/>
            </w:tcMar>
            <w:vAlign w:val="center"/>
          </w:tcPr>
          <w:p w14:paraId="0D0351E7" w14:textId="77777777" w:rsidR="001D6FFE" w:rsidRDefault="00E40155">
            <w:pPr>
              <w:pStyle w:val="TableHeader"/>
              <w:jc w:val="both"/>
              <w:rPr>
                <w:sz w:val="16"/>
                <w:szCs w:val="18"/>
              </w:rPr>
            </w:pPr>
            <w:r>
              <w:rPr>
                <w:sz w:val="16"/>
              </w:rPr>
              <w:t>K-ÞÆTTIR</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vAlign w:val="center"/>
          </w:tcPr>
          <w:p w14:paraId="5369C716" w14:textId="77777777" w:rsidR="001D6FFE" w:rsidRDefault="00E40155">
            <w:pPr>
              <w:pStyle w:val="TableHeader"/>
              <w:rPr>
                <w:sz w:val="16"/>
                <w:szCs w:val="18"/>
              </w:rPr>
            </w:pPr>
            <w:r>
              <w:rPr>
                <w:sz w:val="16"/>
              </w:rPr>
              <w:t>REIKNISTUÐLAR</w:t>
            </w:r>
          </w:p>
        </w:tc>
      </w:tr>
      <w:tr w:rsidR="001D6FFE" w14:paraId="1A0FB5A9" w14:textId="77777777">
        <w:trPr>
          <w:trHeight w:val="24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63AE967D" w14:textId="77777777" w:rsidR="001D6FFE" w:rsidRDefault="00E40155">
            <w:pPr>
              <w:pStyle w:val="TableCellLeft"/>
              <w:spacing w:line="240" w:lineRule="exact"/>
              <w:rPr>
                <w:sz w:val="18"/>
                <w:szCs w:val="18"/>
              </w:rPr>
            </w:pPr>
            <w:r>
              <w:rPr>
                <w:sz w:val="18"/>
              </w:rPr>
              <w:t>Eignir í stýringu sem bæði eru í stýringu eignasafns og viðvarandi ráðgefandi fyrirkomulagi</w:t>
            </w: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3BD03318" w14:textId="77777777" w:rsidR="001D6FFE" w:rsidRDefault="00E40155">
            <w:pPr>
              <w:pStyle w:val="TableCellLeft"/>
              <w:spacing w:line="240" w:lineRule="exact"/>
              <w:rPr>
                <w:sz w:val="18"/>
                <w:szCs w:val="18"/>
              </w:rPr>
            </w:pPr>
            <w:r>
              <w:rPr>
                <w:sz w:val="18"/>
              </w:rPr>
              <w:t>K‐AUM</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3D44F8F5" w14:textId="77777777" w:rsidR="001D6FFE" w:rsidRDefault="00E40155">
            <w:pPr>
              <w:pStyle w:val="TableCellLeft"/>
              <w:spacing w:line="240" w:lineRule="exact"/>
              <w:jc w:val="center"/>
              <w:rPr>
                <w:sz w:val="18"/>
                <w:szCs w:val="18"/>
              </w:rPr>
            </w:pPr>
            <w:r>
              <w:rPr>
                <w:sz w:val="18"/>
              </w:rPr>
              <w:t>0,02%</w:t>
            </w:r>
          </w:p>
        </w:tc>
      </w:tr>
      <w:tr w:rsidR="001D6FFE" w14:paraId="687BEB23" w14:textId="77777777">
        <w:trPr>
          <w:trHeight w:val="240"/>
        </w:trPr>
        <w:tc>
          <w:tcPr>
            <w:tcW w:w="2649" w:type="pct"/>
            <w:vMerge w:val="restart"/>
            <w:tcBorders>
              <w:top w:val="single" w:sz="4" w:space="0" w:color="auto"/>
              <w:bottom w:val="single" w:sz="4" w:space="0" w:color="auto"/>
              <w:right w:val="single" w:sz="4" w:space="0" w:color="auto"/>
            </w:tcBorders>
            <w:tcMar>
              <w:top w:w="40" w:type="dxa"/>
              <w:left w:w="0" w:type="dxa"/>
              <w:bottom w:w="40" w:type="dxa"/>
              <w:right w:w="60" w:type="dxa"/>
            </w:tcMar>
          </w:tcPr>
          <w:p w14:paraId="67B8C206" w14:textId="77777777" w:rsidR="001D6FFE" w:rsidRDefault="00E40155">
            <w:pPr>
              <w:pStyle w:val="TableCellLeft"/>
              <w:spacing w:line="240" w:lineRule="exact"/>
              <w:rPr>
                <w:sz w:val="18"/>
                <w:szCs w:val="18"/>
              </w:rPr>
            </w:pPr>
            <w:r>
              <w:rPr>
                <w:sz w:val="18"/>
              </w:rPr>
              <w:t>Varðveitt fé viðskiptavina</w:t>
            </w: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35F851C6" w14:textId="77777777" w:rsidR="001D6FFE" w:rsidRDefault="00E40155">
            <w:pPr>
              <w:pStyle w:val="TableCellLeft"/>
              <w:spacing w:line="240" w:lineRule="exact"/>
              <w:rPr>
                <w:sz w:val="18"/>
                <w:szCs w:val="18"/>
              </w:rPr>
            </w:pPr>
            <w:r>
              <w:rPr>
                <w:sz w:val="18"/>
              </w:rPr>
              <w:t>K-CMH (á aðgreindum reikningum)</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1265DA7F" w14:textId="77777777" w:rsidR="001D6FFE" w:rsidRDefault="00E40155">
            <w:pPr>
              <w:pStyle w:val="TableCellLeft"/>
              <w:spacing w:line="240" w:lineRule="exact"/>
              <w:jc w:val="center"/>
              <w:rPr>
                <w:sz w:val="18"/>
                <w:szCs w:val="18"/>
              </w:rPr>
            </w:pPr>
            <w:r>
              <w:rPr>
                <w:sz w:val="18"/>
              </w:rPr>
              <w:t>0,4%</w:t>
            </w:r>
          </w:p>
        </w:tc>
      </w:tr>
      <w:tr w:rsidR="001D6FFE" w14:paraId="297FB3C6" w14:textId="77777777">
        <w:trPr>
          <w:trHeight w:val="440"/>
        </w:trPr>
        <w:tc>
          <w:tcPr>
            <w:tcW w:w="2649" w:type="pct"/>
            <w:vMerge/>
            <w:tcBorders>
              <w:top w:val="single" w:sz="4" w:space="0" w:color="auto"/>
              <w:bottom w:val="single" w:sz="4" w:space="0" w:color="auto"/>
              <w:right w:val="single" w:sz="4" w:space="0" w:color="auto"/>
            </w:tcBorders>
            <w:tcMar>
              <w:top w:w="40" w:type="dxa"/>
              <w:left w:w="0" w:type="dxa"/>
              <w:bottom w:w="40" w:type="dxa"/>
              <w:right w:w="60" w:type="dxa"/>
            </w:tcMar>
          </w:tcPr>
          <w:p w14:paraId="74F895F9" w14:textId="77777777" w:rsidR="001D6FFE" w:rsidRDefault="001D6FFE">
            <w:pPr>
              <w:pStyle w:val="Para"/>
              <w:rPr>
                <w:szCs w:val="18"/>
              </w:rPr>
            </w:pP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F9E5FBF" w14:textId="77777777" w:rsidR="001D6FFE" w:rsidRDefault="00E40155">
            <w:pPr>
              <w:pStyle w:val="TableCellLeft"/>
              <w:spacing w:line="240" w:lineRule="exact"/>
              <w:rPr>
                <w:sz w:val="18"/>
                <w:szCs w:val="18"/>
              </w:rPr>
            </w:pPr>
            <w:r>
              <w:rPr>
                <w:sz w:val="18"/>
              </w:rPr>
              <w:t>K-CMH (ekki á aðgreindum reikningum)</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79CC30F9" w14:textId="77777777" w:rsidR="001D6FFE" w:rsidRDefault="00E40155">
            <w:pPr>
              <w:pStyle w:val="TableCellLeft"/>
              <w:spacing w:line="240" w:lineRule="exact"/>
              <w:jc w:val="center"/>
              <w:rPr>
                <w:sz w:val="18"/>
                <w:szCs w:val="18"/>
              </w:rPr>
            </w:pPr>
            <w:r>
              <w:rPr>
                <w:sz w:val="18"/>
              </w:rPr>
              <w:t>0,5%</w:t>
            </w:r>
          </w:p>
        </w:tc>
      </w:tr>
      <w:tr w:rsidR="001D6FFE" w14:paraId="39003468" w14:textId="77777777">
        <w:trPr>
          <w:trHeight w:val="24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23207B63" w14:textId="77777777" w:rsidR="001D6FFE" w:rsidRDefault="00E40155">
            <w:pPr>
              <w:pStyle w:val="TableCellLeft"/>
              <w:spacing w:line="240" w:lineRule="exact"/>
              <w:rPr>
                <w:sz w:val="18"/>
                <w:szCs w:val="18"/>
              </w:rPr>
            </w:pPr>
            <w:r>
              <w:rPr>
                <w:sz w:val="18"/>
              </w:rPr>
              <w:t>Eignir í varðveislu og umsjón</w:t>
            </w: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302A513E" w14:textId="77777777" w:rsidR="001D6FFE" w:rsidRDefault="00E40155">
            <w:pPr>
              <w:pStyle w:val="TableCellLeft"/>
              <w:spacing w:line="240" w:lineRule="exact"/>
              <w:rPr>
                <w:sz w:val="18"/>
                <w:szCs w:val="18"/>
              </w:rPr>
            </w:pPr>
            <w:r>
              <w:rPr>
                <w:sz w:val="18"/>
              </w:rPr>
              <w:t>K‐ASA</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627B8DEA" w14:textId="77777777" w:rsidR="001D6FFE" w:rsidRDefault="00E40155">
            <w:pPr>
              <w:pStyle w:val="TableCellLeft"/>
              <w:spacing w:line="240" w:lineRule="exact"/>
              <w:jc w:val="center"/>
              <w:rPr>
                <w:sz w:val="18"/>
                <w:szCs w:val="18"/>
              </w:rPr>
            </w:pPr>
            <w:r>
              <w:rPr>
                <w:sz w:val="18"/>
              </w:rPr>
              <w:t>0,04%</w:t>
            </w:r>
          </w:p>
        </w:tc>
      </w:tr>
      <w:tr w:rsidR="001D6FFE" w14:paraId="3057CE68" w14:textId="77777777">
        <w:trPr>
          <w:trHeight w:val="24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57E750EC" w14:textId="77777777" w:rsidR="001D6FFE" w:rsidRDefault="00E40155">
            <w:pPr>
              <w:pStyle w:val="TableCellLeft"/>
              <w:spacing w:line="240" w:lineRule="exact"/>
              <w:rPr>
                <w:sz w:val="18"/>
                <w:szCs w:val="18"/>
              </w:rPr>
            </w:pPr>
            <w:r>
              <w:rPr>
                <w:sz w:val="18"/>
              </w:rPr>
              <w:t>Meðhöndluð fyrirmæli viðskiptavina</w:t>
            </w: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0185116" w14:textId="77777777" w:rsidR="001D6FFE" w:rsidRDefault="00E40155">
            <w:pPr>
              <w:pStyle w:val="TableCellLeft"/>
              <w:spacing w:line="240" w:lineRule="exact"/>
              <w:rPr>
                <w:sz w:val="18"/>
                <w:szCs w:val="18"/>
              </w:rPr>
            </w:pPr>
            <w:r>
              <w:rPr>
                <w:sz w:val="18"/>
              </w:rPr>
              <w:t>K-COH reiðufjárviðskipti</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1FEBB3A7" w14:textId="77777777" w:rsidR="001D6FFE" w:rsidRDefault="00E40155">
            <w:pPr>
              <w:pStyle w:val="TableCellLeft"/>
              <w:spacing w:line="240" w:lineRule="exact"/>
              <w:jc w:val="center"/>
              <w:rPr>
                <w:sz w:val="18"/>
                <w:szCs w:val="18"/>
              </w:rPr>
            </w:pPr>
            <w:r>
              <w:rPr>
                <w:sz w:val="18"/>
              </w:rPr>
              <w:t>0,1%</w:t>
            </w:r>
          </w:p>
        </w:tc>
      </w:tr>
      <w:tr w:rsidR="001D6FFE" w14:paraId="2B03C938" w14:textId="77777777">
        <w:trPr>
          <w:trHeight w:val="24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33964339" w14:textId="77777777" w:rsidR="001D6FFE" w:rsidRDefault="001D6FFE">
            <w:pPr>
              <w:pStyle w:val="TableCellLeft"/>
              <w:spacing w:line="240" w:lineRule="exact"/>
              <w:rPr>
                <w:sz w:val="18"/>
                <w:szCs w:val="18"/>
              </w:rPr>
            </w:pP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69DBA93" w14:textId="77777777" w:rsidR="001D6FFE" w:rsidRDefault="00E40155">
            <w:pPr>
              <w:pStyle w:val="TableCellLeft"/>
              <w:spacing w:line="240" w:lineRule="exact"/>
              <w:rPr>
                <w:sz w:val="18"/>
                <w:szCs w:val="18"/>
              </w:rPr>
            </w:pPr>
            <w:r>
              <w:rPr>
                <w:sz w:val="18"/>
              </w:rPr>
              <w:t>K-COH afleiður</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0C0B5D37" w14:textId="77777777" w:rsidR="001D6FFE" w:rsidRDefault="00E40155">
            <w:pPr>
              <w:pStyle w:val="TableCellLeft"/>
              <w:spacing w:line="240" w:lineRule="exact"/>
              <w:jc w:val="center"/>
              <w:rPr>
                <w:sz w:val="18"/>
                <w:szCs w:val="18"/>
              </w:rPr>
            </w:pPr>
            <w:r>
              <w:rPr>
                <w:sz w:val="18"/>
              </w:rPr>
              <w:t>0,01%</w:t>
            </w:r>
          </w:p>
        </w:tc>
      </w:tr>
      <w:tr w:rsidR="001D6FFE" w14:paraId="594A56E9" w14:textId="77777777">
        <w:trPr>
          <w:trHeight w:val="24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4B4B32B3" w14:textId="77777777" w:rsidR="001D6FFE" w:rsidRDefault="00E40155">
            <w:pPr>
              <w:pStyle w:val="TableCellLeft"/>
              <w:spacing w:line="240" w:lineRule="exact"/>
              <w:rPr>
                <w:sz w:val="18"/>
                <w:szCs w:val="18"/>
              </w:rPr>
            </w:pPr>
            <w:r>
              <w:rPr>
                <w:sz w:val="18"/>
              </w:rPr>
              <w:t>Daglegt viðskiptaflæði</w:t>
            </w: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EE4D033" w14:textId="77777777" w:rsidR="001D6FFE" w:rsidRDefault="00E40155">
            <w:pPr>
              <w:pStyle w:val="TableCellLeft"/>
              <w:spacing w:line="240" w:lineRule="exact"/>
              <w:rPr>
                <w:sz w:val="18"/>
                <w:szCs w:val="18"/>
              </w:rPr>
            </w:pPr>
            <w:r>
              <w:rPr>
                <w:sz w:val="18"/>
              </w:rPr>
              <w:t>K-DTF reiðufjárviðskipti</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4B13FFD4" w14:textId="77777777" w:rsidR="001D6FFE" w:rsidRDefault="00E40155">
            <w:pPr>
              <w:pStyle w:val="TableCellLeft"/>
              <w:spacing w:line="240" w:lineRule="exact"/>
              <w:jc w:val="center"/>
              <w:rPr>
                <w:sz w:val="18"/>
                <w:szCs w:val="18"/>
              </w:rPr>
            </w:pPr>
            <w:r>
              <w:rPr>
                <w:sz w:val="18"/>
              </w:rPr>
              <w:t>0,1%</w:t>
            </w:r>
          </w:p>
        </w:tc>
      </w:tr>
      <w:tr w:rsidR="001D6FFE" w14:paraId="5DDF962D" w14:textId="77777777">
        <w:trPr>
          <w:trHeight w:val="20"/>
        </w:trPr>
        <w:tc>
          <w:tcPr>
            <w:tcW w:w="2649" w:type="pct"/>
            <w:tcBorders>
              <w:top w:val="single" w:sz="4" w:space="0" w:color="auto"/>
              <w:bottom w:val="single" w:sz="4" w:space="0" w:color="auto"/>
              <w:right w:val="single" w:sz="4" w:space="0" w:color="auto"/>
            </w:tcBorders>
            <w:tcMar>
              <w:top w:w="40" w:type="dxa"/>
              <w:left w:w="0" w:type="dxa"/>
              <w:bottom w:w="40" w:type="dxa"/>
              <w:right w:w="60" w:type="dxa"/>
            </w:tcMar>
          </w:tcPr>
          <w:p w14:paraId="13F4FBE5" w14:textId="77777777" w:rsidR="001D6FFE" w:rsidRDefault="001D6FFE">
            <w:pPr>
              <w:pStyle w:val="TableCellLeft"/>
              <w:spacing w:line="240" w:lineRule="exact"/>
              <w:rPr>
                <w:sz w:val="18"/>
                <w:szCs w:val="18"/>
              </w:rPr>
            </w:pPr>
          </w:p>
        </w:tc>
        <w:tc>
          <w:tcPr>
            <w:tcW w:w="1702" w:type="pc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38702C1A" w14:textId="77777777" w:rsidR="001D6FFE" w:rsidRDefault="00E40155">
            <w:pPr>
              <w:pStyle w:val="TableCellLeft"/>
              <w:spacing w:line="240" w:lineRule="exact"/>
              <w:rPr>
                <w:sz w:val="18"/>
                <w:szCs w:val="18"/>
              </w:rPr>
            </w:pPr>
            <w:r>
              <w:rPr>
                <w:sz w:val="18"/>
              </w:rPr>
              <w:t>K-DTF afleiður</w:t>
            </w:r>
          </w:p>
        </w:tc>
        <w:tc>
          <w:tcPr>
            <w:tcW w:w="649" w:type="pct"/>
            <w:tcBorders>
              <w:top w:val="single" w:sz="4" w:space="0" w:color="auto"/>
              <w:left w:val="single" w:sz="4" w:space="0" w:color="auto"/>
              <w:bottom w:val="single" w:sz="4" w:space="0" w:color="auto"/>
            </w:tcBorders>
            <w:tcMar>
              <w:top w:w="40" w:type="dxa"/>
              <w:left w:w="60" w:type="dxa"/>
              <w:bottom w:w="40" w:type="dxa"/>
              <w:right w:w="0" w:type="dxa"/>
            </w:tcMar>
          </w:tcPr>
          <w:p w14:paraId="4258A5DB" w14:textId="77777777" w:rsidR="001D6FFE" w:rsidRDefault="00E40155">
            <w:pPr>
              <w:pStyle w:val="TableCellLeft"/>
              <w:spacing w:line="240" w:lineRule="exact"/>
              <w:jc w:val="center"/>
              <w:rPr>
                <w:sz w:val="18"/>
                <w:szCs w:val="18"/>
              </w:rPr>
            </w:pPr>
            <w:r>
              <w:rPr>
                <w:sz w:val="18"/>
              </w:rPr>
              <w:t>0,01%</w:t>
            </w:r>
          </w:p>
        </w:tc>
      </w:tr>
    </w:tbl>
    <w:p w14:paraId="65913175" w14:textId="77777777" w:rsidR="001D6FFE" w:rsidRDefault="00E40155">
      <w:pPr>
        <w:shd w:val="clear" w:color="auto" w:fill="auto"/>
        <w:spacing w:line="0" w:lineRule="auto"/>
        <w:jc w:val="left"/>
        <w:rPr>
          <w:color w:val="auto"/>
          <w14:ligatures w14:val="standard"/>
        </w:rPr>
      </w:pPr>
      <w:r>
        <w:br w:type="page"/>
      </w:r>
    </w:p>
    <w:p w14:paraId="0E23520A" w14:textId="77777777" w:rsidR="001D6FFE" w:rsidRDefault="001D6FFE">
      <w:pPr>
        <w:pStyle w:val="AlineaWithParag"/>
        <w:sectPr w:rsidR="001D6FFE">
          <w:pgSz w:w="11906" w:h="16838" w:code="9"/>
          <w:pgMar w:top="1680" w:right="1333" w:bottom="840" w:left="1333" w:header="920" w:footer="280" w:gutter="0"/>
          <w:cols w:space="708"/>
          <w:docGrid w:linePitch="360"/>
        </w:sectPr>
      </w:pPr>
    </w:p>
    <w:p w14:paraId="7C0EF8C2" w14:textId="77777777" w:rsidR="001D6FFE" w:rsidRDefault="00E40155">
      <w:pPr>
        <w:pStyle w:val="AlineaWithParag"/>
      </w:pPr>
      <w:r>
        <w:t>3.</w:t>
      </w:r>
      <w:r>
        <w:tab/>
      </w:r>
      <w:r>
        <w:t>Verðbréfafyrirtæki skulu vakta virði K-þátta sinna vegna sérhverrar þróunar sem gæti valdið verulega breyttri kröfu um eiginfjárgrunn að því er varðar 11. gr. fyrir næsta skýrslutímabil samkvæmt sjöunda hluta og skulu tilkynna lögbæru yfirvaldi sínu um þá verulega breyttu kröfu um eiginfjárgrunn.</w:t>
      </w:r>
    </w:p>
    <w:p w14:paraId="656A3458" w14:textId="77777777" w:rsidR="001D6FFE" w:rsidRDefault="00E40155">
      <w:pPr>
        <w:pStyle w:val="AlineaWithParag"/>
      </w:pPr>
      <w:r>
        <w:t>4.</w:t>
      </w:r>
      <w:r>
        <w:tab/>
        <w:t>Ef lögbær yfirvöld telja að orðið hafi veruleg breyting í starfsemi verðbréfafyrirtækis sem hefur áhrif á fjárhæð viðkomandi K-þáttar geta þau aðlagað viðkomandi fjárhæð í samræmi við a-lið 2. mgr. 39. gr. tilskipunar (ESB) 2019/2034.</w:t>
      </w:r>
    </w:p>
    <w:p w14:paraId="3666F633" w14:textId="77777777" w:rsidR="001D6FFE" w:rsidRDefault="00E40155">
      <w:pPr>
        <w:pStyle w:val="AlineaWithParag"/>
      </w:pPr>
      <w:r>
        <w:t>5.</w:t>
      </w:r>
      <w:r>
        <w:tab/>
        <w:t>Til að tryggja samræmda beitingu þessarar reglugerðar og til að taka tillit til þróunar á fjármálamörkuðum skal Evrópska bankaeftirlitsstofnunin, í samráði við Evrópsku verðbréfamarkaðseftirlitsstofnunina, semja drög að tæknilegum eftirlitsstöðlum til að:</w:t>
      </w:r>
    </w:p>
    <w:p w14:paraId="26FFE163" w14:textId="77777777" w:rsidR="001D6FFE" w:rsidRDefault="00E40155">
      <w:pPr>
        <w:pStyle w:val="NumberedText"/>
        <w:ind w:left="300" w:hanging="300"/>
      </w:pPr>
      <w:r>
        <w:t>a)</w:t>
      </w:r>
      <w:r>
        <w:tab/>
        <w:t>tilgreina nánar aðferðirnar við að mæla K-þættina í II. bálki þriðja hluta,</w:t>
      </w:r>
    </w:p>
    <w:p w14:paraId="41766B28" w14:textId="77777777" w:rsidR="001D6FFE" w:rsidRDefault="00E40155">
      <w:pPr>
        <w:pStyle w:val="NumberedText"/>
        <w:ind w:left="300" w:hanging="300"/>
      </w:pPr>
      <w:r>
        <w:t>b)</w:t>
      </w:r>
      <w:r>
        <w:tab/>
        <w:t>tilgreina nánar hugtakið um aðgreinda reikninga í þessari reglugerð að því er varðar þau skilyrði sem tryggja vernd peninga viðskiptavina komi til falls verðbréfafyrirtækis,</w:t>
      </w:r>
    </w:p>
    <w:p w14:paraId="76F9AF5A" w14:textId="77777777" w:rsidR="001D6FFE" w:rsidRDefault="00E40155">
      <w:pPr>
        <w:pStyle w:val="NumberedText"/>
        <w:ind w:left="300" w:hanging="300"/>
      </w:pPr>
      <w:r>
        <w:t>c)</w:t>
      </w:r>
      <w:r>
        <w:tab/>
        <w:t>tilgreina nánar leiðréttingar á reiknistuðlum K-DTF sem um getur í töflu 1 í 2. mgr. þessarar greinar komi til þess, við erfiðar markaðsaðstæður eins og um getur í framseldri reglugerð framkvæmdastjórnarinnar (ESB) 2017/578 (</w:t>
      </w:r>
      <w:bookmarkStart w:id="24" w:name="NOTE_25"/>
      <w:r>
        <w:rPr>
          <w:rStyle w:val="FootnoteReference"/>
          <w:sz w:val="18"/>
        </w:rPr>
        <w:footnoteReference w:id="26"/>
      </w:r>
      <w:bookmarkEnd w:id="24"/>
      <w:r>
        <w:t>), að kröfur K-DTF virðist of takmarkandi og neikvæðar með tilliti til fjármálastöðugleika.</w:t>
      </w:r>
    </w:p>
    <w:p w14:paraId="63C8F705" w14:textId="77777777" w:rsidR="001D6FFE" w:rsidRDefault="00E40155">
      <w:pPr>
        <w:pStyle w:val="Alinea"/>
      </w:pPr>
      <w:r>
        <w:t>Evrópska bankaeftirlitsstofnunin skal leggja þessi drög að tæknilegum eftirlitsstöðlum fyrir framkvæmdastjórnina eigi síðar en 26. desember 2020.</w:t>
      </w:r>
    </w:p>
    <w:p w14:paraId="2FB9673D" w14:textId="77777777" w:rsidR="001D6FFE" w:rsidRDefault="00E40155">
      <w:pPr>
        <w:pStyle w:val="Alinea"/>
      </w:pPr>
      <w:r>
        <w:t>Framkvæmdastjórninni er falið vald til að bæta við þessa reglugerð með því að samþykkja tæknilegu eftirlitsstaðlana sem um getur í fyrstu undirgrein í samræmi við 10.–14. gr. reglugerðar (ESB) nr. 1093/2010.</w:t>
      </w:r>
    </w:p>
    <w:p w14:paraId="76BA62A1" w14:textId="77777777" w:rsidR="001D6FFE" w:rsidRDefault="00E40155">
      <w:pPr>
        <w:pStyle w:val="DivisionTI3"/>
        <w:spacing w:after="120" w:line="200" w:lineRule="exact"/>
        <w:jc w:val="center"/>
        <w:rPr>
          <w:sz w:val="16"/>
        </w:rPr>
      </w:pPr>
      <w:r>
        <w:rPr>
          <w:i/>
          <w:sz w:val="16"/>
        </w:rPr>
        <w:t>2. KAFLI</w:t>
      </w:r>
    </w:p>
    <w:p w14:paraId="6766A1AA" w14:textId="77777777" w:rsidR="001D6FFE" w:rsidRDefault="00E40155">
      <w:pPr>
        <w:pStyle w:val="DivisionSTI3"/>
        <w:spacing w:after="240"/>
        <w:jc w:val="center"/>
      </w:pPr>
      <w:r>
        <w:rPr>
          <w:b/>
          <w:i/>
        </w:rPr>
        <w:t>K-þættir vegna áhættu viðskiptavinar</w:t>
      </w:r>
    </w:p>
    <w:p w14:paraId="6754D53E" w14:textId="77777777" w:rsidR="001D6FFE" w:rsidRDefault="00E40155">
      <w:pPr>
        <w:pStyle w:val="TIART"/>
        <w:spacing w:after="120"/>
      </w:pPr>
      <w:r>
        <w:t>16. gr.</w:t>
      </w:r>
    </w:p>
    <w:p w14:paraId="3C85873C" w14:textId="77777777" w:rsidR="001D6FFE" w:rsidRDefault="00E40155">
      <w:pPr>
        <w:pStyle w:val="STIART"/>
      </w:pPr>
      <w:r>
        <w:t>Krafa fyrir K-þátt vegna áhættu viðskiptavinar</w:t>
      </w:r>
    </w:p>
    <w:p w14:paraId="69A1EF39" w14:textId="77777777" w:rsidR="001D6FFE" w:rsidRDefault="00E40155">
      <w:pPr>
        <w:pStyle w:val="Alinea"/>
      </w:pPr>
      <w:r>
        <w:t>Krafa fyrir K-þátt vegna áhættu viðskiptavinar er ákvörðuð með eftirfarandi formúlu:</w:t>
      </w:r>
    </w:p>
    <w:p w14:paraId="0463432A" w14:textId="77777777" w:rsidR="001D6FFE" w:rsidRDefault="00E40155">
      <w:pPr>
        <w:pStyle w:val="Alinea"/>
        <w:jc w:val="center"/>
      </w:pPr>
      <w:r>
        <w:t>K‐AUM + K‐CMH + K‐ASA + K‐COH</w:t>
      </w:r>
    </w:p>
    <w:p w14:paraId="6F14537C" w14:textId="77777777" w:rsidR="001D6FFE" w:rsidRDefault="00E40155">
      <w:pPr>
        <w:pStyle w:val="Alinea"/>
      </w:pPr>
      <w:r>
        <w:t>þar sem:</w:t>
      </w:r>
    </w:p>
    <w:p w14:paraId="79D3A2D8" w14:textId="77777777" w:rsidR="001D6FFE" w:rsidRDefault="00E40155">
      <w:pPr>
        <w:pStyle w:val="Alinea"/>
      </w:pPr>
      <w:r>
        <w:t>K-AUM er jafnt og AUM, mælt í samræmi við 17. gr., margfaldað með samsvarandi reiknistuðli í 2. mgr. 15. gr.,</w:t>
      </w:r>
    </w:p>
    <w:p w14:paraId="471B40C3" w14:textId="77777777" w:rsidR="001D6FFE" w:rsidRDefault="00E40155">
      <w:pPr>
        <w:pStyle w:val="Alinea"/>
      </w:pPr>
      <w:r>
        <w:t>K-CMH er jafnt og CMH, mælt í samræmi við 18. gr., margfaldað með samsvarandi reiknistuðli í 2. mgr. 15. gr.</w:t>
      </w:r>
    </w:p>
    <w:p w14:paraId="7B906243" w14:textId="77777777" w:rsidR="001D6FFE" w:rsidRDefault="00E40155">
      <w:pPr>
        <w:pStyle w:val="Alinea"/>
      </w:pPr>
      <w:r>
        <w:t>K-ASA er jafnt og ASA, mælt í samræmi við 19. gr., margfaldað með samsvarandi reiknistuðli í 2. mgr. 15. gr.</w:t>
      </w:r>
    </w:p>
    <w:p w14:paraId="6D1693FB" w14:textId="77777777" w:rsidR="001D6FFE" w:rsidRDefault="00E40155">
      <w:pPr>
        <w:pStyle w:val="Alinea"/>
      </w:pPr>
      <w:r>
        <w:t>K-COH er jafnt og COH, mælt í samræmi við 20. gr., margfaldað með samsvarandi reiknistuðli í 2. mgr. 15. gr.</w:t>
      </w:r>
    </w:p>
    <w:p w14:paraId="1637F6E7" w14:textId="77777777" w:rsidR="001D6FFE" w:rsidRDefault="00E40155">
      <w:pPr>
        <w:pStyle w:val="TIART"/>
        <w:spacing w:after="120"/>
      </w:pPr>
      <w:r>
        <w:t>17. gr.</w:t>
      </w:r>
    </w:p>
    <w:p w14:paraId="7C07B2FD" w14:textId="77777777" w:rsidR="001D6FFE" w:rsidRDefault="00E40155">
      <w:pPr>
        <w:pStyle w:val="STIART"/>
        <w:spacing w:after="120"/>
      </w:pPr>
      <w:r>
        <w:t>Mæling á AUM í þeim tilgangi að reikna út K-AUM</w:t>
      </w:r>
    </w:p>
    <w:p w14:paraId="4E6A8128" w14:textId="77777777" w:rsidR="001D6FFE" w:rsidRDefault="00E40155">
      <w:pPr>
        <w:pStyle w:val="AlineaWithParag"/>
        <w:spacing w:after="0"/>
      </w:pPr>
      <w:r>
        <w:t>1.</w:t>
      </w:r>
      <w:r>
        <w:tab/>
        <w:t>Í þeim tilgangi að reikna út K-AUM skal AUM vera hlaupandi meðaltal heildarvirðis eigna í stýringu á mánuði, mælt síðasta virka dag hvers næstliðinna 15 mánaða, umbreytt í starfrækslugjaldmiðil aðilans á þeim tíma, að undanskildum virðunum fyrir síðustu þrjá mánuði.</w:t>
      </w:r>
      <w:r>
        <w:br w:type="page"/>
      </w:r>
    </w:p>
    <w:p w14:paraId="66E9AF13" w14:textId="77777777" w:rsidR="001D6FFE" w:rsidRDefault="00E40155">
      <w:pPr>
        <w:pStyle w:val="Alinea"/>
      </w:pPr>
      <w:r>
        <w:t>AUM skal vera meðaltal þeirra 12 mánaðargilda sem eftir standa.</w:t>
      </w:r>
    </w:p>
    <w:p w14:paraId="2DEE5A0C" w14:textId="77777777" w:rsidR="001D6FFE" w:rsidRDefault="00E40155">
      <w:pPr>
        <w:pStyle w:val="Alinea"/>
      </w:pPr>
      <w:r>
        <w:t>K-AUM skal reiknað út fyrsta virka dag hvers mánaðar.</w:t>
      </w:r>
    </w:p>
    <w:p w14:paraId="2C0158A6" w14:textId="77777777" w:rsidR="001D6FFE" w:rsidRDefault="00E40155">
      <w:pPr>
        <w:pStyle w:val="AlineaWithParag"/>
      </w:pPr>
      <w:r>
        <w:t>2.</w:t>
      </w:r>
      <w:r>
        <w:tab/>
        <w:t>Ef verðbréfafyrirtækið hefur formlega falið öðrum fjárhagslegum aðila stýringu eigna skulu þær eignir taldar með í heildarupphæð AUM mælt í samræmi við 1. mgr.</w:t>
      </w:r>
    </w:p>
    <w:p w14:paraId="4AB2AD6C" w14:textId="77777777" w:rsidR="001D6FFE" w:rsidRDefault="00E40155">
      <w:pPr>
        <w:pStyle w:val="Alinea"/>
      </w:pPr>
      <w:r>
        <w:t>Ef annar fjárhagslegur aðili hefur formlega falið verðbréfafyrirtækinu stýringu eigna skulu þær eignir undanskildar frá heildarfjárhæð eigna í stýringu mældum í samræmi við 1. mgr.</w:t>
      </w:r>
    </w:p>
    <w:p w14:paraId="43B3EF43" w14:textId="77777777" w:rsidR="001D6FFE" w:rsidRDefault="00E40155">
      <w:pPr>
        <w:pStyle w:val="Alinea"/>
      </w:pPr>
      <w:r>
        <w:t>Ef verðbréfafyrirtæki hefur stundað eignastýringu skemur en 15 mánuði, eða hefur gert það lengur sem lítið og ótengt verðbréfafyrirtæki og fer nú yfir viðmiðunarmarkið fyrir AUM, skal það nota söguleg gögn um AUM fyrir tímabilið sem tiltekið er í 1. mgr., strax og slík gögn verða tiltæk til að reikna út K-AUM. Lögbært yfirvald getur skipt út sögulegum gagnapunktum sem vantar fyrir eftirlitsniðurstöður sem byggjast á viðskiptaspá verðbréfafyrirtækisins sem lögð var fram í samræmi við 7. gr. tilskipunar 2014/</w:t>
      </w:r>
      <w:r>
        <w:t>65/ESB.</w:t>
      </w:r>
    </w:p>
    <w:p w14:paraId="68EEADD0" w14:textId="77777777" w:rsidR="001D6FFE" w:rsidRDefault="00E40155">
      <w:pPr>
        <w:pStyle w:val="TIART"/>
        <w:spacing w:after="120"/>
      </w:pPr>
      <w:r>
        <w:t>18. gr.</w:t>
      </w:r>
    </w:p>
    <w:p w14:paraId="278EE18D" w14:textId="77777777" w:rsidR="001D6FFE" w:rsidRDefault="00E40155">
      <w:pPr>
        <w:pStyle w:val="STIART"/>
        <w:spacing w:after="120"/>
      </w:pPr>
      <w:r>
        <w:t>Mæling á CMH í þeim tilgangi að reikna út K-CMH</w:t>
      </w:r>
    </w:p>
    <w:p w14:paraId="2F6FA1A9" w14:textId="77777777" w:rsidR="001D6FFE" w:rsidRDefault="00E40155">
      <w:pPr>
        <w:pStyle w:val="AlineaWithParag"/>
      </w:pPr>
      <w:r>
        <w:t>1.</w:t>
      </w:r>
      <w:r>
        <w:tab/>
        <w:t>Í þeim tilgangi að reikna út K-CMH skal varðveitt fé viðskiptavina vera hlaupandi meðaltal heildarvirðis varðveitts fjár viðskiptavina á dag, mælt í lok hvers virks dags fyrir næstliðna níu mánuði, að undanskildum síðustu þremur mánuðum.</w:t>
      </w:r>
    </w:p>
    <w:p w14:paraId="68999627" w14:textId="77777777" w:rsidR="001D6FFE" w:rsidRDefault="00E40155">
      <w:pPr>
        <w:pStyle w:val="Alinea"/>
      </w:pPr>
      <w:r>
        <w:t>CMH skal vera meðaltal daglegs virðis þá sex mánuði sem eftir standa.</w:t>
      </w:r>
    </w:p>
    <w:p w14:paraId="67223420" w14:textId="77777777" w:rsidR="001D6FFE" w:rsidRDefault="00E40155">
      <w:pPr>
        <w:pStyle w:val="Alinea"/>
      </w:pPr>
      <w:r>
        <w:t>K-CMH skal reiknað út fyrsta virka dag hvers mánaðar.</w:t>
      </w:r>
    </w:p>
    <w:p w14:paraId="2636A74A" w14:textId="77777777" w:rsidR="001D6FFE" w:rsidRDefault="00E40155">
      <w:pPr>
        <w:pStyle w:val="AlineaWithParag"/>
      </w:pPr>
      <w:r>
        <w:t>2.</w:t>
      </w:r>
      <w:r>
        <w:tab/>
        <w:t>Ef verðbréfafyrirtæki hefur haft fé viðskiptavina í vörslu skemur en níu mánuði skal það nota söguleg gögn um CMH fyrir þann tíma sem tilgreindur er í 1. mgr., strax og slík gögn verða tiltæk til að reikna út K-CMH.</w:t>
      </w:r>
    </w:p>
    <w:p w14:paraId="19BC786F" w14:textId="77777777" w:rsidR="001D6FFE" w:rsidRDefault="00E40155">
      <w:pPr>
        <w:pStyle w:val="Alinea"/>
      </w:pPr>
      <w:r>
        <w:t>Lögbært yfirvald getur skipt út sögulegum gagnapunktum sem vantar fyrir eftirlitsniðurstöður sem byggjast á viðskiptaspá verðbréfafyrirtækisins sem lögð var fram í samræmi við 7. gr. tilskipunar 2014/65/ESB.</w:t>
      </w:r>
    </w:p>
    <w:p w14:paraId="6E64F6CA" w14:textId="77777777" w:rsidR="001D6FFE" w:rsidRDefault="00E40155">
      <w:pPr>
        <w:pStyle w:val="TIART"/>
        <w:spacing w:after="120"/>
      </w:pPr>
      <w:r>
        <w:t>19. gr.</w:t>
      </w:r>
    </w:p>
    <w:p w14:paraId="325C93A0" w14:textId="77777777" w:rsidR="001D6FFE" w:rsidRDefault="00E40155">
      <w:pPr>
        <w:pStyle w:val="STIART"/>
        <w:spacing w:after="120"/>
      </w:pPr>
      <w:r>
        <w:t>Mæling á ASA í þeim tilgangi að reikna út K-ASA</w:t>
      </w:r>
    </w:p>
    <w:p w14:paraId="24983EDD" w14:textId="77777777" w:rsidR="001D6FFE" w:rsidRDefault="00E40155">
      <w:pPr>
        <w:pStyle w:val="AlineaWithParag"/>
      </w:pPr>
      <w:r>
        <w:t>1.</w:t>
      </w:r>
      <w:r>
        <w:tab/>
        <w:t>Í þeim tilgangi að reikna út K-ASA skal ASA vera hlaupandi meðaltal heildarvirðis eigna í varðveislu og umsjón á dag, mælt í lok hvers virks dags fyrir næstliðna níu mánuði, að undanskildum síðustu þremur mánuðum.</w:t>
      </w:r>
    </w:p>
    <w:p w14:paraId="7FB060AC" w14:textId="77777777" w:rsidR="001D6FFE" w:rsidRDefault="00E40155">
      <w:pPr>
        <w:pStyle w:val="Alinea"/>
      </w:pPr>
      <w:r>
        <w:t>ASA skal vera meðaltal daglegs virðis þá sex mánuði sem eftir standa.</w:t>
      </w:r>
    </w:p>
    <w:p w14:paraId="2C79B620" w14:textId="77777777" w:rsidR="001D6FFE" w:rsidRDefault="00E40155">
      <w:pPr>
        <w:pStyle w:val="Alinea"/>
      </w:pPr>
      <w:r>
        <w:t>K-ASA skal reiknað út fyrsta virka dag hvers mánaðar.</w:t>
      </w:r>
    </w:p>
    <w:p w14:paraId="544CA50B" w14:textId="77777777" w:rsidR="001D6FFE" w:rsidRDefault="00E40155">
      <w:pPr>
        <w:pStyle w:val="AlineaWithParag"/>
      </w:pPr>
      <w:r>
        <w:t>2.</w:t>
      </w:r>
      <w:r>
        <w:tab/>
        <w:t>Ef verðbréfafyrirtæki hefur formlega falið öðrum fjárhagslegum aðila það verkefni að verja og hafa umsjón með eignum, eða ef annar fjárhagslegur aðili hefur formlega falið verðbréfafyrirtækinu slík verkefni, skulu þessar eignir taldar með í heildarfjárhæð ASA sem mælt er í samræmi við 1. mgr.</w:t>
      </w:r>
    </w:p>
    <w:p w14:paraId="1B647269" w14:textId="77777777" w:rsidR="001D6FFE" w:rsidRDefault="00E40155">
      <w:pPr>
        <w:pStyle w:val="AlineaWithParag"/>
        <w:spacing w:after="0"/>
      </w:pPr>
      <w:r>
        <w:t>3.</w:t>
      </w:r>
      <w:r>
        <w:tab/>
        <w:t>Ef verðbréfafyrirtæki hefur haft eignir í vernd og umsjón skemur en sex mánuði skal það nota söguleg gögn um ASA fyrir tímabilið sem tilgreint er í 1. mgr., strax og slík gögn verða tiltæk til að reikna út K-ASA. Lögbært yfirvald getur skipt út sögulegum gagnapunktum sem vantar fyrir eftirlitsniðurstöður sem byggjast á viðskiptaspá verðbréfafyrirtækisins sem lögð var fram í samræmi við 7. gr. tilskipunar 2014/65/ESB.</w:t>
      </w:r>
      <w:r>
        <w:br w:type="page"/>
      </w:r>
    </w:p>
    <w:p w14:paraId="7785F0B2" w14:textId="77777777" w:rsidR="001D6FFE" w:rsidRDefault="00E40155">
      <w:pPr>
        <w:pStyle w:val="TIART"/>
      </w:pPr>
      <w:r>
        <w:t>20. gr.</w:t>
      </w:r>
    </w:p>
    <w:p w14:paraId="686FD299" w14:textId="77777777" w:rsidR="001D6FFE" w:rsidRDefault="00E40155">
      <w:pPr>
        <w:pStyle w:val="STIART"/>
      </w:pPr>
      <w:r>
        <w:t>Mæling á COH í þeim tilgangi að reikna út K-COH</w:t>
      </w:r>
    </w:p>
    <w:p w14:paraId="24EF3431" w14:textId="77777777" w:rsidR="001D6FFE" w:rsidRDefault="00E40155">
      <w:pPr>
        <w:pStyle w:val="AlineaWithParag"/>
      </w:pPr>
      <w:r>
        <w:t>1.</w:t>
      </w:r>
      <w:r>
        <w:tab/>
        <w:t>Í þeim tilgangi að reikna út K-COH skal COH vera hlaupandi meðaltal heildarvirðis meðhöndlaðra fyrirmæla viðskiptavina á dag, mælt yfir hvern virkan dag næstliðinna sex mánaða, að undanskildum síðustu þremur mánuðum.</w:t>
      </w:r>
    </w:p>
    <w:p w14:paraId="07B1F1E7" w14:textId="77777777" w:rsidR="001D6FFE" w:rsidRDefault="00E40155">
      <w:pPr>
        <w:pStyle w:val="Alinea"/>
      </w:pPr>
      <w:r>
        <w:t>COH skal vera meðaltal daglegs virðis þá þrjá mánuði sem eftir standa.</w:t>
      </w:r>
    </w:p>
    <w:p w14:paraId="5099E3F0" w14:textId="77777777" w:rsidR="001D6FFE" w:rsidRDefault="00E40155">
      <w:pPr>
        <w:pStyle w:val="Alinea"/>
      </w:pPr>
      <w:r>
        <w:t>K-COH skal reiknað út fyrsta virka dag hvers mánaðar.</w:t>
      </w:r>
    </w:p>
    <w:p w14:paraId="3ACA50CB" w14:textId="77777777" w:rsidR="001D6FFE" w:rsidRDefault="00E40155">
      <w:pPr>
        <w:pStyle w:val="AlineaWithParag"/>
      </w:pPr>
      <w:r>
        <w:t>2.</w:t>
      </w:r>
      <w:r>
        <w:tab/>
        <w:t>COH skal mælt sem samtala algildis af kaupum og algildis af sölu fyrir bæði reiðufjárviðskipti og afleiður í samræmi við eftirfarandi:</w:t>
      </w:r>
    </w:p>
    <w:p w14:paraId="7E8A5715" w14:textId="77777777" w:rsidR="001D6FFE" w:rsidRDefault="00E40155">
      <w:pPr>
        <w:pStyle w:val="NumberedText"/>
        <w:ind w:left="300" w:hanging="300"/>
      </w:pPr>
      <w:r>
        <w:t>a)</w:t>
      </w:r>
      <w:r>
        <w:tab/>
        <w:t>að því er varðar reiðufjárviðskipti er virðið sú upphæð sem er greidd eða móttekin við hver viðskipti,</w:t>
      </w:r>
    </w:p>
    <w:p w14:paraId="1C3BAA94" w14:textId="77777777" w:rsidR="001D6FFE" w:rsidRDefault="00E40155">
      <w:pPr>
        <w:pStyle w:val="NumberedText"/>
        <w:ind w:left="300" w:hanging="300"/>
      </w:pPr>
      <w:r>
        <w:t>b)</w:t>
      </w:r>
      <w:r>
        <w:tab/>
        <w:t>að því er varðar afleiður er virðið grundvallarfjárhæð samningsins.</w:t>
      </w:r>
    </w:p>
    <w:p w14:paraId="380BC39C" w14:textId="77777777" w:rsidR="001D6FFE" w:rsidRDefault="00E40155">
      <w:pPr>
        <w:pStyle w:val="Alinea"/>
      </w:pPr>
      <w:r>
        <w:t>Grundvallarfjárhæð vaxtaafleiðna skal leiðrétt með tilliti til þess hve langur tími (í árum) er til gjalddaga þessara samninga. Grundvallarfjárhæðin skal margfölduð með tímalengdinni sem sett er fram í eftirfarandi formúlu:</w:t>
      </w:r>
    </w:p>
    <w:p w14:paraId="365C1B54" w14:textId="77777777" w:rsidR="001D6FFE" w:rsidRDefault="00E40155">
      <w:pPr>
        <w:pStyle w:val="Alinea"/>
      </w:pPr>
      <w:r>
        <w:t>Tímalengd = tími til gjalddaga (í árum) / 10</w:t>
      </w:r>
    </w:p>
    <w:p w14:paraId="06912F53" w14:textId="77777777" w:rsidR="001D6FFE" w:rsidRDefault="00E40155">
      <w:pPr>
        <w:pStyle w:val="Alinea"/>
      </w:pPr>
      <w:r>
        <w:t>Án þess að hafa áhrif á fimmtu undirgrein skal COH hafa að geyma viðskipti sem verðbréfafyrirtæki annast, sem veita þjónustu á sviði stýringar eignasafns fyrir hönd fjárfestingarsjóða.</w:t>
      </w:r>
    </w:p>
    <w:p w14:paraId="0AD13369" w14:textId="77777777" w:rsidR="001D6FFE" w:rsidRDefault="00E40155">
      <w:pPr>
        <w:pStyle w:val="Alinea"/>
      </w:pPr>
      <w:r>
        <w:t>Til COH skulu teljast viðskipti sem til koma vegna fjárfestingarráðgjafar sem verðbréfafyrirtæki reiknar ekki út K-AUM vegna.</w:t>
      </w:r>
    </w:p>
    <w:p w14:paraId="16ADF5B9" w14:textId="77777777" w:rsidR="001D6FFE" w:rsidRDefault="00E40155">
      <w:pPr>
        <w:pStyle w:val="Alinea"/>
      </w:pPr>
      <w:r>
        <w:t>Undanskilja skal frá COH viðskipti sem verðbréfafyrirtækið meðhöndlar og koma til vegna þjónustu við fjárfestingaeignasafn viðskiptavinar, ef verðbréfafyrirtækið reiknar nú þegar út K-AUM í tengslum við fjárfestingar þess viðskiptavinar eða ef þessi starfsemi tengist framsali á stýringu eigna til verðbréfafyrirtækisins, sem skv. 2. mgr. 17. gr. leggja ekkert að mörkum til AUM þess verðbréfafyrirtækis.</w:t>
      </w:r>
    </w:p>
    <w:p w14:paraId="2AB884FD" w14:textId="77777777" w:rsidR="001D6FFE" w:rsidRDefault="00E40155">
      <w:pPr>
        <w:pStyle w:val="Alinea"/>
      </w:pPr>
      <w:r>
        <w:t>Undanskilja skal frá COH viðskipti sem verðbréfafyrirtækið annast í eigin nafni, hvort sem er fyrir sjálft sig eða fyrir hönd viðskiptavinar.</w:t>
      </w:r>
    </w:p>
    <w:p w14:paraId="03D29C08" w14:textId="77777777" w:rsidR="001D6FFE" w:rsidRDefault="00E40155">
      <w:pPr>
        <w:pStyle w:val="Alinea"/>
      </w:pPr>
      <w:r>
        <w:t>Verðbréfafyrirtæki mega undanskilja frá mælingunni á COH öll fyrirmæli sem ekki hafa verið framkvæmd, ef ástæðan fyrir að þau voru ekki framkvæmd er vegna þess að viðskiptavinurinn afturkallaði fyrirmælin tímanlega.</w:t>
      </w:r>
    </w:p>
    <w:p w14:paraId="41B88246" w14:textId="77777777" w:rsidR="001D6FFE" w:rsidRDefault="00E40155">
      <w:pPr>
        <w:pStyle w:val="AlineaWithParag"/>
      </w:pPr>
      <w:r>
        <w:t>3.</w:t>
      </w:r>
      <w:r>
        <w:tab/>
        <w:t>Ef verðbréfafyrirtæki hefur meðhöndlað fyrirmæli viðskiptavina skemur en í sex mánuði, eða ef það hefur gert það í lengri tíma sem lítið og ótengt verðbréfafyrirtæki, skal það nota söguleg gögn um COH fyrir þann tíma sem tilgreindur er í 1. mgr., strax og slík gögn verða tiltæk til að reikna út K-COH. Lögbært yfirvald getur skipt út sögulegum gagnapunktum sem vantar fyrir eftirlitsniðurstöður sem byggjast á viðskiptaspá verðbréfafyrirtækisins sem lögð var fram í samræmi við 7. gr. tilskipunar 2014/65/ESB.</w:t>
      </w:r>
    </w:p>
    <w:p w14:paraId="5E6A8714" w14:textId="77777777" w:rsidR="001D6FFE" w:rsidRDefault="00E40155">
      <w:pPr>
        <w:pStyle w:val="DivisionTI3"/>
        <w:spacing w:after="120" w:line="200" w:lineRule="exact"/>
        <w:jc w:val="center"/>
        <w:rPr>
          <w:sz w:val="16"/>
        </w:rPr>
      </w:pPr>
      <w:r>
        <w:rPr>
          <w:i/>
          <w:sz w:val="16"/>
        </w:rPr>
        <w:t>3. KAFLI</w:t>
      </w:r>
    </w:p>
    <w:p w14:paraId="37CCE754" w14:textId="77777777" w:rsidR="001D6FFE" w:rsidRDefault="00E40155">
      <w:pPr>
        <w:pStyle w:val="DivisionSTI3"/>
        <w:jc w:val="center"/>
      </w:pPr>
      <w:r>
        <w:rPr>
          <w:b/>
          <w:i/>
        </w:rPr>
        <w:t>K-þættir vegna áhættu markaðar</w:t>
      </w:r>
    </w:p>
    <w:p w14:paraId="4AD34BEB" w14:textId="77777777" w:rsidR="001D6FFE" w:rsidRDefault="00E40155">
      <w:pPr>
        <w:pStyle w:val="TIART"/>
        <w:spacing w:after="120"/>
      </w:pPr>
      <w:r>
        <w:t>21. gr.</w:t>
      </w:r>
    </w:p>
    <w:p w14:paraId="27145E60" w14:textId="77777777" w:rsidR="001D6FFE" w:rsidRDefault="00E40155">
      <w:pPr>
        <w:pStyle w:val="STIART"/>
      </w:pPr>
      <w:r>
        <w:t>Krafa fyrir K-þátt vegna áhættu markaðar</w:t>
      </w:r>
    </w:p>
    <w:p w14:paraId="537540D8" w14:textId="77777777" w:rsidR="001D6FFE" w:rsidRDefault="00E40155">
      <w:pPr>
        <w:pStyle w:val="AlineaWithParag"/>
      </w:pPr>
      <w:r>
        <w:t>1.</w:t>
      </w:r>
      <w:r>
        <w:tab/>
      </w:r>
      <w:r>
        <w:t>Krafa fyrir K-þátt vegna áhættu markaðar að því er varðar veltubókarstöður verðbréfafyrirtækis sem á viðskipti fyrir eigin reikning, hvort sem er fyrir sjálft sig eða fyrir hönd viðskiptavinar, skal annaðhvort vera K-NPR reiknað út í samræmi við 22. gr. eða K-CMG reiknað út í samræmi við 23. gr.</w:t>
      </w:r>
    </w:p>
    <w:p w14:paraId="5445929B" w14:textId="77777777" w:rsidR="001D6FFE" w:rsidRDefault="00E40155">
      <w:pPr>
        <w:pStyle w:val="AlineaWithParag"/>
      </w:pPr>
      <w:r>
        <w:t>2.</w:t>
      </w:r>
      <w:r>
        <w:tab/>
        <w:t>Verðbréfafyrirtæki skulu stýra veltubók sinni í samræmi við 3. kafla I. bálks þriðja hluta reglugerðar (ESB) nr. 575/2013.</w:t>
      </w:r>
    </w:p>
    <w:p w14:paraId="0C1632FB" w14:textId="77777777" w:rsidR="001D6FFE" w:rsidRDefault="00E40155">
      <w:pPr>
        <w:pStyle w:val="AlineaWithParag"/>
        <w:spacing w:after="0"/>
      </w:pPr>
      <w:r>
        <w:t>3.</w:t>
      </w:r>
      <w:r>
        <w:tab/>
        <w:t>Krafa fyrir K-þátt vegna áhættu markaðar á við um allar veltubókarstöður, sem telja einkum stöður í skuldagerningum (þ.m.t. verðbréfunargerningum), eiginfjárgerningum, sjóðum um sameiginlega fjárfestingu, erlendum gjaldeyri og gulli, og hrávörum (þ.m.t. losunarheimildum).</w:t>
      </w:r>
      <w:r>
        <w:br w:type="page"/>
      </w:r>
    </w:p>
    <w:p w14:paraId="4AAE8586" w14:textId="77777777" w:rsidR="001D6FFE" w:rsidRDefault="00E40155">
      <w:pPr>
        <w:pStyle w:val="AlineaWithParag"/>
      </w:pPr>
      <w:r>
        <w:t>4.</w:t>
      </w:r>
      <w:r>
        <w:tab/>
        <w:t>Í þeim tilgangi að reikna út kröfu fyrir K-þátt vegna áhættu markaðar skal verðbréfafyrirtæki telja með aðrar stöður en veltubókarstöður ef þær skapa gjaldmiðlaáhættu eða hrávöruáhættu.</w:t>
      </w:r>
    </w:p>
    <w:p w14:paraId="24454451" w14:textId="77777777" w:rsidR="001D6FFE" w:rsidRDefault="00E40155">
      <w:pPr>
        <w:pStyle w:val="TIART"/>
      </w:pPr>
      <w:r>
        <w:t>22. gr.</w:t>
      </w:r>
    </w:p>
    <w:p w14:paraId="105A9AB7" w14:textId="77777777" w:rsidR="001D6FFE" w:rsidRDefault="00E40155">
      <w:pPr>
        <w:pStyle w:val="STIART"/>
      </w:pPr>
      <w:r>
        <w:t>Útreikningur á K-NPR</w:t>
      </w:r>
    </w:p>
    <w:p w14:paraId="7EEE164C" w14:textId="77777777" w:rsidR="001D6FFE" w:rsidRDefault="00E40155">
      <w:pPr>
        <w:pStyle w:val="Alinea"/>
      </w:pPr>
      <w:r>
        <w:t>Í þeim tilgangi að reikna út K-NPR skal reikna út kröfu um eiginfjárgrunn fyrir veltubókarstöður verðbréfafyrirtækis sem á viðskipti fyrir eigin reikning, hvort sem er fyrir sjálft sig eða fyrir hönd viðskiptavinar, með því að nota eina af eftirfarandi aðferðum:</w:t>
      </w:r>
    </w:p>
    <w:p w14:paraId="0EDA6E2E" w14:textId="77777777" w:rsidR="001D6FFE" w:rsidRDefault="00E40155">
      <w:pPr>
        <w:pStyle w:val="NumberedText"/>
        <w:ind w:left="300" w:hanging="300"/>
      </w:pPr>
      <w:r>
        <w:t>a)</w:t>
      </w:r>
      <w:r>
        <w:tab/>
        <w:t>staðalaðferðina sem sett er fram í 2., 3. og 4. kafla IV. bálks þriðja hluta reglugerðar (ESB) nr. 575/2013,</w:t>
      </w:r>
    </w:p>
    <w:p w14:paraId="6CC184E5" w14:textId="77777777" w:rsidR="001D6FFE" w:rsidRDefault="00E40155">
      <w:pPr>
        <w:pStyle w:val="NumberedText"/>
        <w:ind w:left="300" w:hanging="300"/>
      </w:pPr>
      <w:r>
        <w:t>b)</w:t>
      </w:r>
      <w:r>
        <w:tab/>
        <w:t>óhefðbundnu staðalaðferðina sem sett er fram í 1. kafla a IV. bálks þriðja hluta reglugerðar (ESB) nr. 575/2013.</w:t>
      </w:r>
    </w:p>
    <w:p w14:paraId="57142925" w14:textId="77777777" w:rsidR="001D6FFE" w:rsidRDefault="00E40155">
      <w:pPr>
        <w:pStyle w:val="NumberedText"/>
        <w:ind w:left="300" w:hanging="300"/>
      </w:pPr>
      <w:r>
        <w:t>c)</w:t>
      </w:r>
      <w:r>
        <w:tab/>
        <w:t>óhefðbundnu eiginlíkansaðferðina sem sett er fram í 1. kafla b IV. bálks þriðja hluta reglugerðar (ESB) nr. 575/2013.</w:t>
      </w:r>
    </w:p>
    <w:p w14:paraId="3B7B5645" w14:textId="77777777" w:rsidR="001D6FFE" w:rsidRDefault="00E40155">
      <w:pPr>
        <w:pStyle w:val="TIART"/>
      </w:pPr>
      <w:r>
        <w:t>23. gr.</w:t>
      </w:r>
    </w:p>
    <w:p w14:paraId="05A96924" w14:textId="77777777" w:rsidR="001D6FFE" w:rsidRDefault="00E40155">
      <w:pPr>
        <w:pStyle w:val="STIART"/>
      </w:pPr>
      <w:r>
        <w:t>Útreikningur á K-CMG</w:t>
      </w:r>
    </w:p>
    <w:p w14:paraId="4F3335E9" w14:textId="77777777" w:rsidR="001D6FFE" w:rsidRDefault="00E40155">
      <w:pPr>
        <w:pStyle w:val="AlineaWithParag"/>
      </w:pPr>
      <w:r>
        <w:t>1.</w:t>
      </w:r>
      <w:r>
        <w:tab/>
        <w:t>Að því er varðar 21. gr. skal lögbært yfirvald heimila verðbréfafyrirtæki að reikna út K-CMG fyrir allar stöður sem falla undir stöðustofnun, eða á eignasafnsgrunni, ef allt eignasafnið fellur undir stöðustofnun eða tryggingarþekju, að uppfylltum eftirfarandi skilyrðum:</w:t>
      </w:r>
    </w:p>
    <w:p w14:paraId="7AA80F72" w14:textId="77777777" w:rsidR="001D6FFE" w:rsidRDefault="00E40155">
      <w:pPr>
        <w:pStyle w:val="NumberedText"/>
        <w:ind w:left="300" w:hanging="300"/>
      </w:pPr>
      <w:r>
        <w:t>a)</w:t>
      </w:r>
      <w:r>
        <w:tab/>
        <w:t>verðbréfafyrirtækið er ekki hluti samstæðu sem í er lánastofnun,</w:t>
      </w:r>
    </w:p>
    <w:p w14:paraId="1C658685" w14:textId="77777777" w:rsidR="001D6FFE" w:rsidRDefault="00E40155">
      <w:pPr>
        <w:pStyle w:val="NumberedText"/>
        <w:ind w:left="300" w:hanging="300"/>
      </w:pPr>
      <w:r>
        <w:t>b)</w:t>
      </w:r>
      <w:r>
        <w:tab/>
        <w:t>stöðustofnun og uppgjör þessara viðskipta á sér stað á ábyrgð stöðustofnunaraðila fullgilds miðlægs mótaðila og sá stöðustofnunaraðili er lánastofnun eða verðbréfafyrirtæki sem um getur í 2. mgr. 1. gr. þessarar reglugerðar, og viðskiptin eru annaðhvort stöðustofnuð miðlægt hjá fullgildum miðlægum mótaðila eða gerð upp með öðrum hætti á grundvelli afhendingar gegn greiðslu á ábyrgð þess stöðustofnunaraðila,</w:t>
      </w:r>
    </w:p>
    <w:p w14:paraId="7DE66AC3" w14:textId="77777777" w:rsidR="001D6FFE" w:rsidRDefault="00E40155">
      <w:pPr>
        <w:pStyle w:val="NumberedText"/>
        <w:ind w:left="300" w:hanging="300"/>
      </w:pPr>
      <w:r>
        <w:t>c)</w:t>
      </w:r>
      <w:r>
        <w:tab/>
        <w:t>útreikningur á heildartryggingarfénu sem stöðustofnunaraðilinn krefst byggist á tryggingarlíkani stöðustofnunaraðilans,</w:t>
      </w:r>
    </w:p>
    <w:p w14:paraId="0B9AC1DD" w14:textId="77777777" w:rsidR="001D6FFE" w:rsidRDefault="00E40155">
      <w:pPr>
        <w:pStyle w:val="NumberedText"/>
        <w:ind w:left="300" w:hanging="300"/>
      </w:pPr>
      <w:r>
        <w:t>d)</w:t>
      </w:r>
      <w:r>
        <w:tab/>
        <w:t>verðbréfafyrirtækið hefur sýnt lögbæru yfirvaldi fram á að valið að reikna út áhættu markaðar með K-CMG sé réttlætanlegt út frá tilteknum viðmiðunum, sem geta m.a. falist í eðli aðalstarfsemi verðbréfafyrirtækisins, sem skal fyrst og fremst vera viðskiptastarfsemi sem fellur undir stöðustofnun og tryggingarþekju á ábyrgð stöðustofnunaraðila, og að önnur starfsemi sem verðbréfafyrirtækið stundar sé óveruleg í samanburði við þessa aðalstarfsemi, og</w:t>
      </w:r>
    </w:p>
    <w:p w14:paraId="4B0BFB0C" w14:textId="77777777" w:rsidR="001D6FFE" w:rsidRDefault="00E40155">
      <w:pPr>
        <w:pStyle w:val="NumberedText"/>
        <w:ind w:left="300" w:hanging="300"/>
      </w:pPr>
      <w:r>
        <w:t>e)</w:t>
      </w:r>
      <w:r>
        <w:tab/>
        <w:t>lögbæra yfirvaldið hefur metið að valið á eignasafni(-söfnum) sem fellur undir K-CMG hafi ekki verið gert á óhóflegan eða varfærnislega ótraustan hátt með það fyrir augum að stunda eftirlitshögnun að því er varðar kröfurnar um eiginfjárgrunn.</w:t>
      </w:r>
    </w:p>
    <w:p w14:paraId="25AAEB4E" w14:textId="77777777" w:rsidR="001D6FFE" w:rsidRDefault="00E40155">
      <w:pPr>
        <w:pStyle w:val="Alinea"/>
      </w:pPr>
      <w:r>
        <w:t>Að því er varðar c-lið fyrstu undirgreinar skal lögbært yfirvald framkvæma reglubundið mat til að staðfesta að tryggingarlíkanið leiði til tryggingarkrafna sem endurspegla áhættueinkenni afurðanna sem verðbréfafyrirtækið á viðskipti með og taki tillit til tímabilsins á milli innheimtu tryggingafjár, seljanleika á markaði og möguleikans á að breytingar verði á meðan á viðskiptunum stendur.</w:t>
      </w:r>
    </w:p>
    <w:p w14:paraId="2911D10D" w14:textId="77777777" w:rsidR="001D6FFE" w:rsidRDefault="00E40155">
      <w:pPr>
        <w:pStyle w:val="Alinea"/>
      </w:pPr>
      <w:r>
        <w:t>Tryggingarkröfurnar skulu vera nægjanlegar til að ná yfir tap sem gæti leitt af a.m.k. 99% hreyfinga áhættuskuldbindinganna á viðeigandi tímabili, með eignatímabil sem er a.m.k. tveir virkir dagar. Tryggingalíkönin sem stöðustofnunaraðilinn notar til að innkalla tryggingar eins og um getur í c-lið fyrstu undirgreinar þessarar málsgreinar skulu alltaf vera hönnuð til að ná svipuðu varfærnistigi og krafist er í ákvæðunum um tryggingarkröfur í 41. gr. reglugerðar (ESB) nr. 648/2012.</w:t>
      </w:r>
    </w:p>
    <w:p w14:paraId="2B8D9EAA" w14:textId="77777777" w:rsidR="001D6FFE" w:rsidRDefault="00E40155">
      <w:pPr>
        <w:pStyle w:val="AlineaWithParag"/>
      </w:pPr>
      <w:r>
        <w:t>2.</w:t>
      </w:r>
      <w:r>
        <w:tab/>
        <w:t>K-CMG skal vera þriðja hæsta fjárhæðin af samanlögðu tryggingarfé sem stöðustofnunaraðilinn krafði verðbréfafyrirtækið um á dagsgrundvelli á næstliðnum þremur mánuðum, margfölduð með stuðlinum 1,3.</w:t>
      </w:r>
    </w:p>
    <w:p w14:paraId="730CA969" w14:textId="77777777" w:rsidR="001D6FFE" w:rsidRDefault="00E40155">
      <w:pPr>
        <w:pStyle w:val="AlineaWithParag"/>
        <w:spacing w:after="0"/>
      </w:pPr>
      <w:r>
        <w:t>3.</w:t>
      </w:r>
      <w:r>
        <w:tab/>
        <w:t>Evrópska bankaeftirlitsstofnunin, í samráði við Evrópsku verðbréfamarkaðseftirlitsstofnunina, skal semja drög að tæknilegum eftirlitsstöðlum til að tilgreina útreikninginn heildartryggingarfénu sem krafist er og reikniaðferðina á K-CMG sem um getur í 2. mgr., einkum ef K-CMG er beitt á eignasafnsgrunni, og skilyrðin fyrir uppfyllingu ákvæðanna í e-lið 1. mgr.</w:t>
      </w:r>
      <w:r>
        <w:br w:type="page"/>
      </w:r>
    </w:p>
    <w:p w14:paraId="47CC1030" w14:textId="77777777" w:rsidR="001D6FFE" w:rsidRDefault="00E40155">
      <w:pPr>
        <w:pStyle w:val="Alinea"/>
      </w:pPr>
      <w:r>
        <w:t>Evrópska bankaeftirlitsstofnunin skal leggja þessi drög að tæknilegum eftirlitsstöðlum fyrir framkvæmdastjórnina eigi síðar en 26. desember 2020.</w:t>
      </w:r>
    </w:p>
    <w:p w14:paraId="7A95E2C4" w14:textId="77777777" w:rsidR="001D6FFE" w:rsidRDefault="00E40155">
      <w:pPr>
        <w:pStyle w:val="Alinea"/>
      </w:pPr>
      <w:r>
        <w:t>Framkvæmdastjórninni er falið vald til að bæta við þessa reglugerð með því að samþykkja tæknilegu eftirlitsstaðlana sem um getur í fyrstu undirgrein í samræmi við 10.–14. gr. reglugerðar (ESB) nr. 1093/2010.</w:t>
      </w:r>
    </w:p>
    <w:p w14:paraId="63297788" w14:textId="77777777" w:rsidR="001D6FFE" w:rsidRDefault="00E40155">
      <w:pPr>
        <w:pStyle w:val="DivisionTI3"/>
        <w:spacing w:after="120" w:line="200" w:lineRule="exact"/>
        <w:jc w:val="center"/>
        <w:rPr>
          <w:sz w:val="16"/>
        </w:rPr>
      </w:pPr>
      <w:r>
        <w:rPr>
          <w:i/>
          <w:sz w:val="16"/>
        </w:rPr>
        <w:t>4. KAFLI</w:t>
      </w:r>
    </w:p>
    <w:p w14:paraId="48DB7FD6" w14:textId="77777777" w:rsidR="001D6FFE" w:rsidRDefault="00E40155">
      <w:pPr>
        <w:pStyle w:val="DivisionSTI3"/>
        <w:jc w:val="center"/>
      </w:pPr>
      <w:r>
        <w:rPr>
          <w:b/>
          <w:i/>
        </w:rPr>
        <w:t>K-þættir vegna áhættu fyrirtækis</w:t>
      </w:r>
    </w:p>
    <w:p w14:paraId="27C41002" w14:textId="77777777" w:rsidR="001D6FFE" w:rsidRDefault="00E40155">
      <w:pPr>
        <w:pStyle w:val="TIART"/>
        <w:spacing w:after="120"/>
      </w:pPr>
      <w:r>
        <w:t>24. gr.</w:t>
      </w:r>
    </w:p>
    <w:p w14:paraId="27A6D958" w14:textId="77777777" w:rsidR="001D6FFE" w:rsidRDefault="00E40155">
      <w:pPr>
        <w:pStyle w:val="STIART"/>
      </w:pPr>
      <w:r>
        <w:t>Krafa fyrir K-þátt vegna áhættu fyrirtækis</w:t>
      </w:r>
    </w:p>
    <w:p w14:paraId="46ECDCC9" w14:textId="77777777" w:rsidR="001D6FFE" w:rsidRDefault="00E40155">
      <w:pPr>
        <w:pStyle w:val="Alinea"/>
      </w:pPr>
      <w:r>
        <w:t>Krafan fyrir K-þátt vegna áhættu fyrirtækis er ákvörðuð með eftirfarandi formúlu:</w:t>
      </w:r>
    </w:p>
    <w:p w14:paraId="07DEE05E" w14:textId="77777777" w:rsidR="001D6FFE" w:rsidRDefault="00E40155">
      <w:pPr>
        <w:pStyle w:val="Alinea"/>
        <w:jc w:val="center"/>
      </w:pPr>
      <w:r>
        <w:t>K-TCD + K-DTF + K-CON</w:t>
      </w:r>
    </w:p>
    <w:p w14:paraId="0C52255B" w14:textId="77777777" w:rsidR="001D6FFE" w:rsidRDefault="00E40155">
      <w:pPr>
        <w:pStyle w:val="Alinea"/>
      </w:pPr>
      <w:r>
        <w:t>þar sem:</w:t>
      </w:r>
    </w:p>
    <w:p w14:paraId="466FD82B" w14:textId="77777777" w:rsidR="001D6FFE" w:rsidRDefault="00E40155">
      <w:pPr>
        <w:pStyle w:val="Alinea"/>
      </w:pPr>
      <w:r>
        <w:t>K-TCD er jafnhátt fjárhæðinni sem reiknuð er út í samræmi við 26. gr.,</w:t>
      </w:r>
    </w:p>
    <w:p w14:paraId="4BC4C7BB" w14:textId="77777777" w:rsidR="001D6FFE" w:rsidRDefault="00E40155">
      <w:pPr>
        <w:pStyle w:val="Alinea"/>
      </w:pPr>
      <w:r>
        <w:t>K-DTF er jafnt og DTF mælt í samræmi við 33. gr., margfaldað með samsvarandi reiknistuðli sem ákvarðaður er í 2. mgr. 15. gr. og</w:t>
      </w:r>
    </w:p>
    <w:p w14:paraId="572F302B" w14:textId="77777777" w:rsidR="001D6FFE" w:rsidRDefault="00E40155">
      <w:pPr>
        <w:pStyle w:val="Alinea"/>
      </w:pPr>
      <w:r>
        <w:t>K-CON nemur fjárhæðinni sem reiknuð er í samræmi við 39. gr.</w:t>
      </w:r>
    </w:p>
    <w:p w14:paraId="4857B64A" w14:textId="77777777" w:rsidR="001D6FFE" w:rsidRDefault="00E40155">
      <w:pPr>
        <w:pStyle w:val="Alinea"/>
      </w:pPr>
      <w:r>
        <w:t>K-TCD og K-CON skulu byggjast á viðskiptum sem skráð eru í veltubók verðbréfafyrirtækis sem á viðskipti fyrir eigin reikning, hvort sem er fyrir sjálft sig eða fyrir hönd viðskiptavinar.</w:t>
      </w:r>
    </w:p>
    <w:p w14:paraId="67F91876" w14:textId="77777777" w:rsidR="001D6FFE" w:rsidRDefault="00E40155">
      <w:pPr>
        <w:pStyle w:val="Alinea"/>
      </w:pPr>
      <w:r>
        <w:t>K-DTF skal byggjast á þeim viðskiptum sem skráð eru í veltubók verðbréfafyrirtækis sem á viðskipti fyrir eigin reikning, hvort sem er fyrir sjálft sig eða fyrir hönd viðskiptavinar, og viðskiptum sem verðbréfafyrirtæki á í við framkvæmd fyrirmæla fyrir hönd viðskiptavina í eigin nafni.</w:t>
      </w:r>
    </w:p>
    <w:p w14:paraId="5A2C5011" w14:textId="77777777" w:rsidR="001D6FFE" w:rsidRDefault="00E40155">
      <w:pPr>
        <w:pStyle w:val="DivisionTI4"/>
        <w:spacing w:after="120"/>
        <w:jc w:val="center"/>
      </w:pPr>
      <w:r>
        <w:t>1. þáttur</w:t>
      </w:r>
    </w:p>
    <w:p w14:paraId="710876E9" w14:textId="77777777" w:rsidR="001D6FFE" w:rsidRDefault="00E40155">
      <w:pPr>
        <w:pStyle w:val="DivisionSTI4"/>
        <w:jc w:val="center"/>
      </w:pPr>
      <w:r>
        <w:rPr>
          <w:b/>
        </w:rPr>
        <w:t>Vanskil mótaðila í viðskiptum</w:t>
      </w:r>
    </w:p>
    <w:p w14:paraId="6CC6C792" w14:textId="77777777" w:rsidR="001D6FFE" w:rsidRDefault="00E40155">
      <w:pPr>
        <w:pStyle w:val="TIART"/>
        <w:spacing w:after="120"/>
      </w:pPr>
      <w:r>
        <w:t>25. gr.</w:t>
      </w:r>
    </w:p>
    <w:p w14:paraId="20E320DB" w14:textId="77777777" w:rsidR="001D6FFE" w:rsidRDefault="00E40155">
      <w:pPr>
        <w:pStyle w:val="STIART"/>
      </w:pPr>
      <w:r>
        <w:t>Gildissvið</w:t>
      </w:r>
    </w:p>
    <w:p w14:paraId="44702BEE" w14:textId="77777777" w:rsidR="001D6FFE" w:rsidRDefault="00E40155">
      <w:pPr>
        <w:pStyle w:val="AlineaWithParag"/>
      </w:pPr>
      <w:r>
        <w:t>1.</w:t>
      </w:r>
      <w:r>
        <w:tab/>
        <w:t>Þessi þáttur gildir um eftirfarandi samninga og viðskipti:</w:t>
      </w:r>
    </w:p>
    <w:p w14:paraId="1E52100C" w14:textId="77777777" w:rsidR="001D6FFE" w:rsidRDefault="00E40155">
      <w:pPr>
        <w:pStyle w:val="NumberedText"/>
        <w:ind w:left="300" w:hanging="300"/>
      </w:pPr>
      <w:r>
        <w:t>a)</w:t>
      </w:r>
      <w:r>
        <w:tab/>
        <w:t>afleiðusamninga sem taldir eru upp í II. viðauka við reglugerð (ESB) nr. 575/2013, að undanskildum eftirfarandi samningum:</w:t>
      </w:r>
    </w:p>
    <w:p w14:paraId="4D3E53E1" w14:textId="77777777" w:rsidR="001D6FFE" w:rsidRDefault="00E40155">
      <w:pPr>
        <w:pStyle w:val="NumberedText"/>
        <w:tabs>
          <w:tab w:val="clear" w:pos="2047"/>
        </w:tabs>
        <w:ind w:left="660" w:hanging="360"/>
      </w:pPr>
      <w:r>
        <w:t>i.</w:t>
      </w:r>
      <w:r>
        <w:tab/>
        <w:t>afleiðusamningum sem eru beint eða óbeint stöðustofnaðir í gegnum miðlægan mótaðila ef öll eftirfarandi skilyrði eru uppfyllt:</w:t>
      </w:r>
    </w:p>
    <w:p w14:paraId="6B24CF6E" w14:textId="77777777" w:rsidR="001D6FFE" w:rsidRDefault="00E40155">
      <w:pPr>
        <w:pStyle w:val="NumberedText"/>
        <w:ind w:left="980" w:hanging="320"/>
      </w:pPr>
      <w:r>
        <w:t>—</w:t>
      </w:r>
      <w:r>
        <w:tab/>
      </w:r>
      <w:r>
        <w:t>stöður og eignir verðbréfafyrirtækisins tengdar samningunum eru afmarkaðar og aðgreindar, bæði að því er varðar stöðustofnunaraðilann og miðlægan mótaðila, frá stöðum og eignum bæði stöðustofnunaraðilans og annarra viðskiptavina þess stöðustofnunaraðila og vegna þeirrar afmörkunar og aðgreiningar, eru þessar stöður og eignir gjaldþrotsvarðar samkvæmt landslögum komi til vanefnda eða ógjaldfærni stöðustofnunaraðilans eða eins eða fleiri viðskiptavina hans,</w:t>
      </w:r>
    </w:p>
    <w:p w14:paraId="7E368FFD" w14:textId="77777777" w:rsidR="001D6FFE" w:rsidRDefault="00E40155">
      <w:pPr>
        <w:pStyle w:val="NumberedText"/>
        <w:ind w:left="980" w:hanging="320"/>
      </w:pPr>
      <w:r>
        <w:t>—</w:t>
      </w:r>
      <w:r>
        <w:tab/>
        <w:t>lög, reglugerðir, reglur og samningsbundið fyrirkomulag, sem gildir um eða er bindandi fyrir stöðustofnunaraðilann, greiða fyrir flutningi staðna viðskiptavinarins tengdum þessum samningum og samsvarandi trygginga til annars stöðustofnunaraðila innan viðeigandi áhættutímabils tryggingafjár komi til vanefnda eða ógjaldfærni upphaflega stöðustofnunaraðilans,</w:t>
      </w:r>
    </w:p>
    <w:p w14:paraId="0E3EE5CF" w14:textId="77777777" w:rsidR="001D6FFE" w:rsidRDefault="00E40155">
      <w:pPr>
        <w:pStyle w:val="NumberedText"/>
        <w:spacing w:after="0"/>
        <w:ind w:left="980" w:hanging="320"/>
      </w:pPr>
      <w:r>
        <w:t>—</w:t>
      </w:r>
      <w:r>
        <w:tab/>
        <w:t>verðbréfafyrirtækið hefur fengið óháð, skriflegt og rökstutt lagalegt álit þar sem komist er að þeirri niðurstöðu að, komi til málsóknar, muni verðbréfafyrirtækið ekki bera neitt tap vegna ógjaldfærni stöðustofnunaraðila þess eða nokkurs viðskiptavinar stöðustofnunaraðila þess,</w:t>
      </w:r>
      <w:r>
        <w:br w:type="page"/>
      </w:r>
    </w:p>
    <w:p w14:paraId="1E02E448" w14:textId="77777777" w:rsidR="001D6FFE" w:rsidRDefault="00E40155">
      <w:pPr>
        <w:pStyle w:val="NumberedText"/>
        <w:tabs>
          <w:tab w:val="clear" w:pos="2047"/>
        </w:tabs>
        <w:spacing w:after="160"/>
        <w:ind w:left="660" w:hanging="360"/>
      </w:pPr>
      <w:r>
        <w:t>ii.</w:t>
      </w:r>
      <w:r>
        <w:tab/>
        <w:t>afleiðusamningum sem viðskipti eru með á viðskiptavettvangi,</w:t>
      </w:r>
    </w:p>
    <w:p w14:paraId="6FFC6CD4" w14:textId="77777777" w:rsidR="001D6FFE" w:rsidRDefault="00E40155">
      <w:pPr>
        <w:pStyle w:val="NumberedText"/>
        <w:tabs>
          <w:tab w:val="clear" w:pos="2047"/>
        </w:tabs>
        <w:spacing w:after="160"/>
        <w:ind w:left="660" w:hanging="360"/>
      </w:pPr>
      <w:r>
        <w:t>iii.</w:t>
      </w:r>
      <w:r>
        <w:tab/>
        <w:t>afleiðusamningum sem haldið er til að áhættuverja stöðu verðbréfafyrirtækisins sem stafar af viðskiptum utan veltubókar,</w:t>
      </w:r>
    </w:p>
    <w:p w14:paraId="41E7F694" w14:textId="77777777" w:rsidR="001D6FFE" w:rsidRDefault="00E40155">
      <w:pPr>
        <w:pStyle w:val="NumberedText"/>
        <w:spacing w:after="160"/>
        <w:ind w:left="300" w:hanging="300"/>
      </w:pPr>
      <w:r>
        <w:t>b)</w:t>
      </w:r>
      <w:r>
        <w:tab/>
        <w:t>gnóttsamninga,</w:t>
      </w:r>
    </w:p>
    <w:p w14:paraId="7AEB6574" w14:textId="77777777" w:rsidR="001D6FFE" w:rsidRDefault="00E40155">
      <w:pPr>
        <w:pStyle w:val="NumberedText"/>
        <w:spacing w:after="160"/>
        <w:ind w:left="300" w:hanging="300"/>
      </w:pPr>
      <w:r>
        <w:t>c)</w:t>
      </w:r>
      <w:r>
        <w:tab/>
        <w:t>endurhverf viðskipti,</w:t>
      </w:r>
    </w:p>
    <w:p w14:paraId="339FFD3D" w14:textId="77777777" w:rsidR="001D6FFE" w:rsidRDefault="00E40155">
      <w:pPr>
        <w:pStyle w:val="NumberedText"/>
        <w:spacing w:after="160"/>
        <w:ind w:left="300" w:hanging="300"/>
      </w:pPr>
      <w:r>
        <w:t>d)</w:t>
      </w:r>
      <w:r>
        <w:tab/>
        <w:t>viðskipti í tengslum við lántökur eða lánveitingar í verðbréfum eða hrávöru,</w:t>
      </w:r>
    </w:p>
    <w:p w14:paraId="1BC2EECB" w14:textId="77777777" w:rsidR="001D6FFE" w:rsidRDefault="00E40155">
      <w:pPr>
        <w:pStyle w:val="NumberedText"/>
        <w:spacing w:after="160"/>
        <w:ind w:left="300" w:hanging="300"/>
      </w:pPr>
      <w:r>
        <w:t>e)</w:t>
      </w:r>
      <w:r>
        <w:tab/>
        <w:t>viðbótarlánveitingar vegna kaupa/sölu verðbréfa,</w:t>
      </w:r>
    </w:p>
    <w:p w14:paraId="204FAF39" w14:textId="77777777" w:rsidR="001D6FFE" w:rsidRDefault="00E40155">
      <w:pPr>
        <w:pStyle w:val="NumberedText"/>
        <w:spacing w:after="160"/>
        <w:ind w:left="300" w:hanging="300"/>
      </w:pPr>
      <w:r>
        <w:t>f)</w:t>
      </w:r>
      <w:r>
        <w:tab/>
        <w:t>allar aðrar tegundir fjármögnunarviðskipta með verðbréf,</w:t>
      </w:r>
    </w:p>
    <w:p w14:paraId="2C01F081" w14:textId="77777777" w:rsidR="001D6FFE" w:rsidRDefault="00E40155">
      <w:pPr>
        <w:pStyle w:val="NumberedText"/>
        <w:spacing w:after="160"/>
        <w:ind w:left="300" w:hanging="300"/>
      </w:pPr>
      <w:r>
        <w:t>g)</w:t>
      </w:r>
      <w:r>
        <w:tab/>
        <w:t>lán sem um getur í 2. lið þáttar B í I. viðauka tilskipunar 2014/65/ESB, ef verðbréfafyrirtækið annast viðskiptin í nafni viðskiptavinarins eða móttekur og framsendir fyrirmælin án þess að framkvæma þau.</w:t>
      </w:r>
    </w:p>
    <w:p w14:paraId="617453B0" w14:textId="77777777" w:rsidR="001D6FFE" w:rsidRDefault="00E40155">
      <w:pPr>
        <w:pStyle w:val="Alinea"/>
        <w:spacing w:after="160"/>
      </w:pPr>
      <w:r>
        <w:t>Að því er varðar i. lið a-liðar fyrstu undirgreinar skulu afleiðusamningar sem beint eða óbeint eru stöðustofnaðir í gegnum fullgildan miðlægan mótaðila teljast uppfylla skilyrðin í þeim lið.</w:t>
      </w:r>
    </w:p>
    <w:p w14:paraId="46BB6413" w14:textId="77777777" w:rsidR="001D6FFE" w:rsidRDefault="00E40155">
      <w:pPr>
        <w:pStyle w:val="AlineaWithParag"/>
        <w:spacing w:after="160"/>
      </w:pPr>
      <w:r>
        <w:t>2.</w:t>
      </w:r>
      <w:r>
        <w:tab/>
        <w:t>Viðskipti við eftirfarandi gerðir mótaðila skulu undanskilin frá útreikningi K-TCD:</w:t>
      </w:r>
    </w:p>
    <w:p w14:paraId="1DFAFE47" w14:textId="77777777" w:rsidR="001D6FFE" w:rsidRDefault="00E40155">
      <w:pPr>
        <w:pStyle w:val="NumberedText"/>
        <w:spacing w:after="160"/>
        <w:ind w:left="300" w:hanging="300"/>
      </w:pPr>
      <w:r>
        <w:t>a)</w:t>
      </w:r>
      <w:r>
        <w:tab/>
        <w:t>ríkisstjórnir og seðlabanka, ef undirliggjandi áhættuskuldbindingar myndu fá 0% áhættuvog skv. 114. gr. reglugerðar (ESB) nr. 575/2013,</w:t>
      </w:r>
    </w:p>
    <w:p w14:paraId="40F9A74F" w14:textId="77777777" w:rsidR="001D6FFE" w:rsidRDefault="00E40155">
      <w:pPr>
        <w:pStyle w:val="NumberedText"/>
        <w:spacing w:after="160"/>
        <w:ind w:left="300" w:hanging="300"/>
      </w:pPr>
      <w:r>
        <w:t>b)</w:t>
      </w:r>
      <w:r>
        <w:tab/>
        <w:t>fjölþjóðlega þróunarbanka sem taldir eru upp í 2. mgr. 117. gr. reglugerðar (ESB) nr. 575/2013,</w:t>
      </w:r>
    </w:p>
    <w:p w14:paraId="44946069" w14:textId="77777777" w:rsidR="001D6FFE" w:rsidRDefault="00E40155">
      <w:pPr>
        <w:pStyle w:val="NumberedText"/>
        <w:spacing w:after="160"/>
        <w:ind w:left="300" w:hanging="300"/>
      </w:pPr>
      <w:r>
        <w:t>c)</w:t>
      </w:r>
      <w:r>
        <w:tab/>
        <w:t>alþjóðastofnanir sem taldar eru upp í 118. gr. reglugerðar (ESB) nr. 575/2013.</w:t>
      </w:r>
    </w:p>
    <w:p w14:paraId="0B436667" w14:textId="77777777" w:rsidR="001D6FFE" w:rsidRDefault="00E40155">
      <w:pPr>
        <w:pStyle w:val="AlineaWithParag"/>
        <w:spacing w:after="160"/>
      </w:pPr>
      <w:r>
        <w:t>3.</w:t>
      </w:r>
      <w:r>
        <w:tab/>
        <w:t>Með fyrirvara um fyrirframsamþykki lögbærra yfirvalda getur verðbréfafyrirtæki, við útreikning á K-TCD, undanskilið viðskipti við mótaðila sem er móðurfélag þess, dótturfélag þess, dótturfélag móðurfélags þess eða fyrirtæki sem það hefur tengsl við í skilningi 7. mgr. 22. gr. tilskipunar 2013/34/ESB. Lögbær yfirvöld skulu veita samþykki sitt ef eftirtalin skilyrði eru uppfyllt:</w:t>
      </w:r>
    </w:p>
    <w:p w14:paraId="33BC311F" w14:textId="77777777" w:rsidR="001D6FFE" w:rsidRDefault="00E40155">
      <w:pPr>
        <w:pStyle w:val="NumberedText"/>
        <w:spacing w:after="160"/>
        <w:ind w:left="300" w:hanging="300"/>
      </w:pPr>
      <w:r>
        <w:t>a)</w:t>
      </w:r>
      <w:r>
        <w:tab/>
        <w:t>mótaðilinn er lánastofnun, verðbréfafyrirtæki eða fjármálastofnun sem lýtur viðeigandi varfærniskröfum,</w:t>
      </w:r>
    </w:p>
    <w:p w14:paraId="55B53279" w14:textId="77777777" w:rsidR="001D6FFE" w:rsidRDefault="00E40155">
      <w:pPr>
        <w:pStyle w:val="NumberedText"/>
        <w:spacing w:after="160"/>
        <w:ind w:left="300" w:hanging="300"/>
      </w:pPr>
      <w:r>
        <w:t>b)</w:t>
      </w:r>
      <w:r>
        <w:tab/>
        <w:t>mótaðilinn er að fullu felldur inn í sömu varfærniskröfur á samstæðugrunni og verðbréfafyrirtækið í samræmi við reglugerð (ESB) nr. 575/2013 eða 7. gr. þessarar reglugerðar, eða mótaðilinn og verðbréfafyrirtækið lúta eftirliti um hlítingu við eiginfjárpróf samstæðu í samræmi við 8. gr. þessarar reglugerðar,</w:t>
      </w:r>
    </w:p>
    <w:p w14:paraId="235E3F59" w14:textId="77777777" w:rsidR="001D6FFE" w:rsidRDefault="00E40155">
      <w:pPr>
        <w:pStyle w:val="NumberedText"/>
        <w:spacing w:after="160"/>
        <w:ind w:left="300" w:hanging="300"/>
      </w:pPr>
      <w:r>
        <w:t>c)</w:t>
      </w:r>
      <w:r>
        <w:tab/>
        <w:t>mótaðilinn fellur undir sömu aðferðir við að meta, mæla og stýra áhættu og verðbréfafyrirtækið,</w:t>
      </w:r>
    </w:p>
    <w:p w14:paraId="71B108AE" w14:textId="77777777" w:rsidR="001D6FFE" w:rsidRDefault="00E40155">
      <w:pPr>
        <w:pStyle w:val="NumberedText"/>
        <w:spacing w:after="160"/>
        <w:ind w:left="300" w:hanging="300"/>
      </w:pPr>
      <w:r>
        <w:t>d)</w:t>
      </w:r>
      <w:r>
        <w:tab/>
        <w:t>mótaðilinn er með staðfestu í sama aðildarríki og verðbréfafyrirtækið,</w:t>
      </w:r>
    </w:p>
    <w:p w14:paraId="2FA6E2C3" w14:textId="77777777" w:rsidR="001D6FFE" w:rsidRDefault="00E40155">
      <w:pPr>
        <w:pStyle w:val="NumberedText"/>
        <w:spacing w:after="160"/>
        <w:ind w:left="300" w:hanging="300"/>
      </w:pPr>
      <w:r>
        <w:t>e)</w:t>
      </w:r>
      <w:r>
        <w:tab/>
        <w:t>ekki eru neinar verulegar núverandi eða fyrirsjáanlegar, hagnýtar eða lagalegar hömlur á yfirfærslu fjármagns eða endurgreiðslu skulda frá mótaðilanum til verðbréfafyrirtækisins.</w:t>
      </w:r>
    </w:p>
    <w:p w14:paraId="30562DE1" w14:textId="77777777" w:rsidR="001D6FFE" w:rsidRDefault="00E40155">
      <w:pPr>
        <w:pStyle w:val="AlineaWithParag"/>
        <w:spacing w:after="160"/>
      </w:pPr>
      <w:r>
        <w:t>4.</w:t>
      </w:r>
      <w:r>
        <w:tab/>
        <w:t>Þrátt fyrir þennan þátt getur verðbréfafyrirtæki, með fyrirvara um samþykki lögbæra yfirvaldsins, reiknað út áhættuskuldbindingavirði afleiðusamninga sem skráðir eru í II. viðauka við reglugerð (ESB) nr. 575/2013 og að því er varðar viðskiptin sem um getur í b- til f-lið 1. mgr. þessarar greinar, með því að beita einni þeirra aðferða sem settar eru fram í 3., 4. eða 5. þætti 6. kafla II. bálki þriðja hluta reglugerðar (ESB) nr. 575/2013 og reiknað út tengdar kröfur um eiginfjárgrunn með því að margfalda áh</w:t>
      </w:r>
      <w:r>
        <w:t>ættuskuldbindingavirðið með áhættustuðlinum sem skilgreindur er eftir tegund mótaðila eins og sett er fram í töflu 2 í 26. gr. þessarar reglugerðar.</w:t>
      </w:r>
    </w:p>
    <w:p w14:paraId="752ADED0" w14:textId="77777777" w:rsidR="001D6FFE" w:rsidRDefault="00E40155">
      <w:pPr>
        <w:pStyle w:val="Alinea"/>
        <w:spacing w:after="160"/>
      </w:pPr>
      <w:r>
        <w:t>Verðbréfafyrirtæki sem falla undir eftirlit á samstæðugrunni í samræmi við 2. kafla II. bálks fyrsta hluta reglugerðar (ESB) nr. 575/2013 geta reiknað út tengdu kröfuna um eiginfjárgrunn með því að margfalda áhættuvegnar áhættuskuldbindingar, reiknaðar út í samræmi við 1. hluta 2. kafla II. bálks þriðja hluta reglugerðar (ESB) nr. 575/2013, með 8%.</w:t>
      </w:r>
    </w:p>
    <w:p w14:paraId="08B2B5BF" w14:textId="77777777" w:rsidR="001D6FFE" w:rsidRDefault="00E40155">
      <w:pPr>
        <w:pStyle w:val="AlineaWithParag"/>
        <w:spacing w:after="160"/>
      </w:pPr>
      <w:r>
        <w:t>5.</w:t>
      </w:r>
      <w:r>
        <w:tab/>
        <w:t>Þegar verðbréfafyrirtæki beita undanþágunni í 4. mgr. þessarar greinar skulu þau einnig beita leiðréttingu á útlánavirði (CVA) með því að margfalda kröfu um eiginfjárgrunn, sem reiknuð er út í samræmi við 2. mgr. þessarar greinar, með leiðréttingunni á útlánavirði í samræmi við 32. gr.</w:t>
      </w:r>
    </w:p>
    <w:p w14:paraId="4AF30E51" w14:textId="77777777" w:rsidR="001D6FFE" w:rsidRDefault="00E40155">
      <w:pPr>
        <w:pStyle w:val="Alinea"/>
        <w:spacing w:after="0"/>
      </w:pPr>
      <w:r>
        <w:t>Frekar en að beita CVA-margfaldaranum geta verðbréfafyrirtæki sem falla undir eftirlit á samstæðugrunni, í samræmi við 2. kafla II. bálks fyrsta hluta reglugerðar (ESB) nr. 575/2013, reiknað út kröfur um eiginfjárgrunn fyrir leiðréttingaráhættu vegna útlánavirðis í samræmi við VI. bálk þriðja hluta reglugerðar (ESB) nr. 575/2013.</w:t>
      </w:r>
    </w:p>
    <w:p w14:paraId="69792086" w14:textId="77777777" w:rsidR="001D6FFE" w:rsidRDefault="001D6FFE">
      <w:pPr>
        <w:pStyle w:val="TIART"/>
        <w:sectPr w:rsidR="001D6FFE">
          <w:footnotePr>
            <w:pos w:val="beneathText"/>
          </w:footnotePr>
          <w:pgSz w:w="11906" w:h="16838" w:code="9"/>
          <w:pgMar w:top="1680" w:right="1333" w:bottom="840" w:left="1333" w:header="920" w:footer="280" w:gutter="0"/>
          <w:cols w:space="708"/>
          <w:vAlign w:val="both"/>
          <w:docGrid w:linePitch="360"/>
        </w:sectPr>
      </w:pPr>
    </w:p>
    <w:p w14:paraId="66E1B27B" w14:textId="77777777" w:rsidR="001D6FFE" w:rsidRDefault="00E40155">
      <w:pPr>
        <w:pStyle w:val="TIART"/>
      </w:pPr>
      <w:r>
        <w:t>26. gr.</w:t>
      </w:r>
    </w:p>
    <w:p w14:paraId="7B8917E9" w14:textId="77777777" w:rsidR="001D6FFE" w:rsidRDefault="00E40155">
      <w:pPr>
        <w:pStyle w:val="STIART"/>
      </w:pPr>
      <w:r>
        <w:t>Útreikningur á K-TCD</w:t>
      </w:r>
    </w:p>
    <w:p w14:paraId="55672FD1" w14:textId="77777777" w:rsidR="001D6FFE" w:rsidRDefault="00E40155">
      <w:pPr>
        <w:pStyle w:val="Alinea"/>
      </w:pPr>
      <w:r>
        <w:t>Í þeim tilgangi að reikna út K-TCD skal krafa um eiginfjárgrunn ákvörðuð með eftirfarandi formúlu:</w:t>
      </w:r>
    </w:p>
    <w:p w14:paraId="72A24D99" w14:textId="77777777" w:rsidR="001D6FFE" w:rsidRDefault="00E40155">
      <w:pPr>
        <w:pStyle w:val="Alinea"/>
      </w:pPr>
      <w:r>
        <w:t>Krafa um eiginfjárgrunn = α • EV • RF • CVA</w:t>
      </w:r>
    </w:p>
    <w:p w14:paraId="5787DD44" w14:textId="77777777" w:rsidR="001D6FFE" w:rsidRDefault="00E40155">
      <w:pPr>
        <w:pStyle w:val="Alinea"/>
      </w:pPr>
      <w:r>
        <w:t>þar sem:</w:t>
      </w:r>
    </w:p>
    <w:p w14:paraId="12406F1E" w14:textId="77777777" w:rsidR="001D6FFE" w:rsidRDefault="00E40155">
      <w:pPr>
        <w:pStyle w:val="Alinea"/>
      </w:pPr>
      <w:r>
        <w:t>α = 1,2;</w:t>
      </w:r>
    </w:p>
    <w:p w14:paraId="4CF39D93" w14:textId="77777777" w:rsidR="001D6FFE" w:rsidRDefault="00E40155">
      <w:pPr>
        <w:pStyle w:val="Alinea"/>
      </w:pPr>
      <w:r>
        <w:t>EV = áhættuskuldbindingarvirðið reiknað út í samræmi við 27. gr.,</w:t>
      </w:r>
    </w:p>
    <w:p w14:paraId="38F0FBC6" w14:textId="77777777" w:rsidR="001D6FFE" w:rsidRDefault="00E40155">
      <w:pPr>
        <w:pStyle w:val="Alinea"/>
      </w:pPr>
      <w:r>
        <w:t>RF = áhættustuðullinn sem skilgreindur er fyrir hverja tegund mótaðila eins og sett er fram í töflu 2, og</w:t>
      </w:r>
    </w:p>
    <w:p w14:paraId="0FF7BFF0" w14:textId="77777777" w:rsidR="001D6FFE" w:rsidRDefault="00E40155">
      <w:pPr>
        <w:pStyle w:val="Alinea"/>
      </w:pPr>
      <w:r>
        <w:t>CVA = leiðrétting á útlánavirði sem reiknuð er út í samræmi við 32. gr.</w:t>
      </w:r>
    </w:p>
    <w:p w14:paraId="2E8B07F8" w14:textId="77777777" w:rsidR="001D6FFE" w:rsidRDefault="00E40155">
      <w:pPr>
        <w:pStyle w:val="TIART"/>
      </w:pPr>
      <w:r>
        <w:t>Tafla 2</w:t>
      </w:r>
    </w:p>
    <w:tbl>
      <w:tblPr>
        <w:tblW w:w="620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1255"/>
      </w:tblGrid>
      <w:tr w:rsidR="001D6FFE" w14:paraId="22078083" w14:textId="77777777">
        <w:trPr>
          <w:trHeight w:val="239"/>
          <w:tblHeader/>
          <w:jc w:val="center"/>
        </w:trPr>
        <w:tc>
          <w:tcPr>
            <w:tcW w:w="4952" w:type="dxa"/>
            <w:tcMar>
              <w:top w:w="40" w:type="dxa"/>
              <w:left w:w="0" w:type="dxa"/>
              <w:bottom w:w="40" w:type="dxa"/>
              <w:right w:w="60" w:type="dxa"/>
            </w:tcMar>
            <w:vAlign w:val="center"/>
          </w:tcPr>
          <w:p w14:paraId="26BD8E43" w14:textId="77777777" w:rsidR="001D6FFE" w:rsidRDefault="00E40155">
            <w:pPr>
              <w:pStyle w:val="TableHeader"/>
              <w:rPr>
                <w:sz w:val="16"/>
                <w:szCs w:val="18"/>
              </w:rPr>
            </w:pPr>
            <w:r>
              <w:rPr>
                <w:sz w:val="16"/>
              </w:rPr>
              <w:t>Tegund mótaðila</w:t>
            </w:r>
          </w:p>
        </w:tc>
        <w:tc>
          <w:tcPr>
            <w:tcW w:w="1255" w:type="dxa"/>
            <w:tcMar>
              <w:top w:w="40" w:type="dxa"/>
              <w:left w:w="60" w:type="dxa"/>
              <w:bottom w:w="40" w:type="dxa"/>
              <w:right w:w="0" w:type="dxa"/>
            </w:tcMar>
            <w:vAlign w:val="center"/>
          </w:tcPr>
          <w:p w14:paraId="510759A9" w14:textId="77777777" w:rsidR="001D6FFE" w:rsidRDefault="00E40155">
            <w:pPr>
              <w:pStyle w:val="TableHeader"/>
              <w:rPr>
                <w:sz w:val="16"/>
                <w:szCs w:val="18"/>
              </w:rPr>
            </w:pPr>
            <w:r>
              <w:rPr>
                <w:sz w:val="16"/>
              </w:rPr>
              <w:t>Áhættustuðull</w:t>
            </w:r>
          </w:p>
        </w:tc>
      </w:tr>
      <w:tr w:rsidR="001D6FFE" w14:paraId="39AA721C" w14:textId="77777777">
        <w:trPr>
          <w:trHeight w:val="239"/>
          <w:jc w:val="center"/>
        </w:trPr>
        <w:tc>
          <w:tcPr>
            <w:tcW w:w="4952" w:type="dxa"/>
            <w:tcMar>
              <w:top w:w="40" w:type="dxa"/>
              <w:left w:w="0" w:type="dxa"/>
              <w:bottom w:w="40" w:type="dxa"/>
              <w:right w:w="60" w:type="dxa"/>
            </w:tcMar>
          </w:tcPr>
          <w:p w14:paraId="14D9EC72" w14:textId="77777777" w:rsidR="001D6FFE" w:rsidRDefault="00E40155">
            <w:pPr>
              <w:pStyle w:val="TableCellLeft"/>
              <w:spacing w:line="240" w:lineRule="exact"/>
              <w:rPr>
                <w:sz w:val="18"/>
                <w:szCs w:val="18"/>
              </w:rPr>
            </w:pPr>
            <w:r>
              <w:rPr>
                <w:sz w:val="18"/>
              </w:rPr>
              <w:t>Ríkisstjórnir, seðlabankar og opinberir aðilar</w:t>
            </w:r>
          </w:p>
        </w:tc>
        <w:tc>
          <w:tcPr>
            <w:tcW w:w="1255" w:type="dxa"/>
            <w:tcMar>
              <w:top w:w="40" w:type="dxa"/>
              <w:left w:w="60" w:type="dxa"/>
              <w:bottom w:w="40" w:type="dxa"/>
              <w:right w:w="0" w:type="dxa"/>
            </w:tcMar>
          </w:tcPr>
          <w:p w14:paraId="07509680" w14:textId="77777777" w:rsidR="001D6FFE" w:rsidRDefault="00E40155">
            <w:pPr>
              <w:pStyle w:val="TableCellLeft"/>
              <w:spacing w:line="240" w:lineRule="exact"/>
              <w:jc w:val="center"/>
              <w:rPr>
                <w:sz w:val="18"/>
                <w:szCs w:val="18"/>
              </w:rPr>
            </w:pPr>
            <w:r>
              <w:rPr>
                <w:sz w:val="18"/>
              </w:rPr>
              <w:t>1,6%</w:t>
            </w:r>
          </w:p>
        </w:tc>
      </w:tr>
      <w:tr w:rsidR="001D6FFE" w14:paraId="02AE3C8E" w14:textId="77777777">
        <w:trPr>
          <w:trHeight w:val="239"/>
          <w:jc w:val="center"/>
        </w:trPr>
        <w:tc>
          <w:tcPr>
            <w:tcW w:w="4952" w:type="dxa"/>
            <w:tcMar>
              <w:top w:w="40" w:type="dxa"/>
              <w:left w:w="0" w:type="dxa"/>
              <w:bottom w:w="40" w:type="dxa"/>
              <w:right w:w="60" w:type="dxa"/>
            </w:tcMar>
          </w:tcPr>
          <w:p w14:paraId="5AE86C32" w14:textId="77777777" w:rsidR="001D6FFE" w:rsidRDefault="00E40155">
            <w:pPr>
              <w:pStyle w:val="TableCellLeft"/>
              <w:spacing w:line="240" w:lineRule="exact"/>
              <w:rPr>
                <w:sz w:val="18"/>
                <w:szCs w:val="18"/>
              </w:rPr>
            </w:pPr>
            <w:r>
              <w:rPr>
                <w:sz w:val="18"/>
              </w:rPr>
              <w:t>Lánastofnanir og verðbréfafyrirtæki</w:t>
            </w:r>
          </w:p>
        </w:tc>
        <w:tc>
          <w:tcPr>
            <w:tcW w:w="1255" w:type="dxa"/>
            <w:tcMar>
              <w:top w:w="40" w:type="dxa"/>
              <w:left w:w="60" w:type="dxa"/>
              <w:bottom w:w="40" w:type="dxa"/>
              <w:right w:w="0" w:type="dxa"/>
            </w:tcMar>
          </w:tcPr>
          <w:p w14:paraId="218B93B5" w14:textId="77777777" w:rsidR="001D6FFE" w:rsidRDefault="00E40155">
            <w:pPr>
              <w:pStyle w:val="TableCellLeft"/>
              <w:spacing w:line="240" w:lineRule="exact"/>
              <w:jc w:val="center"/>
              <w:rPr>
                <w:sz w:val="18"/>
                <w:szCs w:val="18"/>
              </w:rPr>
            </w:pPr>
            <w:r>
              <w:rPr>
                <w:sz w:val="18"/>
              </w:rPr>
              <w:t>1,6%</w:t>
            </w:r>
          </w:p>
        </w:tc>
      </w:tr>
      <w:tr w:rsidR="001D6FFE" w14:paraId="29F1441E" w14:textId="77777777">
        <w:trPr>
          <w:trHeight w:val="236"/>
          <w:jc w:val="center"/>
        </w:trPr>
        <w:tc>
          <w:tcPr>
            <w:tcW w:w="4952" w:type="dxa"/>
            <w:tcMar>
              <w:top w:w="40" w:type="dxa"/>
              <w:left w:w="0" w:type="dxa"/>
              <w:bottom w:w="40" w:type="dxa"/>
              <w:right w:w="60" w:type="dxa"/>
            </w:tcMar>
          </w:tcPr>
          <w:p w14:paraId="7155D718" w14:textId="77777777" w:rsidR="001D6FFE" w:rsidRDefault="00E40155">
            <w:pPr>
              <w:pStyle w:val="TableCellLeft"/>
              <w:spacing w:line="240" w:lineRule="exact"/>
              <w:rPr>
                <w:sz w:val="18"/>
                <w:szCs w:val="18"/>
              </w:rPr>
            </w:pPr>
            <w:r>
              <w:rPr>
                <w:sz w:val="18"/>
              </w:rPr>
              <w:t>Aðrir mótaðilar</w:t>
            </w:r>
          </w:p>
        </w:tc>
        <w:tc>
          <w:tcPr>
            <w:tcW w:w="1255" w:type="dxa"/>
            <w:tcMar>
              <w:top w:w="40" w:type="dxa"/>
              <w:left w:w="60" w:type="dxa"/>
              <w:bottom w:w="40" w:type="dxa"/>
              <w:right w:w="0" w:type="dxa"/>
            </w:tcMar>
          </w:tcPr>
          <w:p w14:paraId="0529A6D1" w14:textId="77777777" w:rsidR="001D6FFE" w:rsidRDefault="00E40155">
            <w:pPr>
              <w:pStyle w:val="TableCellLeft"/>
              <w:spacing w:line="240" w:lineRule="exact"/>
              <w:jc w:val="center"/>
              <w:rPr>
                <w:sz w:val="18"/>
                <w:szCs w:val="18"/>
              </w:rPr>
            </w:pPr>
            <w:r>
              <w:rPr>
                <w:sz w:val="18"/>
              </w:rPr>
              <w:t>8%</w:t>
            </w:r>
          </w:p>
        </w:tc>
      </w:tr>
    </w:tbl>
    <w:p w14:paraId="27CF0279" w14:textId="77777777" w:rsidR="001D6FFE" w:rsidRDefault="00E40155">
      <w:pPr>
        <w:pStyle w:val="TIART"/>
        <w:spacing w:before="300"/>
      </w:pPr>
      <w:r>
        <w:t>27. gr.</w:t>
      </w:r>
    </w:p>
    <w:p w14:paraId="4B9EB20D" w14:textId="77777777" w:rsidR="001D6FFE" w:rsidRDefault="00E40155">
      <w:pPr>
        <w:pStyle w:val="STIART"/>
      </w:pPr>
      <w:r>
        <w:t>Útreikningur á áhættuskuldbindingarvirði</w:t>
      </w:r>
    </w:p>
    <w:p w14:paraId="22216B40" w14:textId="77777777" w:rsidR="001D6FFE" w:rsidRDefault="00E40155">
      <w:pPr>
        <w:pStyle w:val="Alinea"/>
      </w:pPr>
      <w:r>
        <w:t>Útreikningur á áhættuskuldbindingarvirði skal ákvarðaður í samræmi við eftirfarandi formúlu:</w:t>
      </w:r>
    </w:p>
    <w:p w14:paraId="771C3782" w14:textId="77777777" w:rsidR="001D6FFE" w:rsidRDefault="00E40155">
      <w:pPr>
        <w:pStyle w:val="Alinea"/>
        <w:jc w:val="center"/>
      </w:pPr>
      <w:r>
        <w:t>Áhættuskuldbindingarvirði = Max(0; RC + PFE – C)</w:t>
      </w:r>
    </w:p>
    <w:p w14:paraId="108A7E73" w14:textId="77777777" w:rsidR="001D6FFE" w:rsidRDefault="00E40155">
      <w:pPr>
        <w:pStyle w:val="Alinea"/>
      </w:pPr>
      <w:r>
        <w:t>þar sem:</w:t>
      </w:r>
    </w:p>
    <w:p w14:paraId="2C21BDF2" w14:textId="77777777" w:rsidR="001D6FFE" w:rsidRDefault="00E40155">
      <w:pPr>
        <w:pStyle w:val="Alinea"/>
      </w:pPr>
      <w:r>
        <w:t>RC = endurnýjunarkostnaður eins og ákvarðaður er í 28. gr.</w:t>
      </w:r>
    </w:p>
    <w:p w14:paraId="2580C149" w14:textId="77777777" w:rsidR="001D6FFE" w:rsidRDefault="00E40155">
      <w:pPr>
        <w:pStyle w:val="Alinea"/>
      </w:pPr>
      <w:r>
        <w:t>PFE = möguleg framtíðaráhættuskuldbinding eins og ákvörðuð er í 29. gr., og</w:t>
      </w:r>
    </w:p>
    <w:p w14:paraId="5783D53A" w14:textId="77777777" w:rsidR="001D6FFE" w:rsidRDefault="00E40155">
      <w:pPr>
        <w:pStyle w:val="Alinea"/>
      </w:pPr>
      <w:r>
        <w:t>C = trygging eins og ákvörðuð er í 30. gr.</w:t>
      </w:r>
    </w:p>
    <w:p w14:paraId="7797E563" w14:textId="77777777" w:rsidR="001D6FFE" w:rsidRDefault="00E40155">
      <w:pPr>
        <w:pStyle w:val="Alinea"/>
      </w:pPr>
      <w:r>
        <w:t>Endurnýjunarkostnaðurinn (RC) og tryggingin (C) skulu eiga við um öll viðskipti sem um getur í 25. gr.</w:t>
      </w:r>
    </w:p>
    <w:p w14:paraId="19480692" w14:textId="77777777" w:rsidR="001D6FFE" w:rsidRDefault="00E40155">
      <w:pPr>
        <w:pStyle w:val="Alinea"/>
      </w:pPr>
      <w:r>
        <w:t>Möguleg framtíðaráhættuskuldbinding (PFE) á aðeins við um afleiðusamninga.</w:t>
      </w:r>
    </w:p>
    <w:p w14:paraId="7B30CF66" w14:textId="77777777" w:rsidR="001D6FFE" w:rsidRDefault="00E40155">
      <w:pPr>
        <w:pStyle w:val="Alinea"/>
      </w:pPr>
      <w:r>
        <w:t>Verðbréfafyrirtæki getur reiknað út eitt áhættuskuldbindingarvirði á skuldajöfnunarstigi fyrir öll viðskipti sem falla undir samningsbundna skuldajöfnun, að uppfylltum þeim skilyrðum sem mælt er fyrir um í 31. gr. Ef eitthvað af þessum skilyrðum er ekki uppfyllt skal verðbréfafyrirtækið meðhöndla hver viðskipti eins og þau væru þess eigið skuldajöfnunarsafn.</w:t>
      </w:r>
    </w:p>
    <w:p w14:paraId="1A917D62" w14:textId="77777777" w:rsidR="001D6FFE" w:rsidRDefault="00E40155">
      <w:pPr>
        <w:pStyle w:val="TIART"/>
      </w:pPr>
      <w:r>
        <w:t>28. gr.</w:t>
      </w:r>
    </w:p>
    <w:p w14:paraId="5A83DFDB" w14:textId="77777777" w:rsidR="001D6FFE" w:rsidRDefault="00E40155">
      <w:pPr>
        <w:pStyle w:val="STIART"/>
      </w:pPr>
      <w:r>
        <w:t>Endurnýjunarkostnaður (RC)</w:t>
      </w:r>
    </w:p>
    <w:p w14:paraId="102FCACC" w14:textId="77777777" w:rsidR="001D6FFE" w:rsidRDefault="00E40155">
      <w:pPr>
        <w:pStyle w:val="Alinea"/>
      </w:pPr>
      <w:r>
        <w:t>Endurnýjunarkostnaðurinn sem um getur í 27. gr. skal ákvarðaður á eftirfarandi hátt:</w:t>
      </w:r>
    </w:p>
    <w:p w14:paraId="1483BFB7" w14:textId="77777777" w:rsidR="001D6FFE" w:rsidRDefault="00E40155">
      <w:pPr>
        <w:pStyle w:val="NumberedText"/>
        <w:ind w:left="300" w:hanging="300"/>
      </w:pPr>
      <w:r>
        <w:t>a)</w:t>
      </w:r>
      <w:r>
        <w:tab/>
      </w:r>
      <w:r>
        <w:t>fyrir afleiðusamninga er endurnýjunarkostnaður ákvarðaður sem CMV,</w:t>
      </w:r>
    </w:p>
    <w:p w14:paraId="1D5E8D86" w14:textId="77777777" w:rsidR="001D6FFE" w:rsidRDefault="00E40155">
      <w:pPr>
        <w:pStyle w:val="NumberedText"/>
        <w:spacing w:after="0"/>
        <w:ind w:left="300" w:hanging="300"/>
      </w:pPr>
      <w:r>
        <w:t>b)</w:t>
      </w:r>
      <w:r>
        <w:tab/>
        <w:t>fyrir gnóttsamninga er endurnýjunarkostnaður ákvarðaður sem uppgjörsfjárhæðin í reiðufé sem verðbréfafyrirtækið á að greiða eða taka á móti við uppgjör; viðskiptakröfu skal meðhöndla sem jákvæða fjárhæð og viðskiptaskuld skal meðhöndla sem neikvæða fjárhæð,</w:t>
      </w:r>
    </w:p>
    <w:p w14:paraId="4F681071" w14:textId="77777777" w:rsidR="001D6FFE" w:rsidRDefault="001D6FFE">
      <w:pPr>
        <w:pStyle w:val="NumberedText"/>
        <w:ind w:left="300" w:hanging="300"/>
        <w:sectPr w:rsidR="001D6FFE">
          <w:pgSz w:w="11906" w:h="16838" w:code="9"/>
          <w:pgMar w:top="1680" w:right="1333" w:bottom="840" w:left="1333" w:header="920" w:footer="280" w:gutter="0"/>
          <w:cols w:space="708"/>
          <w:docGrid w:linePitch="360"/>
        </w:sectPr>
      </w:pPr>
    </w:p>
    <w:p w14:paraId="664B92D2" w14:textId="77777777" w:rsidR="001D6FFE" w:rsidRDefault="00E40155">
      <w:pPr>
        <w:pStyle w:val="NumberedText"/>
        <w:ind w:left="300" w:hanging="300"/>
      </w:pPr>
      <w:r>
        <w:t>c)</w:t>
      </w:r>
      <w:r>
        <w:tab/>
        <w:t>fyrir endurhverf viðskipti og verðbréfa- eða hrávörulánveitingar eða -lántökur er endurnýjunarkostnaður ákvarðaður sem sú upphæð reiðufjár sem er lánuð eða tekin að láni; reiðufé sem verðbréfafyrirtæki lánar skal meðhöndla sem jákvæða fjárhæð og reiðufé sem verðbréfafyrirtæki fær að láni skal meðhöndla sem neikvæða fjárhæð,</w:t>
      </w:r>
    </w:p>
    <w:p w14:paraId="7C4C5EF9" w14:textId="77777777" w:rsidR="001D6FFE" w:rsidRDefault="00E40155">
      <w:pPr>
        <w:pStyle w:val="NumberedText"/>
        <w:ind w:left="300" w:hanging="300"/>
      </w:pPr>
      <w:r>
        <w:t>d)</w:t>
      </w:r>
      <w:r>
        <w:tab/>
        <w:t>fyrir fjármögnunarviðskipti með verðbréf, ef báðir leggir viðskiptanna eru verðbréf ákvarðast endurnýjunarkostnaður af CMV verðbréfsins sem verðbréfafyrirtækið lánar; hækka skal CMV með því að nota samsvarandi aðlögun vegna óstöðugleika í töflu 4 í 30. gr.,</w:t>
      </w:r>
    </w:p>
    <w:p w14:paraId="18E46AC0" w14:textId="77777777" w:rsidR="001D6FFE" w:rsidRDefault="00E40155">
      <w:pPr>
        <w:pStyle w:val="NumberedText"/>
        <w:ind w:left="300" w:hanging="300"/>
      </w:pPr>
      <w:r>
        <w:t>e)</w:t>
      </w:r>
      <w:r>
        <w:tab/>
        <w:t>fyrir viðbótarlánveitingu vegna kaupa/sölu verðbréfa og lána sem um getur í g-lið 1. mgr. 25. gr. ákvarðast endurnýjunarkostnaður af bókfærðu virði eignarinnar í samræmi við viðeigandi reikningsskilaumgjörð.</w:t>
      </w:r>
    </w:p>
    <w:p w14:paraId="0DDFF7A2" w14:textId="77777777" w:rsidR="001D6FFE" w:rsidRDefault="00E40155">
      <w:pPr>
        <w:pStyle w:val="TIART"/>
      </w:pPr>
      <w:r>
        <w:t>29. gr.</w:t>
      </w:r>
    </w:p>
    <w:p w14:paraId="642BB7F3" w14:textId="77777777" w:rsidR="001D6FFE" w:rsidRDefault="00E40155">
      <w:pPr>
        <w:pStyle w:val="STIART"/>
      </w:pPr>
      <w:r>
        <w:t>Möguleg framtíðaráhættuskuldbinding</w:t>
      </w:r>
    </w:p>
    <w:p w14:paraId="7C3CC4A8" w14:textId="77777777" w:rsidR="001D6FFE" w:rsidRDefault="00E40155">
      <w:pPr>
        <w:pStyle w:val="AlineaWithParag"/>
        <w:spacing w:after="160"/>
      </w:pPr>
      <w:r>
        <w:t>1.</w:t>
      </w:r>
      <w:r>
        <w:tab/>
        <w:t>Möguleg framtíðaráhættuskuldbinding sem um getur í 27. gr. skal reiknuð út fyrir hverja afleiðu sem margfeldi af:</w:t>
      </w:r>
    </w:p>
    <w:p w14:paraId="42516A00" w14:textId="77777777" w:rsidR="001D6FFE" w:rsidRDefault="00E40155">
      <w:pPr>
        <w:pStyle w:val="NumberedText"/>
        <w:spacing w:after="160"/>
        <w:ind w:left="300" w:hanging="300"/>
      </w:pPr>
      <w:r>
        <w:t>a)</w:t>
      </w:r>
      <w:r>
        <w:tab/>
        <w:t>raunverulegri grundvallarfjárhæð viðskiptanna, sem ákvörðuð er í samræmi við 2. til 6. mgr. þessarar greinar, og</w:t>
      </w:r>
    </w:p>
    <w:p w14:paraId="485C5D56" w14:textId="77777777" w:rsidR="001D6FFE" w:rsidRDefault="00E40155">
      <w:pPr>
        <w:pStyle w:val="NumberedText"/>
        <w:spacing w:after="160"/>
        <w:ind w:left="300" w:hanging="300"/>
      </w:pPr>
      <w:r>
        <w:t>b)</w:t>
      </w:r>
      <w:r>
        <w:tab/>
        <w:t>eftirlitsstuðlinum sem ákvarðaður er í samræmi við 7. mgr. þessarar greinar.</w:t>
      </w:r>
    </w:p>
    <w:p w14:paraId="1A759632" w14:textId="77777777" w:rsidR="001D6FFE" w:rsidRDefault="00E40155">
      <w:pPr>
        <w:pStyle w:val="AlineaWithParag"/>
        <w:spacing w:after="160"/>
      </w:pPr>
      <w:r>
        <w:t>2.</w:t>
      </w:r>
      <w:r>
        <w:tab/>
        <w:t>Raunveruleg grundvallarfjárhæð skal vera margfeldi af grundvallarfjárhæðinni, reiknaðri út í samræmi við 3. mgr., tímalengd hennar, reiknaðri út í samræmi við 4. mgr., og eftirlitsdeltastuðli hennar, reiknuðum út í samræmi við 6. mgr.</w:t>
      </w:r>
    </w:p>
    <w:p w14:paraId="2C0FA97F" w14:textId="77777777" w:rsidR="001D6FFE" w:rsidRDefault="00E40155">
      <w:pPr>
        <w:pStyle w:val="AlineaWithParag"/>
        <w:spacing w:after="160"/>
      </w:pPr>
      <w:r>
        <w:t>3.</w:t>
      </w:r>
      <w:r>
        <w:tab/>
        <w:t>Grundvallarfjárhæðin skal ákvörðuð á eftirfarandi hátt nema hún sé skýrt tiltekin og föst fram að gjalddaga:</w:t>
      </w:r>
    </w:p>
    <w:p w14:paraId="6FE642DA" w14:textId="77777777" w:rsidR="001D6FFE" w:rsidRDefault="00E40155">
      <w:pPr>
        <w:pStyle w:val="NumberedText"/>
        <w:spacing w:after="160"/>
        <w:ind w:left="300" w:hanging="300"/>
      </w:pPr>
      <w:r>
        <w:t>a)</w:t>
      </w:r>
      <w:r>
        <w:tab/>
        <w:t>fyrir gjaldeyrisafleiðusamninga er grundvallarfjárhæðin skilgreind sem grundvallarfjárhæðin á legg erlends gjaldmiðils samningsins, umbreyttri í gjaldmiðil heimalandsins; ef báðir leggir gjaldeyrisafleiðu eru gefnir upp í öðrum gjaldmiðlum en gjaldmiðli heimalands er grundvallarfjárhæð hvors leggs umbreytt í gjaldmiðil heimalandsins og leggurinn með hærri fjárhæð í heimagjaldmiðli er grundvallarfjárhæðin,</w:t>
      </w:r>
    </w:p>
    <w:p w14:paraId="6F9F9D9A" w14:textId="77777777" w:rsidR="001D6FFE" w:rsidRDefault="00E40155">
      <w:pPr>
        <w:pStyle w:val="NumberedText"/>
        <w:spacing w:after="160"/>
        <w:ind w:left="300" w:hanging="300"/>
      </w:pPr>
      <w:r>
        <w:t>b)</w:t>
      </w:r>
      <w:r>
        <w:tab/>
        <w:t>fyrir hlutabréfa- og hrávöruafleiðusamninga og losunarheimildir og afleiður þeirra er grundvallarfjárhæðin skilgreind sem margfeldi markaðsverðs einnar einingar gerningsins og þess fjölda eininga sem vísað er til í viðskiptunum,</w:t>
      </w:r>
    </w:p>
    <w:p w14:paraId="596E1940" w14:textId="77777777" w:rsidR="001D6FFE" w:rsidRDefault="00E40155">
      <w:pPr>
        <w:pStyle w:val="NumberedText"/>
        <w:spacing w:after="160"/>
        <w:ind w:left="300" w:hanging="300"/>
      </w:pPr>
      <w:r>
        <w:t>c)</w:t>
      </w:r>
      <w:r>
        <w:tab/>
        <w:t xml:space="preserve">fyrir viðskipti með fleiri ágóðamöguleika sem eru háðir aðstæðum, þ.m.t. stafræna valrétti (e. </w:t>
      </w:r>
      <w:r>
        <w:rPr>
          <w:i/>
          <w:iCs/>
        </w:rPr>
        <w:t>digital options</w:t>
      </w:r>
      <w:r>
        <w:t xml:space="preserve">) eða framvirka samninga með hagstæðari innlausn (e. </w:t>
      </w:r>
      <w:r>
        <w:rPr>
          <w:i/>
          <w:iCs/>
        </w:rPr>
        <w:t>target redemption forwards</w:t>
      </w:r>
      <w:r>
        <w:t>), skal verðbréfafyrirtæki reikna út grundvallarfjárhæðina fyrir hverjar aðstæður og nota hæstu útkomuna,</w:t>
      </w:r>
    </w:p>
    <w:p w14:paraId="6FCB9346" w14:textId="77777777" w:rsidR="001D6FFE" w:rsidRDefault="00E40155">
      <w:pPr>
        <w:pStyle w:val="NumberedText"/>
        <w:spacing w:after="160"/>
        <w:ind w:left="300" w:hanging="300"/>
      </w:pPr>
      <w:r>
        <w:t>d)</w:t>
      </w:r>
      <w:r>
        <w:tab/>
        <w:t>ef grundvallarfjárhæðin er formúla af markaðsvirði skal verðbréfafyrirtækið nota CMV til að ákvarða grundvallarfjárhæð viðskipanna,</w:t>
      </w:r>
    </w:p>
    <w:p w14:paraId="6FDDDB43" w14:textId="77777777" w:rsidR="001D6FFE" w:rsidRDefault="00E40155">
      <w:pPr>
        <w:pStyle w:val="NumberedText"/>
        <w:spacing w:after="160"/>
        <w:ind w:left="300" w:hanging="300"/>
      </w:pPr>
      <w:r>
        <w:t>e)</w:t>
      </w:r>
      <w:r>
        <w:tab/>
        <w:t>fyrir skiptasamninga með breytilega grundvallarfjárhæð, s.s. afskriftar- eða uppsöfnunarskiptasamninga, skulu verðbréfafyrirtæki nota meðalgrundvallarfjárhæð yfir eftirstandandi líftíma skiptasamningsins sem grundvallarfjárhæð viðskiptanna,</w:t>
      </w:r>
    </w:p>
    <w:p w14:paraId="2D319CD7" w14:textId="77777777" w:rsidR="001D6FFE" w:rsidRDefault="00E40155">
      <w:pPr>
        <w:pStyle w:val="NumberedText"/>
        <w:spacing w:after="160"/>
        <w:ind w:left="300" w:hanging="300"/>
      </w:pPr>
      <w:r>
        <w:t>f)</w:t>
      </w:r>
      <w:r>
        <w:tab/>
        <w:t>voguðum skiptasamningum skal umbreytt í grundvallarfjárhæðina á samsvarandi óvoguðum skiptasamningi svo að fyrir alla vexti í skiptasamningi sem margfaldaðir eru með stuðli, er tilgreinda grundvallarfjárhæðin margfölduð með stuðlinum á vextina til að ákvarða grundvallarfjárhæðina,</w:t>
      </w:r>
    </w:p>
    <w:p w14:paraId="635AB58D" w14:textId="77777777" w:rsidR="001D6FFE" w:rsidRDefault="00E40155">
      <w:pPr>
        <w:pStyle w:val="NumberedText"/>
        <w:spacing w:after="160"/>
        <w:ind w:left="300" w:hanging="300"/>
      </w:pPr>
      <w:r>
        <w:t>g)</w:t>
      </w:r>
      <w:r>
        <w:tab/>
        <w:t>fyrir afleiðusamninga með mörgum skiptum á höfuðstól skal grundvallarfjárhæðin margfölduð með fjölda skiptanna á höfuðstól í afleiðusamningnum til að ákvarða grundvallarfjárhæðina.</w:t>
      </w:r>
    </w:p>
    <w:p w14:paraId="29F3CD12" w14:textId="77777777" w:rsidR="001D6FFE" w:rsidRDefault="00E40155">
      <w:pPr>
        <w:pStyle w:val="AlineaWithParag"/>
        <w:spacing w:after="160"/>
      </w:pPr>
      <w:r>
        <w:t>4.</w:t>
      </w:r>
      <w:r>
        <w:tab/>
        <w:t>Grundvallarfjárhæð vaxtasamninga og lánaafleiðusamninga fyrir tímann (í árum) til gjalddaga þessara samninga skal leiðrétt í samræmi við tímalengdina, sett fram í eftirfarandi formúlu:</w:t>
      </w:r>
    </w:p>
    <w:p w14:paraId="090F0622" w14:textId="77777777" w:rsidR="001D6FFE" w:rsidRDefault="00E40155">
      <w:pPr>
        <w:pStyle w:val="Alinea"/>
        <w:spacing w:after="160"/>
      </w:pPr>
      <w:r>
        <w:t>Tímalengd = (1 – exp(–0,05 • tími til gjalddaga)) / 0,05</w:t>
      </w:r>
    </w:p>
    <w:p w14:paraId="206AEA9E" w14:textId="77777777" w:rsidR="001D6FFE" w:rsidRDefault="00E40155">
      <w:pPr>
        <w:pStyle w:val="Alinea"/>
        <w:spacing w:after="160"/>
      </w:pPr>
      <w:r>
        <w:t>Að því er varðar aðra afleiðusamninga en vaxtasamninga og lánaafleiðusamninga skal tímalengdin vera 1.</w:t>
      </w:r>
    </w:p>
    <w:p w14:paraId="40B785F1" w14:textId="77777777" w:rsidR="001D6FFE" w:rsidRDefault="00E40155">
      <w:pPr>
        <w:pStyle w:val="AlineaWithParag"/>
        <w:spacing w:after="160"/>
      </w:pPr>
      <w:r>
        <w:t>5.</w:t>
      </w:r>
      <w:r>
        <w:tab/>
        <w:t>Gjalddagi samnings skal vera síðasti dagurinn sem enn er hægt að efna samninginn.</w:t>
      </w:r>
    </w:p>
    <w:p w14:paraId="5B9A4085" w14:textId="77777777" w:rsidR="001D6FFE" w:rsidRDefault="00E40155">
      <w:pPr>
        <w:pStyle w:val="Alinea"/>
        <w:spacing w:after="160"/>
      </w:pPr>
      <w:r>
        <w:t>Ef afleiðan vísar til virðis annars vaxta- eða lánagernings skal tímabilið ákvarðað á grundvelli undirliggjandi gernings.</w:t>
      </w:r>
    </w:p>
    <w:p w14:paraId="47AA2394" w14:textId="77777777" w:rsidR="001D6FFE" w:rsidRDefault="00E40155">
      <w:pPr>
        <w:pStyle w:val="Alinea"/>
        <w:spacing w:after="160"/>
      </w:pPr>
      <w:r>
        <w:t>Að því er varðar valrétti skal gjalddaginn vera síðasti samningsbundni nýtingardagurinn sem tiltekinn er í samningnum.</w:t>
      </w:r>
    </w:p>
    <w:p w14:paraId="6523C8DE" w14:textId="77777777" w:rsidR="001D6FFE" w:rsidRDefault="00E40155">
      <w:pPr>
        <w:pStyle w:val="Alinea"/>
        <w:spacing w:after="0"/>
      </w:pPr>
      <w:r>
        <w:t>Að því er varðar afleiðusamninga sem eru samsettir þannig að á tilteknum dögum séu allar útistandandi áhættuskuldbindingar gerðar upp og skilmálarnir endurstilltir þannig að gangvirði samningsins verði núll, skal líftíminn sem eftir er vera jafnlangur tímanum til næsta endurstillingardags.</w:t>
      </w:r>
    </w:p>
    <w:p w14:paraId="28DDE044" w14:textId="77777777" w:rsidR="001D6FFE" w:rsidRDefault="001D6FFE">
      <w:pPr>
        <w:pStyle w:val="AlineaWithParag"/>
        <w:sectPr w:rsidR="001D6FFE">
          <w:pgSz w:w="11906" w:h="16838" w:code="9"/>
          <w:pgMar w:top="1680" w:right="1333" w:bottom="840" w:left="1333" w:header="920" w:footer="280" w:gutter="0"/>
          <w:cols w:space="708"/>
          <w:vAlign w:val="both"/>
          <w:docGrid w:linePitch="360"/>
        </w:sectPr>
      </w:pPr>
    </w:p>
    <w:p w14:paraId="62F14E98" w14:textId="77777777" w:rsidR="001D6FFE" w:rsidRDefault="00E40155">
      <w:pPr>
        <w:pStyle w:val="AlineaWithParag"/>
      </w:pPr>
      <w:r>
        <w:t>6.</w:t>
      </w:r>
      <w:r>
        <w:tab/>
        <w:t>Verðbréfafyrirtækið getur sjálft reiknað út eftirlitsdeltastuðulinn fyrir valréttina og skiptiréttina með því að nota viðeigandi líkan, með fyrirvara um samþykki lögbærra yfirvalda. Í líkaninu skal tíðni breytinga á virði valréttarins áætluð með tilliti til lítilla breytinga á markaðsvirði undirliggjandi gernings. Að því er varðar viðskipti önnur en valrétti og skiptirétti eða ef lögbær yfirvöld hafa ekki samþykkt neitt líkan skal deltastuðullinn vera 1.</w:t>
      </w:r>
    </w:p>
    <w:p w14:paraId="5E60F868" w14:textId="77777777" w:rsidR="001D6FFE" w:rsidRDefault="00E40155">
      <w:pPr>
        <w:pStyle w:val="AlineaWithParag"/>
      </w:pPr>
      <w:r>
        <w:t>7.</w:t>
      </w:r>
      <w:r>
        <w:tab/>
        <w:t>Eftirlitsstuðullinn fyrir hvern eignaflokk skal ákvarðaður í samræmi við eftirfarandi töflu:</w:t>
      </w:r>
    </w:p>
    <w:p w14:paraId="492689CB" w14:textId="77777777" w:rsidR="001D6FFE" w:rsidRDefault="00E40155">
      <w:pPr>
        <w:pStyle w:val="TIART"/>
      </w:pPr>
      <w:r>
        <w:t>Tafla 3</w:t>
      </w:r>
    </w:p>
    <w:tbl>
      <w:tblPr>
        <w:tblW w:w="598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295"/>
      </w:tblGrid>
      <w:tr w:rsidR="001D6FFE" w14:paraId="79942F95" w14:textId="77777777">
        <w:trPr>
          <w:trHeight w:val="195"/>
          <w:tblHeader/>
          <w:jc w:val="center"/>
        </w:trPr>
        <w:tc>
          <w:tcPr>
            <w:tcW w:w="4690" w:type="dxa"/>
            <w:tcMar>
              <w:top w:w="40" w:type="dxa"/>
              <w:left w:w="0" w:type="dxa"/>
              <w:bottom w:w="40" w:type="dxa"/>
              <w:right w:w="60" w:type="dxa"/>
            </w:tcMar>
            <w:vAlign w:val="center"/>
          </w:tcPr>
          <w:p w14:paraId="66810CAE" w14:textId="77777777" w:rsidR="001D6FFE" w:rsidRDefault="00E40155">
            <w:pPr>
              <w:pStyle w:val="TableHeader"/>
              <w:rPr>
                <w:sz w:val="16"/>
                <w:szCs w:val="18"/>
              </w:rPr>
            </w:pPr>
            <w:r>
              <w:rPr>
                <w:sz w:val="16"/>
              </w:rPr>
              <w:t>Eignaflokkur</w:t>
            </w:r>
          </w:p>
        </w:tc>
        <w:tc>
          <w:tcPr>
            <w:tcW w:w="1295" w:type="dxa"/>
            <w:tcMar>
              <w:top w:w="40" w:type="dxa"/>
              <w:left w:w="60" w:type="dxa"/>
              <w:bottom w:w="40" w:type="dxa"/>
              <w:right w:w="0" w:type="dxa"/>
            </w:tcMar>
            <w:vAlign w:val="center"/>
          </w:tcPr>
          <w:p w14:paraId="7FD06A8A" w14:textId="77777777" w:rsidR="001D6FFE" w:rsidRDefault="00E40155">
            <w:pPr>
              <w:pStyle w:val="TableHeader"/>
              <w:rPr>
                <w:sz w:val="16"/>
                <w:szCs w:val="18"/>
              </w:rPr>
            </w:pPr>
            <w:r>
              <w:rPr>
                <w:sz w:val="16"/>
              </w:rPr>
              <w:t>Eftirlitsstuðull</w:t>
            </w:r>
          </w:p>
        </w:tc>
      </w:tr>
      <w:tr w:rsidR="001D6FFE" w14:paraId="28058504" w14:textId="77777777">
        <w:trPr>
          <w:trHeight w:val="234"/>
          <w:jc w:val="center"/>
        </w:trPr>
        <w:tc>
          <w:tcPr>
            <w:tcW w:w="4690" w:type="dxa"/>
            <w:tcMar>
              <w:top w:w="40" w:type="dxa"/>
              <w:left w:w="0" w:type="dxa"/>
              <w:bottom w:w="40" w:type="dxa"/>
              <w:right w:w="60" w:type="dxa"/>
            </w:tcMar>
          </w:tcPr>
          <w:p w14:paraId="44F26648" w14:textId="77777777" w:rsidR="001D6FFE" w:rsidRDefault="00E40155">
            <w:pPr>
              <w:pStyle w:val="TableCellLeft"/>
              <w:spacing w:line="240" w:lineRule="exact"/>
              <w:rPr>
                <w:sz w:val="18"/>
                <w:szCs w:val="18"/>
              </w:rPr>
            </w:pPr>
            <w:r>
              <w:rPr>
                <w:sz w:val="18"/>
              </w:rPr>
              <w:t>Vextir</w:t>
            </w:r>
          </w:p>
        </w:tc>
        <w:tc>
          <w:tcPr>
            <w:tcW w:w="1295" w:type="dxa"/>
            <w:tcMar>
              <w:top w:w="40" w:type="dxa"/>
              <w:left w:w="60" w:type="dxa"/>
              <w:bottom w:w="40" w:type="dxa"/>
              <w:right w:w="0" w:type="dxa"/>
            </w:tcMar>
          </w:tcPr>
          <w:p w14:paraId="224ABB70" w14:textId="77777777" w:rsidR="001D6FFE" w:rsidRDefault="00E40155">
            <w:pPr>
              <w:pStyle w:val="TableCellLeft"/>
              <w:spacing w:line="240" w:lineRule="exact"/>
              <w:jc w:val="center"/>
              <w:rPr>
                <w:sz w:val="18"/>
                <w:szCs w:val="18"/>
              </w:rPr>
            </w:pPr>
            <w:r>
              <w:rPr>
                <w:sz w:val="18"/>
              </w:rPr>
              <w:t>0,5%</w:t>
            </w:r>
          </w:p>
        </w:tc>
      </w:tr>
      <w:tr w:rsidR="001D6FFE" w14:paraId="17773987" w14:textId="77777777">
        <w:trPr>
          <w:trHeight w:val="234"/>
          <w:jc w:val="center"/>
        </w:trPr>
        <w:tc>
          <w:tcPr>
            <w:tcW w:w="4690" w:type="dxa"/>
            <w:tcMar>
              <w:top w:w="40" w:type="dxa"/>
              <w:left w:w="0" w:type="dxa"/>
              <w:bottom w:w="40" w:type="dxa"/>
              <w:right w:w="60" w:type="dxa"/>
            </w:tcMar>
          </w:tcPr>
          <w:p w14:paraId="76CCAF4F" w14:textId="77777777" w:rsidR="001D6FFE" w:rsidRDefault="00E40155">
            <w:pPr>
              <w:pStyle w:val="TableCellLeft"/>
              <w:spacing w:line="240" w:lineRule="exact"/>
              <w:rPr>
                <w:sz w:val="18"/>
                <w:szCs w:val="18"/>
              </w:rPr>
            </w:pPr>
            <w:r>
              <w:rPr>
                <w:sz w:val="18"/>
              </w:rPr>
              <w:t>Erlendur gjaldeyrir</w:t>
            </w:r>
          </w:p>
        </w:tc>
        <w:tc>
          <w:tcPr>
            <w:tcW w:w="1295" w:type="dxa"/>
            <w:tcMar>
              <w:top w:w="40" w:type="dxa"/>
              <w:left w:w="60" w:type="dxa"/>
              <w:bottom w:w="40" w:type="dxa"/>
              <w:right w:w="0" w:type="dxa"/>
            </w:tcMar>
          </w:tcPr>
          <w:p w14:paraId="256E6722" w14:textId="77777777" w:rsidR="001D6FFE" w:rsidRDefault="00E40155">
            <w:pPr>
              <w:pStyle w:val="TableCellLeft"/>
              <w:spacing w:line="240" w:lineRule="exact"/>
              <w:jc w:val="center"/>
              <w:rPr>
                <w:sz w:val="18"/>
                <w:szCs w:val="18"/>
              </w:rPr>
            </w:pPr>
            <w:r>
              <w:rPr>
                <w:sz w:val="18"/>
              </w:rPr>
              <w:t>4%</w:t>
            </w:r>
          </w:p>
        </w:tc>
      </w:tr>
      <w:tr w:rsidR="001D6FFE" w14:paraId="05CE350B" w14:textId="77777777">
        <w:trPr>
          <w:trHeight w:val="234"/>
          <w:jc w:val="center"/>
        </w:trPr>
        <w:tc>
          <w:tcPr>
            <w:tcW w:w="4690" w:type="dxa"/>
            <w:tcMar>
              <w:top w:w="40" w:type="dxa"/>
              <w:left w:w="0" w:type="dxa"/>
              <w:bottom w:w="40" w:type="dxa"/>
              <w:right w:w="60" w:type="dxa"/>
            </w:tcMar>
          </w:tcPr>
          <w:p w14:paraId="53E6B008" w14:textId="77777777" w:rsidR="001D6FFE" w:rsidRDefault="00E40155">
            <w:pPr>
              <w:pStyle w:val="TableCellLeft"/>
              <w:spacing w:line="240" w:lineRule="exact"/>
              <w:rPr>
                <w:sz w:val="18"/>
                <w:szCs w:val="18"/>
              </w:rPr>
            </w:pPr>
            <w:r>
              <w:rPr>
                <w:sz w:val="18"/>
              </w:rPr>
              <w:t>Lán</w:t>
            </w:r>
          </w:p>
        </w:tc>
        <w:tc>
          <w:tcPr>
            <w:tcW w:w="1295" w:type="dxa"/>
            <w:tcMar>
              <w:top w:w="40" w:type="dxa"/>
              <w:left w:w="60" w:type="dxa"/>
              <w:bottom w:w="40" w:type="dxa"/>
              <w:right w:w="0" w:type="dxa"/>
            </w:tcMar>
          </w:tcPr>
          <w:p w14:paraId="53FC0164" w14:textId="77777777" w:rsidR="001D6FFE" w:rsidRDefault="00E40155">
            <w:pPr>
              <w:pStyle w:val="TableCellLeft"/>
              <w:spacing w:line="240" w:lineRule="exact"/>
              <w:jc w:val="center"/>
              <w:rPr>
                <w:sz w:val="18"/>
                <w:szCs w:val="18"/>
              </w:rPr>
            </w:pPr>
            <w:r>
              <w:rPr>
                <w:sz w:val="18"/>
              </w:rPr>
              <w:t>1%</w:t>
            </w:r>
          </w:p>
        </w:tc>
      </w:tr>
      <w:tr w:rsidR="001D6FFE" w14:paraId="0E12A883" w14:textId="77777777">
        <w:trPr>
          <w:trHeight w:val="234"/>
          <w:jc w:val="center"/>
        </w:trPr>
        <w:tc>
          <w:tcPr>
            <w:tcW w:w="4690" w:type="dxa"/>
            <w:tcMar>
              <w:top w:w="40" w:type="dxa"/>
              <w:left w:w="0" w:type="dxa"/>
              <w:bottom w:w="40" w:type="dxa"/>
              <w:right w:w="60" w:type="dxa"/>
            </w:tcMar>
          </w:tcPr>
          <w:p w14:paraId="52D5A70F" w14:textId="77777777" w:rsidR="001D6FFE" w:rsidRDefault="00E40155">
            <w:pPr>
              <w:pStyle w:val="TableCellLeft"/>
              <w:spacing w:line="240" w:lineRule="exact"/>
              <w:rPr>
                <w:sz w:val="18"/>
                <w:szCs w:val="18"/>
              </w:rPr>
            </w:pPr>
            <w:r>
              <w:rPr>
                <w:sz w:val="18"/>
              </w:rPr>
              <w:t>Hlutabréf eins aðila</w:t>
            </w:r>
          </w:p>
        </w:tc>
        <w:tc>
          <w:tcPr>
            <w:tcW w:w="1295" w:type="dxa"/>
            <w:tcMar>
              <w:top w:w="40" w:type="dxa"/>
              <w:left w:w="60" w:type="dxa"/>
              <w:bottom w:w="40" w:type="dxa"/>
              <w:right w:w="0" w:type="dxa"/>
            </w:tcMar>
          </w:tcPr>
          <w:p w14:paraId="6976CFE6" w14:textId="77777777" w:rsidR="001D6FFE" w:rsidRDefault="00E40155">
            <w:pPr>
              <w:pStyle w:val="TableCellLeft"/>
              <w:spacing w:line="240" w:lineRule="exact"/>
              <w:jc w:val="center"/>
              <w:rPr>
                <w:sz w:val="18"/>
                <w:szCs w:val="18"/>
              </w:rPr>
            </w:pPr>
            <w:r>
              <w:rPr>
                <w:sz w:val="18"/>
              </w:rPr>
              <w:t>32%</w:t>
            </w:r>
          </w:p>
        </w:tc>
      </w:tr>
      <w:tr w:rsidR="001D6FFE" w14:paraId="24E6BB62" w14:textId="77777777">
        <w:trPr>
          <w:trHeight w:val="234"/>
          <w:jc w:val="center"/>
        </w:trPr>
        <w:tc>
          <w:tcPr>
            <w:tcW w:w="4690" w:type="dxa"/>
            <w:tcMar>
              <w:top w:w="40" w:type="dxa"/>
              <w:left w:w="0" w:type="dxa"/>
              <w:bottom w:w="40" w:type="dxa"/>
              <w:right w:w="60" w:type="dxa"/>
            </w:tcMar>
          </w:tcPr>
          <w:p w14:paraId="7CD76A06" w14:textId="77777777" w:rsidR="001D6FFE" w:rsidRDefault="00E40155">
            <w:pPr>
              <w:pStyle w:val="TableCellLeft"/>
              <w:spacing w:line="240" w:lineRule="exact"/>
              <w:rPr>
                <w:sz w:val="18"/>
                <w:szCs w:val="18"/>
              </w:rPr>
            </w:pPr>
            <w:r>
              <w:rPr>
                <w:sz w:val="18"/>
              </w:rPr>
              <w:t>Hlutabréfavísitala</w:t>
            </w:r>
          </w:p>
        </w:tc>
        <w:tc>
          <w:tcPr>
            <w:tcW w:w="1295" w:type="dxa"/>
            <w:tcMar>
              <w:top w:w="40" w:type="dxa"/>
              <w:left w:w="60" w:type="dxa"/>
              <w:bottom w:w="40" w:type="dxa"/>
              <w:right w:w="0" w:type="dxa"/>
            </w:tcMar>
          </w:tcPr>
          <w:p w14:paraId="6F0B7079" w14:textId="77777777" w:rsidR="001D6FFE" w:rsidRDefault="00E40155">
            <w:pPr>
              <w:pStyle w:val="TableCellLeft"/>
              <w:spacing w:line="240" w:lineRule="exact"/>
              <w:jc w:val="center"/>
              <w:rPr>
                <w:sz w:val="18"/>
                <w:szCs w:val="18"/>
              </w:rPr>
            </w:pPr>
            <w:r>
              <w:rPr>
                <w:sz w:val="18"/>
              </w:rPr>
              <w:t>20%</w:t>
            </w:r>
          </w:p>
        </w:tc>
      </w:tr>
      <w:tr w:rsidR="001D6FFE" w14:paraId="0A518AA7" w14:textId="77777777">
        <w:trPr>
          <w:trHeight w:val="234"/>
          <w:jc w:val="center"/>
        </w:trPr>
        <w:tc>
          <w:tcPr>
            <w:tcW w:w="4690" w:type="dxa"/>
            <w:tcMar>
              <w:top w:w="40" w:type="dxa"/>
              <w:left w:w="0" w:type="dxa"/>
              <w:bottom w:w="40" w:type="dxa"/>
              <w:right w:w="60" w:type="dxa"/>
            </w:tcMar>
          </w:tcPr>
          <w:p w14:paraId="42AF67F5" w14:textId="77777777" w:rsidR="001D6FFE" w:rsidRDefault="00E40155">
            <w:pPr>
              <w:pStyle w:val="TableCellLeft"/>
              <w:spacing w:line="240" w:lineRule="exact"/>
              <w:rPr>
                <w:sz w:val="18"/>
                <w:szCs w:val="18"/>
              </w:rPr>
            </w:pPr>
            <w:r>
              <w:rPr>
                <w:sz w:val="18"/>
              </w:rPr>
              <w:t>Hrávörur og losunarheimildir</w:t>
            </w:r>
          </w:p>
        </w:tc>
        <w:tc>
          <w:tcPr>
            <w:tcW w:w="1295" w:type="dxa"/>
            <w:tcMar>
              <w:top w:w="40" w:type="dxa"/>
              <w:left w:w="60" w:type="dxa"/>
              <w:bottom w:w="40" w:type="dxa"/>
              <w:right w:w="0" w:type="dxa"/>
            </w:tcMar>
          </w:tcPr>
          <w:p w14:paraId="5E33F52C" w14:textId="77777777" w:rsidR="001D6FFE" w:rsidRDefault="00E40155">
            <w:pPr>
              <w:pStyle w:val="TableCellLeft"/>
              <w:spacing w:line="240" w:lineRule="exact"/>
              <w:jc w:val="center"/>
              <w:rPr>
                <w:sz w:val="18"/>
                <w:szCs w:val="18"/>
              </w:rPr>
            </w:pPr>
            <w:r>
              <w:rPr>
                <w:sz w:val="18"/>
              </w:rPr>
              <w:t>18%</w:t>
            </w:r>
          </w:p>
        </w:tc>
      </w:tr>
      <w:tr w:rsidR="001D6FFE" w14:paraId="4C2DF247" w14:textId="77777777">
        <w:trPr>
          <w:trHeight w:val="19"/>
          <w:jc w:val="center"/>
        </w:trPr>
        <w:tc>
          <w:tcPr>
            <w:tcW w:w="4690" w:type="dxa"/>
            <w:tcMar>
              <w:top w:w="40" w:type="dxa"/>
              <w:left w:w="0" w:type="dxa"/>
              <w:bottom w:w="40" w:type="dxa"/>
              <w:right w:w="60" w:type="dxa"/>
            </w:tcMar>
          </w:tcPr>
          <w:p w14:paraId="7540F132" w14:textId="77777777" w:rsidR="001D6FFE" w:rsidRDefault="00E40155">
            <w:pPr>
              <w:pStyle w:val="TableCellLeft"/>
              <w:spacing w:line="240" w:lineRule="exact"/>
              <w:rPr>
                <w:sz w:val="18"/>
                <w:szCs w:val="18"/>
              </w:rPr>
            </w:pPr>
            <w:r>
              <w:rPr>
                <w:sz w:val="18"/>
              </w:rPr>
              <w:t>Annað</w:t>
            </w:r>
          </w:p>
        </w:tc>
        <w:tc>
          <w:tcPr>
            <w:tcW w:w="1295" w:type="dxa"/>
            <w:tcMar>
              <w:top w:w="40" w:type="dxa"/>
              <w:left w:w="60" w:type="dxa"/>
              <w:bottom w:w="40" w:type="dxa"/>
              <w:right w:w="0" w:type="dxa"/>
            </w:tcMar>
          </w:tcPr>
          <w:p w14:paraId="577204C6" w14:textId="77777777" w:rsidR="001D6FFE" w:rsidRDefault="00E40155">
            <w:pPr>
              <w:pStyle w:val="TableCellLeft"/>
              <w:spacing w:line="240" w:lineRule="exact"/>
              <w:jc w:val="center"/>
              <w:rPr>
                <w:sz w:val="18"/>
                <w:szCs w:val="18"/>
              </w:rPr>
            </w:pPr>
            <w:r>
              <w:rPr>
                <w:sz w:val="18"/>
              </w:rPr>
              <w:t>32%</w:t>
            </w:r>
          </w:p>
        </w:tc>
      </w:tr>
    </w:tbl>
    <w:p w14:paraId="19B4592C" w14:textId="77777777" w:rsidR="001D6FFE" w:rsidRDefault="00E40155">
      <w:pPr>
        <w:pStyle w:val="AlineaWithParag"/>
        <w:spacing w:before="200"/>
      </w:pPr>
      <w:r>
        <w:t>8.</w:t>
      </w:r>
      <w:r>
        <w:tab/>
      </w:r>
      <w:r>
        <w:t>Möguleg framtíðaráhættuskuldbinding vegna skuldajöfnunarsafns er samtala af mögulegum framtíðaráhættuskuldbindingum allra viðskipta sem innifalin eru í skuldajöfnunarsafninu, margfölduð með:</w:t>
      </w:r>
    </w:p>
    <w:p w14:paraId="36CDBC7C" w14:textId="77777777" w:rsidR="001D6FFE" w:rsidRDefault="00E40155">
      <w:pPr>
        <w:pStyle w:val="NumberedText"/>
        <w:ind w:left="300" w:hanging="300"/>
      </w:pPr>
      <w:r>
        <w:t>a)</w:t>
      </w:r>
      <w:r>
        <w:tab/>
        <w:t>0,42, fyrir skuldajöfnunarsöfn viðskipta við fjárhagslega og ófjárhagslega mótaðila þar sem skipst er á tryggingum tvíhliða við mótaðilann, ef þess er krafist, í samræmi við skilyrðin sem mælt er fyrir um í 11. gr. reglugerðar (ESB) nr. 648/2012,</w:t>
      </w:r>
    </w:p>
    <w:p w14:paraId="0DC4B02D" w14:textId="77777777" w:rsidR="001D6FFE" w:rsidRDefault="00E40155">
      <w:pPr>
        <w:pStyle w:val="NumberedText"/>
        <w:ind w:left="300" w:hanging="300"/>
      </w:pPr>
      <w:r>
        <w:t>b)</w:t>
      </w:r>
      <w:r>
        <w:tab/>
        <w:t>1 fyrir önnur skuldajöfnunarsöfn.</w:t>
      </w:r>
    </w:p>
    <w:p w14:paraId="4DA75AA1" w14:textId="77777777" w:rsidR="001D6FFE" w:rsidRDefault="00E40155">
      <w:pPr>
        <w:pStyle w:val="TIART"/>
      </w:pPr>
      <w:r>
        <w:t>30. gr.</w:t>
      </w:r>
    </w:p>
    <w:p w14:paraId="284CB9BE" w14:textId="77777777" w:rsidR="001D6FFE" w:rsidRDefault="00E40155">
      <w:pPr>
        <w:pStyle w:val="STIART"/>
      </w:pPr>
      <w:r>
        <w:t>Veðtrygging</w:t>
      </w:r>
    </w:p>
    <w:p w14:paraId="227E6D0A" w14:textId="77777777" w:rsidR="001D6FFE" w:rsidRDefault="00E40155">
      <w:pPr>
        <w:pStyle w:val="AlineaWithParag"/>
      </w:pPr>
      <w:r>
        <w:t>1.</w:t>
      </w:r>
      <w:r>
        <w:tab/>
        <w:t>Allar veðtryggingar fyrir bæði tvíhliða og stöðustofnuð viðskipti sem um getur í 25. gr. skulu falla undir aðlögun vegna óstöðugleika í samræmi við eftirfarandi töflu:</w:t>
      </w:r>
    </w:p>
    <w:p w14:paraId="6729E941" w14:textId="77777777" w:rsidR="001D6FFE" w:rsidRDefault="00E40155">
      <w:pPr>
        <w:pStyle w:val="TIART"/>
      </w:pPr>
      <w:r>
        <w:t>Tafla 4</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1848"/>
        <w:gridCol w:w="2316"/>
        <w:gridCol w:w="2316"/>
      </w:tblGrid>
      <w:tr w:rsidR="001D6FFE" w14:paraId="6E7A7818" w14:textId="77777777">
        <w:trPr>
          <w:trHeight w:val="20"/>
          <w:tblHeader/>
        </w:trPr>
        <w:tc>
          <w:tcPr>
            <w:tcW w:w="2494" w:type="pct"/>
            <w:gridSpan w:val="2"/>
            <w:tcMar>
              <w:top w:w="40" w:type="dxa"/>
              <w:left w:w="0" w:type="dxa"/>
              <w:bottom w:w="40" w:type="dxa"/>
              <w:right w:w="60" w:type="dxa"/>
            </w:tcMar>
            <w:vAlign w:val="center"/>
          </w:tcPr>
          <w:p w14:paraId="4DE64D89" w14:textId="77777777" w:rsidR="001D6FFE" w:rsidRDefault="00E40155">
            <w:pPr>
              <w:pStyle w:val="TableHeader"/>
              <w:rPr>
                <w:sz w:val="16"/>
                <w:szCs w:val="18"/>
              </w:rPr>
            </w:pPr>
            <w:r>
              <w:rPr>
                <w:sz w:val="16"/>
              </w:rPr>
              <w:t>Eignaflokkur</w:t>
            </w:r>
          </w:p>
        </w:tc>
        <w:tc>
          <w:tcPr>
            <w:tcW w:w="1253" w:type="pct"/>
            <w:tcMar>
              <w:top w:w="40" w:type="dxa"/>
              <w:left w:w="60" w:type="dxa"/>
              <w:bottom w:w="40" w:type="dxa"/>
              <w:right w:w="60" w:type="dxa"/>
            </w:tcMar>
            <w:vAlign w:val="center"/>
          </w:tcPr>
          <w:p w14:paraId="17396254" w14:textId="77777777" w:rsidR="001D6FFE" w:rsidRDefault="00E40155">
            <w:pPr>
              <w:pStyle w:val="TableHeader"/>
              <w:rPr>
                <w:sz w:val="16"/>
                <w:szCs w:val="18"/>
              </w:rPr>
            </w:pPr>
            <w:r>
              <w:rPr>
                <w:sz w:val="16"/>
              </w:rPr>
              <w:t>Aðlögun vegna óstöðugleika fyrir endurhverf viðskipti</w:t>
            </w:r>
          </w:p>
        </w:tc>
        <w:tc>
          <w:tcPr>
            <w:tcW w:w="1253" w:type="pct"/>
            <w:tcMar>
              <w:top w:w="40" w:type="dxa"/>
              <w:left w:w="60" w:type="dxa"/>
              <w:bottom w:w="40" w:type="dxa"/>
              <w:right w:w="0" w:type="dxa"/>
            </w:tcMar>
            <w:vAlign w:val="center"/>
          </w:tcPr>
          <w:p w14:paraId="0F7DF707" w14:textId="77777777" w:rsidR="001D6FFE" w:rsidRDefault="00E40155">
            <w:pPr>
              <w:pStyle w:val="TableHeader"/>
              <w:rPr>
                <w:sz w:val="16"/>
                <w:szCs w:val="18"/>
              </w:rPr>
            </w:pPr>
            <w:r>
              <w:rPr>
                <w:sz w:val="16"/>
              </w:rPr>
              <w:t>Aðlögun vegna óstöðugleika fyrir önnur viðskipti</w:t>
            </w:r>
          </w:p>
        </w:tc>
      </w:tr>
      <w:tr w:rsidR="001D6FFE" w14:paraId="637C0D60" w14:textId="77777777">
        <w:trPr>
          <w:trHeight w:val="20"/>
        </w:trPr>
        <w:tc>
          <w:tcPr>
            <w:tcW w:w="1494" w:type="pct"/>
            <w:vMerge w:val="restart"/>
            <w:tcMar>
              <w:top w:w="40" w:type="dxa"/>
              <w:left w:w="0" w:type="dxa"/>
              <w:bottom w:w="40" w:type="dxa"/>
              <w:right w:w="60" w:type="dxa"/>
            </w:tcMar>
          </w:tcPr>
          <w:p w14:paraId="6B5E2588" w14:textId="77777777" w:rsidR="001D6FFE" w:rsidRDefault="00E40155">
            <w:pPr>
              <w:pStyle w:val="TableCellLeft"/>
              <w:spacing w:line="240" w:lineRule="exact"/>
              <w:rPr>
                <w:sz w:val="18"/>
                <w:szCs w:val="18"/>
              </w:rPr>
            </w:pPr>
            <w:r>
              <w:rPr>
                <w:sz w:val="18"/>
              </w:rPr>
              <w:t>Skuldabréf gefin út af ríkisstjórnum eða seðlabönkum</w:t>
            </w:r>
          </w:p>
        </w:tc>
        <w:tc>
          <w:tcPr>
            <w:tcW w:w="1000" w:type="pct"/>
            <w:tcMar>
              <w:top w:w="40" w:type="dxa"/>
              <w:left w:w="60" w:type="dxa"/>
              <w:bottom w:w="40" w:type="dxa"/>
              <w:right w:w="60" w:type="dxa"/>
            </w:tcMar>
          </w:tcPr>
          <w:p w14:paraId="15D2B324" w14:textId="77777777" w:rsidR="001D6FFE" w:rsidRDefault="00E40155">
            <w:pPr>
              <w:pStyle w:val="TableCellLeft"/>
              <w:spacing w:line="240" w:lineRule="exact"/>
              <w:rPr>
                <w:sz w:val="18"/>
                <w:szCs w:val="18"/>
              </w:rPr>
            </w:pPr>
            <w:r>
              <w:rPr>
                <w:sz w:val="18"/>
              </w:rPr>
              <w:t>≤ 1 ár</w:t>
            </w:r>
          </w:p>
        </w:tc>
        <w:tc>
          <w:tcPr>
            <w:tcW w:w="1253" w:type="pct"/>
            <w:tcMar>
              <w:top w:w="40" w:type="dxa"/>
              <w:left w:w="60" w:type="dxa"/>
              <w:bottom w:w="40" w:type="dxa"/>
              <w:right w:w="60" w:type="dxa"/>
            </w:tcMar>
          </w:tcPr>
          <w:p w14:paraId="4F2F32BC" w14:textId="77777777" w:rsidR="001D6FFE" w:rsidRDefault="00E40155">
            <w:pPr>
              <w:pStyle w:val="TableCellLeft"/>
              <w:spacing w:line="240" w:lineRule="exact"/>
              <w:jc w:val="center"/>
              <w:rPr>
                <w:sz w:val="18"/>
                <w:szCs w:val="18"/>
              </w:rPr>
            </w:pPr>
            <w:r>
              <w:rPr>
                <w:sz w:val="18"/>
              </w:rPr>
              <w:t>0,707%</w:t>
            </w:r>
          </w:p>
        </w:tc>
        <w:tc>
          <w:tcPr>
            <w:tcW w:w="1253" w:type="pct"/>
            <w:tcMar>
              <w:top w:w="40" w:type="dxa"/>
              <w:left w:w="60" w:type="dxa"/>
              <w:bottom w:w="40" w:type="dxa"/>
              <w:right w:w="0" w:type="dxa"/>
            </w:tcMar>
          </w:tcPr>
          <w:p w14:paraId="60BA3B26" w14:textId="77777777" w:rsidR="001D6FFE" w:rsidRDefault="00E40155">
            <w:pPr>
              <w:pStyle w:val="TableCellLeft"/>
              <w:spacing w:line="240" w:lineRule="exact"/>
              <w:jc w:val="center"/>
              <w:rPr>
                <w:sz w:val="18"/>
                <w:szCs w:val="18"/>
              </w:rPr>
            </w:pPr>
            <w:r>
              <w:rPr>
                <w:sz w:val="18"/>
              </w:rPr>
              <w:t>1%</w:t>
            </w:r>
          </w:p>
        </w:tc>
      </w:tr>
      <w:tr w:rsidR="001D6FFE" w14:paraId="7837825E" w14:textId="77777777">
        <w:trPr>
          <w:trHeight w:val="20"/>
        </w:trPr>
        <w:tc>
          <w:tcPr>
            <w:tcW w:w="1494" w:type="pct"/>
            <w:vMerge/>
            <w:tcMar>
              <w:top w:w="40" w:type="dxa"/>
              <w:left w:w="0" w:type="dxa"/>
              <w:bottom w:w="40" w:type="dxa"/>
              <w:right w:w="60" w:type="dxa"/>
            </w:tcMar>
          </w:tcPr>
          <w:p w14:paraId="2919FD49" w14:textId="77777777" w:rsidR="001D6FFE" w:rsidRDefault="001D6FFE">
            <w:pPr>
              <w:pStyle w:val="Para"/>
              <w:rPr>
                <w:szCs w:val="18"/>
              </w:rPr>
            </w:pPr>
          </w:p>
        </w:tc>
        <w:tc>
          <w:tcPr>
            <w:tcW w:w="1000" w:type="pct"/>
            <w:tcMar>
              <w:top w:w="40" w:type="dxa"/>
              <w:left w:w="60" w:type="dxa"/>
              <w:bottom w:w="40" w:type="dxa"/>
              <w:right w:w="60" w:type="dxa"/>
            </w:tcMar>
          </w:tcPr>
          <w:p w14:paraId="65169217" w14:textId="77777777" w:rsidR="001D6FFE" w:rsidRDefault="00E40155">
            <w:pPr>
              <w:pStyle w:val="TableCellLeft"/>
              <w:spacing w:line="240" w:lineRule="exact"/>
              <w:rPr>
                <w:sz w:val="18"/>
                <w:szCs w:val="18"/>
              </w:rPr>
            </w:pPr>
            <w:r>
              <w:rPr>
                <w:sz w:val="18"/>
              </w:rPr>
              <w:t>&gt; 1 ár ≤ 5 ár</w:t>
            </w:r>
          </w:p>
        </w:tc>
        <w:tc>
          <w:tcPr>
            <w:tcW w:w="1253" w:type="pct"/>
            <w:tcMar>
              <w:top w:w="40" w:type="dxa"/>
              <w:left w:w="60" w:type="dxa"/>
              <w:bottom w:w="40" w:type="dxa"/>
              <w:right w:w="60" w:type="dxa"/>
            </w:tcMar>
          </w:tcPr>
          <w:p w14:paraId="2DEF5B84" w14:textId="77777777" w:rsidR="001D6FFE" w:rsidRDefault="00E40155">
            <w:pPr>
              <w:pStyle w:val="TableCellLeft"/>
              <w:spacing w:line="240" w:lineRule="exact"/>
              <w:jc w:val="center"/>
              <w:rPr>
                <w:sz w:val="18"/>
                <w:szCs w:val="18"/>
              </w:rPr>
            </w:pPr>
            <w:r>
              <w:rPr>
                <w:sz w:val="18"/>
              </w:rPr>
              <w:t>2,121%</w:t>
            </w:r>
          </w:p>
        </w:tc>
        <w:tc>
          <w:tcPr>
            <w:tcW w:w="1253" w:type="pct"/>
            <w:tcMar>
              <w:top w:w="40" w:type="dxa"/>
              <w:left w:w="60" w:type="dxa"/>
              <w:bottom w:w="40" w:type="dxa"/>
              <w:right w:w="0" w:type="dxa"/>
            </w:tcMar>
          </w:tcPr>
          <w:p w14:paraId="5296A4A7" w14:textId="77777777" w:rsidR="001D6FFE" w:rsidRDefault="00E40155">
            <w:pPr>
              <w:pStyle w:val="TableCellLeft"/>
              <w:spacing w:line="240" w:lineRule="exact"/>
              <w:jc w:val="center"/>
              <w:rPr>
                <w:sz w:val="18"/>
                <w:szCs w:val="18"/>
              </w:rPr>
            </w:pPr>
            <w:r>
              <w:rPr>
                <w:sz w:val="18"/>
              </w:rPr>
              <w:t>3%</w:t>
            </w:r>
          </w:p>
        </w:tc>
      </w:tr>
      <w:tr w:rsidR="001D6FFE" w14:paraId="69D0F340" w14:textId="77777777">
        <w:trPr>
          <w:trHeight w:val="20"/>
        </w:trPr>
        <w:tc>
          <w:tcPr>
            <w:tcW w:w="1494" w:type="pct"/>
            <w:vMerge/>
            <w:tcMar>
              <w:top w:w="40" w:type="dxa"/>
              <w:left w:w="0" w:type="dxa"/>
              <w:bottom w:w="40" w:type="dxa"/>
              <w:right w:w="60" w:type="dxa"/>
            </w:tcMar>
          </w:tcPr>
          <w:p w14:paraId="049138FA" w14:textId="77777777" w:rsidR="001D6FFE" w:rsidRDefault="001D6FFE">
            <w:pPr>
              <w:pStyle w:val="Para"/>
              <w:rPr>
                <w:szCs w:val="18"/>
              </w:rPr>
            </w:pPr>
          </w:p>
        </w:tc>
        <w:tc>
          <w:tcPr>
            <w:tcW w:w="1000" w:type="pct"/>
            <w:tcMar>
              <w:top w:w="40" w:type="dxa"/>
              <w:left w:w="60" w:type="dxa"/>
              <w:bottom w:w="40" w:type="dxa"/>
              <w:right w:w="60" w:type="dxa"/>
            </w:tcMar>
          </w:tcPr>
          <w:p w14:paraId="524386CA" w14:textId="77777777" w:rsidR="001D6FFE" w:rsidRDefault="00E40155">
            <w:pPr>
              <w:pStyle w:val="TableCellLeft"/>
              <w:spacing w:line="240" w:lineRule="exact"/>
              <w:rPr>
                <w:sz w:val="18"/>
                <w:szCs w:val="18"/>
              </w:rPr>
            </w:pPr>
            <w:r>
              <w:rPr>
                <w:sz w:val="18"/>
              </w:rPr>
              <w:t>&gt; 5 ár</w:t>
            </w:r>
          </w:p>
        </w:tc>
        <w:tc>
          <w:tcPr>
            <w:tcW w:w="1253" w:type="pct"/>
            <w:tcMar>
              <w:top w:w="40" w:type="dxa"/>
              <w:left w:w="60" w:type="dxa"/>
              <w:bottom w:w="40" w:type="dxa"/>
              <w:right w:w="60" w:type="dxa"/>
            </w:tcMar>
          </w:tcPr>
          <w:p w14:paraId="0396E787" w14:textId="77777777" w:rsidR="001D6FFE" w:rsidRDefault="00E40155">
            <w:pPr>
              <w:pStyle w:val="TableCellLeft"/>
              <w:spacing w:line="240" w:lineRule="exact"/>
              <w:jc w:val="center"/>
              <w:rPr>
                <w:sz w:val="18"/>
                <w:szCs w:val="18"/>
              </w:rPr>
            </w:pPr>
            <w:r>
              <w:rPr>
                <w:sz w:val="18"/>
              </w:rPr>
              <w:t>4,243%</w:t>
            </w:r>
          </w:p>
        </w:tc>
        <w:tc>
          <w:tcPr>
            <w:tcW w:w="1253" w:type="pct"/>
            <w:tcMar>
              <w:top w:w="40" w:type="dxa"/>
              <w:left w:w="60" w:type="dxa"/>
              <w:bottom w:w="40" w:type="dxa"/>
              <w:right w:w="0" w:type="dxa"/>
            </w:tcMar>
          </w:tcPr>
          <w:p w14:paraId="4F3CC7FC" w14:textId="77777777" w:rsidR="001D6FFE" w:rsidRDefault="00E40155">
            <w:pPr>
              <w:pStyle w:val="TableCellLeft"/>
              <w:spacing w:line="240" w:lineRule="exact"/>
              <w:jc w:val="center"/>
              <w:rPr>
                <w:sz w:val="18"/>
                <w:szCs w:val="18"/>
              </w:rPr>
            </w:pPr>
            <w:r>
              <w:rPr>
                <w:sz w:val="18"/>
              </w:rPr>
              <w:t>6%</w:t>
            </w:r>
          </w:p>
        </w:tc>
      </w:tr>
      <w:tr w:rsidR="001D6FFE" w14:paraId="56A491F6" w14:textId="77777777">
        <w:trPr>
          <w:trHeight w:val="20"/>
        </w:trPr>
        <w:tc>
          <w:tcPr>
            <w:tcW w:w="1494" w:type="pct"/>
            <w:vMerge w:val="restart"/>
            <w:tcMar>
              <w:top w:w="40" w:type="dxa"/>
              <w:left w:w="0" w:type="dxa"/>
              <w:bottom w:w="40" w:type="dxa"/>
              <w:right w:w="60" w:type="dxa"/>
            </w:tcMar>
          </w:tcPr>
          <w:p w14:paraId="1010BCE3" w14:textId="77777777" w:rsidR="001D6FFE" w:rsidRDefault="00E40155">
            <w:pPr>
              <w:pStyle w:val="TableCellLeft"/>
              <w:spacing w:line="240" w:lineRule="exact"/>
              <w:rPr>
                <w:sz w:val="18"/>
                <w:szCs w:val="18"/>
              </w:rPr>
            </w:pPr>
            <w:r>
              <w:rPr>
                <w:sz w:val="18"/>
              </w:rPr>
              <w:t>Skuldabréf gefin út af öðrum aðilum</w:t>
            </w:r>
          </w:p>
        </w:tc>
        <w:tc>
          <w:tcPr>
            <w:tcW w:w="1000" w:type="pct"/>
            <w:tcMar>
              <w:top w:w="40" w:type="dxa"/>
              <w:left w:w="60" w:type="dxa"/>
              <w:bottom w:w="40" w:type="dxa"/>
              <w:right w:w="60" w:type="dxa"/>
            </w:tcMar>
          </w:tcPr>
          <w:p w14:paraId="6D2B13BF" w14:textId="77777777" w:rsidR="001D6FFE" w:rsidRDefault="00E40155">
            <w:pPr>
              <w:pStyle w:val="TableCellLeft"/>
              <w:spacing w:line="240" w:lineRule="exact"/>
              <w:rPr>
                <w:sz w:val="18"/>
                <w:szCs w:val="18"/>
              </w:rPr>
            </w:pPr>
            <w:r>
              <w:rPr>
                <w:sz w:val="18"/>
              </w:rPr>
              <w:t>≤ 1 ár</w:t>
            </w:r>
          </w:p>
        </w:tc>
        <w:tc>
          <w:tcPr>
            <w:tcW w:w="1253" w:type="pct"/>
            <w:tcMar>
              <w:top w:w="40" w:type="dxa"/>
              <w:left w:w="60" w:type="dxa"/>
              <w:bottom w:w="40" w:type="dxa"/>
              <w:right w:w="60" w:type="dxa"/>
            </w:tcMar>
          </w:tcPr>
          <w:p w14:paraId="28A18AF0" w14:textId="77777777" w:rsidR="001D6FFE" w:rsidRDefault="00E40155">
            <w:pPr>
              <w:pStyle w:val="TableCellLeft"/>
              <w:spacing w:line="240" w:lineRule="exact"/>
              <w:jc w:val="center"/>
              <w:rPr>
                <w:sz w:val="18"/>
                <w:szCs w:val="18"/>
              </w:rPr>
            </w:pPr>
            <w:r>
              <w:rPr>
                <w:sz w:val="18"/>
              </w:rPr>
              <w:t>1,414%</w:t>
            </w:r>
          </w:p>
        </w:tc>
        <w:tc>
          <w:tcPr>
            <w:tcW w:w="1253" w:type="pct"/>
            <w:tcMar>
              <w:top w:w="40" w:type="dxa"/>
              <w:left w:w="60" w:type="dxa"/>
              <w:bottom w:w="40" w:type="dxa"/>
              <w:right w:w="0" w:type="dxa"/>
            </w:tcMar>
          </w:tcPr>
          <w:p w14:paraId="585BD91A" w14:textId="77777777" w:rsidR="001D6FFE" w:rsidRDefault="00E40155">
            <w:pPr>
              <w:pStyle w:val="TableCellLeft"/>
              <w:spacing w:line="240" w:lineRule="exact"/>
              <w:jc w:val="center"/>
              <w:rPr>
                <w:sz w:val="18"/>
                <w:szCs w:val="18"/>
              </w:rPr>
            </w:pPr>
            <w:r>
              <w:rPr>
                <w:sz w:val="18"/>
              </w:rPr>
              <w:t>2%</w:t>
            </w:r>
          </w:p>
        </w:tc>
      </w:tr>
      <w:tr w:rsidR="001D6FFE" w14:paraId="024D36CA" w14:textId="77777777">
        <w:trPr>
          <w:trHeight w:val="20"/>
        </w:trPr>
        <w:tc>
          <w:tcPr>
            <w:tcW w:w="1494" w:type="pct"/>
            <w:vMerge/>
            <w:tcMar>
              <w:top w:w="40" w:type="dxa"/>
              <w:left w:w="0" w:type="dxa"/>
              <w:bottom w:w="40" w:type="dxa"/>
              <w:right w:w="60" w:type="dxa"/>
            </w:tcMar>
          </w:tcPr>
          <w:p w14:paraId="02806A34" w14:textId="77777777" w:rsidR="001D6FFE" w:rsidRDefault="001D6FFE">
            <w:pPr>
              <w:pStyle w:val="Para"/>
              <w:rPr>
                <w:szCs w:val="18"/>
              </w:rPr>
            </w:pPr>
          </w:p>
        </w:tc>
        <w:tc>
          <w:tcPr>
            <w:tcW w:w="1000" w:type="pct"/>
            <w:tcMar>
              <w:top w:w="40" w:type="dxa"/>
              <w:left w:w="60" w:type="dxa"/>
              <w:bottom w:w="40" w:type="dxa"/>
              <w:right w:w="60" w:type="dxa"/>
            </w:tcMar>
          </w:tcPr>
          <w:p w14:paraId="13770C95" w14:textId="77777777" w:rsidR="001D6FFE" w:rsidRDefault="00E40155">
            <w:pPr>
              <w:pStyle w:val="TableCellLeft"/>
              <w:spacing w:line="240" w:lineRule="exact"/>
              <w:rPr>
                <w:sz w:val="18"/>
                <w:szCs w:val="18"/>
              </w:rPr>
            </w:pPr>
            <w:r>
              <w:rPr>
                <w:sz w:val="18"/>
              </w:rPr>
              <w:t>&gt; 1 ár ≤ 5 ár</w:t>
            </w:r>
          </w:p>
        </w:tc>
        <w:tc>
          <w:tcPr>
            <w:tcW w:w="1253" w:type="pct"/>
            <w:tcMar>
              <w:top w:w="40" w:type="dxa"/>
              <w:left w:w="60" w:type="dxa"/>
              <w:bottom w:w="40" w:type="dxa"/>
              <w:right w:w="60" w:type="dxa"/>
            </w:tcMar>
          </w:tcPr>
          <w:p w14:paraId="592A72BE" w14:textId="77777777" w:rsidR="001D6FFE" w:rsidRDefault="00E40155">
            <w:pPr>
              <w:pStyle w:val="TableCellLeft"/>
              <w:spacing w:line="240" w:lineRule="exact"/>
              <w:jc w:val="center"/>
              <w:rPr>
                <w:sz w:val="18"/>
                <w:szCs w:val="18"/>
              </w:rPr>
            </w:pPr>
            <w:r>
              <w:rPr>
                <w:sz w:val="18"/>
              </w:rPr>
              <w:t>4,243%</w:t>
            </w:r>
          </w:p>
        </w:tc>
        <w:tc>
          <w:tcPr>
            <w:tcW w:w="1253" w:type="pct"/>
            <w:tcMar>
              <w:top w:w="40" w:type="dxa"/>
              <w:left w:w="60" w:type="dxa"/>
              <w:bottom w:w="40" w:type="dxa"/>
              <w:right w:w="0" w:type="dxa"/>
            </w:tcMar>
          </w:tcPr>
          <w:p w14:paraId="4C80BFDC" w14:textId="77777777" w:rsidR="001D6FFE" w:rsidRDefault="00E40155">
            <w:pPr>
              <w:pStyle w:val="TableCellLeft"/>
              <w:spacing w:line="240" w:lineRule="exact"/>
              <w:jc w:val="center"/>
              <w:rPr>
                <w:sz w:val="18"/>
                <w:szCs w:val="18"/>
              </w:rPr>
            </w:pPr>
            <w:r>
              <w:rPr>
                <w:sz w:val="18"/>
              </w:rPr>
              <w:t>6%</w:t>
            </w:r>
          </w:p>
        </w:tc>
      </w:tr>
      <w:tr w:rsidR="001D6FFE" w14:paraId="725ECC2E" w14:textId="77777777">
        <w:trPr>
          <w:trHeight w:val="20"/>
        </w:trPr>
        <w:tc>
          <w:tcPr>
            <w:tcW w:w="1494" w:type="pct"/>
            <w:vMerge/>
            <w:tcMar>
              <w:top w:w="40" w:type="dxa"/>
              <w:left w:w="0" w:type="dxa"/>
              <w:bottom w:w="40" w:type="dxa"/>
              <w:right w:w="60" w:type="dxa"/>
            </w:tcMar>
          </w:tcPr>
          <w:p w14:paraId="673B8B05" w14:textId="77777777" w:rsidR="001D6FFE" w:rsidRDefault="001D6FFE">
            <w:pPr>
              <w:pStyle w:val="Para"/>
              <w:rPr>
                <w:szCs w:val="18"/>
              </w:rPr>
            </w:pPr>
          </w:p>
        </w:tc>
        <w:tc>
          <w:tcPr>
            <w:tcW w:w="1000" w:type="pct"/>
            <w:tcMar>
              <w:top w:w="40" w:type="dxa"/>
              <w:left w:w="60" w:type="dxa"/>
              <w:bottom w:w="40" w:type="dxa"/>
              <w:right w:w="60" w:type="dxa"/>
            </w:tcMar>
          </w:tcPr>
          <w:p w14:paraId="72511C07" w14:textId="77777777" w:rsidR="001D6FFE" w:rsidRDefault="00E40155">
            <w:pPr>
              <w:pStyle w:val="TableCellLeft"/>
              <w:spacing w:line="240" w:lineRule="exact"/>
              <w:rPr>
                <w:sz w:val="18"/>
                <w:szCs w:val="18"/>
              </w:rPr>
            </w:pPr>
            <w:r>
              <w:rPr>
                <w:sz w:val="18"/>
              </w:rPr>
              <w:t>&gt; 5 ár</w:t>
            </w:r>
          </w:p>
        </w:tc>
        <w:tc>
          <w:tcPr>
            <w:tcW w:w="1253" w:type="pct"/>
            <w:tcMar>
              <w:top w:w="40" w:type="dxa"/>
              <w:left w:w="60" w:type="dxa"/>
              <w:bottom w:w="40" w:type="dxa"/>
              <w:right w:w="60" w:type="dxa"/>
            </w:tcMar>
          </w:tcPr>
          <w:p w14:paraId="2CAD27E3" w14:textId="77777777" w:rsidR="001D6FFE" w:rsidRDefault="00E40155">
            <w:pPr>
              <w:pStyle w:val="TableCellLeft"/>
              <w:spacing w:line="240" w:lineRule="exact"/>
              <w:jc w:val="center"/>
              <w:rPr>
                <w:sz w:val="18"/>
                <w:szCs w:val="18"/>
              </w:rPr>
            </w:pPr>
            <w:r>
              <w:rPr>
                <w:sz w:val="18"/>
              </w:rPr>
              <w:t>8,485%</w:t>
            </w:r>
          </w:p>
        </w:tc>
        <w:tc>
          <w:tcPr>
            <w:tcW w:w="1253" w:type="pct"/>
            <w:tcMar>
              <w:top w:w="40" w:type="dxa"/>
              <w:left w:w="60" w:type="dxa"/>
              <w:bottom w:w="40" w:type="dxa"/>
              <w:right w:w="0" w:type="dxa"/>
            </w:tcMar>
          </w:tcPr>
          <w:p w14:paraId="09E0064F" w14:textId="77777777" w:rsidR="001D6FFE" w:rsidRDefault="00E40155">
            <w:pPr>
              <w:pStyle w:val="TableCellLeft"/>
              <w:spacing w:line="240" w:lineRule="exact"/>
              <w:jc w:val="center"/>
              <w:rPr>
                <w:sz w:val="18"/>
                <w:szCs w:val="18"/>
              </w:rPr>
            </w:pPr>
            <w:r>
              <w:rPr>
                <w:sz w:val="18"/>
              </w:rPr>
              <w:t>12%</w:t>
            </w:r>
          </w:p>
        </w:tc>
      </w:tr>
      <w:tr w:rsidR="001D6FFE" w14:paraId="6FD79AF6" w14:textId="77777777">
        <w:trPr>
          <w:trHeight w:val="20"/>
        </w:trPr>
        <w:tc>
          <w:tcPr>
            <w:tcW w:w="1494" w:type="pct"/>
            <w:vMerge w:val="restart"/>
            <w:tcMar>
              <w:top w:w="40" w:type="dxa"/>
              <w:left w:w="0" w:type="dxa"/>
              <w:bottom w:w="40" w:type="dxa"/>
              <w:right w:w="60" w:type="dxa"/>
            </w:tcMar>
          </w:tcPr>
          <w:p w14:paraId="39CBE57D" w14:textId="77777777" w:rsidR="001D6FFE" w:rsidRDefault="00E40155">
            <w:pPr>
              <w:pStyle w:val="TableCellLeft"/>
              <w:spacing w:line="240" w:lineRule="exact"/>
              <w:rPr>
                <w:sz w:val="18"/>
                <w:szCs w:val="18"/>
              </w:rPr>
            </w:pPr>
            <w:r>
              <w:rPr>
                <w:sz w:val="18"/>
              </w:rPr>
              <w:t>Verðbréfaðar stöður</w:t>
            </w:r>
          </w:p>
        </w:tc>
        <w:tc>
          <w:tcPr>
            <w:tcW w:w="1000" w:type="pct"/>
            <w:tcMar>
              <w:top w:w="40" w:type="dxa"/>
              <w:left w:w="60" w:type="dxa"/>
              <w:bottom w:w="40" w:type="dxa"/>
              <w:right w:w="60" w:type="dxa"/>
            </w:tcMar>
          </w:tcPr>
          <w:p w14:paraId="5E2FD216" w14:textId="77777777" w:rsidR="001D6FFE" w:rsidRDefault="00E40155">
            <w:pPr>
              <w:pStyle w:val="TableCellLeft"/>
              <w:spacing w:line="240" w:lineRule="exact"/>
              <w:rPr>
                <w:sz w:val="18"/>
                <w:szCs w:val="18"/>
              </w:rPr>
            </w:pPr>
            <w:r>
              <w:rPr>
                <w:sz w:val="18"/>
              </w:rPr>
              <w:t>≤ 1 ár</w:t>
            </w:r>
          </w:p>
        </w:tc>
        <w:tc>
          <w:tcPr>
            <w:tcW w:w="1253" w:type="pct"/>
            <w:tcMar>
              <w:top w:w="40" w:type="dxa"/>
              <w:left w:w="60" w:type="dxa"/>
              <w:bottom w:w="40" w:type="dxa"/>
              <w:right w:w="60" w:type="dxa"/>
            </w:tcMar>
          </w:tcPr>
          <w:p w14:paraId="6B9B827C" w14:textId="77777777" w:rsidR="001D6FFE" w:rsidRDefault="00E40155">
            <w:pPr>
              <w:pStyle w:val="TableCellLeft"/>
              <w:spacing w:line="240" w:lineRule="exact"/>
              <w:jc w:val="center"/>
              <w:rPr>
                <w:sz w:val="18"/>
                <w:szCs w:val="18"/>
              </w:rPr>
            </w:pPr>
            <w:r>
              <w:rPr>
                <w:sz w:val="18"/>
              </w:rPr>
              <w:t>2,828%</w:t>
            </w:r>
          </w:p>
        </w:tc>
        <w:tc>
          <w:tcPr>
            <w:tcW w:w="1253" w:type="pct"/>
            <w:tcMar>
              <w:top w:w="40" w:type="dxa"/>
              <w:left w:w="60" w:type="dxa"/>
              <w:bottom w:w="40" w:type="dxa"/>
              <w:right w:w="0" w:type="dxa"/>
            </w:tcMar>
          </w:tcPr>
          <w:p w14:paraId="47E9CFD9" w14:textId="77777777" w:rsidR="001D6FFE" w:rsidRDefault="00E40155">
            <w:pPr>
              <w:pStyle w:val="TableCellLeft"/>
              <w:spacing w:line="240" w:lineRule="exact"/>
              <w:jc w:val="center"/>
              <w:rPr>
                <w:sz w:val="18"/>
                <w:szCs w:val="18"/>
              </w:rPr>
            </w:pPr>
            <w:r>
              <w:rPr>
                <w:sz w:val="18"/>
              </w:rPr>
              <w:t>4%</w:t>
            </w:r>
          </w:p>
        </w:tc>
      </w:tr>
      <w:tr w:rsidR="001D6FFE" w14:paraId="7DF12A0A" w14:textId="77777777">
        <w:trPr>
          <w:trHeight w:val="20"/>
        </w:trPr>
        <w:tc>
          <w:tcPr>
            <w:tcW w:w="1494" w:type="pct"/>
            <w:vMerge/>
            <w:tcMar>
              <w:top w:w="40" w:type="dxa"/>
              <w:left w:w="0" w:type="dxa"/>
              <w:bottom w:w="40" w:type="dxa"/>
              <w:right w:w="60" w:type="dxa"/>
            </w:tcMar>
          </w:tcPr>
          <w:p w14:paraId="3D60B51F" w14:textId="77777777" w:rsidR="001D6FFE" w:rsidRDefault="001D6FFE">
            <w:pPr>
              <w:pStyle w:val="Para"/>
              <w:rPr>
                <w:szCs w:val="18"/>
              </w:rPr>
            </w:pPr>
          </w:p>
        </w:tc>
        <w:tc>
          <w:tcPr>
            <w:tcW w:w="1000" w:type="pct"/>
            <w:tcMar>
              <w:top w:w="40" w:type="dxa"/>
              <w:left w:w="60" w:type="dxa"/>
              <w:bottom w:w="40" w:type="dxa"/>
              <w:right w:w="60" w:type="dxa"/>
            </w:tcMar>
          </w:tcPr>
          <w:p w14:paraId="42113383" w14:textId="77777777" w:rsidR="001D6FFE" w:rsidRDefault="00E40155">
            <w:pPr>
              <w:pStyle w:val="TableCellLeft"/>
              <w:spacing w:line="240" w:lineRule="exact"/>
              <w:rPr>
                <w:sz w:val="18"/>
                <w:szCs w:val="18"/>
              </w:rPr>
            </w:pPr>
            <w:r>
              <w:rPr>
                <w:sz w:val="18"/>
              </w:rPr>
              <w:t>&gt; 1 ár ≤ 5 ár</w:t>
            </w:r>
          </w:p>
        </w:tc>
        <w:tc>
          <w:tcPr>
            <w:tcW w:w="1253" w:type="pct"/>
            <w:tcMar>
              <w:top w:w="40" w:type="dxa"/>
              <w:left w:w="60" w:type="dxa"/>
              <w:bottom w:w="40" w:type="dxa"/>
              <w:right w:w="60" w:type="dxa"/>
            </w:tcMar>
          </w:tcPr>
          <w:p w14:paraId="28F20CD8" w14:textId="77777777" w:rsidR="001D6FFE" w:rsidRDefault="00E40155">
            <w:pPr>
              <w:pStyle w:val="TableCellLeft"/>
              <w:spacing w:line="240" w:lineRule="exact"/>
              <w:jc w:val="center"/>
              <w:rPr>
                <w:sz w:val="18"/>
                <w:szCs w:val="18"/>
              </w:rPr>
            </w:pPr>
            <w:r>
              <w:rPr>
                <w:sz w:val="18"/>
              </w:rPr>
              <w:t>8,485%</w:t>
            </w:r>
          </w:p>
        </w:tc>
        <w:tc>
          <w:tcPr>
            <w:tcW w:w="1253" w:type="pct"/>
            <w:tcMar>
              <w:top w:w="40" w:type="dxa"/>
              <w:left w:w="60" w:type="dxa"/>
              <w:bottom w:w="40" w:type="dxa"/>
              <w:right w:w="0" w:type="dxa"/>
            </w:tcMar>
          </w:tcPr>
          <w:p w14:paraId="68E395A8" w14:textId="77777777" w:rsidR="001D6FFE" w:rsidRDefault="00E40155">
            <w:pPr>
              <w:pStyle w:val="TableCellLeft"/>
              <w:spacing w:line="240" w:lineRule="exact"/>
              <w:jc w:val="center"/>
              <w:rPr>
                <w:sz w:val="18"/>
                <w:szCs w:val="18"/>
              </w:rPr>
            </w:pPr>
            <w:r>
              <w:rPr>
                <w:sz w:val="18"/>
              </w:rPr>
              <w:t>12%</w:t>
            </w:r>
          </w:p>
        </w:tc>
      </w:tr>
      <w:tr w:rsidR="001D6FFE" w14:paraId="7E5986F1" w14:textId="77777777">
        <w:trPr>
          <w:trHeight w:val="20"/>
        </w:trPr>
        <w:tc>
          <w:tcPr>
            <w:tcW w:w="1494" w:type="pct"/>
            <w:vMerge/>
            <w:tcMar>
              <w:top w:w="40" w:type="dxa"/>
              <w:left w:w="0" w:type="dxa"/>
              <w:bottom w:w="40" w:type="dxa"/>
              <w:right w:w="60" w:type="dxa"/>
            </w:tcMar>
          </w:tcPr>
          <w:p w14:paraId="27E6C3EF" w14:textId="77777777" w:rsidR="001D6FFE" w:rsidRDefault="001D6FFE">
            <w:pPr>
              <w:pStyle w:val="Para"/>
              <w:rPr>
                <w:szCs w:val="18"/>
              </w:rPr>
            </w:pPr>
          </w:p>
        </w:tc>
        <w:tc>
          <w:tcPr>
            <w:tcW w:w="1000" w:type="pct"/>
            <w:tcMar>
              <w:top w:w="40" w:type="dxa"/>
              <w:left w:w="60" w:type="dxa"/>
              <w:bottom w:w="40" w:type="dxa"/>
              <w:right w:w="60" w:type="dxa"/>
            </w:tcMar>
          </w:tcPr>
          <w:p w14:paraId="5AF77CDE" w14:textId="77777777" w:rsidR="001D6FFE" w:rsidRDefault="00E40155">
            <w:pPr>
              <w:pStyle w:val="TableCellLeft"/>
              <w:spacing w:line="240" w:lineRule="exact"/>
              <w:rPr>
                <w:sz w:val="18"/>
                <w:szCs w:val="18"/>
              </w:rPr>
            </w:pPr>
            <w:r>
              <w:rPr>
                <w:sz w:val="18"/>
              </w:rPr>
              <w:t>&gt; 5 ár</w:t>
            </w:r>
          </w:p>
        </w:tc>
        <w:tc>
          <w:tcPr>
            <w:tcW w:w="1253" w:type="pct"/>
            <w:tcMar>
              <w:top w:w="40" w:type="dxa"/>
              <w:left w:w="60" w:type="dxa"/>
              <w:bottom w:w="40" w:type="dxa"/>
              <w:right w:w="60" w:type="dxa"/>
            </w:tcMar>
          </w:tcPr>
          <w:p w14:paraId="637E30B4" w14:textId="77777777" w:rsidR="001D6FFE" w:rsidRDefault="00E40155">
            <w:pPr>
              <w:pStyle w:val="TableCellLeft"/>
              <w:spacing w:line="240" w:lineRule="exact"/>
              <w:jc w:val="center"/>
              <w:rPr>
                <w:sz w:val="18"/>
                <w:szCs w:val="18"/>
              </w:rPr>
            </w:pPr>
            <w:r>
              <w:rPr>
                <w:sz w:val="18"/>
              </w:rPr>
              <w:t>16,970%</w:t>
            </w:r>
          </w:p>
        </w:tc>
        <w:tc>
          <w:tcPr>
            <w:tcW w:w="1253" w:type="pct"/>
            <w:tcMar>
              <w:top w:w="40" w:type="dxa"/>
              <w:left w:w="60" w:type="dxa"/>
              <w:bottom w:w="40" w:type="dxa"/>
              <w:right w:w="0" w:type="dxa"/>
            </w:tcMar>
          </w:tcPr>
          <w:p w14:paraId="7B1F6458" w14:textId="77777777" w:rsidR="001D6FFE" w:rsidRDefault="00E40155">
            <w:pPr>
              <w:pStyle w:val="TableCellLeft"/>
              <w:spacing w:line="240" w:lineRule="exact"/>
              <w:jc w:val="center"/>
              <w:rPr>
                <w:sz w:val="18"/>
                <w:szCs w:val="18"/>
              </w:rPr>
            </w:pPr>
            <w:r>
              <w:rPr>
                <w:sz w:val="18"/>
              </w:rPr>
              <w:t>24%</w:t>
            </w:r>
          </w:p>
        </w:tc>
      </w:tr>
      <w:tr w:rsidR="001D6FFE" w14:paraId="6A9C7529" w14:textId="77777777">
        <w:trPr>
          <w:trHeight w:val="20"/>
        </w:trPr>
        <w:tc>
          <w:tcPr>
            <w:tcW w:w="2494" w:type="pct"/>
            <w:gridSpan w:val="2"/>
            <w:tcMar>
              <w:top w:w="40" w:type="dxa"/>
              <w:left w:w="0" w:type="dxa"/>
              <w:bottom w:w="40" w:type="dxa"/>
              <w:right w:w="60" w:type="dxa"/>
            </w:tcMar>
          </w:tcPr>
          <w:p w14:paraId="4B9AB8DF" w14:textId="77777777" w:rsidR="001D6FFE" w:rsidRDefault="00E40155">
            <w:pPr>
              <w:pStyle w:val="TableCellLeft"/>
              <w:spacing w:line="240" w:lineRule="exact"/>
              <w:rPr>
                <w:sz w:val="18"/>
                <w:szCs w:val="18"/>
              </w:rPr>
            </w:pPr>
            <w:r>
              <w:rPr>
                <w:sz w:val="18"/>
              </w:rPr>
              <w:t>Skráð hlutabréf og breytanleg bréf</w:t>
            </w:r>
          </w:p>
        </w:tc>
        <w:tc>
          <w:tcPr>
            <w:tcW w:w="1253" w:type="pct"/>
            <w:tcMar>
              <w:top w:w="40" w:type="dxa"/>
              <w:left w:w="60" w:type="dxa"/>
              <w:bottom w:w="40" w:type="dxa"/>
              <w:right w:w="60" w:type="dxa"/>
            </w:tcMar>
          </w:tcPr>
          <w:p w14:paraId="09B31D74" w14:textId="77777777" w:rsidR="001D6FFE" w:rsidRDefault="00E40155">
            <w:pPr>
              <w:pStyle w:val="TableCellLeft"/>
              <w:spacing w:line="240" w:lineRule="exact"/>
              <w:jc w:val="center"/>
              <w:rPr>
                <w:sz w:val="18"/>
                <w:szCs w:val="18"/>
              </w:rPr>
            </w:pPr>
            <w:r>
              <w:rPr>
                <w:sz w:val="18"/>
              </w:rPr>
              <w:t>14,143%</w:t>
            </w:r>
          </w:p>
        </w:tc>
        <w:tc>
          <w:tcPr>
            <w:tcW w:w="1253" w:type="pct"/>
            <w:tcMar>
              <w:top w:w="40" w:type="dxa"/>
              <w:left w:w="60" w:type="dxa"/>
              <w:bottom w:w="40" w:type="dxa"/>
              <w:right w:w="0" w:type="dxa"/>
            </w:tcMar>
          </w:tcPr>
          <w:p w14:paraId="377DA7D5" w14:textId="77777777" w:rsidR="001D6FFE" w:rsidRDefault="00E40155">
            <w:pPr>
              <w:pStyle w:val="TableCellLeft"/>
              <w:spacing w:line="240" w:lineRule="exact"/>
              <w:jc w:val="center"/>
              <w:rPr>
                <w:sz w:val="18"/>
                <w:szCs w:val="18"/>
              </w:rPr>
            </w:pPr>
            <w:r>
              <w:rPr>
                <w:sz w:val="18"/>
              </w:rPr>
              <w:t>20%</w:t>
            </w:r>
          </w:p>
        </w:tc>
      </w:tr>
      <w:tr w:rsidR="001D6FFE" w14:paraId="33A9FAC5" w14:textId="77777777">
        <w:trPr>
          <w:trHeight w:val="20"/>
        </w:trPr>
        <w:tc>
          <w:tcPr>
            <w:tcW w:w="2494" w:type="pct"/>
            <w:gridSpan w:val="2"/>
            <w:tcMar>
              <w:top w:w="40" w:type="dxa"/>
              <w:left w:w="0" w:type="dxa"/>
              <w:bottom w:w="40" w:type="dxa"/>
              <w:right w:w="60" w:type="dxa"/>
            </w:tcMar>
          </w:tcPr>
          <w:p w14:paraId="0F479D7C" w14:textId="77777777" w:rsidR="001D6FFE" w:rsidRDefault="00E40155">
            <w:pPr>
              <w:pStyle w:val="TableCellLeft"/>
              <w:spacing w:line="240" w:lineRule="exact"/>
              <w:rPr>
                <w:sz w:val="18"/>
                <w:szCs w:val="18"/>
              </w:rPr>
            </w:pPr>
            <w:r>
              <w:rPr>
                <w:sz w:val="18"/>
              </w:rPr>
              <w:t>Önnur verðbréf og hrávörur</w:t>
            </w:r>
          </w:p>
        </w:tc>
        <w:tc>
          <w:tcPr>
            <w:tcW w:w="1253" w:type="pct"/>
            <w:tcMar>
              <w:top w:w="40" w:type="dxa"/>
              <w:left w:w="60" w:type="dxa"/>
              <w:bottom w:w="40" w:type="dxa"/>
              <w:right w:w="60" w:type="dxa"/>
            </w:tcMar>
          </w:tcPr>
          <w:p w14:paraId="49714DA0" w14:textId="77777777" w:rsidR="001D6FFE" w:rsidRDefault="00E40155">
            <w:pPr>
              <w:pStyle w:val="TableCellLeft"/>
              <w:spacing w:line="240" w:lineRule="exact"/>
              <w:jc w:val="center"/>
              <w:rPr>
                <w:sz w:val="18"/>
                <w:szCs w:val="18"/>
              </w:rPr>
            </w:pPr>
            <w:r>
              <w:rPr>
                <w:sz w:val="18"/>
              </w:rPr>
              <w:t>17,678%</w:t>
            </w:r>
          </w:p>
        </w:tc>
        <w:tc>
          <w:tcPr>
            <w:tcW w:w="1253" w:type="pct"/>
            <w:tcMar>
              <w:top w:w="40" w:type="dxa"/>
              <w:left w:w="60" w:type="dxa"/>
              <w:bottom w:w="40" w:type="dxa"/>
              <w:right w:w="0" w:type="dxa"/>
            </w:tcMar>
          </w:tcPr>
          <w:p w14:paraId="1ABBDA14" w14:textId="77777777" w:rsidR="001D6FFE" w:rsidRDefault="00E40155">
            <w:pPr>
              <w:pStyle w:val="TableCellLeft"/>
              <w:spacing w:line="240" w:lineRule="exact"/>
              <w:jc w:val="center"/>
              <w:rPr>
                <w:sz w:val="18"/>
                <w:szCs w:val="18"/>
              </w:rPr>
            </w:pPr>
            <w:r>
              <w:rPr>
                <w:sz w:val="18"/>
              </w:rPr>
              <w:t>25%</w:t>
            </w:r>
          </w:p>
        </w:tc>
      </w:tr>
      <w:tr w:rsidR="001D6FFE" w14:paraId="0C87D64E" w14:textId="77777777">
        <w:trPr>
          <w:trHeight w:val="20"/>
        </w:trPr>
        <w:tc>
          <w:tcPr>
            <w:tcW w:w="2494" w:type="pct"/>
            <w:gridSpan w:val="2"/>
            <w:tcMar>
              <w:top w:w="40" w:type="dxa"/>
              <w:left w:w="0" w:type="dxa"/>
              <w:bottom w:w="40" w:type="dxa"/>
              <w:right w:w="60" w:type="dxa"/>
            </w:tcMar>
          </w:tcPr>
          <w:p w14:paraId="1B0638AD" w14:textId="77777777" w:rsidR="001D6FFE" w:rsidRDefault="00E40155">
            <w:pPr>
              <w:pStyle w:val="TableCellLeft"/>
              <w:spacing w:line="240" w:lineRule="exact"/>
              <w:rPr>
                <w:sz w:val="18"/>
                <w:szCs w:val="18"/>
              </w:rPr>
            </w:pPr>
            <w:r>
              <w:rPr>
                <w:sz w:val="18"/>
              </w:rPr>
              <w:t>Gull</w:t>
            </w:r>
          </w:p>
        </w:tc>
        <w:tc>
          <w:tcPr>
            <w:tcW w:w="1253" w:type="pct"/>
            <w:tcMar>
              <w:top w:w="40" w:type="dxa"/>
              <w:left w:w="60" w:type="dxa"/>
              <w:bottom w:w="40" w:type="dxa"/>
              <w:right w:w="60" w:type="dxa"/>
            </w:tcMar>
          </w:tcPr>
          <w:p w14:paraId="58B907E8" w14:textId="77777777" w:rsidR="001D6FFE" w:rsidRDefault="00E40155">
            <w:pPr>
              <w:pStyle w:val="TableCellLeft"/>
              <w:spacing w:line="240" w:lineRule="exact"/>
              <w:jc w:val="center"/>
              <w:rPr>
                <w:sz w:val="18"/>
                <w:szCs w:val="18"/>
              </w:rPr>
            </w:pPr>
            <w:r>
              <w:rPr>
                <w:sz w:val="18"/>
              </w:rPr>
              <w:t>10,607%</w:t>
            </w:r>
          </w:p>
        </w:tc>
        <w:tc>
          <w:tcPr>
            <w:tcW w:w="1253" w:type="pct"/>
            <w:tcMar>
              <w:top w:w="40" w:type="dxa"/>
              <w:left w:w="60" w:type="dxa"/>
              <w:bottom w:w="40" w:type="dxa"/>
              <w:right w:w="0" w:type="dxa"/>
            </w:tcMar>
          </w:tcPr>
          <w:p w14:paraId="4D713EED" w14:textId="77777777" w:rsidR="001D6FFE" w:rsidRDefault="00E40155">
            <w:pPr>
              <w:pStyle w:val="TableCellLeft"/>
              <w:spacing w:line="240" w:lineRule="exact"/>
              <w:jc w:val="center"/>
              <w:rPr>
                <w:sz w:val="18"/>
                <w:szCs w:val="18"/>
              </w:rPr>
            </w:pPr>
            <w:r>
              <w:rPr>
                <w:sz w:val="18"/>
              </w:rPr>
              <w:t>15%</w:t>
            </w:r>
          </w:p>
        </w:tc>
      </w:tr>
      <w:tr w:rsidR="001D6FFE" w14:paraId="47A1D87A" w14:textId="77777777">
        <w:trPr>
          <w:trHeight w:val="20"/>
        </w:trPr>
        <w:tc>
          <w:tcPr>
            <w:tcW w:w="2494" w:type="pct"/>
            <w:gridSpan w:val="2"/>
            <w:tcMar>
              <w:top w:w="40" w:type="dxa"/>
              <w:left w:w="0" w:type="dxa"/>
              <w:bottom w:w="40" w:type="dxa"/>
              <w:right w:w="60" w:type="dxa"/>
            </w:tcMar>
          </w:tcPr>
          <w:p w14:paraId="52351765" w14:textId="77777777" w:rsidR="001D6FFE" w:rsidRDefault="00E40155">
            <w:pPr>
              <w:pStyle w:val="TableCellLeft"/>
              <w:spacing w:line="240" w:lineRule="exact"/>
              <w:rPr>
                <w:sz w:val="18"/>
                <w:szCs w:val="18"/>
              </w:rPr>
            </w:pPr>
            <w:r>
              <w:rPr>
                <w:sz w:val="18"/>
              </w:rPr>
              <w:t>Reiðufé</w:t>
            </w:r>
          </w:p>
        </w:tc>
        <w:tc>
          <w:tcPr>
            <w:tcW w:w="1253" w:type="pct"/>
            <w:tcMar>
              <w:top w:w="40" w:type="dxa"/>
              <w:left w:w="60" w:type="dxa"/>
              <w:bottom w:w="40" w:type="dxa"/>
              <w:right w:w="60" w:type="dxa"/>
            </w:tcMar>
          </w:tcPr>
          <w:p w14:paraId="59CF6C36" w14:textId="77777777" w:rsidR="001D6FFE" w:rsidRDefault="00E40155">
            <w:pPr>
              <w:pStyle w:val="TableCellLeft"/>
              <w:spacing w:line="240" w:lineRule="exact"/>
              <w:jc w:val="center"/>
              <w:rPr>
                <w:sz w:val="18"/>
                <w:szCs w:val="18"/>
              </w:rPr>
            </w:pPr>
            <w:r>
              <w:rPr>
                <w:sz w:val="18"/>
              </w:rPr>
              <w:t>0%</w:t>
            </w:r>
          </w:p>
        </w:tc>
        <w:tc>
          <w:tcPr>
            <w:tcW w:w="1253" w:type="pct"/>
            <w:tcMar>
              <w:top w:w="40" w:type="dxa"/>
              <w:left w:w="60" w:type="dxa"/>
              <w:bottom w:w="40" w:type="dxa"/>
              <w:right w:w="0" w:type="dxa"/>
            </w:tcMar>
          </w:tcPr>
          <w:p w14:paraId="05772A63" w14:textId="77777777" w:rsidR="001D6FFE" w:rsidRDefault="00E40155">
            <w:pPr>
              <w:pStyle w:val="TableCellLeft"/>
              <w:spacing w:line="240" w:lineRule="exact"/>
              <w:jc w:val="center"/>
              <w:rPr>
                <w:sz w:val="18"/>
                <w:szCs w:val="18"/>
              </w:rPr>
            </w:pPr>
            <w:r>
              <w:rPr>
                <w:sz w:val="18"/>
              </w:rPr>
              <w:t>0%</w:t>
            </w:r>
          </w:p>
        </w:tc>
      </w:tr>
    </w:tbl>
    <w:p w14:paraId="26FAA939" w14:textId="77777777" w:rsidR="001D6FFE" w:rsidRDefault="00E40155">
      <w:pPr>
        <w:shd w:val="clear" w:color="auto" w:fill="auto"/>
        <w:spacing w:line="0" w:lineRule="auto"/>
        <w:jc w:val="left"/>
        <w:rPr>
          <w:color w:val="auto"/>
          <w14:ligatures w14:val="standard"/>
        </w:rPr>
      </w:pPr>
      <w:r>
        <w:br w:type="page"/>
      </w:r>
    </w:p>
    <w:p w14:paraId="793AAE92" w14:textId="77777777" w:rsidR="001D6FFE" w:rsidRDefault="001D6FFE">
      <w:pPr>
        <w:pStyle w:val="Alinea"/>
        <w:spacing w:after="160"/>
        <w:sectPr w:rsidR="001D6FFE">
          <w:pgSz w:w="11906" w:h="16838" w:code="9"/>
          <w:pgMar w:top="1680" w:right="1333" w:bottom="840" w:left="1333" w:header="920" w:footer="280" w:gutter="0"/>
          <w:cols w:space="708"/>
          <w:docGrid w:linePitch="360"/>
        </w:sectPr>
      </w:pPr>
    </w:p>
    <w:p w14:paraId="5B480016" w14:textId="77777777" w:rsidR="001D6FFE" w:rsidRDefault="00E40155">
      <w:pPr>
        <w:pStyle w:val="Alinea"/>
        <w:spacing w:after="160"/>
      </w:pPr>
      <w:r>
        <w:t>Að því er varðar töflu 4 skulu verðbréfaðar stöður ekki ná yfir endurverðbréfaðar stöður.</w:t>
      </w:r>
    </w:p>
    <w:p w14:paraId="74383F4E" w14:textId="77777777" w:rsidR="001D6FFE" w:rsidRDefault="00E40155">
      <w:pPr>
        <w:pStyle w:val="Alinea"/>
        <w:spacing w:after="160"/>
      </w:pPr>
      <w:r>
        <w:t>Lögbær yfirvöld geta breytt aðlögun vegna óstöðugleika fyrir tilteknar gerðir hrávöru þar sem verðóstöðugleiki er á öðru stigi. Þau skulu tilkynna Evrópsku bankaeftirlitsstofnuninni um slíkar ákvarðanir ásamt ástæðum breytinganna.</w:t>
      </w:r>
    </w:p>
    <w:p w14:paraId="2CE18215" w14:textId="77777777" w:rsidR="001D6FFE" w:rsidRDefault="00E40155">
      <w:pPr>
        <w:pStyle w:val="AlineaWithParag"/>
        <w:spacing w:after="160"/>
      </w:pPr>
      <w:r>
        <w:t>2.</w:t>
      </w:r>
      <w:r>
        <w:tab/>
        <w:t>Virði tryggingarinnar skal ákvarðast á eftirfarandi hátt:</w:t>
      </w:r>
    </w:p>
    <w:p w14:paraId="62482516" w14:textId="77777777" w:rsidR="001D6FFE" w:rsidRDefault="00E40155">
      <w:pPr>
        <w:pStyle w:val="NumberedText"/>
        <w:spacing w:after="160"/>
        <w:ind w:left="300" w:hanging="300"/>
      </w:pPr>
      <w:r>
        <w:t>a)</w:t>
      </w:r>
      <w:r>
        <w:tab/>
        <w:t>að því er varðar a-, e- og g-lið 1. mgr. 25. gr., af tryggingarfjárhæðinni sem verðbréfafyrirtækið tekur við frá mótaðila sínum, lækkaðri í samræmi við töflu 4,</w:t>
      </w:r>
    </w:p>
    <w:p w14:paraId="04C3A572" w14:textId="77777777" w:rsidR="001D6FFE" w:rsidRDefault="00E40155">
      <w:pPr>
        <w:pStyle w:val="NumberedText"/>
        <w:spacing w:after="160"/>
        <w:ind w:left="300" w:hanging="300"/>
      </w:pPr>
      <w:r>
        <w:t>b)</w:t>
      </w:r>
      <w:r>
        <w:tab/>
        <w:t>að því er varðar viðskiptin sem um getur í b-, c-, d- og f-lið 1. mgr. 25. gr., af samtölunni á CMV verðbréfaleggsins og hreinu tryggingarfjárhæðinni sem verðbréfafyrirtækið leggur fram eða tekur við.</w:t>
      </w:r>
    </w:p>
    <w:p w14:paraId="60AEC1D5" w14:textId="77777777" w:rsidR="001D6FFE" w:rsidRDefault="00E40155">
      <w:pPr>
        <w:pStyle w:val="Alinea"/>
        <w:spacing w:after="160"/>
      </w:pPr>
      <w:r>
        <w:t>Að því er varðar fjármögnunarviðskipti með verðbréf, ef báðir leggir viðskiptanna eru verðbréf, er trygging ákvörðuð af CMV verðbréfsins sem verðbréfafyrirtækið fær að láni.</w:t>
      </w:r>
    </w:p>
    <w:p w14:paraId="2B4EE3CB" w14:textId="77777777" w:rsidR="001D6FFE" w:rsidRDefault="00E40155">
      <w:pPr>
        <w:pStyle w:val="Alinea"/>
        <w:spacing w:after="160"/>
      </w:pPr>
      <w:r>
        <w:t>Ef verðbréfafyrirtækið kaupir eða hefur lánað verðbréfið skal CMV verðbréfsins meðhöndlað sem neikvæð fjárhæð og skal lækkað í enn neikvæðari fjárhæð með því að nota aðlögun vegna óstöðugleika í töflu 4. Ef verðbréfafyrirtækið selur eða fær að láni verðbréfið skal CMV verðbréfsins meðhöndlað sem jákvæð fjárhæð og skal hún lækkuð með því að nota aðlögun vegna óstöðugleika í töflu 4.</w:t>
      </w:r>
    </w:p>
    <w:p w14:paraId="0C85AD4E" w14:textId="77777777" w:rsidR="001D6FFE" w:rsidRDefault="00E40155">
      <w:pPr>
        <w:pStyle w:val="Alinea"/>
        <w:spacing w:after="160"/>
      </w:pPr>
      <w:r>
        <w:t>Ef mismunandi tegundir viðskipta falla undir samningsbundna skuldajöfnun skal, að uppfylltum þeim skilyrðum sem mælt er fyrir um í 31. gr., beita aðlögun vegna óstöðugleika fyrir „önnur viðskipti“ í töflu 4 á viðkomandi fjárhæðir sem reiknaðar eru út skv. a- og b-lið fyrstu undirgreinar, á grundvelli útgefanda innan hvers eignaflokks.</w:t>
      </w:r>
    </w:p>
    <w:p w14:paraId="7F56328B" w14:textId="77777777" w:rsidR="001D6FFE" w:rsidRDefault="00E40155">
      <w:pPr>
        <w:pStyle w:val="AlineaWithParag"/>
      </w:pPr>
      <w:r>
        <w:t>3.</w:t>
      </w:r>
      <w:r>
        <w:tab/>
        <w:t>Ef gjaldmiðlamisvægi er milli viðskiptanna og veðtryggingarinnar sem tekið er við eða lögð er fram skal til viðbótar beita 8% aðlögun vegna óstöðugleika vegna gjaldmiðlamisvægis.</w:t>
      </w:r>
    </w:p>
    <w:p w14:paraId="28DDFAF4" w14:textId="77777777" w:rsidR="001D6FFE" w:rsidRDefault="00E40155">
      <w:pPr>
        <w:pStyle w:val="TIART"/>
      </w:pPr>
      <w:r>
        <w:t>31. gr.</w:t>
      </w:r>
    </w:p>
    <w:p w14:paraId="66F1313D" w14:textId="77777777" w:rsidR="001D6FFE" w:rsidRDefault="00E40155">
      <w:pPr>
        <w:pStyle w:val="STIART"/>
      </w:pPr>
      <w:r>
        <w:t>Skuldajöfnun</w:t>
      </w:r>
    </w:p>
    <w:p w14:paraId="4DFADFC1" w14:textId="77777777" w:rsidR="001D6FFE" w:rsidRDefault="00E40155">
      <w:pPr>
        <w:pStyle w:val="Alinea"/>
        <w:spacing w:after="160"/>
      </w:pPr>
      <w:r>
        <w:t>Að því er þennan þátt varðar geta verðbréfafyrirtæki, í fyrsta lagi, meðhöndlað nákvæmlega samsvarandi samninga sem teknir eru með í skuldajöfnunarsamninginn, eins og þeir væru einn samningur með grundvallarfjárhæð sem jafngildir hreinum tekjum, í öðru lagi, skuldajafnað önnur viðskipti sem falla undir skuldskeytingu þar sem allar skuldbindingar milli verðbréfafyrirtækisins og mótaðila þess eru sjálfkrafa sameinaðar á þann hátt að með skuldskeytingunni er skipt út með lagalegum hætti einni hreinni fjárhæð f</w:t>
      </w:r>
      <w:r>
        <w:t>yrir fyrri vergar skuldbindingar, og í þriðja lagi, skuldajafnað önnur viðskipti þar sem verðbréfafyrirtækið tryggir að eftirfarandi skilyrði hafi verið uppfyllt:</w:t>
      </w:r>
    </w:p>
    <w:p w14:paraId="2C66CCDA" w14:textId="77777777" w:rsidR="001D6FFE" w:rsidRDefault="00E40155">
      <w:pPr>
        <w:pStyle w:val="NumberedText"/>
        <w:spacing w:after="160"/>
        <w:ind w:left="300" w:hanging="300"/>
      </w:pPr>
      <w:r>
        <w:t>a)</w:t>
      </w:r>
      <w:r>
        <w:tab/>
        <w:t>gerður hefur verið skuldajöfnunarsamningur við mótaðila eða annar samningur sem skapar eina ákveðna lagaskyldu sem tekur til allra innifalinna viðskipta, þannig að verðbréfafyrirtækið eigi einungis heimtingu á að taka við eða beri skylda til að greiða hreina fjárhæð jákvæðs og neikvæðs markaðsvirðis einstakra innifalinna viðskipta, komi til þess að mótaðili standi ekki við skuldbindingar sínar vegna einhvers eftirfarandi:</w:t>
      </w:r>
    </w:p>
    <w:p w14:paraId="7ECD8396" w14:textId="77777777" w:rsidR="001D6FFE" w:rsidRDefault="00E40155">
      <w:pPr>
        <w:pStyle w:val="NumberedText"/>
        <w:tabs>
          <w:tab w:val="clear" w:pos="2047"/>
        </w:tabs>
        <w:spacing w:after="160"/>
        <w:ind w:left="660" w:hanging="360"/>
      </w:pPr>
      <w:r>
        <w:t>i.</w:t>
      </w:r>
      <w:r>
        <w:tab/>
        <w:t>vanefnda,</w:t>
      </w:r>
    </w:p>
    <w:p w14:paraId="2D3DFAC5" w14:textId="77777777" w:rsidR="001D6FFE" w:rsidRDefault="00E40155">
      <w:pPr>
        <w:pStyle w:val="NumberedText"/>
        <w:tabs>
          <w:tab w:val="clear" w:pos="2047"/>
        </w:tabs>
        <w:spacing w:after="160"/>
        <w:ind w:left="660" w:hanging="360"/>
      </w:pPr>
      <w:r>
        <w:t>ii.</w:t>
      </w:r>
      <w:r>
        <w:tab/>
        <w:t>gjaldþrots,</w:t>
      </w:r>
    </w:p>
    <w:p w14:paraId="3DCA12FC" w14:textId="77777777" w:rsidR="001D6FFE" w:rsidRDefault="00E40155">
      <w:pPr>
        <w:pStyle w:val="NumberedText"/>
        <w:tabs>
          <w:tab w:val="clear" w:pos="2047"/>
        </w:tabs>
        <w:spacing w:after="160"/>
        <w:ind w:left="660" w:hanging="360"/>
      </w:pPr>
      <w:r>
        <w:t>iii.</w:t>
      </w:r>
      <w:r>
        <w:tab/>
        <w:t>slitameðferðar eða</w:t>
      </w:r>
    </w:p>
    <w:p w14:paraId="0C4728F6" w14:textId="77777777" w:rsidR="001D6FFE" w:rsidRDefault="00E40155">
      <w:pPr>
        <w:pStyle w:val="NumberedText"/>
        <w:tabs>
          <w:tab w:val="clear" w:pos="2047"/>
        </w:tabs>
        <w:spacing w:after="160"/>
        <w:ind w:left="660" w:hanging="360"/>
      </w:pPr>
      <w:r>
        <w:t>iv.</w:t>
      </w:r>
      <w:r>
        <w:tab/>
        <w:t>svipaðra aðstæðna,</w:t>
      </w:r>
    </w:p>
    <w:p w14:paraId="20FB2FEC" w14:textId="77777777" w:rsidR="001D6FFE" w:rsidRDefault="00E40155">
      <w:pPr>
        <w:pStyle w:val="NumberedText"/>
        <w:spacing w:after="160"/>
        <w:ind w:left="300" w:hanging="300"/>
      </w:pPr>
      <w:r>
        <w:t>b)</w:t>
      </w:r>
      <w:r>
        <w:tab/>
        <w:t>skuldajöfnunarsamningurinn hefur ekki að geyma nein ákvæði sem, komi til vanskila mótaðila, heimila mótaðila sem ekki er í vanskilum að inna einungis takmarkaðar eða alls engar greiðslur af hendi til bús vanskilaaðilans, jafnvel þótt vanskilaaðilinn sé hreinn lánardrottinn,</w:t>
      </w:r>
    </w:p>
    <w:p w14:paraId="5F6A404E" w14:textId="77777777" w:rsidR="001D6FFE" w:rsidRDefault="00E40155">
      <w:pPr>
        <w:pStyle w:val="NumberedText"/>
        <w:spacing w:after="160"/>
        <w:ind w:left="300" w:hanging="300"/>
      </w:pPr>
      <w:r>
        <w:t>c)</w:t>
      </w:r>
      <w:r>
        <w:tab/>
        <w:t>verðbréfafyrirtækið hefur fengið óháð, skriflegt og rökstutt, lagalegt álit um að, komi til málsóknar vegna skuldajöfnunarsamningsins, myndu kröfur og skuldir verðbréfafyrirtækisins vera jafngildar þeim sem um getur í a-lið samkvæmt eftirfarandi lagareglum:</w:t>
      </w:r>
    </w:p>
    <w:p w14:paraId="0A31ECCC" w14:textId="77777777" w:rsidR="001D6FFE" w:rsidRDefault="00E40155">
      <w:pPr>
        <w:pStyle w:val="NumberedText"/>
        <w:tabs>
          <w:tab w:val="clear" w:pos="2047"/>
        </w:tabs>
        <w:spacing w:after="160"/>
        <w:ind w:left="660" w:hanging="360"/>
      </w:pPr>
      <w:r>
        <w:t>i.</w:t>
      </w:r>
      <w:r>
        <w:tab/>
        <w:t>lögum í landinu þar sem mótaðilinn er stofnsettur,</w:t>
      </w:r>
    </w:p>
    <w:p w14:paraId="3855F646" w14:textId="77777777" w:rsidR="001D6FFE" w:rsidRDefault="00E40155">
      <w:pPr>
        <w:pStyle w:val="NumberedText"/>
        <w:tabs>
          <w:tab w:val="clear" w:pos="2047"/>
        </w:tabs>
        <w:spacing w:after="160"/>
        <w:ind w:left="660" w:hanging="360"/>
      </w:pPr>
      <w:r>
        <w:t>ii.</w:t>
      </w:r>
      <w:r>
        <w:tab/>
        <w:t>ef erlent útibú mótaðila á í hlut, lögum í lögsögunni þar sem útibúið er staðsett,</w:t>
      </w:r>
    </w:p>
    <w:p w14:paraId="54D59CB1" w14:textId="77777777" w:rsidR="001D6FFE" w:rsidRDefault="00E40155">
      <w:pPr>
        <w:pStyle w:val="NumberedText"/>
        <w:tabs>
          <w:tab w:val="clear" w:pos="2047"/>
        </w:tabs>
        <w:spacing w:after="160"/>
        <w:ind w:left="660" w:hanging="360"/>
      </w:pPr>
      <w:r>
        <w:t>iii.</w:t>
      </w:r>
      <w:r>
        <w:tab/>
      </w:r>
      <w:r>
        <w:t>lögum sem gilda um tiltekin viðskipti sem innifalin eru í skuldajöfnunarsamningnum eða</w:t>
      </w:r>
    </w:p>
    <w:p w14:paraId="21E91429" w14:textId="77777777" w:rsidR="001D6FFE" w:rsidRDefault="00E40155">
      <w:pPr>
        <w:pStyle w:val="NumberedText"/>
        <w:tabs>
          <w:tab w:val="clear" w:pos="2047"/>
        </w:tabs>
        <w:spacing w:after="0"/>
        <w:ind w:left="660" w:hanging="360"/>
      </w:pPr>
      <w:r>
        <w:t>iv.</w:t>
      </w:r>
      <w:r>
        <w:tab/>
        <w:t>lögum sem gilda um sérhvern samning eða samkomulag sem þarf að vera fyrir hendi til að unnt sé að framkvæma skuldajöfnunina.</w:t>
      </w:r>
      <w:r>
        <w:br w:type="page"/>
      </w:r>
    </w:p>
    <w:p w14:paraId="05B724EA" w14:textId="77777777" w:rsidR="001D6FFE" w:rsidRDefault="00E40155">
      <w:pPr>
        <w:pStyle w:val="TIART"/>
      </w:pPr>
      <w:r>
        <w:t>32. gr.</w:t>
      </w:r>
    </w:p>
    <w:p w14:paraId="5E0FEB70" w14:textId="77777777" w:rsidR="001D6FFE" w:rsidRDefault="00E40155">
      <w:pPr>
        <w:pStyle w:val="STIART"/>
      </w:pPr>
      <w:r>
        <w:t>Leiðrétting á útlánavirði</w:t>
      </w:r>
    </w:p>
    <w:p w14:paraId="23C81E00" w14:textId="77777777" w:rsidR="001D6FFE" w:rsidRDefault="00E40155">
      <w:pPr>
        <w:pStyle w:val="Alinea"/>
      </w:pPr>
      <w:r>
        <w:t xml:space="preserve">Að því er varðar þennan þátt merkir CVA aðlögun verðbréfasafnsins að miðmarkaðsvirði (e. </w:t>
      </w:r>
      <w:r>
        <w:rPr>
          <w:i/>
          <w:iCs/>
        </w:rPr>
        <w:t>mid-market valuation</w:t>
      </w:r>
      <w:r>
        <w:t>) með mótaðila sem endurspeglar CMV útlánaáhættu mótaðilans gagnvart verðbréfafyrirtækinu, en endurspeglar ekki gildandi CMV verðbréfafyrirtækisins gagnvart mótaðilanum.</w:t>
      </w:r>
    </w:p>
    <w:p w14:paraId="4F33B892" w14:textId="77777777" w:rsidR="001D6FFE" w:rsidRDefault="00E40155">
      <w:pPr>
        <w:pStyle w:val="Alinea"/>
      </w:pPr>
      <w:r>
        <w:t>CVA skal vera 1,5 fyrir öll viðskipti önnur en eftirfarandi viðskipti, þar sem CVA skal vera 1:</w:t>
      </w:r>
    </w:p>
    <w:p w14:paraId="0E3C9953" w14:textId="77777777" w:rsidR="001D6FFE" w:rsidRDefault="00E40155">
      <w:pPr>
        <w:pStyle w:val="NumberedText"/>
        <w:ind w:left="300" w:hanging="300"/>
      </w:pPr>
      <w:r>
        <w:t>a)</w:t>
      </w:r>
      <w:r>
        <w:tab/>
        <w:t>viðskipti við ófjárhagslega mótaðila eins og þeir eru skilgreindir í 9. lið 2. gr. reglugerðar (ESB) nr. 648/2012, eða við ófjárhagslega mótaðila með staðfestu í þriðja landi, ef viðskiptin fara ekki yfir viðmiðunarfjárhæð stöðustofnunar eins og tilgreint er í 3. og 4. mgr. 10. gr. þeirrar reglugerðar,</w:t>
      </w:r>
    </w:p>
    <w:p w14:paraId="45D2C84A" w14:textId="77777777" w:rsidR="001D6FFE" w:rsidRDefault="00E40155">
      <w:pPr>
        <w:pStyle w:val="NumberedText"/>
        <w:ind w:left="300" w:hanging="300"/>
      </w:pPr>
      <w:r>
        <w:t>b)</w:t>
      </w:r>
      <w:r>
        <w:tab/>
        <w:t>viðskipti innan samstæðu eins og kveðið er á um í 3. gr. reglugerðar (ESB) 648/2012,</w:t>
      </w:r>
    </w:p>
    <w:p w14:paraId="425A8F22" w14:textId="77777777" w:rsidR="001D6FFE" w:rsidRDefault="00E40155">
      <w:pPr>
        <w:pStyle w:val="NumberedText"/>
        <w:ind w:left="300" w:hanging="300"/>
      </w:pPr>
      <w:r>
        <w:t>c)</w:t>
      </w:r>
      <w:r>
        <w:tab/>
        <w:t>gnóttsamninga,</w:t>
      </w:r>
    </w:p>
    <w:p w14:paraId="2731D36F" w14:textId="77777777" w:rsidR="001D6FFE" w:rsidRDefault="00E40155">
      <w:pPr>
        <w:pStyle w:val="NumberedText"/>
        <w:ind w:left="300" w:hanging="300"/>
      </w:pPr>
      <w:r>
        <w:t>d)</w:t>
      </w:r>
      <w:r>
        <w:tab/>
        <w:t>fjármögnunarviðskipti með verðbréf, þ.m.t. viðbótarlánveiting vegna kaupa/sölu verðbréfa, nema lögbært yfirvald ákveði að áhættuskuldbindingar verðbréfafyrirtækisins vegna CVA sem leiða af þeim viðskiptum, séu verulegar, og</w:t>
      </w:r>
    </w:p>
    <w:p w14:paraId="3D891920" w14:textId="77777777" w:rsidR="001D6FFE" w:rsidRDefault="00E40155">
      <w:pPr>
        <w:pStyle w:val="NumberedText"/>
        <w:ind w:left="300" w:hanging="300"/>
      </w:pPr>
      <w:r>
        <w:t>e)</w:t>
      </w:r>
      <w:r>
        <w:tab/>
        <w:t>lán sem um getur í g-lið 1. mgr. 25. gr.</w:t>
      </w:r>
    </w:p>
    <w:p w14:paraId="4F95A542" w14:textId="77777777" w:rsidR="001D6FFE" w:rsidRDefault="00E40155">
      <w:pPr>
        <w:pStyle w:val="DivisionTI4"/>
        <w:spacing w:after="120"/>
        <w:jc w:val="center"/>
      </w:pPr>
      <w:r>
        <w:t>2. þáttur</w:t>
      </w:r>
    </w:p>
    <w:p w14:paraId="3AF1BD81" w14:textId="77777777" w:rsidR="001D6FFE" w:rsidRDefault="00E40155">
      <w:pPr>
        <w:pStyle w:val="DivisionSTI4"/>
        <w:spacing w:after="300"/>
        <w:jc w:val="center"/>
      </w:pPr>
      <w:r>
        <w:rPr>
          <w:b/>
        </w:rPr>
        <w:t>Daglegt viðskiptaflæði</w:t>
      </w:r>
    </w:p>
    <w:p w14:paraId="66FFC03F" w14:textId="77777777" w:rsidR="001D6FFE" w:rsidRDefault="00E40155">
      <w:pPr>
        <w:pStyle w:val="TIART"/>
        <w:spacing w:after="120"/>
      </w:pPr>
      <w:r>
        <w:t>33. gr.</w:t>
      </w:r>
    </w:p>
    <w:p w14:paraId="7C7F2E8A" w14:textId="77777777" w:rsidR="001D6FFE" w:rsidRDefault="00E40155">
      <w:pPr>
        <w:pStyle w:val="STIART"/>
      </w:pPr>
      <w:r>
        <w:t>Mæling á DTF í þeim tilgangi að reikna út K-DTF</w:t>
      </w:r>
    </w:p>
    <w:p w14:paraId="3629556D" w14:textId="77777777" w:rsidR="001D6FFE" w:rsidRDefault="00E40155">
      <w:pPr>
        <w:pStyle w:val="AlineaWithParag"/>
      </w:pPr>
      <w:r>
        <w:t>1.</w:t>
      </w:r>
      <w:r>
        <w:tab/>
        <w:t>Í þeim tilgangi að reikna út K-DTF skal DTF vera hlaupandi meðaltal heildarvirðis viðskiptaflæðis á dag, mælt yfir hvern virkan dag næstliðinna níu mánaða, að undanskildum síðustu þremur mánuðum.</w:t>
      </w:r>
    </w:p>
    <w:p w14:paraId="6ABF02A6" w14:textId="77777777" w:rsidR="001D6FFE" w:rsidRDefault="00E40155">
      <w:pPr>
        <w:pStyle w:val="Alinea"/>
      </w:pPr>
      <w:r>
        <w:t>DTF skal vera meðaltal daglegs virðis þá sex mánuði sem eftir standa.</w:t>
      </w:r>
    </w:p>
    <w:p w14:paraId="3CD58228" w14:textId="77777777" w:rsidR="001D6FFE" w:rsidRDefault="00E40155">
      <w:pPr>
        <w:pStyle w:val="Alinea"/>
      </w:pPr>
      <w:r>
        <w:t>K-DTF skal reiknað út fyrsta virka dag hvers mánaðar.</w:t>
      </w:r>
    </w:p>
    <w:p w14:paraId="65EF08ED" w14:textId="77777777" w:rsidR="001D6FFE" w:rsidRDefault="00E40155">
      <w:pPr>
        <w:pStyle w:val="AlineaWithParag"/>
      </w:pPr>
      <w:r>
        <w:t>2.</w:t>
      </w:r>
      <w:r>
        <w:tab/>
        <w:t>DTF skal mælt sem samtala algildis af kaupum og algildis af sölu fyrir bæði reiðufjárviðskipti og afleiður í samræmi við eftirfarandi:</w:t>
      </w:r>
    </w:p>
    <w:p w14:paraId="1E36687B" w14:textId="77777777" w:rsidR="001D6FFE" w:rsidRDefault="00E40155">
      <w:pPr>
        <w:pStyle w:val="NumberedText"/>
        <w:ind w:left="300" w:hanging="300"/>
      </w:pPr>
      <w:r>
        <w:t>a)</w:t>
      </w:r>
      <w:r>
        <w:tab/>
        <w:t>að því er varðar reiðufjárviðskipti er virðið sú upphæð sem er greidd eða móttekin við hver viðskipti,</w:t>
      </w:r>
    </w:p>
    <w:p w14:paraId="2852FE3E" w14:textId="77777777" w:rsidR="001D6FFE" w:rsidRDefault="00E40155">
      <w:pPr>
        <w:pStyle w:val="NumberedText"/>
        <w:ind w:left="300" w:hanging="300"/>
      </w:pPr>
      <w:r>
        <w:t>b)</w:t>
      </w:r>
      <w:r>
        <w:tab/>
        <w:t>að því er varðar afleiður er virðið grundvallarfjárhæð samningsins.</w:t>
      </w:r>
    </w:p>
    <w:p w14:paraId="12F055E9" w14:textId="77777777" w:rsidR="001D6FFE" w:rsidRDefault="00E40155">
      <w:pPr>
        <w:pStyle w:val="Alinea"/>
      </w:pPr>
      <w:r>
        <w:t>Grundvallarfjárhæð vaxtaafleiðna skal leiðrétt með tilliti til þess hve langur tími (í árum) er til gjalddaga þessara samninga. Grundvallarfjárhæðin skal margfölduð með tímalengdinni sem sett er fram í eftirfarandi formúlu:</w:t>
      </w:r>
    </w:p>
    <w:p w14:paraId="291C86C4" w14:textId="77777777" w:rsidR="001D6FFE" w:rsidRDefault="00E40155">
      <w:pPr>
        <w:pStyle w:val="Alinea"/>
      </w:pPr>
      <w:r>
        <w:t>Tímalengd = tími til gjalddaga (í árum) / 10</w:t>
      </w:r>
    </w:p>
    <w:p w14:paraId="466ACCBE" w14:textId="77777777" w:rsidR="001D6FFE" w:rsidRDefault="00E40155">
      <w:pPr>
        <w:pStyle w:val="AlineaWithParag"/>
      </w:pPr>
      <w:r>
        <w:t>3.</w:t>
      </w:r>
      <w:r>
        <w:tab/>
        <w:t>Undanskilja skal frá DTF viðskipti sem verðbréfafyrirtæki annast vegna þjónustu við stýringu eignasafns fyrir hönd fjárfestingarsjóða.</w:t>
      </w:r>
    </w:p>
    <w:p w14:paraId="0A3D7011" w14:textId="77777777" w:rsidR="001D6FFE" w:rsidRDefault="00E40155">
      <w:pPr>
        <w:pStyle w:val="Alinea"/>
      </w:pPr>
      <w:r>
        <w:t>Til DTF skal telja viðskipti sem verðbréfafyrirtækið annast í eigin nafni, annaðhvort fyrir sjálft sig eða fyrir hönd viðskiptavinar.</w:t>
      </w:r>
    </w:p>
    <w:p w14:paraId="7200E3E3" w14:textId="77777777" w:rsidR="001D6FFE" w:rsidRDefault="00E40155">
      <w:pPr>
        <w:pStyle w:val="AlineaWithParag"/>
        <w:spacing w:after="0"/>
      </w:pPr>
      <w:r>
        <w:t>4.</w:t>
      </w:r>
      <w:r>
        <w:tab/>
        <w:t>Ef verðbréfafyrirtæki hefur haft daglegt viðskiptaflæði skemur en níu mánuði skal það nota söguleg gögn um daglegt viðskiptaflæði fyrir þann tíma sem tilgreindur er í 1. mgr., strax og slík gögn verða tiltæk til að reikna út K-DTF. Lögbært yfirvald getur skipt út sögulegum gagnapunktum sem vantar fyrir eftirlitsniðurstöður sem byggjast á viðskiptaspá verðbréfafyrirtækisins sem lögð var fram í samræmi við 7. gr. tilskipunar 2014/65/ESB.</w:t>
      </w:r>
      <w:r>
        <w:br w:type="page"/>
      </w:r>
    </w:p>
    <w:p w14:paraId="27335FA5" w14:textId="77777777" w:rsidR="001D6FFE" w:rsidRDefault="00E40155">
      <w:pPr>
        <w:pStyle w:val="DivisionTI3"/>
        <w:spacing w:after="120" w:line="200" w:lineRule="exact"/>
        <w:jc w:val="center"/>
        <w:rPr>
          <w:sz w:val="16"/>
        </w:rPr>
      </w:pPr>
      <w:r>
        <w:rPr>
          <w:i/>
          <w:sz w:val="16"/>
        </w:rPr>
        <w:t>5. KAFLI</w:t>
      </w:r>
    </w:p>
    <w:p w14:paraId="78E9113C" w14:textId="77777777" w:rsidR="001D6FFE" w:rsidRDefault="00E40155">
      <w:pPr>
        <w:pStyle w:val="DivisionSTI3"/>
        <w:spacing w:after="300"/>
        <w:jc w:val="center"/>
      </w:pPr>
      <w:r>
        <w:rPr>
          <w:b/>
          <w:i/>
        </w:rPr>
        <w:t>Umhverfisleg og félagsleg markmið</w:t>
      </w:r>
    </w:p>
    <w:p w14:paraId="204711E7" w14:textId="77777777" w:rsidR="001D6FFE" w:rsidRDefault="00E40155">
      <w:pPr>
        <w:pStyle w:val="TIART"/>
        <w:spacing w:after="120"/>
      </w:pPr>
      <w:r>
        <w:t>34. gr.</w:t>
      </w:r>
    </w:p>
    <w:p w14:paraId="61867BFF" w14:textId="77777777" w:rsidR="001D6FFE" w:rsidRDefault="00E40155">
      <w:pPr>
        <w:pStyle w:val="STIART"/>
      </w:pPr>
      <w:r>
        <w:t>Varfærnismeðferð á eignum sem útsettar eru fyrir starfsemi sem tengist umhverfislegum eða félagslegum markmiðum</w:t>
      </w:r>
    </w:p>
    <w:p w14:paraId="7F4FBE80" w14:textId="77777777" w:rsidR="001D6FFE" w:rsidRDefault="00E40155">
      <w:pPr>
        <w:pStyle w:val="AlineaWithParag"/>
      </w:pPr>
      <w:r>
        <w:t>1.</w:t>
      </w:r>
      <w:r>
        <w:tab/>
        <w:t>Að höfðu samráði við Evrópska kerfisáhætturáðið skal Evrópska bankaeftirlitsstofnunin meta, á grundvelli tiltækra gagna og niðurstaðna háttsettra sérfræðinga framkvæmdastjórnarinnar um sjálfbær fjármál, hvort sérstök varfærnismeðferð á eignum sem útsettar eru fyrir starfsemi sem tengist að verulegu leyti umhverfislegum og félagslegum markmiðum, í formi leiðréttra K-þátta eða leiðréttra reiknistuðla K-þátta, væri réttlætanleg frá varfærnissjónarmiði. Evrópska bankaeftirlitsstofnunin skal einkum meta eftirfa</w:t>
      </w:r>
      <w:r>
        <w:t>randi atriði:</w:t>
      </w:r>
    </w:p>
    <w:p w14:paraId="314C1EAD" w14:textId="77777777" w:rsidR="001D6FFE" w:rsidRDefault="00E40155">
      <w:pPr>
        <w:pStyle w:val="NumberedText"/>
        <w:ind w:left="300" w:hanging="300"/>
      </w:pPr>
      <w:r>
        <w:t>a)</w:t>
      </w:r>
      <w:r>
        <w:tab/>
      </w:r>
      <w:r>
        <w:t>aðferðafræðilega valkosti fyrir mat á hvernig eignaflokkar snerta starfsemi sem tengist að verulegu leyti umhverfislegum eða félagslegum markmiðum,</w:t>
      </w:r>
    </w:p>
    <w:p w14:paraId="50419529" w14:textId="77777777" w:rsidR="001D6FFE" w:rsidRDefault="00E40155">
      <w:pPr>
        <w:pStyle w:val="NumberedText"/>
        <w:ind w:left="300" w:hanging="300"/>
      </w:pPr>
      <w:r>
        <w:t>b)</w:t>
      </w:r>
      <w:r>
        <w:tab/>
        <w:t>sértæk áhættusnið eigna sem eru útsettar fyrir starfsemi sem tengist að verulegu leyti umhverfislegum eða félagslegum markmiðum,</w:t>
      </w:r>
    </w:p>
    <w:p w14:paraId="7F041637" w14:textId="77777777" w:rsidR="001D6FFE" w:rsidRDefault="00E40155">
      <w:pPr>
        <w:pStyle w:val="NumberedText"/>
        <w:ind w:left="300" w:hanging="300"/>
      </w:pPr>
      <w:r>
        <w:t>c)</w:t>
      </w:r>
      <w:r>
        <w:tab/>
        <w:t>áhættu sem tengjast afskriftum á eignum vegna reglubreytinga, s.s. aðgerða gegn loftslagsbreytingum,</w:t>
      </w:r>
    </w:p>
    <w:p w14:paraId="5AD53164" w14:textId="77777777" w:rsidR="001D6FFE" w:rsidRDefault="00E40155">
      <w:pPr>
        <w:pStyle w:val="NumberedText"/>
        <w:ind w:left="300" w:hanging="300"/>
      </w:pPr>
      <w:r>
        <w:t>d)</w:t>
      </w:r>
      <w:r>
        <w:tab/>
        <w:t>möguleg áhrif af sérstakri varfærnismeðferð á eignum sem útsettar eru fyrir starfsemi sem tengist að verulegu leyti umhverfislegum eða félagslegum markmiðum á fjármálastöðugleika.</w:t>
      </w:r>
    </w:p>
    <w:p w14:paraId="3FD4BB72" w14:textId="77777777" w:rsidR="001D6FFE" w:rsidRDefault="00E40155">
      <w:pPr>
        <w:pStyle w:val="AlineaWithParag"/>
      </w:pPr>
      <w:r>
        <w:t>2.</w:t>
      </w:r>
      <w:r>
        <w:tab/>
        <w:t>Evrópska bankaeftirlitsstofnunin skal, eigi síðar 26. desember 2021, leggja fram skýrslu til Evrópuþingsins, ráðsins og framkvæmdastjórnarinnar um niðurstöður sínar.</w:t>
      </w:r>
    </w:p>
    <w:p w14:paraId="5F27D064" w14:textId="77777777" w:rsidR="001D6FFE" w:rsidRDefault="00E40155">
      <w:pPr>
        <w:pStyle w:val="AlineaWithParag"/>
      </w:pPr>
      <w:r>
        <w:t>3.</w:t>
      </w:r>
      <w:r>
        <w:tab/>
        <w:t>Á grundvelli skýrslunnar sem um getur í 2. mgr., skal framkvæmdastjórnin, ef við á, leggja tillögu að nýrri löggjöf fyrir Evrópuþingið og ráðið.</w:t>
      </w:r>
    </w:p>
    <w:p w14:paraId="15726D37" w14:textId="77777777" w:rsidR="001D6FFE" w:rsidRDefault="00E40155">
      <w:pPr>
        <w:pStyle w:val="DivisionTI1"/>
        <w:spacing w:after="120" w:line="200" w:lineRule="exact"/>
      </w:pPr>
      <w:r>
        <w:t>FJÓRÐI HLUTI</w:t>
      </w:r>
    </w:p>
    <w:p w14:paraId="61D48522" w14:textId="77777777" w:rsidR="001D6FFE" w:rsidRDefault="00E40155">
      <w:pPr>
        <w:pStyle w:val="DivisionSTI1"/>
        <w:spacing w:after="300" w:line="200" w:lineRule="exact"/>
        <w:rPr>
          <w:sz w:val="16"/>
        </w:rPr>
      </w:pPr>
      <w:r>
        <w:rPr>
          <w:b/>
          <w:sz w:val="16"/>
        </w:rPr>
        <w:t>SAMÞJÖPPUNARÁHÆTTA</w:t>
      </w:r>
    </w:p>
    <w:p w14:paraId="3104655C" w14:textId="77777777" w:rsidR="001D6FFE" w:rsidRDefault="00E40155">
      <w:pPr>
        <w:pStyle w:val="TIART"/>
        <w:spacing w:after="120"/>
      </w:pPr>
      <w:r>
        <w:t>35. gr.</w:t>
      </w:r>
    </w:p>
    <w:p w14:paraId="10B14581" w14:textId="77777777" w:rsidR="001D6FFE" w:rsidRDefault="00E40155">
      <w:pPr>
        <w:pStyle w:val="STIART"/>
      </w:pPr>
      <w:r>
        <w:t>Vöktunarskylda</w:t>
      </w:r>
    </w:p>
    <w:p w14:paraId="7BC4197C" w14:textId="77777777" w:rsidR="001D6FFE" w:rsidRDefault="00E40155">
      <w:pPr>
        <w:pStyle w:val="AlineaWithParag"/>
      </w:pPr>
      <w:r>
        <w:t>1.</w:t>
      </w:r>
      <w:r>
        <w:tab/>
        <w:t>Verðbréfafyrirtæki skulu vakta og stýra samþjöppunaráhættu sinni í samræmi við þennan hluta með traustum stjórnunar- og bókhaldsaðferðum og öflugu innra eftirlitskerfi.</w:t>
      </w:r>
    </w:p>
    <w:p w14:paraId="2D12B005" w14:textId="77777777" w:rsidR="001D6FFE" w:rsidRDefault="00E40155">
      <w:pPr>
        <w:pStyle w:val="AlineaWithParag"/>
      </w:pPr>
      <w:r>
        <w:t>2.</w:t>
      </w:r>
      <w:r>
        <w:tab/>
        <w:t>Að því er þennan hluta varðar skulu hugtökin „lánastofnun“ og „verðbréfafyrirtæki“ ná yfir einkarekin og opinber fyrirtæki, þ.m.t. útibú slíkra fyrirtækja, að því tilskildu að ef þessi fyrirtæki væru með staðfestu í Sambandinu væru þau lánastofnanir eða verðbréfafyrirtæki eins og þau er skilgreind í þessari reglugerð og að því tilskildu að þessi fyrirtæki hafi starfsleyfi í þriðja landi sem beitir a.m.k. jafngildum kröfum um varfærniseftirlit og kröfum samkvæmt reglum og þeim sem beitt er í Sambandinu.</w:t>
      </w:r>
    </w:p>
    <w:p w14:paraId="40F780F7" w14:textId="77777777" w:rsidR="001D6FFE" w:rsidRDefault="00E40155">
      <w:pPr>
        <w:pStyle w:val="TIART"/>
        <w:spacing w:after="120"/>
      </w:pPr>
      <w:r>
        <w:t>36. gr.</w:t>
      </w:r>
    </w:p>
    <w:p w14:paraId="721B52B4" w14:textId="77777777" w:rsidR="001D6FFE" w:rsidRDefault="00E40155">
      <w:pPr>
        <w:pStyle w:val="STIART"/>
        <w:spacing w:after="120"/>
      </w:pPr>
      <w:r>
        <w:t>Útreikningur á áhættuskuldbindingarvirðinu</w:t>
      </w:r>
    </w:p>
    <w:p w14:paraId="1D40AE77" w14:textId="77777777" w:rsidR="001D6FFE" w:rsidRDefault="00E40155">
      <w:pPr>
        <w:pStyle w:val="AlineaWithParag"/>
      </w:pPr>
      <w:r>
        <w:t>1.</w:t>
      </w:r>
      <w:r>
        <w:tab/>
      </w:r>
      <w:r>
        <w:t>Verðbréfafyrirtæki sem ekki uppfylla skilyrði til að teljast lítil og ótengd verðbréfafyrirtæki eins og sett er fram í 1. mgr. 12. gr. skulu við beitingu þessa hlutar reikna út áhættuskuldbindingarvirðið að því er varðar viðskiptavin eða hóp tengdra viðskiptavina með því að leggja saman eftirfarandi liði:</w:t>
      </w:r>
    </w:p>
    <w:p w14:paraId="5571D46F" w14:textId="77777777" w:rsidR="001D6FFE" w:rsidRDefault="00E40155">
      <w:pPr>
        <w:pStyle w:val="NumberedText"/>
        <w:spacing w:after="0"/>
        <w:ind w:left="300" w:hanging="300"/>
      </w:pPr>
      <w:r>
        <w:t>a)</w:t>
      </w:r>
      <w:r>
        <w:tab/>
        <w:t>jákvæðan mismun á gnóttstöðum verðbréfafyrirtækis umfram skortstöður hennar í öllum fjármálagerningum í veltubókinni sem viðkomandi viðskiptavinur gefur út, þar sem hrein staða í hverjum gerningi er reiknuð út í samræmi við ákvæðin sem um getur a-, b- og c-lið 22. gr.,</w:t>
      </w:r>
      <w:r>
        <w:br w:type="page"/>
      </w:r>
    </w:p>
    <w:p w14:paraId="0AEF91ED" w14:textId="77777777" w:rsidR="001D6FFE" w:rsidRDefault="00E40155">
      <w:pPr>
        <w:pStyle w:val="NumberedText"/>
        <w:ind w:left="300" w:hanging="300"/>
      </w:pPr>
      <w:r>
        <w:t>b)</w:t>
      </w:r>
      <w:r>
        <w:tab/>
        <w:t>áhættuskuldbindingarvirði samninga og viðskipta sem um getur í 1. mgr. 25. gr. við viðkomandi viðskiptavin, reiknað út á þann hátt sem mælt er fyrir um í 27. gr.</w:t>
      </w:r>
    </w:p>
    <w:p w14:paraId="23BDDE48" w14:textId="77777777" w:rsidR="001D6FFE" w:rsidRDefault="00E40155">
      <w:pPr>
        <w:pStyle w:val="Alinea"/>
      </w:pPr>
      <w:r>
        <w:t>Í tengslum við a-lið fyrstu undirgreinar skal verðbréfafyrirtæki sem, varðandi kröfuna fyrir K-þátt vegna áhættu markaðar, reiknar út kröfur um eiginfjárgrunn fyrir veltubókarstöðurnar í samræmi við aðferðina sem tilgreind er í 23. gr., reikna út hreina stöðu að því er varðar samþjöppunaráhættu þessara staðna í samræmi við ákvæðin sem um getur í a-lið 22. gr.</w:t>
      </w:r>
    </w:p>
    <w:p w14:paraId="460537F0" w14:textId="77777777" w:rsidR="001D6FFE" w:rsidRDefault="00E40155">
      <w:pPr>
        <w:pStyle w:val="Alinea"/>
      </w:pPr>
      <w:r>
        <w:t>Að því er varðar b-lið fyrstu undirgreinar þessarar málsgreinar skal verðbréfafyrirtæki sem, varðandi K-TCD, reiknar út kröfur eiginfjárgrunn með því að beita aðferðunum sem um getur í 4. mgr. 25. gr. þessarar reglugerðar, reikna út áhættuskuldbindingarvirði samninga og viðskipta sem um getur í 1. mgr. 25. gr. þessarar reglugerðar með því að beita aðferðunum í 3., 4. eða 5. þætti 6. kafla II. bálks þriðja hluta reglugerðar (ESB) nr. 575/2013.</w:t>
      </w:r>
    </w:p>
    <w:p w14:paraId="513FCC7A" w14:textId="77777777" w:rsidR="001D6FFE" w:rsidRDefault="00E40155">
      <w:pPr>
        <w:pStyle w:val="AlineaWithParag"/>
      </w:pPr>
      <w:r>
        <w:t>2.</w:t>
      </w:r>
      <w:r>
        <w:tab/>
        <w:t>Áhættuskuldbindingarvirðið með tilliti til hóps tengdra viðskiptavina skal reiknað út með því að leggja saman áhættuskuldbindingar vegna einstakra viðskiptavina inna hópsins, og meðhöndla sem eina áhættuskuldbindingu.</w:t>
      </w:r>
    </w:p>
    <w:p w14:paraId="17943971" w14:textId="77777777" w:rsidR="001D6FFE" w:rsidRDefault="00E40155">
      <w:pPr>
        <w:pStyle w:val="AlineaWithParag"/>
      </w:pPr>
      <w:r>
        <w:t>3.</w:t>
      </w:r>
      <w:r>
        <w:tab/>
        <w:t>Við útreikning á áhættuskuldbindingarvirði að því er varðar viðskiptavin eða hóp tengdra viðskiptavina skal verðbréfafyrirtæki gera allar viðeigandi ráðstafanir til að auðkenna undirliggjandi eignir í viðkomandi viðskiptum og mótaðilana á hinum undirliggjandi áhættuskuldbindingum.</w:t>
      </w:r>
    </w:p>
    <w:p w14:paraId="2C6C64B7" w14:textId="77777777" w:rsidR="001D6FFE" w:rsidRDefault="00E40155">
      <w:pPr>
        <w:pStyle w:val="TIART"/>
      </w:pPr>
      <w:r>
        <w:t>37. gr.</w:t>
      </w:r>
    </w:p>
    <w:p w14:paraId="556090F4" w14:textId="77777777" w:rsidR="001D6FFE" w:rsidRDefault="00E40155">
      <w:pPr>
        <w:pStyle w:val="STIART"/>
      </w:pPr>
      <w:r>
        <w:t>Mörk að því er varðar samþjöppunaráhættu og umframáhættuskuldbindingarvirði</w:t>
      </w:r>
    </w:p>
    <w:p w14:paraId="74A5BDA0" w14:textId="77777777" w:rsidR="001D6FFE" w:rsidRDefault="00E40155">
      <w:pPr>
        <w:pStyle w:val="AlineaWithParag"/>
      </w:pPr>
      <w:r>
        <w:t>1.</w:t>
      </w:r>
      <w:r>
        <w:tab/>
        <w:t>Mörk verðbréfafyrirtækis að því er varðar samþjöppunaráhættu áhættuskuldbindingarvirðis vegna einstaks viðskiptavinar eða hóps tengdra viðskiptavina skal vera 25% af eiginfjárgrunni þess.</w:t>
      </w:r>
    </w:p>
    <w:p w14:paraId="15688CED" w14:textId="77777777" w:rsidR="001D6FFE" w:rsidRDefault="00E40155">
      <w:pPr>
        <w:pStyle w:val="Alinea"/>
      </w:pPr>
      <w:r>
        <w:t>Ef sá einstaki viðskiptavinur er lánastofnun eða verðbréfafyrirtæki, eða ef ein eða fleiri lánastofnanir eða verðbréfafyrirtæki eru í hópi tengdra viðskiptavina, skulu mörk samþjöppunaráhættu vera annaðhvort 25% af eiginfjárgrunni verðbréfafyrirtækisins eða 150 milljónir evra, hvort sem er hærra, að því tilskildu að mörk samþjöppunaráhættu, að því er varðar samanlagt áhættuskuldbindingarvirði vegna allra tengdra viðskiptavina sem eru ekki lánastofnanir eða verðbréfafyrirtæki, sé áfram 25% af eiginfjárgrunni</w:t>
      </w:r>
      <w:r>
        <w:t xml:space="preserve"> verðbréfafyrirtækjanna.</w:t>
      </w:r>
    </w:p>
    <w:p w14:paraId="66F325DB" w14:textId="77777777" w:rsidR="001D6FFE" w:rsidRDefault="00E40155">
      <w:pPr>
        <w:pStyle w:val="Alinea"/>
      </w:pPr>
      <w:r>
        <w:t>Ef 150 milljónir evra er hærri fjárhæð en 25% af eiginfjárgrunni verðbréfafyrirtækisins skulu mörkin að því er varðar samþjöppunaráhættu ekki fara yfir 100% af eiginfjárgrunni verðbréfafyrirtækisins.</w:t>
      </w:r>
    </w:p>
    <w:p w14:paraId="19002085" w14:textId="77777777" w:rsidR="001D6FFE" w:rsidRDefault="00E40155">
      <w:pPr>
        <w:pStyle w:val="AlineaWithParag"/>
      </w:pPr>
      <w:r>
        <w:t>2.</w:t>
      </w:r>
      <w:r>
        <w:tab/>
        <w:t>Ef farið er yfir mörkin sem um getur í 1. mgr. skal verðbréfafyrirtæki uppfylla tilkynningarskylduna sem sett er fram í 38. gr. og uppfylla kröfu um eiginfjárgrunn fyrir umframáhættuskuldbindingarvirðið í samræmi við 39. gr.</w:t>
      </w:r>
    </w:p>
    <w:p w14:paraId="34EC5F9D" w14:textId="77777777" w:rsidR="001D6FFE" w:rsidRDefault="00E40155">
      <w:pPr>
        <w:pStyle w:val="Alinea"/>
      </w:pPr>
      <w:r>
        <w:t>Verðbréfafyrirtæki skal reikna út umframáhættuskuldbindingarvirði að því er varðar einstakan viðskiptavin eða hóp tengdra viðskiptavina í samræmi við eftirfarandi formúlu:</w:t>
      </w:r>
    </w:p>
    <w:p w14:paraId="6B1CE6F2" w14:textId="77777777" w:rsidR="001D6FFE" w:rsidRDefault="00E40155">
      <w:pPr>
        <w:pStyle w:val="Alinea"/>
        <w:jc w:val="center"/>
      </w:pPr>
      <w:r>
        <w:t>Umframáhættuskuldbindingarvirði = EV – L</w:t>
      </w:r>
    </w:p>
    <w:p w14:paraId="4ED4B4BE" w14:textId="77777777" w:rsidR="001D6FFE" w:rsidRDefault="00E40155">
      <w:pPr>
        <w:pStyle w:val="Alinea"/>
      </w:pPr>
      <w:r>
        <w:t>þar sem:</w:t>
      </w:r>
    </w:p>
    <w:p w14:paraId="5126CD57" w14:textId="77777777" w:rsidR="001D6FFE" w:rsidRDefault="00E40155">
      <w:pPr>
        <w:pStyle w:val="Alinea"/>
      </w:pPr>
      <w:r>
        <w:t>EV = áhættuskuldbindingarvirði reiknað út á þann hátt sem mælt er fyrir um í 36. gr. og</w:t>
      </w:r>
    </w:p>
    <w:p w14:paraId="58A06728" w14:textId="77777777" w:rsidR="001D6FFE" w:rsidRDefault="00E40155">
      <w:pPr>
        <w:pStyle w:val="Alinea"/>
      </w:pPr>
      <w:r>
        <w:t>L = mörk að því er varðar samþjöppunaráhættu eins og ákvarðað er í 1. mgr. þessarar greinar.</w:t>
      </w:r>
    </w:p>
    <w:p w14:paraId="1CA26098" w14:textId="77777777" w:rsidR="001D6FFE" w:rsidRDefault="00E40155">
      <w:pPr>
        <w:pStyle w:val="AlineaWithParag"/>
      </w:pPr>
      <w:r>
        <w:t>3.</w:t>
      </w:r>
      <w:r>
        <w:tab/>
        <w:t>Áhættuskuldbindingarvirðið að því er varðar einstakan viðskiptavin eða hóp tengdra viðskiptavina skal ekki fara yfir:</w:t>
      </w:r>
    </w:p>
    <w:p w14:paraId="1C6072C0" w14:textId="77777777" w:rsidR="001D6FFE" w:rsidRDefault="00E40155">
      <w:pPr>
        <w:pStyle w:val="NumberedText"/>
        <w:ind w:left="300" w:hanging="300"/>
      </w:pPr>
      <w:r>
        <w:t>a)</w:t>
      </w:r>
      <w:r>
        <w:tab/>
        <w:t>500% af eiginfjárgrunni verðbréfafyrirtækisins, ef 10 dagar eða færri hafa liðið frá því að farið var yfir mörkin,</w:t>
      </w:r>
    </w:p>
    <w:p w14:paraId="3B1EE6D3" w14:textId="77777777" w:rsidR="001D6FFE" w:rsidRDefault="00E40155">
      <w:pPr>
        <w:pStyle w:val="NumberedText"/>
        <w:ind w:left="300" w:hanging="300"/>
      </w:pPr>
      <w:r>
        <w:t>b)</w:t>
      </w:r>
      <w:r>
        <w:tab/>
        <w:t>samanlagt, 600% af eiginfjárgrunni verðbréfafyrirtækisins, fyrir sérhvert skipti að farið var yfir mörkin sem hefur varað lengur en 10 daga.</w:t>
      </w:r>
    </w:p>
    <w:p w14:paraId="2B89F389" w14:textId="77777777" w:rsidR="001D6FFE" w:rsidRDefault="00E40155">
      <w:pPr>
        <w:pStyle w:val="TIART"/>
      </w:pPr>
      <w:r>
        <w:t>38. gr.</w:t>
      </w:r>
    </w:p>
    <w:p w14:paraId="6650A22A" w14:textId="77777777" w:rsidR="001D6FFE" w:rsidRDefault="00E40155">
      <w:pPr>
        <w:pStyle w:val="STIART"/>
      </w:pPr>
      <w:r>
        <w:t>Tilkynningarskylda</w:t>
      </w:r>
    </w:p>
    <w:p w14:paraId="3E6A0577" w14:textId="77777777" w:rsidR="001D6FFE" w:rsidRDefault="00E40155">
      <w:pPr>
        <w:pStyle w:val="AlineaWithParag"/>
        <w:spacing w:after="0"/>
      </w:pPr>
      <w:r>
        <w:t>1.</w:t>
      </w:r>
      <w:r>
        <w:tab/>
      </w:r>
      <w:r>
        <w:t>Ef farið er yfir mörkin sem um getur í 37. gr. skal verðbréfafyrirtæki tilkynna án tafar lögbærum yfirvöldum um umframfjárhæðina, nafn hlutaðeigandi einstaks viðskiptavinar og, ef við á, heiti viðkomandi hóps tengdra viðskiptavina.</w:t>
      </w:r>
    </w:p>
    <w:p w14:paraId="046088C4" w14:textId="77777777" w:rsidR="001D6FFE" w:rsidRDefault="001D6FFE">
      <w:pPr>
        <w:pStyle w:val="AlineaWithParag"/>
        <w:sectPr w:rsidR="001D6FFE">
          <w:pgSz w:w="11906" w:h="16838" w:code="9"/>
          <w:pgMar w:top="1680" w:right="1333" w:bottom="840" w:left="1333" w:header="920" w:footer="280" w:gutter="0"/>
          <w:cols w:space="708"/>
          <w:vAlign w:val="both"/>
          <w:docGrid w:linePitch="360"/>
        </w:sectPr>
      </w:pPr>
    </w:p>
    <w:p w14:paraId="066B7537" w14:textId="77777777" w:rsidR="001D6FFE" w:rsidRDefault="00E40155">
      <w:pPr>
        <w:pStyle w:val="AlineaWithParag"/>
      </w:pPr>
      <w:r>
        <w:t>2.</w:t>
      </w:r>
      <w:r>
        <w:tab/>
        <w:t>Lögbær yfirvöld geta veitt verðbréfafyrirtæki afmarkaðan tíma til að uppfylla mörkin sem um getur í 37. gr.</w:t>
      </w:r>
    </w:p>
    <w:p w14:paraId="637C6052" w14:textId="77777777" w:rsidR="001D6FFE" w:rsidRDefault="00E40155">
      <w:pPr>
        <w:pStyle w:val="TIART"/>
      </w:pPr>
      <w:r>
        <w:t>39. gr.</w:t>
      </w:r>
    </w:p>
    <w:p w14:paraId="35882379" w14:textId="77777777" w:rsidR="001D6FFE" w:rsidRDefault="00E40155">
      <w:pPr>
        <w:pStyle w:val="STIART"/>
      </w:pPr>
      <w:r>
        <w:t>Útreikningur á K-CON</w:t>
      </w:r>
    </w:p>
    <w:p w14:paraId="42C5B232" w14:textId="77777777" w:rsidR="001D6FFE" w:rsidRDefault="00E40155">
      <w:pPr>
        <w:pStyle w:val="AlineaWithParag"/>
      </w:pPr>
      <w:r>
        <w:t>1.</w:t>
      </w:r>
      <w:r>
        <w:tab/>
        <w:t>Krafan um eiginfjárgrunn fyrir K-CON skal vera samanlögð fjárhæð krafnanna um eiginfjárgrunn, reiknuð út fyrir hvern viðskiptavin eða hóp tengdra viðskiptavina, sem krafan um eiginfjárgrunn í viðeigandi línu í 1. dálki í töflu 6 stendur fyrir hluta af samanlögðum einstökum umframfjárhæðum, margfölduðum með:</w:t>
      </w:r>
    </w:p>
    <w:p w14:paraId="35520ED1" w14:textId="77777777" w:rsidR="001D6FFE" w:rsidRDefault="00E40155">
      <w:pPr>
        <w:pStyle w:val="NumberedText"/>
        <w:ind w:left="300" w:hanging="300"/>
      </w:pPr>
      <w:r>
        <w:t>a)</w:t>
      </w:r>
      <w:r>
        <w:tab/>
        <w:t>200%, ef umframfjárhæðin hefur ekki verið til lengur en í 10 daga,</w:t>
      </w:r>
    </w:p>
    <w:p w14:paraId="280F3BEC" w14:textId="77777777" w:rsidR="001D6FFE" w:rsidRDefault="00E40155">
      <w:pPr>
        <w:pStyle w:val="NumberedText"/>
        <w:ind w:left="300" w:hanging="300"/>
      </w:pPr>
      <w:r>
        <w:t>b)</w:t>
      </w:r>
      <w:r>
        <w:tab/>
        <w:t>samsvarandi stuðli í 2. dálki í töflu 6 eftir 10 daga tímabil, reiknuð frá þeim degi sem farið var yfir mörkin, með því að útdeila hverjum hluta umframfjárhæðarinnar á viðkomandi línu í 1. dálki í töflu 6.</w:t>
      </w:r>
    </w:p>
    <w:p w14:paraId="6B7A97F6" w14:textId="77777777" w:rsidR="001D6FFE" w:rsidRDefault="00E40155">
      <w:pPr>
        <w:pStyle w:val="AlineaWithParag"/>
      </w:pPr>
      <w:r>
        <w:t>2.</w:t>
      </w:r>
      <w:r>
        <w:tab/>
        <w:t>Reikna skal kröfu um eiginfjárgrunn fyrir umframfjárhæðina sem um getur í 1. mgr. í samræmi við eftirfarandi formúlu:</w:t>
      </w:r>
    </w:p>
    <w:p w14:paraId="5924A04B" w14:textId="77777777" w:rsidR="001D6FFE" w:rsidRDefault="00E40155">
      <w:pPr>
        <w:pStyle w:val="Para"/>
        <w:spacing w:line="240" w:lineRule="auto"/>
        <w:ind w:left="2200"/>
      </w:pPr>
      <w:r>
        <w:rPr>
          <w:noProof/>
        </w:rPr>
        <w:drawing>
          <wp:inline distT="0" distB="0" distL="0" distR="0" wp14:anchorId="26218643" wp14:editId="6F287CD2">
            <wp:extent cx="832106" cy="25603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2106" cy="256033"/>
                    </a:xfrm>
                    <a:prstGeom prst="rect">
                      <a:avLst/>
                    </a:prstGeom>
                  </pic:spPr>
                </pic:pic>
              </a:graphicData>
            </a:graphic>
          </wp:inline>
        </w:drawing>
      </w:r>
    </w:p>
    <w:p w14:paraId="6D2634AF" w14:textId="77777777" w:rsidR="001D6FFE" w:rsidRDefault="00E40155">
      <w:pPr>
        <w:pStyle w:val="Alinea"/>
      </w:pPr>
      <w:r>
        <w:t>þar sem:</w:t>
      </w:r>
    </w:p>
    <w:p w14:paraId="6DC01CCD" w14:textId="77777777" w:rsidR="001D6FFE" w:rsidRDefault="00E40155">
      <w:pPr>
        <w:pStyle w:val="Alinea"/>
      </w:pPr>
      <w:r>
        <w:t>OFRE = krafa um eiginfjárgrunn fyrir umframfjárhæðina,</w:t>
      </w:r>
    </w:p>
    <w:p w14:paraId="7E1DCECB" w14:textId="77777777" w:rsidR="001D6FFE" w:rsidRDefault="00E40155">
      <w:pPr>
        <w:pStyle w:val="Alinea"/>
      </w:pPr>
      <w:r>
        <w:t>OFR = krafa um eiginfjárgrunn fyrir áhættuskuldbindingar vegna einstaks viðskiptavinar eða hóps tengdra viðskiptavina, reiknuð út með því að leggja saman kröfur um eiginfjárgrunn fyrir áhættuskuldbindingarnar vegna einstakra viðskiptavina innan hópsins, sem meðhöndla skal sem eina áhættuskuldbindingu,</w:t>
      </w:r>
    </w:p>
    <w:p w14:paraId="5893385B" w14:textId="77777777" w:rsidR="001D6FFE" w:rsidRDefault="00E40155">
      <w:pPr>
        <w:pStyle w:val="Alinea"/>
      </w:pPr>
      <w:r>
        <w:t>EV = áhættuskuldbindingarvirði reiknað út á þann hátt sem mælt er fyrir um í 36. gr.,</w:t>
      </w:r>
    </w:p>
    <w:p w14:paraId="22E5E994" w14:textId="77777777" w:rsidR="001D6FFE" w:rsidRDefault="00E40155">
      <w:pPr>
        <w:pStyle w:val="Alinea"/>
      </w:pPr>
      <w:r>
        <w:t>EVE = umframfjárhæð áhættuskuldbindingarvirðis reiknað út á þann hátt sem mælt er fyrir um í 2. mgr. 37. gr.</w:t>
      </w:r>
    </w:p>
    <w:p w14:paraId="693EA988" w14:textId="77777777" w:rsidR="001D6FFE" w:rsidRDefault="00E40155">
      <w:pPr>
        <w:pStyle w:val="Alinea"/>
      </w:pPr>
      <w:r>
        <w:t>Í þeim tilgangi að reikna út K-CON skulu kröfur um eiginfjárgrunn sem leiða af jákvæðum mismun á gnóttstöðum verðbréfafyrirtækis umfram skortstöður hennar í öllum fjármálagerningum í veltubókinni sem viðkomandi viðskiptavinur gefur út, þar sem hrein staða í hverjum gerningi, reiknuð út í samræmi við ákvæðin sem um getur a-, b- og c-lið 22. gr., skal eingöngu innihalda kröfur vegna sértækrar áhættu.</w:t>
      </w:r>
    </w:p>
    <w:p w14:paraId="23FAAD49" w14:textId="77777777" w:rsidR="001D6FFE" w:rsidRDefault="00E40155">
      <w:pPr>
        <w:pStyle w:val="Alinea"/>
      </w:pPr>
      <w:r>
        <w:t>Verðbréfafyrirtæki sem, að því er varðar kröfuna fyrir K-þátt vegna áhættu markaðar, reiknar út kröfur um eiginfjárgrunn fyrir veltubókarstöður í samræmi við aðferðina sem tilgreind er í 23. gr., skal reikna út kröfuna um eiginfjárgrunn fyrir áhættuskuldbindingar að því er varðar samþjöppunaráhættu þessara staðna í samræmi við ákvæðin sem um getur í a-lið 22. gr.</w:t>
      </w:r>
    </w:p>
    <w:p w14:paraId="62D68C0E" w14:textId="77777777" w:rsidR="001D6FFE" w:rsidRDefault="00E40155">
      <w:pPr>
        <w:pStyle w:val="TIART"/>
      </w:pPr>
      <w:r>
        <w:t>Tafla 6</w:t>
      </w:r>
    </w:p>
    <w:tbl>
      <w:tblPr>
        <w:tblW w:w="614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32"/>
        <w:gridCol w:w="1214"/>
      </w:tblGrid>
      <w:tr w:rsidR="001D6FFE" w14:paraId="6E557945" w14:textId="77777777">
        <w:trPr>
          <w:trHeight w:val="200"/>
          <w:tblHeader/>
          <w:jc w:val="center"/>
        </w:trPr>
        <w:tc>
          <w:tcPr>
            <w:tcW w:w="4932" w:type="dxa"/>
            <w:vMerge w:val="restart"/>
            <w:tcMar>
              <w:top w:w="40" w:type="dxa"/>
              <w:left w:w="0" w:type="dxa"/>
              <w:bottom w:w="40" w:type="dxa"/>
              <w:right w:w="60" w:type="dxa"/>
            </w:tcMar>
            <w:vAlign w:val="center"/>
          </w:tcPr>
          <w:p w14:paraId="5BC7DA50" w14:textId="77777777" w:rsidR="001D6FFE" w:rsidRDefault="00E40155">
            <w:pPr>
              <w:pStyle w:val="TableHeader"/>
              <w:spacing w:after="0" w:afterAutospacing="0"/>
              <w:rPr>
                <w:sz w:val="16"/>
                <w:szCs w:val="18"/>
              </w:rPr>
            </w:pPr>
            <w:r>
              <w:rPr>
                <w:sz w:val="16"/>
              </w:rPr>
              <w:t>1. dálkur:</w:t>
            </w:r>
          </w:p>
          <w:p w14:paraId="1D0F181D" w14:textId="77777777" w:rsidR="001D6FFE" w:rsidRDefault="00E40155">
            <w:pPr>
              <w:pStyle w:val="TableHeader"/>
              <w:spacing w:after="0" w:afterAutospacing="0"/>
              <w:rPr>
                <w:sz w:val="16"/>
                <w:szCs w:val="18"/>
              </w:rPr>
            </w:pPr>
            <w:r>
              <w:rPr>
                <w:sz w:val="16"/>
              </w:rPr>
              <w:t>Umframáhættuskuldbindingarvirði sem hundraðshluti af eiginfjárgrunni</w:t>
            </w:r>
          </w:p>
        </w:tc>
        <w:tc>
          <w:tcPr>
            <w:tcW w:w="1214" w:type="dxa"/>
            <w:vMerge w:val="restart"/>
            <w:tcMar>
              <w:top w:w="40" w:type="dxa"/>
              <w:left w:w="60" w:type="dxa"/>
              <w:bottom w:w="40" w:type="dxa"/>
              <w:right w:w="0" w:type="dxa"/>
            </w:tcMar>
            <w:vAlign w:val="center"/>
          </w:tcPr>
          <w:p w14:paraId="671CDD56" w14:textId="77777777" w:rsidR="001D6FFE" w:rsidRDefault="00E40155">
            <w:pPr>
              <w:pStyle w:val="TableHeader"/>
              <w:spacing w:after="0" w:afterAutospacing="0"/>
              <w:rPr>
                <w:sz w:val="16"/>
                <w:szCs w:val="18"/>
              </w:rPr>
            </w:pPr>
            <w:r>
              <w:rPr>
                <w:sz w:val="16"/>
              </w:rPr>
              <w:t>2. dálkur:</w:t>
            </w:r>
          </w:p>
          <w:p w14:paraId="59640D0C" w14:textId="77777777" w:rsidR="001D6FFE" w:rsidRDefault="00E40155">
            <w:pPr>
              <w:pStyle w:val="TableHeader"/>
              <w:spacing w:after="0" w:afterAutospacing="0"/>
              <w:rPr>
                <w:sz w:val="16"/>
                <w:szCs w:val="18"/>
              </w:rPr>
            </w:pPr>
            <w:r>
              <w:rPr>
                <w:sz w:val="16"/>
              </w:rPr>
              <w:t>Stuðlar</w:t>
            </w:r>
          </w:p>
        </w:tc>
      </w:tr>
      <w:tr w:rsidR="001D6FFE" w14:paraId="0703B5E7" w14:textId="77777777">
        <w:trPr>
          <w:trHeight w:val="240"/>
          <w:jc w:val="center"/>
        </w:trPr>
        <w:tc>
          <w:tcPr>
            <w:tcW w:w="4932" w:type="dxa"/>
            <w:vMerge w:val="restart"/>
            <w:tcMar>
              <w:top w:w="40" w:type="dxa"/>
              <w:left w:w="0" w:type="dxa"/>
              <w:bottom w:w="40" w:type="dxa"/>
              <w:right w:w="60" w:type="dxa"/>
            </w:tcMar>
          </w:tcPr>
          <w:p w14:paraId="601A4C31" w14:textId="77777777" w:rsidR="001D6FFE" w:rsidRDefault="00E40155">
            <w:pPr>
              <w:pStyle w:val="TableCellLeft"/>
              <w:spacing w:after="0" w:afterAutospacing="0" w:line="240" w:lineRule="exact"/>
              <w:rPr>
                <w:sz w:val="18"/>
                <w:szCs w:val="18"/>
              </w:rPr>
            </w:pPr>
            <w:r>
              <w:rPr>
                <w:sz w:val="18"/>
              </w:rPr>
              <w:t>Allt að 40%</w:t>
            </w:r>
          </w:p>
        </w:tc>
        <w:tc>
          <w:tcPr>
            <w:tcW w:w="1214" w:type="dxa"/>
            <w:vMerge w:val="restart"/>
            <w:tcMar>
              <w:top w:w="40" w:type="dxa"/>
              <w:left w:w="60" w:type="dxa"/>
              <w:bottom w:w="40" w:type="dxa"/>
              <w:right w:w="0" w:type="dxa"/>
            </w:tcMar>
          </w:tcPr>
          <w:p w14:paraId="6BE9E504" w14:textId="77777777" w:rsidR="001D6FFE" w:rsidRDefault="00E40155">
            <w:pPr>
              <w:pStyle w:val="TableCellLeft"/>
              <w:spacing w:after="0" w:afterAutospacing="0" w:line="240" w:lineRule="exact"/>
              <w:jc w:val="center"/>
              <w:rPr>
                <w:sz w:val="18"/>
                <w:szCs w:val="18"/>
              </w:rPr>
            </w:pPr>
            <w:r>
              <w:rPr>
                <w:sz w:val="18"/>
              </w:rPr>
              <w:t>200%</w:t>
            </w:r>
          </w:p>
        </w:tc>
      </w:tr>
      <w:tr w:rsidR="001D6FFE" w14:paraId="23057C80" w14:textId="77777777">
        <w:trPr>
          <w:trHeight w:val="240"/>
          <w:jc w:val="center"/>
        </w:trPr>
        <w:tc>
          <w:tcPr>
            <w:tcW w:w="4932" w:type="dxa"/>
            <w:vMerge w:val="restart"/>
            <w:tcMar>
              <w:top w:w="40" w:type="dxa"/>
              <w:left w:w="0" w:type="dxa"/>
              <w:bottom w:w="40" w:type="dxa"/>
              <w:right w:w="60" w:type="dxa"/>
            </w:tcMar>
          </w:tcPr>
          <w:p w14:paraId="346624AD" w14:textId="77777777" w:rsidR="001D6FFE" w:rsidRDefault="00E40155">
            <w:pPr>
              <w:pStyle w:val="TableCellLeft"/>
              <w:spacing w:after="0" w:afterAutospacing="0" w:line="240" w:lineRule="exact"/>
              <w:rPr>
                <w:sz w:val="18"/>
                <w:szCs w:val="18"/>
              </w:rPr>
            </w:pPr>
            <w:r>
              <w:rPr>
                <w:sz w:val="18"/>
              </w:rPr>
              <w:t>Frá 40% til 60%</w:t>
            </w:r>
          </w:p>
        </w:tc>
        <w:tc>
          <w:tcPr>
            <w:tcW w:w="1214" w:type="dxa"/>
            <w:vMerge w:val="restart"/>
            <w:tcMar>
              <w:top w:w="40" w:type="dxa"/>
              <w:left w:w="60" w:type="dxa"/>
              <w:bottom w:w="40" w:type="dxa"/>
              <w:right w:w="0" w:type="dxa"/>
            </w:tcMar>
          </w:tcPr>
          <w:p w14:paraId="4D99DECF" w14:textId="77777777" w:rsidR="001D6FFE" w:rsidRDefault="00E40155">
            <w:pPr>
              <w:pStyle w:val="TableCellLeft"/>
              <w:spacing w:after="0" w:afterAutospacing="0" w:line="240" w:lineRule="exact"/>
              <w:jc w:val="center"/>
              <w:rPr>
                <w:sz w:val="18"/>
                <w:szCs w:val="18"/>
              </w:rPr>
            </w:pPr>
            <w:r>
              <w:rPr>
                <w:sz w:val="18"/>
              </w:rPr>
              <w:t>300%</w:t>
            </w:r>
          </w:p>
        </w:tc>
      </w:tr>
      <w:tr w:rsidR="001D6FFE" w14:paraId="7C7AEDAD" w14:textId="77777777">
        <w:trPr>
          <w:trHeight w:val="240"/>
          <w:jc w:val="center"/>
        </w:trPr>
        <w:tc>
          <w:tcPr>
            <w:tcW w:w="4932" w:type="dxa"/>
            <w:vMerge w:val="restart"/>
            <w:tcMar>
              <w:top w:w="40" w:type="dxa"/>
              <w:left w:w="0" w:type="dxa"/>
              <w:bottom w:w="40" w:type="dxa"/>
              <w:right w:w="60" w:type="dxa"/>
            </w:tcMar>
          </w:tcPr>
          <w:p w14:paraId="2485F10D" w14:textId="77777777" w:rsidR="001D6FFE" w:rsidRDefault="00E40155">
            <w:pPr>
              <w:pStyle w:val="TableCellLeft"/>
              <w:spacing w:after="0" w:afterAutospacing="0" w:line="240" w:lineRule="exact"/>
              <w:rPr>
                <w:sz w:val="18"/>
                <w:szCs w:val="18"/>
              </w:rPr>
            </w:pPr>
            <w:r>
              <w:rPr>
                <w:sz w:val="18"/>
              </w:rPr>
              <w:t>Frá 60% til 80%</w:t>
            </w:r>
          </w:p>
        </w:tc>
        <w:tc>
          <w:tcPr>
            <w:tcW w:w="1214" w:type="dxa"/>
            <w:vMerge w:val="restart"/>
            <w:tcMar>
              <w:top w:w="40" w:type="dxa"/>
              <w:left w:w="60" w:type="dxa"/>
              <w:bottom w:w="40" w:type="dxa"/>
              <w:right w:w="0" w:type="dxa"/>
            </w:tcMar>
          </w:tcPr>
          <w:p w14:paraId="417D3C31" w14:textId="77777777" w:rsidR="001D6FFE" w:rsidRDefault="00E40155">
            <w:pPr>
              <w:pStyle w:val="TableCellLeft"/>
              <w:spacing w:after="0" w:afterAutospacing="0" w:line="240" w:lineRule="exact"/>
              <w:jc w:val="center"/>
              <w:rPr>
                <w:sz w:val="18"/>
                <w:szCs w:val="18"/>
              </w:rPr>
            </w:pPr>
            <w:r>
              <w:rPr>
                <w:sz w:val="18"/>
              </w:rPr>
              <w:t>400%</w:t>
            </w:r>
          </w:p>
        </w:tc>
      </w:tr>
      <w:tr w:rsidR="001D6FFE" w14:paraId="5A6C747C" w14:textId="77777777">
        <w:trPr>
          <w:trHeight w:val="240"/>
          <w:jc w:val="center"/>
        </w:trPr>
        <w:tc>
          <w:tcPr>
            <w:tcW w:w="4932" w:type="dxa"/>
            <w:vMerge w:val="restart"/>
            <w:tcMar>
              <w:top w:w="40" w:type="dxa"/>
              <w:left w:w="0" w:type="dxa"/>
              <w:bottom w:w="40" w:type="dxa"/>
              <w:right w:w="60" w:type="dxa"/>
            </w:tcMar>
          </w:tcPr>
          <w:p w14:paraId="12FD09CD" w14:textId="77777777" w:rsidR="001D6FFE" w:rsidRDefault="00E40155">
            <w:pPr>
              <w:pStyle w:val="TableCellLeft"/>
              <w:spacing w:after="0" w:afterAutospacing="0" w:line="240" w:lineRule="exact"/>
              <w:rPr>
                <w:sz w:val="18"/>
                <w:szCs w:val="18"/>
              </w:rPr>
            </w:pPr>
            <w:r>
              <w:rPr>
                <w:sz w:val="18"/>
              </w:rPr>
              <w:t>Frá 80% til 100%</w:t>
            </w:r>
          </w:p>
        </w:tc>
        <w:tc>
          <w:tcPr>
            <w:tcW w:w="1214" w:type="dxa"/>
            <w:vMerge w:val="restart"/>
            <w:tcMar>
              <w:top w:w="40" w:type="dxa"/>
              <w:left w:w="60" w:type="dxa"/>
              <w:bottom w:w="40" w:type="dxa"/>
              <w:right w:w="0" w:type="dxa"/>
            </w:tcMar>
          </w:tcPr>
          <w:p w14:paraId="106DAC02" w14:textId="77777777" w:rsidR="001D6FFE" w:rsidRDefault="00E40155">
            <w:pPr>
              <w:pStyle w:val="TableCellLeft"/>
              <w:spacing w:after="0" w:afterAutospacing="0" w:line="240" w:lineRule="exact"/>
              <w:jc w:val="center"/>
              <w:rPr>
                <w:sz w:val="18"/>
                <w:szCs w:val="18"/>
              </w:rPr>
            </w:pPr>
            <w:r>
              <w:rPr>
                <w:sz w:val="18"/>
              </w:rPr>
              <w:t>500%</w:t>
            </w:r>
          </w:p>
        </w:tc>
      </w:tr>
      <w:tr w:rsidR="001D6FFE" w14:paraId="567C03BB" w14:textId="77777777">
        <w:trPr>
          <w:trHeight w:val="240"/>
          <w:jc w:val="center"/>
        </w:trPr>
        <w:tc>
          <w:tcPr>
            <w:tcW w:w="4932" w:type="dxa"/>
            <w:vMerge w:val="restart"/>
            <w:tcMar>
              <w:top w:w="40" w:type="dxa"/>
              <w:left w:w="0" w:type="dxa"/>
              <w:bottom w:w="40" w:type="dxa"/>
              <w:right w:w="60" w:type="dxa"/>
            </w:tcMar>
          </w:tcPr>
          <w:p w14:paraId="0DBD95E3" w14:textId="77777777" w:rsidR="001D6FFE" w:rsidRDefault="00E40155">
            <w:pPr>
              <w:pStyle w:val="TableCellLeft"/>
              <w:spacing w:after="0" w:afterAutospacing="0" w:line="240" w:lineRule="exact"/>
              <w:rPr>
                <w:sz w:val="18"/>
                <w:szCs w:val="18"/>
              </w:rPr>
            </w:pPr>
            <w:r>
              <w:rPr>
                <w:sz w:val="18"/>
              </w:rPr>
              <w:t>Frá 100% til 250%</w:t>
            </w:r>
          </w:p>
        </w:tc>
        <w:tc>
          <w:tcPr>
            <w:tcW w:w="1214" w:type="dxa"/>
            <w:vMerge w:val="restart"/>
            <w:tcMar>
              <w:top w:w="40" w:type="dxa"/>
              <w:left w:w="60" w:type="dxa"/>
              <w:bottom w:w="40" w:type="dxa"/>
              <w:right w:w="0" w:type="dxa"/>
            </w:tcMar>
          </w:tcPr>
          <w:p w14:paraId="3D2BDAF7" w14:textId="77777777" w:rsidR="001D6FFE" w:rsidRDefault="00E40155">
            <w:pPr>
              <w:pStyle w:val="TableCellLeft"/>
              <w:spacing w:after="0" w:afterAutospacing="0" w:line="240" w:lineRule="exact"/>
              <w:jc w:val="center"/>
              <w:rPr>
                <w:sz w:val="18"/>
                <w:szCs w:val="18"/>
              </w:rPr>
            </w:pPr>
            <w:r>
              <w:rPr>
                <w:sz w:val="18"/>
              </w:rPr>
              <w:t>600%</w:t>
            </w:r>
          </w:p>
        </w:tc>
      </w:tr>
      <w:tr w:rsidR="001D6FFE" w14:paraId="1700197E" w14:textId="77777777">
        <w:trPr>
          <w:trHeight w:val="219"/>
          <w:jc w:val="center"/>
        </w:trPr>
        <w:tc>
          <w:tcPr>
            <w:tcW w:w="4932" w:type="dxa"/>
            <w:tcMar>
              <w:top w:w="40" w:type="dxa"/>
              <w:left w:w="0" w:type="dxa"/>
              <w:bottom w:w="40" w:type="dxa"/>
              <w:right w:w="60" w:type="dxa"/>
            </w:tcMar>
          </w:tcPr>
          <w:p w14:paraId="6EA7FA24" w14:textId="77777777" w:rsidR="001D6FFE" w:rsidRDefault="00E40155">
            <w:pPr>
              <w:pStyle w:val="TableCellLeft"/>
              <w:spacing w:after="0" w:afterAutospacing="0" w:line="240" w:lineRule="exact"/>
              <w:rPr>
                <w:sz w:val="18"/>
                <w:szCs w:val="18"/>
              </w:rPr>
            </w:pPr>
            <w:r>
              <w:rPr>
                <w:sz w:val="18"/>
              </w:rPr>
              <w:t>Yfir 250%</w:t>
            </w:r>
          </w:p>
        </w:tc>
        <w:tc>
          <w:tcPr>
            <w:tcW w:w="1214" w:type="dxa"/>
            <w:tcMar>
              <w:top w:w="40" w:type="dxa"/>
              <w:left w:w="60" w:type="dxa"/>
              <w:bottom w:w="40" w:type="dxa"/>
              <w:right w:w="0" w:type="dxa"/>
            </w:tcMar>
          </w:tcPr>
          <w:p w14:paraId="3D3435C8" w14:textId="77777777" w:rsidR="001D6FFE" w:rsidRDefault="00E40155">
            <w:pPr>
              <w:pStyle w:val="TableCellLeft"/>
              <w:spacing w:after="0" w:afterAutospacing="0" w:line="240" w:lineRule="exact"/>
              <w:jc w:val="center"/>
              <w:rPr>
                <w:sz w:val="18"/>
                <w:szCs w:val="18"/>
              </w:rPr>
            </w:pPr>
            <w:r>
              <w:rPr>
                <w:sz w:val="18"/>
              </w:rPr>
              <w:t>900%</w:t>
            </w:r>
          </w:p>
        </w:tc>
      </w:tr>
    </w:tbl>
    <w:p w14:paraId="79DEB676" w14:textId="77777777" w:rsidR="001D6FFE" w:rsidRDefault="00E40155">
      <w:pPr>
        <w:shd w:val="clear" w:color="auto" w:fill="auto"/>
        <w:spacing w:line="0" w:lineRule="auto"/>
        <w:jc w:val="left"/>
        <w:rPr>
          <w:i/>
          <w:color w:val="auto"/>
          <w14:ligatures w14:val="standard"/>
        </w:rPr>
      </w:pPr>
      <w:r>
        <w:br w:type="page"/>
      </w:r>
    </w:p>
    <w:p w14:paraId="700AB5D7" w14:textId="77777777" w:rsidR="001D6FFE" w:rsidRDefault="001D6FFE">
      <w:pPr>
        <w:pStyle w:val="TIART"/>
        <w:sectPr w:rsidR="001D6FFE">
          <w:pgSz w:w="11906" w:h="16838" w:code="9"/>
          <w:pgMar w:top="1680" w:right="1333" w:bottom="840" w:left="1333" w:header="920" w:footer="280" w:gutter="0"/>
          <w:cols w:space="708"/>
          <w:docGrid w:linePitch="360"/>
        </w:sectPr>
      </w:pPr>
    </w:p>
    <w:p w14:paraId="65EEE560" w14:textId="77777777" w:rsidR="001D6FFE" w:rsidRDefault="00E40155">
      <w:pPr>
        <w:pStyle w:val="TIART"/>
      </w:pPr>
      <w:r>
        <w:t>40. gr.</w:t>
      </w:r>
    </w:p>
    <w:p w14:paraId="18E27FD9" w14:textId="77777777" w:rsidR="001D6FFE" w:rsidRDefault="00E40155">
      <w:pPr>
        <w:pStyle w:val="STIART"/>
      </w:pPr>
      <w:r>
        <w:t>Verklagsreglur til að koma í veg fyrir að verðbréfafyrirtæki komist hjá kröfu um eiginfjárgrunn fyrir K-CON</w:t>
      </w:r>
    </w:p>
    <w:p w14:paraId="444F77DB" w14:textId="77777777" w:rsidR="001D6FFE" w:rsidRDefault="00E40155">
      <w:pPr>
        <w:pStyle w:val="AlineaWithParag"/>
      </w:pPr>
      <w:r>
        <w:t>1.</w:t>
      </w:r>
      <w:r>
        <w:tab/>
        <w:t>Verðbréfafyrirtæki skulu ekki tímabundið flytja áhættuskuldbindingar sem eru umfram mörkin sem mælt er fyrir um í 1. mgr. 37. gr. til annars fyrirtækis, hvort sem er innan sömu samstæðu eða ekki, eða eiga sýndarviðskipti til að gera upp þær áhættuskuldbindingar á 10 daga tímabilinu sem um getur í 39. gr. og stofna nýjar áhættuskuldbindingar.</w:t>
      </w:r>
    </w:p>
    <w:p w14:paraId="37B5E619" w14:textId="77777777" w:rsidR="001D6FFE" w:rsidRDefault="00E40155">
      <w:pPr>
        <w:pStyle w:val="AlineaWithParag"/>
      </w:pPr>
      <w:r>
        <w:t>2.</w:t>
      </w:r>
      <w:r>
        <w:tab/>
        <w:t>Verðbréfafyrirtæki skulu hafa yfir að ráða kerfum sem tryggja að tilfærsla eins og um getur í fyrstu málsgrein sé þegar í stað tilkynnt lögbærum yfirvöldum.</w:t>
      </w:r>
    </w:p>
    <w:p w14:paraId="5849293E" w14:textId="77777777" w:rsidR="001D6FFE" w:rsidRDefault="00E40155">
      <w:pPr>
        <w:pStyle w:val="TIART"/>
      </w:pPr>
      <w:r>
        <w:t>41. gr.</w:t>
      </w:r>
    </w:p>
    <w:p w14:paraId="09C01967" w14:textId="77777777" w:rsidR="001D6FFE" w:rsidRDefault="00E40155">
      <w:pPr>
        <w:pStyle w:val="STIART"/>
      </w:pPr>
      <w:r>
        <w:t>Undanþágur</w:t>
      </w:r>
    </w:p>
    <w:p w14:paraId="299B2AC8" w14:textId="77777777" w:rsidR="001D6FFE" w:rsidRDefault="00E40155">
      <w:pPr>
        <w:pStyle w:val="AlineaWithParag"/>
      </w:pPr>
      <w:r>
        <w:t>1.</w:t>
      </w:r>
      <w:r>
        <w:tab/>
      </w:r>
      <w:r>
        <w:t>Eftirfarandi áhættuskuldbindingar skulu undanþegnar kröfunum sem settar eru fram í 37. gr.</w:t>
      </w:r>
    </w:p>
    <w:p w14:paraId="40C5147F" w14:textId="77777777" w:rsidR="001D6FFE" w:rsidRDefault="00E40155">
      <w:pPr>
        <w:pStyle w:val="NumberedText"/>
        <w:ind w:left="300" w:hanging="300"/>
      </w:pPr>
      <w:r>
        <w:t>a)</w:t>
      </w:r>
      <w:r>
        <w:tab/>
        <w:t>áhættuskuldbindingar sem í heild eru dregnar frá eiginfjárgrunni verðbréfafyrirtækis,</w:t>
      </w:r>
    </w:p>
    <w:p w14:paraId="63B01DCF" w14:textId="77777777" w:rsidR="001D6FFE" w:rsidRDefault="00E40155">
      <w:pPr>
        <w:pStyle w:val="NumberedText"/>
        <w:ind w:left="300" w:hanging="300"/>
      </w:pPr>
      <w:r>
        <w:t>b)</w:t>
      </w:r>
      <w:r>
        <w:tab/>
        <w:t>áhættuskuldbindingar sem stofnað er til við venjubundið uppgjör greiðsluþjónustu, viðskipta í erlendum gjaldmiðli, verðbréfaviðskipta og millifærslu peninga,</w:t>
      </w:r>
    </w:p>
    <w:p w14:paraId="76746796" w14:textId="77777777" w:rsidR="001D6FFE" w:rsidRDefault="00E40155">
      <w:pPr>
        <w:pStyle w:val="NumberedText"/>
        <w:tabs>
          <w:tab w:val="clear" w:pos="2047"/>
        </w:tabs>
        <w:ind w:left="300" w:hanging="300"/>
      </w:pPr>
      <w:r>
        <w:t>c)</w:t>
      </w:r>
      <w:r>
        <w:tab/>
        <w:t>áhættuskuldbindingar sem mynda kröfur á:</w:t>
      </w:r>
    </w:p>
    <w:p w14:paraId="6AB6DA14" w14:textId="77777777" w:rsidR="001D6FFE" w:rsidRDefault="00E40155">
      <w:pPr>
        <w:pStyle w:val="NumberedText"/>
        <w:tabs>
          <w:tab w:val="clear" w:pos="2047"/>
        </w:tabs>
        <w:ind w:left="660" w:hanging="360"/>
      </w:pPr>
      <w:r>
        <w:t>i.</w:t>
      </w:r>
      <w:r>
        <w:tab/>
        <w:t>ríkisstjórnir, seðlabanka, opinbera aðila, alþjóðastofnanir eða fjölþjóðlega þróunarbanka og áhættuskuldbindingar sem tryggðar eru af slíkum aðilum eða sem rekja má til slíkra aðila, ef þær áhættuskuldbindingar fá 0% áhættuvog skv. 114.–118. gr. reglugerðar (ESB) nr. 575/2013,</w:t>
      </w:r>
    </w:p>
    <w:p w14:paraId="03D92363" w14:textId="77777777" w:rsidR="001D6FFE" w:rsidRDefault="00E40155">
      <w:pPr>
        <w:pStyle w:val="NumberedText"/>
        <w:tabs>
          <w:tab w:val="clear" w:pos="2047"/>
        </w:tabs>
        <w:ind w:left="660" w:hanging="360"/>
      </w:pPr>
      <w:r>
        <w:t>ii.</w:t>
      </w:r>
      <w:r>
        <w:tab/>
        <w:t>héraðsstjórnir og staðaryfirvöld landa sem eru aðilar að Evrópska efnahagssvæðinu,</w:t>
      </w:r>
    </w:p>
    <w:p w14:paraId="3C2F3294" w14:textId="77777777" w:rsidR="001D6FFE" w:rsidRDefault="00E40155">
      <w:pPr>
        <w:pStyle w:val="NumberedText"/>
        <w:tabs>
          <w:tab w:val="clear" w:pos="2047"/>
        </w:tabs>
        <w:ind w:left="660" w:hanging="360"/>
      </w:pPr>
      <w:r>
        <w:t>iii.</w:t>
      </w:r>
      <w:r>
        <w:tab/>
      </w:r>
      <w:r>
        <w:t>miðlæga mótaðila og framlög í vanskilasjóð miðlægra mótaðila.</w:t>
      </w:r>
    </w:p>
    <w:p w14:paraId="79B438A5" w14:textId="77777777" w:rsidR="001D6FFE" w:rsidRDefault="00E40155">
      <w:pPr>
        <w:pStyle w:val="AlineaWithParag"/>
      </w:pPr>
      <w:r>
        <w:t>2.</w:t>
      </w:r>
      <w:r>
        <w:tab/>
        <w:t>Lögbærum yfirvöldum er heimilt, að einhverju eða öllu leyti, að undanskilja eftirfarandi áhættuskuldbindingar frá beitingu 37. gr.:</w:t>
      </w:r>
    </w:p>
    <w:p w14:paraId="11EE0CD4" w14:textId="77777777" w:rsidR="001D6FFE" w:rsidRDefault="00E40155">
      <w:pPr>
        <w:pStyle w:val="NumberedText"/>
        <w:ind w:left="300" w:hanging="300"/>
      </w:pPr>
      <w:r>
        <w:t>a)</w:t>
      </w:r>
      <w:r>
        <w:tab/>
        <w:t>sértryggð skuldabréf,</w:t>
      </w:r>
    </w:p>
    <w:p w14:paraId="746ED04B" w14:textId="77777777" w:rsidR="001D6FFE" w:rsidRDefault="00E40155">
      <w:pPr>
        <w:pStyle w:val="NumberedText"/>
        <w:ind w:left="300" w:hanging="300"/>
      </w:pPr>
      <w:r>
        <w:t>b)</w:t>
      </w:r>
      <w:r>
        <w:tab/>
        <w:t>áhættuskuldbindingar sem verðbréfafyrirtæki stofnar til vegna móðurfélags síns, annarra dótturfélaga þess móðurfélags eða eigin dótturfélaga, að því marki sem þau fyrirtæki lúta eftirliti á samstæðugrunni í samræmi við 7. gr. þessarar reglugerðar eða reglugerð (ESB) nr. 575/2013, lúta eftirliti um hlítingu við eiginfjárpróf samstæðu í samræmi við 8. gr. þessarar reglugerðar, eða lúta eftirliti í samræmi við sambærilega staðla sem gilda í þriðja landi, og að því tilskildu að eftirtalin skilyrði séu uppfyllt</w:t>
      </w:r>
      <w:r>
        <w:t>:</w:t>
      </w:r>
    </w:p>
    <w:p w14:paraId="5A39BEB0" w14:textId="77777777" w:rsidR="001D6FFE" w:rsidRDefault="00E40155">
      <w:pPr>
        <w:pStyle w:val="NumberedText"/>
        <w:tabs>
          <w:tab w:val="clear" w:pos="2047"/>
        </w:tabs>
        <w:ind w:left="600" w:hanging="300"/>
      </w:pPr>
      <w:r>
        <w:t>i.</w:t>
      </w:r>
      <w:r>
        <w:tab/>
        <w:t>ekki eru neinar verulegar núverandi eða fyrirsjáanlegar, hagnýtar eða lagalegar hömlur á því að móðurfélagið yfirfæri fjármagn eða endurgreiði skuldir með skjótum hætti, og</w:t>
      </w:r>
    </w:p>
    <w:p w14:paraId="74554013" w14:textId="77777777" w:rsidR="001D6FFE" w:rsidRDefault="00E40155">
      <w:pPr>
        <w:pStyle w:val="NumberedText"/>
        <w:tabs>
          <w:tab w:val="clear" w:pos="2047"/>
        </w:tabs>
        <w:ind w:left="600" w:hanging="300"/>
      </w:pPr>
      <w:r>
        <w:t>ii.</w:t>
      </w:r>
      <w:r>
        <w:tab/>
        <w:t>aðferðir móðurfélagsins við að meta, mæla og stýra áhættu nái til aðilans á fjármálamarkaði.</w:t>
      </w:r>
    </w:p>
    <w:p w14:paraId="05880674" w14:textId="77777777" w:rsidR="001D6FFE" w:rsidRDefault="00E40155">
      <w:pPr>
        <w:pStyle w:val="TIART"/>
        <w:spacing w:after="120"/>
      </w:pPr>
      <w:r>
        <w:t>42. gr.</w:t>
      </w:r>
    </w:p>
    <w:p w14:paraId="4E6C32D5" w14:textId="77777777" w:rsidR="001D6FFE" w:rsidRDefault="00E40155">
      <w:pPr>
        <w:pStyle w:val="STIART"/>
        <w:spacing w:after="120"/>
      </w:pPr>
      <w:r>
        <w:t>Undanþágur fyrir miðlara hrávöru og losunarheimilda</w:t>
      </w:r>
    </w:p>
    <w:p w14:paraId="27E6F30B" w14:textId="77777777" w:rsidR="001D6FFE" w:rsidRDefault="00E40155">
      <w:pPr>
        <w:pStyle w:val="AlineaWithParag"/>
      </w:pPr>
      <w:r>
        <w:t>1.</w:t>
      </w:r>
      <w:r>
        <w:tab/>
        <w:t>Ákvæði þessa hluta skulu ekki eiga við um miðlara hrávöru og losunarheimilda ef öll eftirfarandi skilyrði eru uppfyllt:</w:t>
      </w:r>
    </w:p>
    <w:p w14:paraId="6206A26B" w14:textId="77777777" w:rsidR="001D6FFE" w:rsidRDefault="00E40155">
      <w:pPr>
        <w:pStyle w:val="NumberedText"/>
        <w:ind w:left="300" w:hanging="300"/>
      </w:pPr>
      <w:r>
        <w:t>a)</w:t>
      </w:r>
      <w:r>
        <w:tab/>
        <w:t>hinn mótaðilinn er ófjárhagslegur mótaðili,</w:t>
      </w:r>
    </w:p>
    <w:p w14:paraId="3391D044" w14:textId="77777777" w:rsidR="001D6FFE" w:rsidRDefault="00E40155">
      <w:pPr>
        <w:pStyle w:val="NumberedText"/>
        <w:ind w:left="300" w:hanging="300"/>
      </w:pPr>
      <w:r>
        <w:t>b)</w:t>
      </w:r>
      <w:r>
        <w:tab/>
        <w:t>báðir mótaðilar falla undir viðeigandi miðlægar aðferðir við að meta, mæla og stýra áhættu,</w:t>
      </w:r>
    </w:p>
    <w:p w14:paraId="7BEFA208" w14:textId="77777777" w:rsidR="001D6FFE" w:rsidRDefault="00E40155">
      <w:pPr>
        <w:pStyle w:val="NumberedText"/>
        <w:ind w:left="300" w:hanging="300"/>
      </w:pPr>
      <w:r>
        <w:t>c)</w:t>
      </w:r>
      <w:r>
        <w:tab/>
        <w:t>telja má að viðskiptin dragi úr áhættu sem tengist beint viðskiptastarfsemi eða lausafjárfjármögnun hins ófjárhagslega mótaðila eða þeirrar samstæðu.</w:t>
      </w:r>
    </w:p>
    <w:p w14:paraId="33280B3D" w14:textId="77777777" w:rsidR="001D6FFE" w:rsidRDefault="00E40155">
      <w:pPr>
        <w:pStyle w:val="AlineaWithParag"/>
        <w:spacing w:after="0"/>
      </w:pPr>
      <w:r>
        <w:t>2.</w:t>
      </w:r>
      <w:r>
        <w:tab/>
        <w:t>Verðbréfafyrirtæki skulu tilkynna lögbæru yfirvaldi áður en þau beita undanþágunni sem um getur í 1. mgr.</w:t>
      </w:r>
      <w:r>
        <w:br w:type="page"/>
      </w:r>
    </w:p>
    <w:p w14:paraId="2243E03B" w14:textId="77777777" w:rsidR="001D6FFE" w:rsidRDefault="00E40155">
      <w:pPr>
        <w:pStyle w:val="DivisionTI1"/>
        <w:spacing w:after="120" w:line="200" w:lineRule="exact"/>
      </w:pPr>
      <w:r>
        <w:t>FIMMTI HLUTI</w:t>
      </w:r>
    </w:p>
    <w:p w14:paraId="20FDEC56" w14:textId="77777777" w:rsidR="001D6FFE" w:rsidRDefault="00E40155">
      <w:pPr>
        <w:pStyle w:val="DivisionSTI1"/>
        <w:spacing w:line="200" w:lineRule="exact"/>
        <w:rPr>
          <w:sz w:val="16"/>
        </w:rPr>
      </w:pPr>
      <w:r>
        <w:rPr>
          <w:b/>
          <w:sz w:val="16"/>
        </w:rPr>
        <w:t>LAUSAFJÁRSTAÐA</w:t>
      </w:r>
    </w:p>
    <w:p w14:paraId="48605BDC" w14:textId="77777777" w:rsidR="001D6FFE" w:rsidRDefault="00E40155">
      <w:pPr>
        <w:pStyle w:val="TIART"/>
        <w:spacing w:after="120"/>
      </w:pPr>
      <w:r>
        <w:t>43. gr.</w:t>
      </w:r>
    </w:p>
    <w:p w14:paraId="33B0DEBD" w14:textId="77777777" w:rsidR="001D6FFE" w:rsidRDefault="00E40155">
      <w:pPr>
        <w:pStyle w:val="STIART"/>
      </w:pPr>
      <w:r>
        <w:t>Lausafjárkrafa</w:t>
      </w:r>
    </w:p>
    <w:p w14:paraId="235DCE01" w14:textId="77777777" w:rsidR="001D6FFE" w:rsidRDefault="00E40155">
      <w:pPr>
        <w:pStyle w:val="AlineaWithParag"/>
      </w:pPr>
      <w:r>
        <w:t>1.</w:t>
      </w:r>
      <w:r>
        <w:tab/>
      </w:r>
      <w:r>
        <w:t>Verðbréfafyrirtæki skulu eiga lausafjáreignir sem samsvara a.m.k. einum þriðja af kröfu um fastan kostnað, reiknað út í samræmi við 1. mgr. 13. gr.</w:t>
      </w:r>
    </w:p>
    <w:p w14:paraId="60B4D1EE" w14:textId="77777777" w:rsidR="001D6FFE" w:rsidRDefault="00E40155">
      <w:pPr>
        <w:pStyle w:val="Alinea"/>
      </w:pPr>
      <w:r>
        <w:t>Þrátt fyrir fyrstu undirgrein þessarar málsgreinar geta lögbær yfirvöld undanþegið verðbréfafyrirtæki sem uppfylla skilyrði til að teljast lítil og ótengd verðbréfafyrirtæki, eins og sett er fram í 1. mgr. 12. gr., frá beitingu fyrstu undirgreinar þessarar málsgreinar og skulu þau upplýsa Evrópsku bankaeftirlitsstofnunin um það á viðeigandi hátt.</w:t>
      </w:r>
    </w:p>
    <w:p w14:paraId="13E681F0" w14:textId="77777777" w:rsidR="001D6FFE" w:rsidRDefault="00E40155">
      <w:pPr>
        <w:pStyle w:val="Alinea"/>
      </w:pPr>
      <w:r>
        <w:t>Að því er varðar fyrstu undirgrein skulu lausafjáreignir vera allt af eftirfarandi, án takmarkana á samsetningu þeirra:</w:t>
      </w:r>
    </w:p>
    <w:p w14:paraId="0D138BF0" w14:textId="77777777" w:rsidR="001D6FFE" w:rsidRDefault="00E40155">
      <w:pPr>
        <w:pStyle w:val="NumberedText"/>
        <w:ind w:left="300" w:hanging="300"/>
      </w:pPr>
      <w:r>
        <w:t>a)</w:t>
      </w:r>
      <w:r>
        <w:tab/>
        <w:t>eignirnar sem um getur í 10.–13. gr. framseldrar reglugerðar (ESB) 2015/61 að uppfylltum sömu skilyrðum um hæfisviðmiðanir og sama gildandi frádrag og það sem mælt er fyrir um í þeim greinum,</w:t>
      </w:r>
    </w:p>
    <w:p w14:paraId="41EC2F0F" w14:textId="77777777" w:rsidR="001D6FFE" w:rsidRDefault="00E40155">
      <w:pPr>
        <w:pStyle w:val="NumberedText"/>
        <w:ind w:left="300" w:hanging="300"/>
      </w:pPr>
      <w:r>
        <w:t>b)</w:t>
      </w:r>
      <w:r>
        <w:tab/>
        <w:t>eignirnar sem um getur í 15. gr. framseldrar reglugerðar (ESB) 2015/61, upp að heildarfjárhæð sem nemur 50 milljónum evra eða samsvarandi fjárhæð í heimagjaldmiðli, að uppfylltum sömu skilyrðum um hæfisviðmiðanir, að undanskilinni 500 milljóna evra viðmiðunarfjárhæðinni sem um getur í 1. mgr. 15. gr. þeirrar reglugerðar, og sama gildandi frádrag og mælt er fyrir um í þeirri grein,</w:t>
      </w:r>
    </w:p>
    <w:p w14:paraId="1CD6271F" w14:textId="77777777" w:rsidR="001D6FFE" w:rsidRDefault="00E40155">
      <w:pPr>
        <w:pStyle w:val="NumberedText"/>
        <w:ind w:left="300" w:hanging="300"/>
      </w:pPr>
      <w:r>
        <w:t>c)</w:t>
      </w:r>
      <w:r>
        <w:tab/>
        <w:t>fjármálagerningar sem ekki falla undir a- og b-lið þessarar undirgreinar, sem viðskipti eru með á viðskiptavettvangi og hafa virkan markað eins og skilgreint er í 17. lið 1. mgr. 2. gr. reglugerðar (ESB) nr. 600/2014 og í 1.–5. gr. framseldrar reglugerðar framkvæmdastjórnarinnar (ESB) 2017/567 (</w:t>
      </w:r>
      <w:bookmarkStart w:id="25" w:name="NOTE_26"/>
      <w:r>
        <w:rPr>
          <w:rStyle w:val="FootnoteReference"/>
          <w:sz w:val="18"/>
        </w:rPr>
        <w:footnoteReference w:id="27"/>
      </w:r>
      <w:bookmarkEnd w:id="25"/>
      <w:r>
        <w:t>),og sæta frádragi sem nemur 55%,</w:t>
      </w:r>
    </w:p>
    <w:p w14:paraId="5EA78D7A" w14:textId="77777777" w:rsidR="001D6FFE" w:rsidRDefault="00E40155">
      <w:pPr>
        <w:pStyle w:val="NumberedText"/>
        <w:ind w:left="300" w:hanging="300"/>
      </w:pPr>
      <w:r>
        <w:t>d)</w:t>
      </w:r>
      <w:r>
        <w:tab/>
        <w:t>kvaðalausar skammtímainnstæður hjá lánastofnun.</w:t>
      </w:r>
    </w:p>
    <w:p w14:paraId="5CEB6A85" w14:textId="77777777" w:rsidR="001D6FFE" w:rsidRDefault="00E40155">
      <w:pPr>
        <w:pStyle w:val="AlineaWithParag"/>
      </w:pPr>
      <w:r>
        <w:t>2.</w:t>
      </w:r>
      <w:r>
        <w:tab/>
        <w:t>Reiðufé, skammtímainnstæður og fjármálagerningar sem tilheyra viðskiptavinum, jafnvel þó þeim sé haldið í eigin nafni verðbréfafyrirtækisins, skal ekki meðhöndla sem lausafjáreignir að því er varðar 1. mgr.</w:t>
      </w:r>
    </w:p>
    <w:p w14:paraId="4E624B0E" w14:textId="77777777" w:rsidR="001D6FFE" w:rsidRDefault="00E40155">
      <w:pPr>
        <w:pStyle w:val="AlineaWithParag"/>
      </w:pPr>
      <w:r>
        <w:t>3.</w:t>
      </w:r>
      <w:r>
        <w:tab/>
        <w:t>Að því er varðar 1. mgr. þessarar greinar geta verðbréfafyrirtæki sem uppfylla skilyrðin til að teljast lítil og ótengd verðbréfafyrirtæki í 1. mgr. 12. gr. þessarar reglugerðar og verðbréfafyrirtæki sem uppfylla ekki skilyrðin til að teljast lítil og ótengd verðbréfafyrirtæki í 1. mgr. 12. gr. þessarar reglugerðar en sem stunda enga þá starfsemi sem um getur í 3. og 6. lið þáttar A í I. viðauka við tilskipun 2014/65/ESB, einnig talið viðskiptakröfur sem og óinnheimtar þóknanir og umboðslaun sem greiðast s</w:t>
      </w:r>
      <w:r>
        <w:t>kulu innan 30 daga til lausafjáreigna sinna, ef þessar kröfur uppfylla eftirfarandi skilyrði:</w:t>
      </w:r>
    </w:p>
    <w:p w14:paraId="2BE630A7" w14:textId="77777777" w:rsidR="001D6FFE" w:rsidRDefault="00E40155">
      <w:pPr>
        <w:pStyle w:val="NumberedText"/>
        <w:ind w:left="300" w:hanging="300"/>
      </w:pPr>
      <w:r>
        <w:t>a)</w:t>
      </w:r>
      <w:r>
        <w:tab/>
        <w:t>þær nema að hámarki einum þriðja af lágmarkslausafjárkröfum sem um getur í 1. mgr. þessarar greinar,</w:t>
      </w:r>
    </w:p>
    <w:p w14:paraId="38E544F8" w14:textId="77777777" w:rsidR="001D6FFE" w:rsidRDefault="00E40155">
      <w:pPr>
        <w:pStyle w:val="NumberedText"/>
        <w:ind w:left="300" w:hanging="300"/>
      </w:pPr>
      <w:r>
        <w:t>b)</w:t>
      </w:r>
      <w:r>
        <w:tab/>
        <w:t>þær skal ekki telja til neinna viðbótarlausafjárkrafna sem lögbært yfirvald krefst vegna sértækrar áhættu fyrirtækis í samræmi við k-lið 2. mgr. 39. gr. tilskipunar (ESB) 2019/2034,</w:t>
      </w:r>
    </w:p>
    <w:p w14:paraId="4E93B0D0" w14:textId="77777777" w:rsidR="001D6FFE" w:rsidRDefault="00E40155">
      <w:pPr>
        <w:pStyle w:val="NumberedText"/>
        <w:ind w:left="300" w:hanging="300"/>
      </w:pPr>
      <w:r>
        <w:t>c)</w:t>
      </w:r>
      <w:r>
        <w:tab/>
        <w:t>þær sæta frádragi sem nemur 50%.</w:t>
      </w:r>
    </w:p>
    <w:p w14:paraId="12F309C9" w14:textId="77777777" w:rsidR="001D6FFE" w:rsidRDefault="00E40155">
      <w:pPr>
        <w:pStyle w:val="AlineaWithParag"/>
      </w:pPr>
      <w:r>
        <w:t>4.</w:t>
      </w:r>
      <w:r>
        <w:tab/>
        <w:t>Að því er varðar aðra undirgrein 1. mgr. skal Evrópska bankaeftirlitsstofnunin, í samráði við Evrópsku verðbréfamarkaðseftirlitsstofnunina, gefa út viðmiðunarreglur til að tilgreina frekar þau viðmið sem lögbær yfirvöld geta tekið tillit til þegar þau undanskilja verðbréfafyrirtæki sem uppfylla skilyrði til að teljast lítil og ótengd verðbréfafyrirtæki, eins og sett er fram í 1. mgr. 12. gr., frá lausafjárkröfunni.</w:t>
      </w:r>
    </w:p>
    <w:p w14:paraId="10CB1EEB" w14:textId="77777777" w:rsidR="001D6FFE" w:rsidRDefault="00E40155">
      <w:pPr>
        <w:pStyle w:val="TIART"/>
        <w:spacing w:after="120"/>
      </w:pPr>
      <w:r>
        <w:t>44. gr.</w:t>
      </w:r>
    </w:p>
    <w:p w14:paraId="5B6DC801" w14:textId="77777777" w:rsidR="001D6FFE" w:rsidRDefault="00E40155">
      <w:pPr>
        <w:pStyle w:val="STIART"/>
        <w:spacing w:after="120"/>
      </w:pPr>
      <w:r>
        <w:t>Tímabundin lækkun lausafjárkröfunnar</w:t>
      </w:r>
    </w:p>
    <w:p w14:paraId="1D9EB5C4" w14:textId="77777777" w:rsidR="001D6FFE" w:rsidRDefault="00E40155">
      <w:pPr>
        <w:pStyle w:val="AlineaWithParag"/>
        <w:spacing w:after="0"/>
      </w:pPr>
      <w:r>
        <w:t>1.</w:t>
      </w:r>
      <w:r>
        <w:tab/>
        <w:t>Verðbréfafyrirtæki geta, við sérstakar aðstæður og að fengnu samþykki lögbærs yfirvalds, lækkað fjárhæð lausafjáreigna sinna.</w:t>
      </w:r>
      <w:r>
        <w:br w:type="page"/>
      </w:r>
    </w:p>
    <w:p w14:paraId="6CAFED27" w14:textId="77777777" w:rsidR="001D6FFE" w:rsidRDefault="00E40155">
      <w:pPr>
        <w:pStyle w:val="AlineaWithParag"/>
      </w:pPr>
      <w:r>
        <w:t>2.</w:t>
      </w:r>
      <w:r>
        <w:tab/>
        <w:t>Innan 30 daga frá upprunalegu lækkuninni skal fyrirtækið aftur hlíta lausafjárkröfunni sem sett er fram í 1. mgr. 43. gr.</w:t>
      </w:r>
    </w:p>
    <w:p w14:paraId="3429DFEA" w14:textId="77777777" w:rsidR="001D6FFE" w:rsidRDefault="00E40155">
      <w:pPr>
        <w:pStyle w:val="TIART"/>
      </w:pPr>
      <w:r>
        <w:t>45. gr.</w:t>
      </w:r>
    </w:p>
    <w:p w14:paraId="457FD977" w14:textId="77777777" w:rsidR="001D6FFE" w:rsidRDefault="00E40155">
      <w:pPr>
        <w:pStyle w:val="STIART"/>
      </w:pPr>
      <w:r>
        <w:t>Ábyrgðir viðskiptavina</w:t>
      </w:r>
    </w:p>
    <w:p w14:paraId="54C692AE" w14:textId="77777777" w:rsidR="001D6FFE" w:rsidRDefault="00E40155">
      <w:pPr>
        <w:pStyle w:val="Alinea"/>
      </w:pPr>
      <w:r>
        <w:t>Verðbréfafyrirtæki skulu hækka lausafjáreignir sínar um 1,6% af heildarfjárhæð þeirra ábyrgða sem viðskiptavinum eru veittar.</w:t>
      </w:r>
    </w:p>
    <w:p w14:paraId="60F5FEFE" w14:textId="77777777" w:rsidR="001D6FFE" w:rsidRDefault="00E40155">
      <w:pPr>
        <w:pStyle w:val="DivisionTI1"/>
        <w:spacing w:after="120" w:line="200" w:lineRule="exact"/>
        <w:rPr>
          <w:szCs w:val="16"/>
        </w:rPr>
      </w:pPr>
      <w:r>
        <w:t>SJÖTTI HLUTI</w:t>
      </w:r>
    </w:p>
    <w:p w14:paraId="584431AF" w14:textId="77777777" w:rsidR="001D6FFE" w:rsidRDefault="00E40155">
      <w:pPr>
        <w:pStyle w:val="DivisionSTI1"/>
        <w:spacing w:line="200" w:lineRule="exact"/>
        <w:rPr>
          <w:sz w:val="16"/>
          <w:szCs w:val="16"/>
        </w:rPr>
      </w:pPr>
      <w:r>
        <w:rPr>
          <w:b/>
          <w:sz w:val="16"/>
        </w:rPr>
        <w:t>BIRTING UPPLÝSINGA AF HÁLFU VERÐBRÉFAFYRIRTÆKJA</w:t>
      </w:r>
    </w:p>
    <w:p w14:paraId="4B32F77E" w14:textId="77777777" w:rsidR="001D6FFE" w:rsidRDefault="00E40155">
      <w:pPr>
        <w:pStyle w:val="TIART"/>
        <w:spacing w:after="120"/>
      </w:pPr>
      <w:r>
        <w:t>46. gr.</w:t>
      </w:r>
    </w:p>
    <w:p w14:paraId="7D4D6C58" w14:textId="77777777" w:rsidR="001D6FFE" w:rsidRDefault="00E40155">
      <w:pPr>
        <w:pStyle w:val="STIART"/>
        <w:spacing w:after="120"/>
      </w:pPr>
      <w:r>
        <w:t>Gildissvið</w:t>
      </w:r>
    </w:p>
    <w:p w14:paraId="1E42686D" w14:textId="77777777" w:rsidR="001D6FFE" w:rsidRDefault="00E40155">
      <w:pPr>
        <w:pStyle w:val="AlineaWithParag"/>
      </w:pPr>
      <w:r>
        <w:t>1.</w:t>
      </w:r>
      <w:r>
        <w:tab/>
      </w:r>
      <w:r>
        <w:t>Verðbréfafyrirtæki sem uppfylla ekki skilyrði til að teljast lítil og ótengd verðbréfafyrirtæki, eins og sett er fram í 1. mgr. 12. gr., skulu opinberlega birta þær upplýsingar sem tilgreindar eru í þessum hluta sama dag og þau birta árleg reikningsskil sín.</w:t>
      </w:r>
    </w:p>
    <w:p w14:paraId="74ACEC32" w14:textId="77777777" w:rsidR="001D6FFE" w:rsidRDefault="00E40155">
      <w:pPr>
        <w:pStyle w:val="AlineaWithParag"/>
      </w:pPr>
      <w:r>
        <w:t>2.</w:t>
      </w:r>
      <w:r>
        <w:tab/>
        <w:t>Verðbréfafyrirtæki sem uppfylla skilyrði til að teljast lítil og ótengd verðbréfafyrirtæki, eins og sett er fram í 1. mgr. 12. gr., sem gefa út viðbótareiginfjárgerninga þáttar 1 skulu opinberlega birta þær upplýsingar sem settar eru fram í 47., 49. og 50. gr. sama dag og þau birta árleg reikningsskil sín.</w:t>
      </w:r>
    </w:p>
    <w:p w14:paraId="28EE28C3" w14:textId="77777777" w:rsidR="001D6FFE" w:rsidRDefault="00E40155">
      <w:pPr>
        <w:pStyle w:val="AlineaWithParag"/>
      </w:pPr>
      <w:r>
        <w:t>3.</w:t>
      </w:r>
      <w:r>
        <w:tab/>
      </w:r>
      <w:r>
        <w:t>Ef verðbréfafyrirtæki uppfyllir ekki lengur öll skilyrði til að teljast lítið og ótengt verðbréfafyrirtæki, eins og sett er fram í 1. mgr. 12. gr., skal það opinberlega birta upplýsingarnar sem settar eru fram í þessum hluta frá og með fjárhagsárinu á eftir fjárhagsárinu þegar það hætti að uppfylla þau skilyrði.</w:t>
      </w:r>
    </w:p>
    <w:p w14:paraId="539E7836" w14:textId="77777777" w:rsidR="001D6FFE" w:rsidRDefault="00E40155">
      <w:pPr>
        <w:pStyle w:val="AlineaWithParag"/>
      </w:pPr>
      <w:r>
        <w:t>4.</w:t>
      </w:r>
      <w:r>
        <w:tab/>
        <w:t>Verðbréfafyrirtæki mega ákveða viðeigandi miðil og stað til að fullnægja á skilvirkan hátt birtingarkröfunum sem um getur í 1. og 2. mgr. Allar upplýsingar skulu birtar í einum miðli eða á einum stað, ef mögulegt er. Ef sömu eða svipaðar upplýsingar eru birtar í tveimur eða fleiri miðlum, skal í hverjum miðli vera tilvísun í samsvarandi upplýsingar í hinum miðlinum.</w:t>
      </w:r>
    </w:p>
    <w:p w14:paraId="01769260" w14:textId="77777777" w:rsidR="001D6FFE" w:rsidRDefault="00E40155">
      <w:pPr>
        <w:pStyle w:val="TIART"/>
      </w:pPr>
      <w:r>
        <w:t>47. gr.</w:t>
      </w:r>
    </w:p>
    <w:p w14:paraId="3CDA2FC9" w14:textId="77777777" w:rsidR="001D6FFE" w:rsidRDefault="00E40155">
      <w:pPr>
        <w:pStyle w:val="STIART"/>
      </w:pPr>
      <w:r>
        <w:t>Markmið og stefnur við áhættustýringu</w:t>
      </w:r>
    </w:p>
    <w:p w14:paraId="196813BB" w14:textId="77777777" w:rsidR="001D6FFE" w:rsidRDefault="00E40155">
      <w:pPr>
        <w:pStyle w:val="Alinea"/>
      </w:pPr>
      <w:r>
        <w:t>Verðbréfafyrirtæki skulu birta markmið og stefnur áhættustýringar sinnar fyrir hvern áhættuflokk um sig sem settur er fram í þriðja, fjórða og fimmta hluta í samræmi við 46. gr., þ.m.t. samantekt um stefnuáætlanir og ferli til að stýra þeirri áhættu og gagnorða áhættuyfirlýsingu sem samþykkt er af stjórn og/eða framkvæmdastjórn verðbréfafyrirtækisins þar sem lýst er í stuttu máli heildaráhættusniði verðbréfafyrirtækisins í tengslum við viðskiptaáætlunina.</w:t>
      </w:r>
    </w:p>
    <w:p w14:paraId="48C9A67A" w14:textId="77777777" w:rsidR="001D6FFE" w:rsidRDefault="00E40155">
      <w:pPr>
        <w:pStyle w:val="TIART"/>
      </w:pPr>
      <w:r>
        <w:t>48. gr.</w:t>
      </w:r>
    </w:p>
    <w:p w14:paraId="7B048356" w14:textId="77777777" w:rsidR="001D6FFE" w:rsidRDefault="00E40155">
      <w:pPr>
        <w:pStyle w:val="STIART"/>
      </w:pPr>
      <w:r>
        <w:t>Stjórnarhættir</w:t>
      </w:r>
    </w:p>
    <w:p w14:paraId="772F8575" w14:textId="77777777" w:rsidR="001D6FFE" w:rsidRDefault="00E40155">
      <w:pPr>
        <w:pStyle w:val="Alinea"/>
      </w:pPr>
      <w:r>
        <w:t>Verðbréfafyrirtæki skulu birta eftirfarandi upplýsingar varðandi fyrirkomulag innri stjórnarhátta í samræmi við 46. gr.:</w:t>
      </w:r>
    </w:p>
    <w:p w14:paraId="751FC639" w14:textId="77777777" w:rsidR="001D6FFE" w:rsidRDefault="00E40155">
      <w:pPr>
        <w:pStyle w:val="NumberedText"/>
        <w:ind w:left="300" w:hanging="300"/>
      </w:pPr>
      <w:r>
        <w:t>a)</w:t>
      </w:r>
      <w:r>
        <w:tab/>
        <w:t>fjölda stjórnarstaða sem aðilar í stjórn og/eða framkvæmdastjórn gegna,</w:t>
      </w:r>
    </w:p>
    <w:p w14:paraId="5F046820" w14:textId="77777777" w:rsidR="001D6FFE" w:rsidRDefault="00E40155">
      <w:pPr>
        <w:pStyle w:val="NumberedText"/>
        <w:ind w:left="300" w:hanging="300"/>
      </w:pPr>
      <w:r>
        <w:t>b)</w:t>
      </w:r>
      <w:r>
        <w:tab/>
        <w:t>stefnu um fjölbreytileika, með tilliti til vals á aðilum í stjórn og/eða framkvæmdastjórn, markmið hennar og öll viðeigandi takmörk sem sett eru fram í þeirri stefnu og að hvaða marki þessi markmið og takmörk hafa náðst,</w:t>
      </w:r>
    </w:p>
    <w:p w14:paraId="471B715C" w14:textId="77777777" w:rsidR="001D6FFE" w:rsidRDefault="00E40155">
      <w:pPr>
        <w:pStyle w:val="NumberedText"/>
        <w:spacing w:after="0"/>
        <w:ind w:left="300" w:hanging="300"/>
      </w:pPr>
      <w:r>
        <w:t>c)</w:t>
      </w:r>
      <w:r>
        <w:tab/>
        <w:t>hvort verðbréfafyrirtækið hefur, eða hefur ekki, komið á fót sérstakri áhættunefnd og hve oft á ári áhættunefndin hefur hist,</w:t>
      </w:r>
      <w:r>
        <w:br w:type="page"/>
      </w:r>
    </w:p>
    <w:p w14:paraId="02D8B92E" w14:textId="77777777" w:rsidR="001D6FFE" w:rsidRDefault="00E40155">
      <w:pPr>
        <w:pStyle w:val="TIART"/>
        <w:spacing w:after="120"/>
      </w:pPr>
      <w:r>
        <w:t>49. gr.</w:t>
      </w:r>
    </w:p>
    <w:p w14:paraId="4F44DC9F" w14:textId="77777777" w:rsidR="001D6FFE" w:rsidRDefault="00E40155">
      <w:pPr>
        <w:pStyle w:val="STIART"/>
        <w:spacing w:after="120"/>
      </w:pPr>
      <w:r>
        <w:t>Eiginfjárgrunnur</w:t>
      </w:r>
    </w:p>
    <w:p w14:paraId="1FD0A179" w14:textId="77777777" w:rsidR="001D6FFE" w:rsidRDefault="00E40155">
      <w:pPr>
        <w:pStyle w:val="AlineaWithParag"/>
      </w:pPr>
      <w:r>
        <w:t>1.</w:t>
      </w:r>
      <w:r>
        <w:tab/>
        <w:t>Verðbréfafyrirtæki skulu birta eftirfarandi upplýsingar varðandi eiginfjárgrunn sinn, í samræmi við 46. gr.:</w:t>
      </w:r>
    </w:p>
    <w:p w14:paraId="21CF640B" w14:textId="77777777" w:rsidR="001D6FFE" w:rsidRDefault="00E40155">
      <w:pPr>
        <w:pStyle w:val="NumberedText"/>
        <w:ind w:left="300" w:hanging="300"/>
      </w:pPr>
      <w:r>
        <w:t>a)</w:t>
      </w:r>
      <w:r>
        <w:tab/>
        <w:t>fulla afstemmingu liða í almennu eigin fé þáttar 1, liða í viðbótareiginfé þáttar 1, liða í þætti 2 og viðeigandi síur og frádrætti sem beitt er á eiginfjárgrunn verðbréfafyrirtækisins og efnahagsreikninginn í endurskoðuðum reikningsskilum verðbréfafyrirtækisins,</w:t>
      </w:r>
    </w:p>
    <w:p w14:paraId="2C3DBF9B" w14:textId="77777777" w:rsidR="001D6FFE" w:rsidRDefault="00E40155">
      <w:pPr>
        <w:pStyle w:val="NumberedText"/>
        <w:ind w:left="300" w:hanging="300"/>
      </w:pPr>
      <w:r>
        <w:t>b)</w:t>
      </w:r>
      <w:r>
        <w:tab/>
        <w:t>lýsingu á helstu eiginleikum almennra eiginfjárgrunnsgerninga þáttar 1, viðbótareiginfjárgerninga þáttar 1 og gerninga undir þætti 2, sem verðbréfafyrirtækið gefur út,</w:t>
      </w:r>
    </w:p>
    <w:p w14:paraId="57EC6D55" w14:textId="77777777" w:rsidR="001D6FFE" w:rsidRDefault="00E40155">
      <w:pPr>
        <w:pStyle w:val="NumberedText"/>
        <w:ind w:left="300" w:hanging="300"/>
      </w:pPr>
      <w:r>
        <w:t>c)</w:t>
      </w:r>
      <w:r>
        <w:tab/>
        <w:t>lýsingu á öllum takmörkunum sem beitt er á útreikninga á eiginfjárgrunni í samræmi við þessa reglugerð og gerningum og frádrætti sem þessar takmarkanir gilda um.</w:t>
      </w:r>
    </w:p>
    <w:p w14:paraId="242B2F6C" w14:textId="77777777" w:rsidR="001D6FFE" w:rsidRDefault="00E40155">
      <w:pPr>
        <w:pStyle w:val="AlineaWithParag"/>
      </w:pPr>
      <w:r>
        <w:t>2.</w:t>
      </w:r>
      <w:r>
        <w:tab/>
      </w:r>
      <w:r>
        <w:t>Evrópska bankaeftirlitsstofnunin skal í samráði við Evrópsku verðbréfamarkaðseftirlitsstofnunina semja drög að tæknilegum framkvæmdarstöðlum til að tilgreina sniðmát fyrir upplýsingagjöf skv. a-, b- og c-lið 1. mgr.</w:t>
      </w:r>
    </w:p>
    <w:p w14:paraId="27C6F809" w14:textId="77777777" w:rsidR="001D6FFE" w:rsidRDefault="00E40155">
      <w:pPr>
        <w:pStyle w:val="Alinea"/>
      </w:pPr>
      <w:r>
        <w:t>Evrópska bankaeftirlitsstofnunin skal leggja þessi drög að tæknilegum framkvæmdastöðlum fyrir framkvæmdastjórnina eigi síðar en 26. júní 2021.</w:t>
      </w:r>
    </w:p>
    <w:p w14:paraId="172634C8" w14:textId="77777777" w:rsidR="001D6FFE" w:rsidRDefault="00E40155">
      <w:pPr>
        <w:pStyle w:val="Alinea"/>
      </w:pPr>
      <w:r>
        <w:t>Framkvæmdastjórninni er veitt vald til að samþykkja tæknilegu framkvæmdarstaðlana sem um getur í fyrstu undirgrein í samræmi við 15. gr. reglugerðar (ESB) nr. 1093/2010.</w:t>
      </w:r>
    </w:p>
    <w:p w14:paraId="2FC3A962" w14:textId="77777777" w:rsidR="001D6FFE" w:rsidRDefault="00E40155">
      <w:pPr>
        <w:pStyle w:val="TIART"/>
        <w:spacing w:after="120"/>
      </w:pPr>
      <w:r>
        <w:t>50. gr.</w:t>
      </w:r>
    </w:p>
    <w:p w14:paraId="0045EE72" w14:textId="77777777" w:rsidR="001D6FFE" w:rsidRDefault="00E40155">
      <w:pPr>
        <w:pStyle w:val="STIART"/>
        <w:spacing w:after="120"/>
      </w:pPr>
      <w:r>
        <w:t>Kröfur um eiginfjárgrunn</w:t>
      </w:r>
    </w:p>
    <w:p w14:paraId="15D936BA" w14:textId="77777777" w:rsidR="001D6FFE" w:rsidRDefault="00E40155">
      <w:pPr>
        <w:pStyle w:val="Alinea"/>
      </w:pPr>
      <w:r>
        <w:t>Verðbréfafyrirtæki skulu birta eftirfarandi upplýsingar um hvernig þau hlíta kröfunum sem mælt er fyrir um í 1. mgr. 11. gr. þessarar reglugerðar og 24. gr. tilskipunar (ESB) 2019/2034, í samræmi við 46. gr. þessarar reglugerðar:</w:t>
      </w:r>
    </w:p>
    <w:p w14:paraId="49153099" w14:textId="77777777" w:rsidR="001D6FFE" w:rsidRDefault="00E40155">
      <w:pPr>
        <w:pStyle w:val="NumberedText"/>
        <w:ind w:left="300" w:hanging="300"/>
      </w:pPr>
      <w:r>
        <w:t>a)</w:t>
      </w:r>
      <w:r>
        <w:tab/>
        <w:t>samantekt á aðferð verðbréfafyrirtækisins við að meta hvort innra fjármagn þess veitir fullnægjandi stuðning við núverandi starfsemi hennar og til framtíðar,</w:t>
      </w:r>
    </w:p>
    <w:p w14:paraId="4CF63A2D" w14:textId="77777777" w:rsidR="001D6FFE" w:rsidRDefault="00E40155">
      <w:pPr>
        <w:pStyle w:val="NumberedText"/>
        <w:ind w:left="300" w:hanging="300"/>
      </w:pPr>
      <w:r>
        <w:t>b)</w:t>
      </w:r>
      <w:r>
        <w:tab/>
        <w:t>niðurstöðu innra matsferlis verðbréfafyrirtækisins fyrir eiginfjárþörf, þ.m.t. samsetningu viðbótarkrafna um eiginfjárgrunn sem byggja á eftirlitsferli eins og um getur í a-lið 2. mgr. 39. gr. tilskipunar (ESB) 2019/2034, að beiðni viðkomandi lögbærs yfirvalds,</w:t>
      </w:r>
    </w:p>
    <w:p w14:paraId="1D229F2D" w14:textId="77777777" w:rsidR="001D6FFE" w:rsidRDefault="00E40155">
      <w:pPr>
        <w:pStyle w:val="NumberedText"/>
        <w:ind w:left="300" w:hanging="300"/>
      </w:pPr>
      <w:r>
        <w:t>c)</w:t>
      </w:r>
      <w:r>
        <w:tab/>
        <w:t>kröfur fyrir K-þátt reiknaðar út í samræmi við 15. gr. þessarar reglugerðar, á samanteknu formi fyrir áhættu markaðar, áhættu fyrirtækis og áhættu viðskiptavinar, byggðar á samanlögðum viðkomandi K-þáttum, og</w:t>
      </w:r>
    </w:p>
    <w:p w14:paraId="5441381F" w14:textId="77777777" w:rsidR="001D6FFE" w:rsidRDefault="00E40155">
      <w:pPr>
        <w:pStyle w:val="NumberedText"/>
        <w:ind w:left="300" w:hanging="300"/>
      </w:pPr>
      <w:r>
        <w:t>d)</w:t>
      </w:r>
      <w:r>
        <w:tab/>
        <w:t>kröfu um fastan kostnað sem ákvörðuð er í samræmi við 13. gr. þessarar reglugerðar.</w:t>
      </w:r>
    </w:p>
    <w:p w14:paraId="6512CEA2" w14:textId="77777777" w:rsidR="001D6FFE" w:rsidRDefault="00E40155">
      <w:pPr>
        <w:pStyle w:val="TIART"/>
        <w:spacing w:after="120"/>
      </w:pPr>
      <w:r>
        <w:t>51. gr.</w:t>
      </w:r>
    </w:p>
    <w:p w14:paraId="1D8E00BC" w14:textId="77777777" w:rsidR="001D6FFE" w:rsidRDefault="00E40155">
      <w:pPr>
        <w:pStyle w:val="STIART"/>
        <w:spacing w:after="120"/>
      </w:pPr>
      <w:r>
        <w:t>Starfskjarastefna og -venjur</w:t>
      </w:r>
    </w:p>
    <w:p w14:paraId="6BBEE4A4" w14:textId="77777777" w:rsidR="001D6FFE" w:rsidRDefault="00E40155">
      <w:pPr>
        <w:pStyle w:val="Alinea"/>
      </w:pPr>
      <w:r>
        <w:t>Verðbréfafyrirtæki skulu birta eftirfarandi upplýsingar um starfskjarastefnu og -venjur sínar, þ.m.t. um þætti sem tengjast kynhlutleysi og launamun kynjanna, fyrir þá flokka starfsfólks sem við störf sín hafa veruleg áhrif á áhættusnið verðbréfafyrirtækisins í samræmi við 46. gr.:</w:t>
      </w:r>
    </w:p>
    <w:p w14:paraId="15565833" w14:textId="77777777" w:rsidR="001D6FFE" w:rsidRDefault="00E40155">
      <w:pPr>
        <w:pStyle w:val="NumberedText"/>
        <w:ind w:left="300" w:hanging="300"/>
      </w:pPr>
      <w:r>
        <w:t>a)</w:t>
      </w:r>
      <w:r>
        <w:tab/>
        <w:t>mikilvægustu einkennin á fyrirkomulagi starfskjarakerfis, þ.m.t. fjárhæð breytilegra launa og viðmiðin um greiðslu breytilegra launa, stefnu um útborgun í gerningum, frestunarstefnu og ávinnsluskilyrði,</w:t>
      </w:r>
    </w:p>
    <w:p w14:paraId="2C82504E" w14:textId="77777777" w:rsidR="001D6FFE" w:rsidRDefault="00E40155">
      <w:pPr>
        <w:pStyle w:val="NumberedText"/>
        <w:ind w:left="300" w:hanging="300"/>
      </w:pPr>
      <w:r>
        <w:t>b)</w:t>
      </w:r>
      <w:r>
        <w:tab/>
        <w:t>hlutföllin milli fastra og breytilegra launa sem sett eru í samræmi við 2. mgr. 30. gr. tilskipunar (ESB) 2019/2034,</w:t>
      </w:r>
    </w:p>
    <w:p w14:paraId="1E4F8785" w14:textId="77777777" w:rsidR="001D6FFE" w:rsidRDefault="00E40155">
      <w:pPr>
        <w:pStyle w:val="NumberedText"/>
        <w:ind w:left="300" w:hanging="300"/>
      </w:pPr>
      <w:r>
        <w:t>c)</w:t>
      </w:r>
      <w:r>
        <w:tab/>
        <w:t>samanlagðar tölulegar upplýsingar um launagreiðslur, flokkaðar eftir háttsettum stjórnendum og starfsfólki sem við störf sín hefur veruleg áhrif á áhættusnið verðbréfafyrirtækisins, þar sem eftirfarandi er tilgreint:</w:t>
      </w:r>
    </w:p>
    <w:p w14:paraId="6C0EC238" w14:textId="77777777" w:rsidR="001D6FFE" w:rsidRDefault="00E40155">
      <w:pPr>
        <w:pStyle w:val="NumberedText"/>
        <w:tabs>
          <w:tab w:val="clear" w:pos="2047"/>
        </w:tabs>
        <w:ind w:left="680" w:hanging="380"/>
      </w:pPr>
      <w:r>
        <w:t>i.</w:t>
      </w:r>
      <w:r>
        <w:tab/>
        <w:t>fjárhæðir launagreiðslna á fjárhagsárinu, deilt niður á föst laun, þ.m.t. lýsingu á föstum þáttum, og breytileg laun, og fjöldi viðtakenda,</w:t>
      </w:r>
    </w:p>
    <w:p w14:paraId="0D3DD46F" w14:textId="77777777" w:rsidR="001D6FFE" w:rsidRDefault="00E40155">
      <w:pPr>
        <w:pStyle w:val="NumberedText"/>
        <w:tabs>
          <w:tab w:val="clear" w:pos="2047"/>
        </w:tabs>
        <w:spacing w:after="0"/>
        <w:ind w:left="680" w:hanging="380"/>
      </w:pPr>
      <w:r>
        <w:t>ii.</w:t>
      </w:r>
      <w:r>
        <w:tab/>
        <w:t>fjárhæðir og form greiddra breytilegra launa, deilt niður á reiðufé, hlutabréf, hlutabréfatengda gerninga og aðrar gerðir, þar sem sá hluti sem greiddur er fyrirfram er aðgreindur frá þeim sem er frestað,</w:t>
      </w:r>
      <w:r>
        <w:br w:type="page"/>
      </w:r>
    </w:p>
    <w:p w14:paraId="180B63FE" w14:textId="77777777" w:rsidR="001D6FFE" w:rsidRDefault="00E40155">
      <w:pPr>
        <w:pStyle w:val="NumberedText"/>
        <w:tabs>
          <w:tab w:val="clear" w:pos="2047"/>
        </w:tabs>
        <w:spacing w:after="160"/>
        <w:ind w:left="680" w:hanging="380"/>
      </w:pPr>
      <w:r>
        <w:t>iii.</w:t>
      </w:r>
      <w:r>
        <w:tab/>
        <w:t>fjárhæðir frestaðra launa fyrir fyrri frammistöðutímabil, deilt niður á fjárhæðina sem ávinnst á fjárhagsárinu og fjárhæðina sem mun ávinnast á síðari árum,</w:t>
      </w:r>
    </w:p>
    <w:p w14:paraId="0807CD8F" w14:textId="77777777" w:rsidR="001D6FFE" w:rsidRDefault="00E40155">
      <w:pPr>
        <w:pStyle w:val="NumberedText"/>
        <w:tabs>
          <w:tab w:val="clear" w:pos="2047"/>
        </w:tabs>
        <w:spacing w:after="160"/>
        <w:ind w:left="680" w:hanging="380"/>
      </w:pPr>
      <w:r>
        <w:t>iv.</w:t>
      </w:r>
      <w:r>
        <w:tab/>
        <w:t>fjárhæð frestaðra launa sem ávinnast á fjárhagsárinu og greidd eru út á fjárhagsárinu og sem eru lækkuð í samræmi við mat á frammistöðu,</w:t>
      </w:r>
    </w:p>
    <w:p w14:paraId="2E65A8F6" w14:textId="77777777" w:rsidR="001D6FFE" w:rsidRDefault="00E40155">
      <w:pPr>
        <w:pStyle w:val="NumberedText"/>
        <w:tabs>
          <w:tab w:val="clear" w:pos="2047"/>
        </w:tabs>
        <w:spacing w:after="160"/>
        <w:ind w:left="680" w:hanging="380"/>
      </w:pPr>
      <w:r>
        <w:t>v.</w:t>
      </w:r>
      <w:r>
        <w:tab/>
        <w:t>tryggð breytileg laun á fjárhagsárinu og fjöldi viðtakenda þeirra,</w:t>
      </w:r>
    </w:p>
    <w:p w14:paraId="0D0FC02F" w14:textId="77777777" w:rsidR="001D6FFE" w:rsidRDefault="00E40155">
      <w:pPr>
        <w:pStyle w:val="NumberedText"/>
        <w:tabs>
          <w:tab w:val="clear" w:pos="2047"/>
        </w:tabs>
        <w:spacing w:after="160"/>
        <w:ind w:left="680" w:hanging="380"/>
      </w:pPr>
      <w:r>
        <w:t>vi.</w:t>
      </w:r>
      <w:r>
        <w:tab/>
        <w:t>biðlaunagreiðslur á fyrri tímabilum, sem hafa verið greidd út á fjárhagsárinu,</w:t>
      </w:r>
    </w:p>
    <w:p w14:paraId="304C843F" w14:textId="77777777" w:rsidR="001D6FFE" w:rsidRDefault="00E40155">
      <w:pPr>
        <w:pStyle w:val="NumberedText"/>
        <w:tabs>
          <w:tab w:val="clear" w:pos="2047"/>
        </w:tabs>
        <w:spacing w:after="160"/>
        <w:ind w:left="680" w:hanging="380"/>
      </w:pPr>
      <w:r>
        <w:t>vii.</w:t>
      </w:r>
      <w:r>
        <w:tab/>
      </w:r>
      <w:r>
        <w:t>fjárhæðir vegna biðlauna á fjárhagsárinu, deilt niður á fyrirframgreidd og frestuð, fjölda viðtakenda þessara greiðslna og hæstu greiðslu til eins einstaklings,</w:t>
      </w:r>
    </w:p>
    <w:p w14:paraId="027A2F12" w14:textId="77777777" w:rsidR="001D6FFE" w:rsidRDefault="00E40155">
      <w:pPr>
        <w:pStyle w:val="NumberedText"/>
        <w:spacing w:after="160"/>
        <w:ind w:left="300" w:hanging="300"/>
      </w:pPr>
      <w:r>
        <w:t>d)</w:t>
      </w:r>
      <w:r>
        <w:tab/>
        <w:t>upplýsingar um hvort verðbréfafyrirtækið njóti undanþágu sem mælt er fyrir um í 4. mgr. 32. gr. tilskipunar (ESB) 2019/2034.</w:t>
      </w:r>
    </w:p>
    <w:p w14:paraId="246C7246" w14:textId="77777777" w:rsidR="001D6FFE" w:rsidRDefault="00E40155">
      <w:pPr>
        <w:pStyle w:val="Alinea"/>
        <w:spacing w:after="160"/>
      </w:pPr>
      <w:r>
        <w:t>Að því er varðar d-lið fyrstu undirgreinar skulu verðbréfafyrirtæki sem njóta slíkrar undanþágu tilgreina hvort sú undanþága hafi verið veitt á grundvelli a-liðar eða b-liðar 4. mgr. 32. gr. tilskipunar (ESB) 2019/2034, eða beggja. Þau skulu einnig tilgreina fyrir hvaða meginreglu um starfskjör þau beita undanþágunni eða undanþágunum, fjölda starfsmanna sem njóta góðs af undanþágunni eða undanþágunum og heildarlaunagreiðslur þeirra, skipt niður í föst laun og breytileg laun.</w:t>
      </w:r>
    </w:p>
    <w:p w14:paraId="6F68ABC4" w14:textId="77777777" w:rsidR="001D6FFE" w:rsidRDefault="00E40155">
      <w:pPr>
        <w:pStyle w:val="Alinea"/>
        <w:spacing w:after="160"/>
      </w:pPr>
      <w:r>
        <w:t>Þessi grein skal ekki hafa áhrif á ákvæði sem mælt er fyrir um í reglugerð Evrópuþingsins og ráðsins (ESB) nr. 2016/679 (</w:t>
      </w:r>
      <w:bookmarkStart w:id="26" w:name="NOTE_27"/>
      <w:r>
        <w:rPr>
          <w:rStyle w:val="FootnoteReference"/>
          <w:sz w:val="18"/>
        </w:rPr>
        <w:footnoteReference w:id="28"/>
      </w:r>
      <w:bookmarkEnd w:id="26"/>
      <w:r>
        <w:t>).</w:t>
      </w:r>
    </w:p>
    <w:p w14:paraId="1D9261DC" w14:textId="77777777" w:rsidR="001D6FFE" w:rsidRDefault="00E40155">
      <w:pPr>
        <w:pStyle w:val="TIART"/>
      </w:pPr>
      <w:r>
        <w:t>52. gr.</w:t>
      </w:r>
    </w:p>
    <w:p w14:paraId="13C0FEE1" w14:textId="77777777" w:rsidR="001D6FFE" w:rsidRDefault="00E40155">
      <w:pPr>
        <w:pStyle w:val="STIART"/>
      </w:pPr>
      <w:r>
        <w:t>Fjárfestingarstefna</w:t>
      </w:r>
    </w:p>
    <w:p w14:paraId="6DFEBBED" w14:textId="77777777" w:rsidR="001D6FFE" w:rsidRDefault="00E40155">
      <w:pPr>
        <w:pStyle w:val="AlineaWithParag"/>
        <w:spacing w:after="160"/>
      </w:pPr>
      <w:r>
        <w:t>1.</w:t>
      </w:r>
      <w:r>
        <w:tab/>
        <w:t>Aðildarríki skulu tryggja að verðbréfafyrirtæki sem uppfylla ekki viðmiðin sem um getur í a-lið 4. mgr. 32. gr. tilskipunar (ESB) 2019/2034 birti eftirfarandi upplýsingar í samræmi við 46. gr. þessarar reglugerðar:</w:t>
      </w:r>
    </w:p>
    <w:p w14:paraId="607C6A28" w14:textId="77777777" w:rsidR="001D6FFE" w:rsidRDefault="00E40155">
      <w:pPr>
        <w:pStyle w:val="NumberedText"/>
        <w:spacing w:after="160"/>
        <w:ind w:left="300" w:hanging="300"/>
      </w:pPr>
      <w:r>
        <w:t>a)</w:t>
      </w:r>
      <w:r>
        <w:tab/>
        <w:t>hlutfall atkvæðisréttar sem fylgir þeim hlutum sem eru beint eða óbeint í eigu verðbréfafyrirtækisins, sundurliðað eftir aðildarríki og geira,</w:t>
      </w:r>
    </w:p>
    <w:p w14:paraId="20017280" w14:textId="77777777" w:rsidR="001D6FFE" w:rsidRDefault="00E40155">
      <w:pPr>
        <w:pStyle w:val="NumberedText"/>
        <w:spacing w:after="160"/>
        <w:ind w:left="300" w:hanging="300"/>
      </w:pPr>
      <w:r>
        <w:t>b)</w:t>
      </w:r>
      <w:r>
        <w:tab/>
        <w:t>heildarlýsingu á framgangi atkvæðagreiðslna á hluthafafundum félaga þar sem hlutabréfaeiga er í samræmi við 2. mgr., útskýringu á atkvæðagreiðslum, og hlutfall framlagðra tillagna stjórnar eða framkvæmdastjórnar félagsins sem verðbréfafyrirtækið hefur samþykkt, og</w:t>
      </w:r>
    </w:p>
    <w:p w14:paraId="7292568A" w14:textId="77777777" w:rsidR="001D6FFE" w:rsidRDefault="00E40155">
      <w:pPr>
        <w:pStyle w:val="NumberedText"/>
        <w:spacing w:after="160"/>
        <w:ind w:left="300" w:hanging="300"/>
      </w:pPr>
      <w:r>
        <w:t>c)</w:t>
      </w:r>
      <w:r>
        <w:tab/>
        <w:t>útskýringu á notkun umboðsráðgjafafyrirtækja,</w:t>
      </w:r>
    </w:p>
    <w:p w14:paraId="730ED541" w14:textId="77777777" w:rsidR="001D6FFE" w:rsidRDefault="00E40155">
      <w:pPr>
        <w:pStyle w:val="NumberedText"/>
        <w:spacing w:after="160"/>
        <w:ind w:left="300" w:hanging="300"/>
      </w:pPr>
      <w:r>
        <w:t>d)</w:t>
      </w:r>
      <w:r>
        <w:tab/>
      </w:r>
      <w:r>
        <w:t>viðmiðunarreglur um atkvæðagreiðslur varðandi félög þar sem hlutabréfaeiga er í samræmi við 2. mgr.</w:t>
      </w:r>
    </w:p>
    <w:p w14:paraId="1B1818D3" w14:textId="77777777" w:rsidR="001D6FFE" w:rsidRDefault="00E40155">
      <w:pPr>
        <w:pStyle w:val="Alinea"/>
        <w:spacing w:after="160"/>
      </w:pPr>
      <w:r>
        <w:t>Birtingarkrafan sem um getur í b-lið fyrstu undirgreinar skal ekki gilda ef samningsbundið fyrirkomulag allra hluthafa sem verðbréfafyrirtækið er fulltrúi fyrir á hluthafafundum heimilar verðbréfafyrirtækinu ekki að nýta atkvæðisrétt fyrir þeirra hönd nema hluthafarnir gefi skýr fyrirmæli um nýtingu atkvæðisréttar eftir að hafa fengið dagskrá fundarins.</w:t>
      </w:r>
    </w:p>
    <w:p w14:paraId="067D1406" w14:textId="77777777" w:rsidR="001D6FFE" w:rsidRDefault="00E40155">
      <w:pPr>
        <w:pStyle w:val="AlineaWithParag"/>
        <w:spacing w:after="160"/>
      </w:pPr>
      <w:r>
        <w:t>2.</w:t>
      </w:r>
      <w:r>
        <w:tab/>
        <w:t>Verðbréfafyrirtæki sem um getur í 1. mgr. skal aðeins hlíta þeirri málsgrein í tengslum við hvert félag sem hlutabréf í hafa verið tekin til viðskipta á skipulegum markaði og aðeins í tengslum við þá hluti sem atkvæðisréttur fylgir, þegar hlutfall þess atkvæðisréttar sem verðbréfafyrirtækið á, beint eða óbeint, fer yfir 5% alls atkvæðisréttar sem fylgir þeim hlutabréfum sem félagið hefur gefið út. Reikna skal atkvæðisrétt á grundvelli allra hlutabréfa sem atkvæðisréttur fylgir, jafnvel þótt nýting þess atk</w:t>
      </w:r>
      <w:r>
        <w:t>væðisréttar sé stöðvuð tímabundið.</w:t>
      </w:r>
    </w:p>
    <w:p w14:paraId="0775D498" w14:textId="77777777" w:rsidR="001D6FFE" w:rsidRDefault="00E40155">
      <w:pPr>
        <w:pStyle w:val="AlineaWithParag"/>
        <w:spacing w:after="160"/>
      </w:pPr>
      <w:r>
        <w:t>3.</w:t>
      </w:r>
      <w:r>
        <w:tab/>
        <w:t>Evrópska bankaeftirlitsstofnunin skal í samráði við Evrópsku verðbréfamarkaðseftirlitsstofnunina semja drög að tæknilegum eftirlitsstöðlum til að tilgreina sniðmát fyrir upplýsingagjöf skv. 1. mgr.</w:t>
      </w:r>
    </w:p>
    <w:p w14:paraId="4E69775A" w14:textId="77777777" w:rsidR="001D6FFE" w:rsidRDefault="00E40155">
      <w:pPr>
        <w:pStyle w:val="Alinea"/>
        <w:spacing w:after="160"/>
      </w:pPr>
      <w:r>
        <w:t>Evrópska bankaeftirlitsstofnunin skal leggja þessi drög að tæknilegum eftirlitsstöðlum fyrir framkvæmdastjórnina eigi síðar en 26. júní 2021.</w:t>
      </w:r>
    </w:p>
    <w:p w14:paraId="3F149103" w14:textId="77777777" w:rsidR="001D6FFE" w:rsidRDefault="00E40155">
      <w:pPr>
        <w:pStyle w:val="Alinea"/>
        <w:spacing w:after="0"/>
      </w:pPr>
      <w:r>
        <w:t>Framkvæmdastjórninni er falið vald til að bæta við þessa reglugerð með því að samþykkja tæknilegu eftirlitsstaðlana sem um getur í fyrstu undirgrein í samræmi við 10.–14. gr. reglugerðar (ESB) nr. 1093/2010.</w:t>
      </w:r>
      <w:r>
        <w:br w:type="page"/>
      </w:r>
    </w:p>
    <w:p w14:paraId="130BE75A" w14:textId="77777777" w:rsidR="001D6FFE" w:rsidRDefault="00E40155">
      <w:pPr>
        <w:pStyle w:val="TIART"/>
      </w:pPr>
      <w:r>
        <w:t>53. gr.</w:t>
      </w:r>
    </w:p>
    <w:p w14:paraId="4AB71135" w14:textId="77777777" w:rsidR="001D6FFE" w:rsidRDefault="00E40155">
      <w:pPr>
        <w:pStyle w:val="STIART"/>
      </w:pPr>
      <w:r>
        <w:t>Umhverfis-, samfélags- og stjórnunaráhætta</w:t>
      </w:r>
    </w:p>
    <w:p w14:paraId="6C1BE9DB" w14:textId="77777777" w:rsidR="001D6FFE" w:rsidRDefault="00E40155">
      <w:pPr>
        <w:pStyle w:val="Alinea"/>
        <w:spacing w:after="160"/>
      </w:pPr>
      <w:r>
        <w:t>Frá og með 26. desember 2022 skulu verðbréfafyrirtæki sem ekki uppfylla viðmiðin sem um getur í 4. mgr. 32. gr. tilskipunar (ESB) 2019/2034, veita upplýsingar um umhverfis-, félags- og stjórnunaráhættu, þ.m.t. náttúrulega áhættu og umbreytingaráhættu, eins og skilgreint er í skýrslunni sem um getur í 35. gr. tilskipunar (ESB) 2019/2034.</w:t>
      </w:r>
    </w:p>
    <w:p w14:paraId="05E75AF7" w14:textId="77777777" w:rsidR="001D6FFE" w:rsidRDefault="00E40155">
      <w:pPr>
        <w:pStyle w:val="Alinea"/>
        <w:spacing w:after="160"/>
      </w:pPr>
      <w:r>
        <w:t>Upplýsingarnar sem um getur í fyrstu undirgrein skulu veittar einu sinni á fyrsta ári og tvisvar á ári eftir það.</w:t>
      </w:r>
    </w:p>
    <w:p w14:paraId="1799787F" w14:textId="77777777" w:rsidR="001D6FFE" w:rsidRDefault="00E40155">
      <w:pPr>
        <w:pStyle w:val="DivisionTI1"/>
        <w:spacing w:after="120" w:line="200" w:lineRule="exact"/>
      </w:pPr>
      <w:r>
        <w:t>SJÖUNDI HLUTI</w:t>
      </w:r>
    </w:p>
    <w:p w14:paraId="75B04D8A" w14:textId="77777777" w:rsidR="001D6FFE" w:rsidRDefault="00E40155">
      <w:pPr>
        <w:pStyle w:val="DivisionSTI1"/>
        <w:spacing w:after="300" w:line="200" w:lineRule="exact"/>
        <w:rPr>
          <w:sz w:val="16"/>
        </w:rPr>
      </w:pPr>
      <w:r>
        <w:rPr>
          <w:b/>
          <w:sz w:val="16"/>
        </w:rPr>
        <w:t>SKÝRSLUGJÖF VERÐBRÉFAFYRIRTÆKJA</w:t>
      </w:r>
    </w:p>
    <w:p w14:paraId="079BAA30" w14:textId="77777777" w:rsidR="001D6FFE" w:rsidRDefault="00E40155">
      <w:pPr>
        <w:pStyle w:val="TIART"/>
        <w:spacing w:after="120"/>
      </w:pPr>
      <w:r>
        <w:t>54. gr.</w:t>
      </w:r>
    </w:p>
    <w:p w14:paraId="79DC9B12" w14:textId="77777777" w:rsidR="001D6FFE" w:rsidRDefault="00E40155">
      <w:pPr>
        <w:pStyle w:val="STIART"/>
      </w:pPr>
      <w:r>
        <w:t>Skýrslugjafarkröfur</w:t>
      </w:r>
    </w:p>
    <w:p w14:paraId="1F36051E" w14:textId="77777777" w:rsidR="001D6FFE" w:rsidRDefault="00E40155">
      <w:pPr>
        <w:pStyle w:val="AlineaWithParag"/>
        <w:spacing w:after="160"/>
      </w:pPr>
      <w:r>
        <w:t>1.</w:t>
      </w:r>
      <w:r>
        <w:tab/>
      </w:r>
      <w:r>
        <w:t>Verðbréfafyrirtæki skulu ársfjórðungslega tilkynna lögbærum yfirvöldum allar eftirfarandi upplýsingar:</w:t>
      </w:r>
    </w:p>
    <w:p w14:paraId="766F01DF" w14:textId="77777777" w:rsidR="001D6FFE" w:rsidRDefault="00E40155">
      <w:pPr>
        <w:pStyle w:val="NumberedText"/>
        <w:spacing w:after="160"/>
        <w:ind w:left="300" w:hanging="300"/>
      </w:pPr>
      <w:r>
        <w:t>a)</w:t>
      </w:r>
      <w:r>
        <w:tab/>
        <w:t>fjárhæð og samsetningu eiginfjárgrunns,</w:t>
      </w:r>
    </w:p>
    <w:p w14:paraId="1BA7CE23" w14:textId="77777777" w:rsidR="001D6FFE" w:rsidRDefault="00E40155">
      <w:pPr>
        <w:pStyle w:val="NumberedText"/>
        <w:spacing w:after="160"/>
        <w:ind w:left="300" w:hanging="300"/>
      </w:pPr>
      <w:r>
        <w:t>b)</w:t>
      </w:r>
      <w:r>
        <w:tab/>
        <w:t>kröfur um eiginfjárgrunn,</w:t>
      </w:r>
    </w:p>
    <w:p w14:paraId="0F9BCD97" w14:textId="77777777" w:rsidR="001D6FFE" w:rsidRDefault="00E40155">
      <w:pPr>
        <w:pStyle w:val="NumberedText"/>
        <w:spacing w:after="160"/>
        <w:ind w:left="300" w:hanging="300"/>
      </w:pPr>
      <w:r>
        <w:t>c)</w:t>
      </w:r>
      <w:r>
        <w:tab/>
        <w:t>útreikning krafna um eiginfjárgrunn,</w:t>
      </w:r>
    </w:p>
    <w:p w14:paraId="672AC829" w14:textId="77777777" w:rsidR="001D6FFE" w:rsidRDefault="00E40155">
      <w:pPr>
        <w:pStyle w:val="NumberedText"/>
        <w:spacing w:after="160"/>
        <w:ind w:left="300" w:hanging="300"/>
      </w:pPr>
      <w:r>
        <w:t>d)</w:t>
      </w:r>
      <w:r>
        <w:tab/>
        <w:t>umfang starfsemi að því er varðar skilyrðin sem sett eru fram í 1. mgr. 12. gr., að meðtöldum efnahagsreikningi og sundurliðun tekna eftir fjárfestingarþjónustu og viðeigandi K-þætti,</w:t>
      </w:r>
    </w:p>
    <w:p w14:paraId="6F4DB079" w14:textId="77777777" w:rsidR="001D6FFE" w:rsidRDefault="00E40155">
      <w:pPr>
        <w:pStyle w:val="NumberedText"/>
        <w:spacing w:after="160"/>
        <w:ind w:left="300" w:hanging="300"/>
      </w:pPr>
      <w:r>
        <w:t>e)</w:t>
      </w:r>
      <w:r>
        <w:tab/>
        <w:t>samþjöppunaráhættu,</w:t>
      </w:r>
    </w:p>
    <w:p w14:paraId="1277FB29" w14:textId="77777777" w:rsidR="001D6FFE" w:rsidRDefault="00E40155">
      <w:pPr>
        <w:pStyle w:val="NumberedText"/>
        <w:spacing w:after="160"/>
        <w:ind w:left="300" w:hanging="300"/>
      </w:pPr>
      <w:r>
        <w:t>f)</w:t>
      </w:r>
      <w:r>
        <w:tab/>
        <w:t>lausafjárkröfur.</w:t>
      </w:r>
    </w:p>
    <w:p w14:paraId="1FEB0846" w14:textId="77777777" w:rsidR="001D6FFE" w:rsidRDefault="00E40155">
      <w:pPr>
        <w:pStyle w:val="Alinea"/>
        <w:spacing w:after="160"/>
      </w:pPr>
      <w:r>
        <w:t>Þrátt fyrir fyrstu undirgrein skulu verðbréfafyrirtæki sem uppfylla skilyrðin til að teljast lítil og ótengd verðbréfafyrirtæki eins og sett er fram í 1. mgr. 12. gr., leggja fram slíkar skýrslur árlega.</w:t>
      </w:r>
    </w:p>
    <w:p w14:paraId="16A917A2" w14:textId="77777777" w:rsidR="001D6FFE" w:rsidRDefault="00E40155">
      <w:pPr>
        <w:pStyle w:val="AlineaWithParag"/>
        <w:spacing w:after="160"/>
      </w:pPr>
      <w:r>
        <w:t>2.</w:t>
      </w:r>
      <w:r>
        <w:tab/>
        <w:t>Upplýsingarnar sem tilgreindar eru í e-lið 1. mgr. skulu m.a. hafa að geyma upplýsingar um eftirfarandi umfang áhættu og skulu tilkynntar til lögbærra yfirvalda a.m.k. árlega:</w:t>
      </w:r>
    </w:p>
    <w:p w14:paraId="6FFC7026" w14:textId="77777777" w:rsidR="001D6FFE" w:rsidRDefault="00E40155">
      <w:pPr>
        <w:pStyle w:val="NumberedText"/>
        <w:spacing w:after="160"/>
        <w:ind w:left="300" w:hanging="300"/>
      </w:pPr>
      <w:r>
        <w:t>a)</w:t>
      </w:r>
      <w:r>
        <w:tab/>
        <w:t>umfang samþjöppunaráhættu í tengslum við vanefndir mótaðila og veltubókarstöður, bæði á grundvelli einstakra mótaðila og samanlagt,</w:t>
      </w:r>
    </w:p>
    <w:p w14:paraId="42675AE4" w14:textId="77777777" w:rsidR="001D6FFE" w:rsidRDefault="00E40155">
      <w:pPr>
        <w:pStyle w:val="NumberedText"/>
        <w:spacing w:after="160"/>
        <w:ind w:left="300" w:hanging="300"/>
      </w:pPr>
      <w:r>
        <w:t>b)</w:t>
      </w:r>
      <w:r>
        <w:tab/>
        <w:t>umfang samþjöppunaráhættu að því er varðar lánastofnanir, verðbréfafyrirtæki og aðra aðila þar sem fé viðskiptavina er geymt,</w:t>
      </w:r>
    </w:p>
    <w:p w14:paraId="1216A4B0" w14:textId="77777777" w:rsidR="001D6FFE" w:rsidRDefault="00E40155">
      <w:pPr>
        <w:pStyle w:val="NumberedText"/>
        <w:spacing w:after="160"/>
        <w:ind w:left="300" w:hanging="300"/>
      </w:pPr>
      <w:r>
        <w:t>c)</w:t>
      </w:r>
      <w:r>
        <w:tab/>
        <w:t>umfang samþjöppunaráhættu að því er varðar lánastofnanir, verðbréfafyrirtæki og aðra aðila þar sem verðbréf viðskiptavina eru lögð inn,</w:t>
      </w:r>
    </w:p>
    <w:p w14:paraId="09B8AED6" w14:textId="77777777" w:rsidR="001D6FFE" w:rsidRDefault="00E40155">
      <w:pPr>
        <w:pStyle w:val="NumberedText"/>
        <w:spacing w:after="160"/>
        <w:ind w:left="300" w:hanging="300"/>
      </w:pPr>
      <w:r>
        <w:t>d)</w:t>
      </w:r>
      <w:r>
        <w:tab/>
        <w:t>umfang samþjöppunaráhættu að því er varðar lánastofnanir þar sem reiðufé verðbréfafyrirtækisins sjálfs er lagt inn,</w:t>
      </w:r>
    </w:p>
    <w:p w14:paraId="0D17F261" w14:textId="77777777" w:rsidR="001D6FFE" w:rsidRDefault="00E40155">
      <w:pPr>
        <w:pStyle w:val="NumberedText"/>
        <w:spacing w:after="160"/>
        <w:ind w:left="300" w:hanging="300"/>
      </w:pPr>
      <w:r>
        <w:t>e)</w:t>
      </w:r>
      <w:r>
        <w:tab/>
        <w:t>umfang samþjöppunaráhættu af tekjum,</w:t>
      </w:r>
    </w:p>
    <w:p w14:paraId="6ABA3446" w14:textId="77777777" w:rsidR="001D6FFE" w:rsidRDefault="00E40155">
      <w:pPr>
        <w:pStyle w:val="NumberedText"/>
        <w:spacing w:after="160"/>
        <w:ind w:left="300" w:hanging="300"/>
      </w:pPr>
      <w:r>
        <w:t>f)</w:t>
      </w:r>
      <w:r>
        <w:tab/>
        <w:t>umfang samþjöppunaráhættu eins og lýst er í a- til e-lið, reiknað út með tilliti til eigna og liða utan efnahagsreiknings sem ekki er skráð í veltubók, auk áhættuskuldbindinga sem leiða af veltubókarstöðum.</w:t>
      </w:r>
    </w:p>
    <w:p w14:paraId="047454C0" w14:textId="77777777" w:rsidR="001D6FFE" w:rsidRDefault="00E40155">
      <w:pPr>
        <w:pStyle w:val="Alinea"/>
        <w:spacing w:after="160"/>
      </w:pPr>
      <w:r>
        <w:t>Að því er þennan hluta varðar skulu hugtökin „lánastofnun“ og „verðbréfafyrirtæki“ ná yfir einkarekin og opinber fyrirtæki, þ.m.t. útibú slíkra fyrirtækja, að því tilskildu að ef þessi fyrirtæki, ef þau væru með staðfestu í Sambandinu, væru þau lánastofnanir eða verðbréfafyrirtæki eins og þau eru skilgreind í þessari reglugerð og að því tilskildu að þessi fyrirtæki hafi starfsleyfi í þriðja landi sem beitir a.m.k. jafngildum kröfum um varfærniseftirlit og kröfum samkvæmt reglum og þeim sem beitt er í Samban</w:t>
      </w:r>
      <w:r>
        <w:t>dinu.</w:t>
      </w:r>
    </w:p>
    <w:p w14:paraId="7DE3EBC4" w14:textId="77777777" w:rsidR="001D6FFE" w:rsidRDefault="00E40155">
      <w:pPr>
        <w:pStyle w:val="Alinea"/>
        <w:spacing w:after="0"/>
      </w:pPr>
      <w:r>
        <w:t>Þrátt fyrir ákvæði 1. mgr. þessarar greinar skal verðbréfafyrirtæki sem uppfyllir skilyrðin til að teljast lítið og ótengt verðbréfafyrirtæki, eins og sett er fram í 1. mgr. 12. gr., ekki þurfa að tilkynna upplýsingarnar sem tilgreindar eru í e-lið 1. mgr. þessarar greinar og, að því marki sem undanþága hefur verið veitt í samræmi við aðra undirgrein 1. mgr. 43. gr., í f-lið 1. mgr. þessarar greinar.</w:t>
      </w:r>
      <w:r>
        <w:br w:type="page"/>
      </w:r>
    </w:p>
    <w:p w14:paraId="2BD8A9E0" w14:textId="77777777" w:rsidR="001D6FFE" w:rsidRDefault="00E40155">
      <w:pPr>
        <w:pStyle w:val="AlineaWithParag"/>
      </w:pPr>
      <w:r>
        <w:t>3.</w:t>
      </w:r>
      <w:r>
        <w:tab/>
        <w:t>Að því er varðar skýrslugjafarkröfurnar sem mælt er fyrir um í þessari grein skal Evrópska bankaeftirlitsstofnunin, í samráði við Evrópsku verðbréfamarkaðseftirlitsstofnunina, semja drög að tæknilegum framkvæmdarstöðlum til að tilgreina:</w:t>
      </w:r>
    </w:p>
    <w:p w14:paraId="31F9D0F7" w14:textId="77777777" w:rsidR="001D6FFE" w:rsidRDefault="00E40155">
      <w:pPr>
        <w:pStyle w:val="NumberedText"/>
        <w:ind w:left="300" w:hanging="300"/>
      </w:pPr>
      <w:r>
        <w:t>a)</w:t>
      </w:r>
      <w:r>
        <w:tab/>
        <w:t>sniðin,</w:t>
      </w:r>
    </w:p>
    <w:p w14:paraId="57D25E5C" w14:textId="77777777" w:rsidR="001D6FFE" w:rsidRDefault="00E40155">
      <w:pPr>
        <w:pStyle w:val="NumberedText"/>
        <w:ind w:left="300" w:hanging="300"/>
      </w:pPr>
      <w:r>
        <w:t>b)</w:t>
      </w:r>
      <w:r>
        <w:tab/>
        <w:t>dagsetningar tilkynninga og skilgreiningar og tengdar leiðbeiningar sem skulu lýsa hvernig nota skal þessi snið.</w:t>
      </w:r>
    </w:p>
    <w:p w14:paraId="3C7AC5F7" w14:textId="77777777" w:rsidR="001D6FFE" w:rsidRDefault="00E40155">
      <w:pPr>
        <w:pStyle w:val="Alinea"/>
      </w:pPr>
      <w:r>
        <w:t>Drögin að tæknilegu framkvæmdarstöðlunum sem um getur í fyrstu undirgrein skulu vera gagnorð og í réttu hlutfalli við eðli, umfang og flækjustig í starfsemi verðbréfafyrirtækjanna, að teknu tilliti til þess munar sem er á sundurliðunarstigi upplýsinga sem verðbréfafyrirtæki sem uppfylla skilyrðin til að teljast lítil og ótengd verðbréfafyrirtæki, eins og sett er fram í 1. mgr. 12. gr., leggja fram.</w:t>
      </w:r>
    </w:p>
    <w:p w14:paraId="4D0966B4" w14:textId="77777777" w:rsidR="001D6FFE" w:rsidRDefault="00E40155">
      <w:pPr>
        <w:pStyle w:val="Alinea"/>
      </w:pPr>
      <w:r>
        <w:t>Evrópska bankaeftirlitsstofnunin skal semja drög að tæknilegum framkvæmdarstöðlum sem um getur í fyrstu undirgrein eigi síðar en 26. desember 2020.</w:t>
      </w:r>
    </w:p>
    <w:p w14:paraId="7CB5D649" w14:textId="77777777" w:rsidR="001D6FFE" w:rsidRDefault="00E40155">
      <w:pPr>
        <w:pStyle w:val="Alinea"/>
      </w:pPr>
      <w:r>
        <w:t>Framkvæmdastjórninni er veitt vald til að samþykkja tæknilegu framkvæmdarstaðlana sem um getur í þessari málsgrein í samræmi við 15. gr. reglugerðar (ESB) nr. 1093/2010.</w:t>
      </w:r>
    </w:p>
    <w:p w14:paraId="66EAB8FC" w14:textId="77777777" w:rsidR="001D6FFE" w:rsidRDefault="00E40155">
      <w:pPr>
        <w:pStyle w:val="TIART"/>
      </w:pPr>
      <w:r>
        <w:t>55. gr.</w:t>
      </w:r>
    </w:p>
    <w:p w14:paraId="55C78F29" w14:textId="77777777" w:rsidR="001D6FFE" w:rsidRDefault="00E40155">
      <w:pPr>
        <w:pStyle w:val="STIART"/>
      </w:pPr>
      <w:r>
        <w:t>Skýrslugjafarkröfur fyrir tiltekin verðbréfafyrirtæki, þ.m.t. að því er varðar viðmiðunarmörkin sem um getur í 2. mgr. 1. gr. þessarar reglugerðar og b-lið 1. liðar 1. mgr. 4. gr. reglugerðar (ESB) nr. 575/2013</w:t>
      </w:r>
    </w:p>
    <w:p w14:paraId="63CBFC26" w14:textId="77777777" w:rsidR="001D6FFE" w:rsidRDefault="00E40155">
      <w:pPr>
        <w:pStyle w:val="AlineaWithParag"/>
      </w:pPr>
      <w:r>
        <w:t>1.</w:t>
      </w:r>
      <w:r>
        <w:tab/>
        <w:t>Verðbréfafyrirtæki sem stunda einhverja þá starfsemi sem um getur í 3. og 6. lið þáttar A í I. viðauka tilskipunar 2014/65/ESB skulu staðfesta verðmæti heildareigna sinna mánaðarlega og tilkynna lögbæru yfirvaldi þær upplýsingar ársfjórðungslega, ef heildarverðmæti samstæðueigna verðbréfafyrirtækisins nemur 5 milljörðum evra eða meira, reiknað út sem meðaltal næstliðinna 12 mánaða. Lögbæra yfirvaldið skal upplýsa Evrópsku bankaeftirlitsstofnunina um það.</w:t>
      </w:r>
    </w:p>
    <w:p w14:paraId="239518FF" w14:textId="77777777" w:rsidR="001D6FFE" w:rsidRDefault="00E40155">
      <w:pPr>
        <w:pStyle w:val="AlineaWithParag"/>
      </w:pPr>
      <w:r>
        <w:t>2.</w:t>
      </w:r>
      <w:r>
        <w:tab/>
        <w:t>Ef verðbréfafyrirtæki sem um getur í 1. mgr. er hluti samstæðu þar sem eitt eða fleiri önnur fyrirtæki eru verðbréfafyrirtæki sem stunda einhverja þá starfsemi sem um getur í 3. og 6. lið þáttar A í I. viðauka tilskipunar 2014/65/ESB, skulu öll slík verðbréfafyrirtæki í samstæðunni staðfesta verðmæti heildareigna sinna mánaðarlega, ef heildarverðmæti samstæðueigna samstæðunnar nemur 5 milljörðum evra eða meira, reiknað sem meðaltal næstliðinna 12 mánaða. Slík verðbréfafyrirtæki skulu upplýsa hvert annað um</w:t>
      </w:r>
      <w:r>
        <w:t xml:space="preserve"> heildareignir sínar mánaðarlega og tilkynna viðkomandi lögbærum yfirvöldum um samstæðueignir sínar ársfjórðungslega. Lögbær yfirvöld skulu upplýsa Evrópsku bankaeftirlitsstofnunina um það.</w:t>
      </w:r>
    </w:p>
    <w:p w14:paraId="29ECA449" w14:textId="77777777" w:rsidR="001D6FFE" w:rsidRDefault="00E40155">
      <w:pPr>
        <w:pStyle w:val="AlineaWithParag"/>
      </w:pPr>
      <w:r>
        <w:t>3.</w:t>
      </w:r>
      <w:r>
        <w:tab/>
        <w:t>Ef meðaltal mánaðarlegra heildareigna verðbréfafyrirtækjanna sem um getur í 1. og 2. mgr. nær einhverjum af þeim viðmiðunarmörkum sem sett eru í 2. mgr. 1. gr. þessarar reglugerðar eða í b-lið 1. liðar 1. mgr. 4. gr. reglugerðar (ESB) nr. 575/2013, reiknað sem meðaltal næstliðinna 12 mánaða, skal Evrópska bankaeftirlitsstofnunin upplýsa þau verðbréfafyrirtæki og lögbæru yfirvöldin, þ.m.t. þau yfirvöld sem lögbær eru til að veita starfsleyfi í samræmi við 8. gr. a tilskipunar 2013/36/ESB, um það.</w:t>
      </w:r>
    </w:p>
    <w:p w14:paraId="76676074" w14:textId="77777777" w:rsidR="001D6FFE" w:rsidRDefault="00E40155">
      <w:pPr>
        <w:pStyle w:val="AlineaWithParag"/>
      </w:pPr>
      <w:r>
        <w:t>4.</w:t>
      </w:r>
      <w:r>
        <w:tab/>
        <w:t>Ef eftirlit skv. 36. gr. tilskipunar (ESB) 2019/2034 sýnir að verðbréfafyrirtæki sem um getur í 1. mgr. þessarar greinar geti valdið kerfisáhættu eins og um getur í 23. gr. reglugerðar (ESB) nr. 1093/2010 skulu lögbær yfirvöld upplýsa Evrópsku bankaeftirlitsstofnunina um niðurstöður eftirlitsins án tafar.</w:t>
      </w:r>
    </w:p>
    <w:p w14:paraId="76EC3D78" w14:textId="77777777" w:rsidR="001D6FFE" w:rsidRDefault="00E40155">
      <w:pPr>
        <w:pStyle w:val="AlineaWithParag"/>
      </w:pPr>
      <w:r>
        <w:t>5.</w:t>
      </w:r>
      <w:r>
        <w:tab/>
        <w:t>Evrópska bankaeftirlitsstofnunin, í samráði við Evrópsku verðbréfamarkaðseftirlitsstofnunina, skal semja drög að tæknilegum eftirlitsstöðlum til að tilgreina frekar skylduna til að veita viðkomandi lögbærum yfirvöldum upplýsingar, eins og um getur í 1. og 2. mgr., til að hægt sé að hafa skilvirka vöktun á viðmiðunarmörkunum sem sett eru fram í a- og b- lið 1. mgr. 8. gr. a í tilskipun 2013/36/ESB.</w:t>
      </w:r>
    </w:p>
    <w:p w14:paraId="5FFF2432" w14:textId="77777777" w:rsidR="001D6FFE" w:rsidRDefault="00E40155">
      <w:pPr>
        <w:pStyle w:val="Alinea"/>
      </w:pPr>
      <w:r>
        <w:t>Evrópska bankaeftirlitsstofnunin skal leggja þessi drög að tæknilegum eftirlitsstöðlum fyrir framkvæmdastjórnina eigi síðar en 26. desember 2020.</w:t>
      </w:r>
    </w:p>
    <w:p w14:paraId="5A1C78E4" w14:textId="77777777" w:rsidR="001D6FFE" w:rsidRDefault="00E40155">
      <w:pPr>
        <w:pStyle w:val="Alinea"/>
        <w:spacing w:after="0"/>
      </w:pPr>
      <w:r>
        <w:t>Framkvæmdastjórninni er veitt vald til að bæta við þessa reglugerð með því að samþykkja tæknilegu eftirlitsstaðlana sem um getur í þessari grein, í samræmi við 10.–14. gr. reglugerðar (ESB) nr. 1093/2010.</w:t>
      </w:r>
      <w:r>
        <w:br w:type="page"/>
      </w:r>
    </w:p>
    <w:p w14:paraId="11569DCB" w14:textId="77777777" w:rsidR="001D6FFE" w:rsidRDefault="00E40155">
      <w:pPr>
        <w:pStyle w:val="DivisionTI1"/>
        <w:spacing w:line="200" w:lineRule="exact"/>
      </w:pPr>
      <w:r>
        <w:t>ÁTTUNDI HLUTI</w:t>
      </w:r>
    </w:p>
    <w:p w14:paraId="42F03BDA" w14:textId="77777777" w:rsidR="001D6FFE" w:rsidRDefault="00E40155">
      <w:pPr>
        <w:pStyle w:val="DivisionSTI1"/>
        <w:spacing w:after="300" w:line="200" w:lineRule="exact"/>
        <w:rPr>
          <w:sz w:val="16"/>
        </w:rPr>
      </w:pPr>
      <w:r>
        <w:rPr>
          <w:b/>
          <w:sz w:val="16"/>
        </w:rPr>
        <w:t>FRAMSELDAR GERÐIR</w:t>
      </w:r>
    </w:p>
    <w:p w14:paraId="15350280" w14:textId="77777777" w:rsidR="001D6FFE" w:rsidRDefault="00E40155">
      <w:pPr>
        <w:pStyle w:val="TIART"/>
        <w:spacing w:after="120"/>
      </w:pPr>
      <w:r>
        <w:t>56. gr.</w:t>
      </w:r>
    </w:p>
    <w:p w14:paraId="2DAD95FC" w14:textId="77777777" w:rsidR="001D6FFE" w:rsidRDefault="00E40155">
      <w:pPr>
        <w:pStyle w:val="STIART"/>
        <w:spacing w:after="120"/>
      </w:pPr>
      <w:r>
        <w:t>Beiting framsals</w:t>
      </w:r>
    </w:p>
    <w:p w14:paraId="775FA1D6" w14:textId="77777777" w:rsidR="001D6FFE" w:rsidRDefault="00E40155">
      <w:pPr>
        <w:pStyle w:val="AlineaWithParag"/>
      </w:pPr>
      <w:r>
        <w:t>1.</w:t>
      </w:r>
      <w:r>
        <w:tab/>
      </w:r>
      <w:r>
        <w:t>Framkvæmdastjórninni er falið vald til að samþykkja framseldar gerðir, að uppfylltum þeim skilyrðum sem mælt er fyrir um í þessari grein.</w:t>
      </w:r>
    </w:p>
    <w:p w14:paraId="2AD07EE9" w14:textId="77777777" w:rsidR="001D6FFE" w:rsidRDefault="00E40155">
      <w:pPr>
        <w:pStyle w:val="AlineaWithParag"/>
      </w:pPr>
      <w:r>
        <w:t>2.</w:t>
      </w:r>
      <w:r>
        <w:tab/>
        <w:t>Framkvæmdastjórninni skal falið vald til að samþykkja framseldu gerðirnar, sem um getur í 2. mgr. 4. gr., til fimm ára frá 25. desember 2019.</w:t>
      </w:r>
    </w:p>
    <w:p w14:paraId="1BA18757" w14:textId="77777777" w:rsidR="001D6FFE" w:rsidRDefault="00E40155">
      <w:pPr>
        <w:pStyle w:val="AlineaWithParag"/>
      </w:pPr>
      <w:r>
        <w:t>3.</w:t>
      </w:r>
      <w:r>
        <w:tab/>
        <w:t xml:space="preserve">Evrópuþinginu eða ráðinu er hvenær sem er heimilt að afturkalla valdaframsalið sem um getur í 2. mgr. 4. gr. Með ákvörðun um afturköllun skal binda enda á valdaframsalið sem tilgreint er í þeirri ákvörðun. Ákvörðunin öðlast gildi daginn eftir að hún birtist í </w:t>
      </w:r>
      <w:r>
        <w:rPr>
          <w:i/>
          <w:iCs/>
        </w:rPr>
        <w:t>Stjórnartíðindum Evrópusambandsins</w:t>
      </w:r>
      <w:r>
        <w:t xml:space="preserve"> eða síðar, eftir því sem tilgreint er í henni. Hún skal ekki hafa áhrif á gildi neinna framseldra gerða sem þegar eru í gildi.</w:t>
      </w:r>
    </w:p>
    <w:p w14:paraId="1ED1CE27" w14:textId="77777777" w:rsidR="001D6FFE" w:rsidRDefault="00E40155">
      <w:pPr>
        <w:pStyle w:val="AlineaWithParag"/>
      </w:pPr>
      <w:r>
        <w:t>4.</w:t>
      </w:r>
      <w:r>
        <w:tab/>
        <w:t>Áður en framseld gerð er samþykkt skal framkvæmdastjórnin hafa samráð við sérfræðinga sem hvert aðildarríki hefur tilnefnt í samræmi við meginreglurnar sem mælt er fyrir um í samstarfssamningnum milli stofnana um betri lagasetningu frá 13. apríl 2016.</w:t>
      </w:r>
    </w:p>
    <w:p w14:paraId="71DE74D3" w14:textId="77777777" w:rsidR="001D6FFE" w:rsidRDefault="00E40155">
      <w:pPr>
        <w:pStyle w:val="AlineaWithParag"/>
      </w:pPr>
      <w:r>
        <w:t>5.</w:t>
      </w:r>
      <w:r>
        <w:tab/>
        <w:t>Um leið og framkvæmdastjórnin samþykkir framselda gerð skal hún samtímis tilkynna það Evrópuþinginu og ráðinu.</w:t>
      </w:r>
    </w:p>
    <w:p w14:paraId="7E34A781" w14:textId="77777777" w:rsidR="001D6FFE" w:rsidRDefault="00E40155">
      <w:pPr>
        <w:pStyle w:val="AlineaWithParag"/>
      </w:pPr>
      <w:r>
        <w:t>6.</w:t>
      </w:r>
      <w:r>
        <w:tab/>
        <w:t>Framseld gerð, sem er samþykkt skv. 2. mgr. 4. gr., skal því aðeins öðlast gildi að Evrópuþingið eða ráðið hafi ekki haft uppi nein andmæli innan tveggja mánaða frá tilkynningu um gerðina til Evrópuþingsins og ráðsins eða ef bæði Evrópuþingið og ráðið hafa upplýst framkvæmdastjórnina, áður en fresturinn er liðinn, um þá fyrirætlan sína að hreyfa ekki andmælum. Þessi frestur skal framlengdur um tvo mánuði að frumkvæði Evrópuþingsins eða ráðsins.</w:t>
      </w:r>
    </w:p>
    <w:p w14:paraId="450AEC96" w14:textId="77777777" w:rsidR="001D6FFE" w:rsidRDefault="00E40155">
      <w:pPr>
        <w:pStyle w:val="DivisionTI1"/>
        <w:spacing w:line="200" w:lineRule="exact"/>
        <w:rPr>
          <w:szCs w:val="16"/>
        </w:rPr>
      </w:pPr>
      <w:r>
        <w:t>NÍUNDI HLUTI</w:t>
      </w:r>
    </w:p>
    <w:p w14:paraId="4F22FF8C" w14:textId="77777777" w:rsidR="001D6FFE" w:rsidRDefault="00E40155">
      <w:pPr>
        <w:pStyle w:val="DivisionSTI1"/>
        <w:spacing w:after="300" w:line="200" w:lineRule="exact"/>
        <w:rPr>
          <w:sz w:val="16"/>
          <w:szCs w:val="16"/>
        </w:rPr>
      </w:pPr>
      <w:r>
        <w:rPr>
          <w:b/>
          <w:sz w:val="16"/>
        </w:rPr>
        <w:t>UMBREYTINGARÁKVÆÐI, SKÝRSLUR, ENDURSKOÐANIR OG BREYTINGAR</w:t>
      </w:r>
    </w:p>
    <w:p w14:paraId="0CB27B86" w14:textId="77777777" w:rsidR="001D6FFE" w:rsidRDefault="00E40155">
      <w:pPr>
        <w:pStyle w:val="DivisionTI2"/>
        <w:spacing w:line="200" w:lineRule="exact"/>
        <w:rPr>
          <w:sz w:val="16"/>
          <w:szCs w:val="16"/>
        </w:rPr>
      </w:pPr>
      <w:r>
        <w:rPr>
          <w:sz w:val="16"/>
        </w:rPr>
        <w:t>I. BÁLKUR</w:t>
      </w:r>
    </w:p>
    <w:p w14:paraId="3639791B" w14:textId="77777777" w:rsidR="001D6FFE" w:rsidRDefault="00E40155">
      <w:pPr>
        <w:pStyle w:val="DivisionSTI2"/>
        <w:spacing w:after="300" w:line="200" w:lineRule="exact"/>
        <w:rPr>
          <w:sz w:val="16"/>
          <w:szCs w:val="16"/>
        </w:rPr>
      </w:pPr>
      <w:r>
        <w:rPr>
          <w:b/>
          <w:sz w:val="16"/>
        </w:rPr>
        <w:t>UMBREYTINGARÁKVÆÐI</w:t>
      </w:r>
    </w:p>
    <w:p w14:paraId="55E7C7D7" w14:textId="77777777" w:rsidR="001D6FFE" w:rsidRDefault="00E40155">
      <w:pPr>
        <w:pStyle w:val="TIART"/>
        <w:spacing w:after="120"/>
      </w:pPr>
      <w:r>
        <w:t>57. gr.</w:t>
      </w:r>
    </w:p>
    <w:p w14:paraId="37EA6470" w14:textId="77777777" w:rsidR="001D6FFE" w:rsidRDefault="00E40155">
      <w:pPr>
        <w:pStyle w:val="STIART"/>
        <w:spacing w:after="120"/>
      </w:pPr>
      <w:r>
        <w:t>Umbreytingarákvæði</w:t>
      </w:r>
    </w:p>
    <w:p w14:paraId="361BF4A7" w14:textId="77777777" w:rsidR="001D6FFE" w:rsidRDefault="00E40155">
      <w:pPr>
        <w:pStyle w:val="AlineaWithParag"/>
      </w:pPr>
      <w:r>
        <w:t>1.</w:t>
      </w:r>
      <w:r>
        <w:tab/>
      </w:r>
      <w:r>
        <w:t>Ákvæði 43. til 51. gr. skulu gilda um miðlara hrávöru og losunarheimilda frá 26. júní 2026.</w:t>
      </w:r>
    </w:p>
    <w:p w14:paraId="69858DF2" w14:textId="77777777" w:rsidR="001D6FFE" w:rsidRDefault="00E40155">
      <w:pPr>
        <w:pStyle w:val="AlineaWithParag"/>
      </w:pPr>
      <w:r>
        <w:t>2.</w:t>
      </w:r>
      <w:r>
        <w:tab/>
        <w:t>Þar til 26. júní 2026 eða fram að deginum þegar óhefðbundna staðalaðferðin sem sett er fram í 1. kafla a IV. bálki þriðja hluta reglugerðar (ESB) nr. 575/2013 og óhefðbundna eiginlíkansaðferðin sem sett er fram í 1. kafla b IV. bálki þriðja hluta reglugerðar (ESB) nr. 575/2013 koma til framkvæmda gagnvart lánastofnunum, hvort sem er síðar, skal verðbréfafyrirtæki beita þeim kröfum sem settar eru fram í IV. bálki þriðja hluta reglugerðar (ESB) nr. 575/2013 eins og henni var breytt með reglugerð (ESB) 2019/6</w:t>
      </w:r>
      <w:r>
        <w:t>30 í þeim tilgangi að reikna út K-NPR.</w:t>
      </w:r>
    </w:p>
    <w:p w14:paraId="43A3709A" w14:textId="77777777" w:rsidR="001D6FFE" w:rsidRDefault="00E40155">
      <w:pPr>
        <w:pStyle w:val="AlineaWithParag"/>
      </w:pPr>
      <w:r>
        <w:t>3.</w:t>
      </w:r>
      <w:r>
        <w:tab/>
        <w:t>Þrátt fyrir a- og c-lið 1. mgr. 11. gr. geta verðbréfafyrirtæki beitt lægri kröfum um eiginfjárgrunn í fimm ár frá 26. júní 2021, sem nema:</w:t>
      </w:r>
    </w:p>
    <w:p w14:paraId="7023AF2A" w14:textId="77777777" w:rsidR="001D6FFE" w:rsidRDefault="00E40155">
      <w:pPr>
        <w:pStyle w:val="NumberedText"/>
        <w:spacing w:after="0"/>
        <w:ind w:left="300" w:hanging="300"/>
      </w:pPr>
      <w:r>
        <w:t>a)</w:t>
      </w:r>
      <w:r>
        <w:tab/>
        <w:t>tvöfaldri viðeigandi kröfu um eiginfjárgrunn, skv. 1.kafla I. bálks þriðja hluta reglugerðar (ESB) nr. 575/2013, með fyrirvara um 1. mgr. 93. gr. þeirrar reglugerðar, með hliðsjón af stofnfjárstigi sem sett er fram í IV. bálki tilskipunar 2013/36/ESB, eins og henni var breytt með tilskipun (ESB) 2019/878, sem hefði átt við ef verðbréfafyrirtækið hefði fallið áfram undir kröfur um eiginfjárgrunn í þeirri reglugerð eins og henni var breytt með reglugerð (ESB) 2019/630, eða</w:t>
      </w:r>
      <w:r>
        <w:br w:type="page"/>
      </w:r>
    </w:p>
    <w:p w14:paraId="2403DBB1" w14:textId="77777777" w:rsidR="001D6FFE" w:rsidRDefault="00E40155">
      <w:pPr>
        <w:pStyle w:val="NumberedText"/>
        <w:ind w:left="300" w:hanging="300"/>
      </w:pPr>
      <w:r>
        <w:t>b)</w:t>
      </w:r>
      <w:r>
        <w:tab/>
        <w:t>tvöfaldri viðeigandi kröfu um fastan kostnað sem sett er fram í 13. gr. þessarar reglugerðar ef verðbréfafyrirtækið var ekki til 26. júní 2021 eða fyrr.</w:t>
      </w:r>
    </w:p>
    <w:p w14:paraId="430FCB79" w14:textId="77777777" w:rsidR="001D6FFE" w:rsidRDefault="00E40155">
      <w:pPr>
        <w:pStyle w:val="AlineaWithParag"/>
      </w:pPr>
      <w:r>
        <w:t>4.</w:t>
      </w:r>
      <w:r>
        <w:tab/>
        <w:t>Þrátt fyrir b-lið 1. mgr. 11. gr. geta verðbréfafyrirtæki beitt lægri kröfum um eiginfjárgrunn í fimm ár frá 26. júní 2021, sem hér segir:</w:t>
      </w:r>
    </w:p>
    <w:p w14:paraId="4FFDC74F" w14:textId="77777777" w:rsidR="001D6FFE" w:rsidRDefault="00E40155">
      <w:pPr>
        <w:pStyle w:val="NumberedText"/>
        <w:ind w:left="300" w:hanging="300"/>
      </w:pPr>
      <w:r>
        <w:t>a)</w:t>
      </w:r>
      <w:r>
        <w:tab/>
        <w:t>verðbréfafyrirtæki sem féllu aðeins undir kröfur um stofnfé fyrir 26. júní 2021 mega takmarka kröfur sína um eiginfjárgrunn við tvöfalda gildandi kröfu um stofnfé sem sett er fram í IV. bálki tilskipunar 2013/36/ESB, eins og henni var breytt með tilskipun (ESB) 2019/878, að undanskildum annars vegar b- og c-lið 1. mgr. 31. gr. og hins vegar 2. mgr. 31. gr. þeirrar tilskipunar,</w:t>
      </w:r>
    </w:p>
    <w:p w14:paraId="55D4002F" w14:textId="77777777" w:rsidR="001D6FFE" w:rsidRDefault="00E40155">
      <w:pPr>
        <w:pStyle w:val="NumberedText"/>
        <w:ind w:left="300" w:hanging="300"/>
      </w:pPr>
      <w:r>
        <w:t>b)</w:t>
      </w:r>
      <w:r>
        <w:tab/>
        <w:t xml:space="preserve">verðbréfafyrirtæki sem komið var á laggirnar fyrir 26. júní 2021 geta takmarkað kröfur sínar um varanlegt lágmarksfjármagn við þær sem kveðið er á um í 1. mgr. 93. gr. reglugerðar (ESB) nr. 575/2013, eins og henni var breytt með reglugerð (ESB) 2019/876, með hliðsjón af stofnfjárstigi sem sett er í IV. bálki tilskipunar 2013/36/ESB, eins og henni var breytt með tilskipun (ESB) 2019/878, sem hefði átt við ef verðbréfafyrirtækið hefði áfram fallið undir þá reglugerð, með fyrirvara um árlega hækkun á fjárhæð </w:t>
      </w:r>
      <w:r>
        <w:t>þeirra krafna um að lágmarki 5 000 evrur á því fimm ára tímabili,</w:t>
      </w:r>
    </w:p>
    <w:p w14:paraId="4117E6C9" w14:textId="77777777" w:rsidR="001D6FFE" w:rsidRDefault="00E40155">
      <w:pPr>
        <w:pStyle w:val="NumberedText"/>
        <w:ind w:left="300" w:hanging="300"/>
      </w:pPr>
      <w:r>
        <w:t>c)</w:t>
      </w:r>
      <w:r>
        <w:tab/>
        <w:t>verðbréfafyrirtæki sem komið var á laggirnar fyrir 26. júní 2021, sem ekki hafa starfsleyfi til að veita viðbótarþjónustuna er um getur í 1. lið þáttar B I. viðauka tilskipunar 2014/65/EB, og sem einungis sinna einum eða fleiri þáttum þeirrar fjárfestingarþjónustu og -starfsemi sem skráð er í 1., 2., 4. og 5. lið þáttar A I. viðauka þeirrar tilskipunar, og ekki er heimilt að halda peningum eða verðbréfum viðskiptavina sinna og mega því aldrei stofna til skulda við þá viðskiptavini, geta takmarkað kröfu sín</w:t>
      </w:r>
      <w:r>
        <w:t>a um varanlegt lágmarksfjármagn við að lágmarki 50 000 evrur, með fyrirvara um árlega hækkun um að lágmarki 5 000 evrur á því fimm ára tímabili.</w:t>
      </w:r>
    </w:p>
    <w:p w14:paraId="4CFD9372" w14:textId="77777777" w:rsidR="001D6FFE" w:rsidRDefault="00E40155">
      <w:pPr>
        <w:pStyle w:val="AlineaWithParag"/>
      </w:pPr>
      <w:r>
        <w:t>5.</w:t>
      </w:r>
      <w:r>
        <w:tab/>
        <w:t>Undanþágurnar sem settar eru fram í 4. mgr. skulu falla úr gildi ef verðbréfafyrirtæki fær starfsleyfi sitt framlengt á eða eftir 26. júní 2021 þannig að krafist sé hærri stofnfjárhæðar í samræmi við 9. gr. tilskipunar (ESB) 2019/2034.</w:t>
      </w:r>
    </w:p>
    <w:p w14:paraId="370E61DE" w14:textId="77777777" w:rsidR="001D6FFE" w:rsidRDefault="00E40155">
      <w:pPr>
        <w:pStyle w:val="AlineaWithParag"/>
      </w:pPr>
      <w:r>
        <w:t>6.</w:t>
      </w:r>
      <w:r>
        <w:tab/>
        <w:t>Þrátt fyrir 11. gr. geta verðbréfafyrirtæki sem sett voru á laggirnar fyrir 25. desember 2019 og sem eiga viðskipti fyrir eigin reikning á mörkuðum með staðlaða, framvirka samninga eða valrétti eða aðrar afleiður og á lausafjármörkuðum í þeim eina tilgangi að verja stöður á afleiðumörkuðum eða eiga viðskipti fyrir reikning annarra aðila að þeim mörkuðum og eru tryggðir af stöðustofnunaraðilum sömu markaða, ef ábyrgð á að tryggja efndir samninga sem slík verðbréfafyrirtæki gera er á hendi stöðustofnunaraðil</w:t>
      </w:r>
      <w:r>
        <w:t>a sömu markaða, takmarkað kröfur sínar um eiginfjárgrunn í fimm ár frá 26. júní 2021 við að lágmarki 250 000 evrur, með fyrirvara um árlega hækkun um að lágmarki 100 000 evrur á því fimm ára tímabili.</w:t>
      </w:r>
    </w:p>
    <w:p w14:paraId="3DCD593D" w14:textId="77777777" w:rsidR="001D6FFE" w:rsidRDefault="00E40155">
      <w:pPr>
        <w:pStyle w:val="Alinea"/>
      </w:pPr>
      <w:r>
        <w:t>Án tillits til þess hvort verðbréfafyrirtæki sem um getur í þessar málsgrein nýtir sér undanþáguna sem um getur í fyrstu undirgrein skal a-liður 4. mgr. ekki gilda um slíkt verðbréfafyrirtæki.</w:t>
      </w:r>
    </w:p>
    <w:p w14:paraId="09E55FF7" w14:textId="77777777" w:rsidR="001D6FFE" w:rsidRDefault="00E40155">
      <w:pPr>
        <w:pStyle w:val="TIART"/>
      </w:pPr>
      <w:r>
        <w:t>58. gr.</w:t>
      </w:r>
    </w:p>
    <w:p w14:paraId="3F9F424C" w14:textId="77777777" w:rsidR="001D6FFE" w:rsidRDefault="00E40155">
      <w:pPr>
        <w:pStyle w:val="STIART"/>
      </w:pPr>
      <w:r>
        <w:t>Undanþága fyrir fyrirtæki sem um getur í b-lið 1. liðar 1. mgr. 4. gr. reglugerðar (ESB) nr. 575/2013</w:t>
      </w:r>
    </w:p>
    <w:p w14:paraId="5BBF46F5" w14:textId="77777777" w:rsidR="001D6FFE" w:rsidRDefault="00E40155">
      <w:pPr>
        <w:pStyle w:val="Alinea"/>
      </w:pPr>
      <w:r>
        <w:t>Verðbréfafyrirtæki sem 25. desember 2019 uppfylla skilyrðin í b-lið 1. liðar 1. mgr. 4. gr. reglugerðar (ESB) nr. 575/2013 og hafa ekki enn hlotið starfsleyfi sem lánastofnanir í samræmi við 8. gr. tilskipunar 2013/36/ESB skulu áfram falla undir reglugerð (ESB) nr. 575/2013 og tilskipun 2013/36/ESB.</w:t>
      </w:r>
    </w:p>
    <w:p w14:paraId="54120DAE" w14:textId="77777777" w:rsidR="001D6FFE" w:rsidRDefault="00E40155">
      <w:pPr>
        <w:pStyle w:val="TIART"/>
      </w:pPr>
      <w:r>
        <w:t>59. gr.</w:t>
      </w:r>
    </w:p>
    <w:p w14:paraId="53A39C88" w14:textId="77777777" w:rsidR="001D6FFE" w:rsidRDefault="00E40155">
      <w:pPr>
        <w:pStyle w:val="STIART"/>
      </w:pPr>
      <w:r>
        <w:t>Undanþága fyrir verðbréfafyrirtæki sem um getur í 2. mgr. 1. gr.</w:t>
      </w:r>
    </w:p>
    <w:p w14:paraId="46B902D2" w14:textId="77777777" w:rsidR="001D6FFE" w:rsidRDefault="00E40155">
      <w:pPr>
        <w:pStyle w:val="Alinea"/>
        <w:spacing w:after="0"/>
      </w:pPr>
      <w:r>
        <w:t>Verðbréfafyrirtæki sem 25. desember 2019 uppfylla skilyrðin sem sett eru í 2. mgr. 1. gr. þessarar reglugerðar skulu áfram falla undir reglugerð (ESB) nr. 575/2013 og tilskipun 2013/36/ESB.</w:t>
      </w:r>
      <w:r>
        <w:br w:type="page"/>
      </w:r>
    </w:p>
    <w:p w14:paraId="42ADFDF8" w14:textId="77777777" w:rsidR="001D6FFE" w:rsidRDefault="00E40155">
      <w:pPr>
        <w:pStyle w:val="DivisionTI2"/>
        <w:spacing w:after="120" w:line="200" w:lineRule="exact"/>
        <w:rPr>
          <w:sz w:val="16"/>
        </w:rPr>
      </w:pPr>
      <w:r>
        <w:rPr>
          <w:sz w:val="16"/>
        </w:rPr>
        <w:t>II. BÁLKUR</w:t>
      </w:r>
    </w:p>
    <w:p w14:paraId="27F4D81B" w14:textId="77777777" w:rsidR="001D6FFE" w:rsidRDefault="00E40155">
      <w:pPr>
        <w:pStyle w:val="DivisionSTI2"/>
        <w:spacing w:after="300" w:line="200" w:lineRule="exact"/>
        <w:rPr>
          <w:sz w:val="16"/>
        </w:rPr>
      </w:pPr>
      <w:r>
        <w:rPr>
          <w:b/>
          <w:sz w:val="16"/>
        </w:rPr>
        <w:t>SKÝRSLUR OG ENDURSKOÐUN</w:t>
      </w:r>
    </w:p>
    <w:p w14:paraId="77134272" w14:textId="77777777" w:rsidR="001D6FFE" w:rsidRDefault="00E40155">
      <w:pPr>
        <w:pStyle w:val="TIART"/>
        <w:spacing w:after="120"/>
      </w:pPr>
      <w:r>
        <w:t>60. gr.</w:t>
      </w:r>
    </w:p>
    <w:p w14:paraId="38E909EC" w14:textId="77777777" w:rsidR="001D6FFE" w:rsidRDefault="00E40155">
      <w:pPr>
        <w:pStyle w:val="STIART"/>
        <w:spacing w:after="120"/>
      </w:pPr>
      <w:r>
        <w:t>Endurskoðunarákvæði</w:t>
      </w:r>
    </w:p>
    <w:p w14:paraId="5F2E7BF9" w14:textId="77777777" w:rsidR="001D6FFE" w:rsidRDefault="00E40155">
      <w:pPr>
        <w:pStyle w:val="AlineaWithParag"/>
      </w:pPr>
      <w:r>
        <w:t>1.</w:t>
      </w:r>
      <w:r>
        <w:tab/>
      </w:r>
      <w:r>
        <w:t>Fyrir 26. júní 2024 skal framkvæmdastjórnin, að höfðu samráði við Evrópsku bankaeftirlitsstofnunina og Evrópsku verðbréfamarkaðseftirlitsstofnunina, gera úttekt og leggja skýrslu fyrir Evrópuþingið og ráðið, ásamt tillögum að nýrri löggjöf, ef við á, a.m.k. um:</w:t>
      </w:r>
    </w:p>
    <w:p w14:paraId="1556E61D" w14:textId="77777777" w:rsidR="001D6FFE" w:rsidRDefault="00E40155">
      <w:pPr>
        <w:pStyle w:val="NumberedText"/>
        <w:ind w:left="343" w:hanging="343"/>
      </w:pPr>
      <w:r>
        <w:t>a)</w:t>
      </w:r>
      <w:r>
        <w:tab/>
        <w:t>skilyrðin fyrir verðbréfafyrirtæki til að teljast lítil og ótengd verðbréfafyrirtæki í samræmi við 12. gr.,</w:t>
      </w:r>
    </w:p>
    <w:p w14:paraId="41C6942B" w14:textId="77777777" w:rsidR="001D6FFE" w:rsidRDefault="00E40155">
      <w:pPr>
        <w:pStyle w:val="NumberedText"/>
        <w:ind w:left="343" w:hanging="343"/>
      </w:pPr>
      <w:r>
        <w:t>b)</w:t>
      </w:r>
      <w:r>
        <w:tab/>
        <w:t>aðferðirnar við að mæla K-þættina í II. bálki þriðja hluta, þ.m.t. fjárfestingarráðgjöf í tengslum við AUM, og í 39. gr.,</w:t>
      </w:r>
    </w:p>
    <w:p w14:paraId="7A2F00D9" w14:textId="77777777" w:rsidR="001D6FFE" w:rsidRDefault="00E40155">
      <w:pPr>
        <w:pStyle w:val="NumberedText"/>
        <w:ind w:left="343" w:hanging="343"/>
      </w:pPr>
      <w:r>
        <w:t>c)</w:t>
      </w:r>
      <w:r>
        <w:tab/>
        <w:t>reiknistuðlana sem um getur í 2. mgr. 15. gr.,</w:t>
      </w:r>
    </w:p>
    <w:p w14:paraId="78406CC1" w14:textId="77777777" w:rsidR="001D6FFE" w:rsidRDefault="00E40155">
      <w:pPr>
        <w:pStyle w:val="NumberedText"/>
        <w:ind w:left="343" w:hanging="343"/>
      </w:pPr>
      <w:r>
        <w:t>d)</w:t>
      </w:r>
      <w:r>
        <w:tab/>
        <w:t>aðferðina sem notuð er til að reikna út K-CMG, fjárhæð krafna um eiginfjárgrunn sem leiðir af K-CMG í samanburði við K-NPR og kvörðun margföldunarstuðulsins sem settur er fram í 23. gr.,</w:t>
      </w:r>
    </w:p>
    <w:p w14:paraId="5A9925EB" w14:textId="77777777" w:rsidR="001D6FFE" w:rsidRDefault="00E40155">
      <w:pPr>
        <w:pStyle w:val="NumberedText"/>
        <w:ind w:left="343" w:hanging="343"/>
      </w:pPr>
      <w:r>
        <w:t>e)</w:t>
      </w:r>
      <w:r>
        <w:tab/>
      </w:r>
      <w:r>
        <w:t>ákvæðin í 43., 44. og 45. gr. og einkum skilyrði um hæfi lausafjáreigna skv. a-, b- og c-lið 1. mgr. 43. gr.,</w:t>
      </w:r>
    </w:p>
    <w:p w14:paraId="40508150" w14:textId="77777777" w:rsidR="001D6FFE" w:rsidRDefault="00E40155">
      <w:pPr>
        <w:pStyle w:val="NumberedText"/>
        <w:ind w:left="343" w:hanging="343"/>
      </w:pPr>
      <w:r>
        <w:t>f)</w:t>
      </w:r>
      <w:r>
        <w:tab/>
        <w:t>ákvæðin í 1. þætti 4. kafla II. bálki í þriðja hluta,</w:t>
      </w:r>
    </w:p>
    <w:p w14:paraId="6B7DA4D7" w14:textId="77777777" w:rsidR="001D6FFE" w:rsidRDefault="00E40155">
      <w:pPr>
        <w:pStyle w:val="NumberedText"/>
        <w:ind w:left="343" w:hanging="343"/>
      </w:pPr>
      <w:r>
        <w:t>g)</w:t>
      </w:r>
      <w:r>
        <w:tab/>
        <w:t>beitinguna á þriðja hluta á miðlara hrávöru og losunarheimilda,</w:t>
      </w:r>
    </w:p>
    <w:p w14:paraId="4E29B095" w14:textId="77777777" w:rsidR="001D6FFE" w:rsidRDefault="00E40155">
      <w:pPr>
        <w:pStyle w:val="NumberedText"/>
        <w:ind w:left="343" w:hanging="343"/>
      </w:pPr>
      <w:r>
        <w:t>h)</w:t>
      </w:r>
      <w:r>
        <w:tab/>
        <w:t>breytinguna á skilgreiningu lánastofnunar í reglugerð (ESB) nr. 575/2013 sem leiðir af a-lið 3. mgr. 62. gr. þessarar reglugerðar og mögulegra ótilætlaðra neikvæðra afleiðinga,</w:t>
      </w:r>
    </w:p>
    <w:p w14:paraId="3068344C" w14:textId="77777777" w:rsidR="001D6FFE" w:rsidRDefault="00E40155">
      <w:pPr>
        <w:pStyle w:val="NumberedText"/>
        <w:ind w:left="343" w:hanging="343"/>
      </w:pPr>
      <w:r>
        <w:t>i)</w:t>
      </w:r>
      <w:r>
        <w:tab/>
        <w:t>ákvæðin sem sett eru fram í 47. og 48. gr. reglugerðar (ESB) nr. 600/2014 og aðlögun þeirra að samræmdum ramma um jafngildi í fjármálaþjónustu,</w:t>
      </w:r>
    </w:p>
    <w:p w14:paraId="28AB1E3A" w14:textId="77777777" w:rsidR="001D6FFE" w:rsidRDefault="00E40155">
      <w:pPr>
        <w:pStyle w:val="NumberedText"/>
        <w:ind w:left="343" w:hanging="343"/>
      </w:pPr>
      <w:r>
        <w:t>j)</w:t>
      </w:r>
      <w:r>
        <w:tab/>
        <w:t>viðmiðunarmörkin sem sett eru fram í 1. mgr. 12. gr.,</w:t>
      </w:r>
    </w:p>
    <w:p w14:paraId="47B37003" w14:textId="77777777" w:rsidR="001D6FFE" w:rsidRDefault="00E40155">
      <w:pPr>
        <w:pStyle w:val="NumberedText"/>
        <w:ind w:left="343" w:hanging="343"/>
      </w:pPr>
      <w:r>
        <w:t>k)</w:t>
      </w:r>
      <w:r>
        <w:tab/>
        <w:t>beitinguna á stöðlunum í 1. kafla a og 1. kafla b IV. bálks þriðja hluta reglugerðar (ESB) nr. 575/2013 á verðbréfafyrirtæki,</w:t>
      </w:r>
    </w:p>
    <w:p w14:paraId="49DCEDDE" w14:textId="77777777" w:rsidR="001D6FFE" w:rsidRDefault="00E40155">
      <w:pPr>
        <w:pStyle w:val="NumberedText"/>
        <w:ind w:left="343" w:hanging="343"/>
      </w:pPr>
      <w:r>
        <w:t>l)</w:t>
      </w:r>
      <w:r>
        <w:tab/>
        <w:t>aðferðina við að mæla virði afleiðu í b-lið 2. mgr. 20. gr. og b-lið 2. mgr. 33. gr. og hversu viðeigandi það er að taka upp aðra mælistiku og/eða kvörðun,</w:t>
      </w:r>
    </w:p>
    <w:p w14:paraId="3B9E4221" w14:textId="77777777" w:rsidR="001D6FFE" w:rsidRDefault="00E40155">
      <w:pPr>
        <w:pStyle w:val="NumberedText"/>
        <w:ind w:left="343" w:hanging="343"/>
      </w:pPr>
      <w:r>
        <w:t>m)</w:t>
      </w:r>
      <w:r>
        <w:tab/>
        <w:t>ákvæðin í öðrum hluta, einkum varðandi heimildina um að fleiri gerningar eða fjármagn verði hæf sem eiginfjárgrunnur skv. 4. mgr. 9. gr. og möguleikann á að veita slíka heimild verðbréfafyrirtækjum sem uppfylla skilyrðin til að teljast lítil og ótengd verðbréfafyrirtæki sem sett eru fram í 1. mgr. 12. gr.,</w:t>
      </w:r>
    </w:p>
    <w:p w14:paraId="415BB5B8" w14:textId="77777777" w:rsidR="001D6FFE" w:rsidRDefault="00E40155">
      <w:pPr>
        <w:pStyle w:val="NumberedText"/>
        <w:ind w:left="343" w:hanging="343"/>
      </w:pPr>
      <w:r>
        <w:t>n)</w:t>
      </w:r>
      <w:r>
        <w:tab/>
        <w:t>skilyrðin fyrir verðbréfafyrirtæki til að beita kröfum reglugerðar (ESB) 575/2013 í samræmi við 2. mgr. 1. gr. þessarar reglugerðar,</w:t>
      </w:r>
    </w:p>
    <w:p w14:paraId="7657237D" w14:textId="77777777" w:rsidR="001D6FFE" w:rsidRDefault="00E40155">
      <w:pPr>
        <w:pStyle w:val="NumberedText"/>
        <w:ind w:left="343" w:hanging="343"/>
      </w:pPr>
      <w:r>
        <w:t>o)</w:t>
      </w:r>
      <w:r>
        <w:tab/>
        <w:t>ákvæðið sem sett er fram í 5. mgr. 1. gr.,</w:t>
      </w:r>
    </w:p>
    <w:p w14:paraId="07F975D7" w14:textId="77777777" w:rsidR="001D6FFE" w:rsidRDefault="00E40155">
      <w:pPr>
        <w:pStyle w:val="NumberedText"/>
        <w:ind w:left="343" w:hanging="343"/>
      </w:pPr>
      <w:r>
        <w:t>p)</w:t>
      </w:r>
      <w:r>
        <w:tab/>
        <w:t>gildi beitingarinnar á birtingarkröfunum sem settar eru fram í 52. gr. þessarar reglugerðar fyrir aðra geira, þ.m.t. verðbréfafyrirtæki sem um getur í 2. og 5. mgr. 1. gr. þessarar reglugerðar og lánastofnanir eins og skilgreindar eru í 1. lið 1. mgr. 4. gr. reglugerðar (ESB) nr. 575/2013.</w:t>
      </w:r>
    </w:p>
    <w:p w14:paraId="082A5D4D" w14:textId="77777777" w:rsidR="001D6FFE" w:rsidRDefault="00E40155">
      <w:pPr>
        <w:pStyle w:val="AlineaWithParag"/>
        <w:spacing w:after="0"/>
      </w:pPr>
      <w:r>
        <w:t>2.</w:t>
      </w:r>
      <w:r>
        <w:tab/>
        <w:t>Eigi síðar en 31. desember 2021 skal framkvæmdastjórnin leggja fyrir Evrópuþingið og ráðið skýrslu um hvað tilfanga verður þörf fyrir vegna nýrra valdheimilda og skyldna Evrópsku verðbréfamarkaðseftirlitsstofnunarinnar, í samræmi við 64. gr. þessarar reglugerðar, þ.m.t. um möguleika Evrópsku verðbréfamarkaðseftirlitsstofnunarinnar til að leggja skráningargjald á fyrirtæki þriðja lands sem Evrópska verðbréfamarkaðseftirlitsstofnunin hefur skráð í samræmi við 2. mgr. 46. gr. reglugerðar (ESB) nr. 600/2014, á</w:t>
      </w:r>
      <w:r>
        <w:t>samt með, ef við á, tillögu að nýrri löggjöf.</w:t>
      </w:r>
      <w:r>
        <w:br w:type="page"/>
      </w:r>
    </w:p>
    <w:p w14:paraId="5C49FC2F" w14:textId="77777777" w:rsidR="001D6FFE" w:rsidRDefault="00E40155">
      <w:pPr>
        <w:pStyle w:val="DivisionTI2"/>
        <w:spacing w:after="120" w:line="200" w:lineRule="exact"/>
        <w:rPr>
          <w:sz w:val="16"/>
          <w:szCs w:val="16"/>
        </w:rPr>
      </w:pPr>
      <w:r>
        <w:rPr>
          <w:sz w:val="16"/>
        </w:rPr>
        <w:t>III. BÁLKUR</w:t>
      </w:r>
    </w:p>
    <w:p w14:paraId="1D5C6D2B" w14:textId="77777777" w:rsidR="001D6FFE" w:rsidRDefault="00E40155">
      <w:pPr>
        <w:pStyle w:val="DivisionSTI2"/>
        <w:spacing w:line="200" w:lineRule="exact"/>
        <w:rPr>
          <w:sz w:val="16"/>
          <w:szCs w:val="16"/>
        </w:rPr>
      </w:pPr>
      <w:r>
        <w:rPr>
          <w:b/>
          <w:sz w:val="16"/>
        </w:rPr>
        <w:t>BREYTINGAR Á ÖÐRUM REGLUGERÐUM</w:t>
      </w:r>
    </w:p>
    <w:p w14:paraId="7DD4D924" w14:textId="77777777" w:rsidR="001D6FFE" w:rsidRDefault="00E40155">
      <w:pPr>
        <w:pStyle w:val="TIART"/>
        <w:spacing w:after="120"/>
      </w:pPr>
      <w:r>
        <w:t>61. gr.</w:t>
      </w:r>
    </w:p>
    <w:p w14:paraId="699B4811" w14:textId="77777777" w:rsidR="001D6FFE" w:rsidRDefault="00E40155">
      <w:pPr>
        <w:pStyle w:val="STIART"/>
        <w:spacing w:after="120"/>
      </w:pPr>
      <w:r>
        <w:t>Breyting á reglugerð (ESB) nr. 1093/2010</w:t>
      </w:r>
    </w:p>
    <w:p w14:paraId="0528961C" w14:textId="77777777" w:rsidR="001D6FFE" w:rsidRDefault="00E40155">
      <w:pPr>
        <w:pStyle w:val="Alinea"/>
      </w:pPr>
      <w:r>
        <w:t>Í 2. lið 4. gr. reglugerðar (ESB) nr. 1093/2010 bætist eftirfarandi liður við:</w:t>
      </w:r>
    </w:p>
    <w:p w14:paraId="01137329" w14:textId="77777777" w:rsidR="001D6FFE" w:rsidRDefault="00E40155">
      <w:pPr>
        <w:pStyle w:val="NumberedText"/>
        <w:spacing w:after="120"/>
        <w:ind w:left="860" w:hanging="560"/>
      </w:pPr>
      <w:r>
        <w:t>„viii.</w:t>
      </w:r>
      <w:r>
        <w:tab/>
      </w:r>
      <w:r>
        <w:t>að því er varðar reglugerð Evrópuþingsins og ráðsins (ESB) 2019/2033 (</w:t>
      </w:r>
      <w:r>
        <w:fldChar w:fldCharType="begin"/>
      </w:r>
      <w:r>
        <w:instrText xml:space="preserve"> REF NOTE_E0028 \h  \* MERGEFORMAT </w:instrText>
      </w:r>
      <w:r>
        <w:fldChar w:fldCharType="separate"/>
      </w:r>
      <w:r>
        <w:t>*</w:t>
      </w:r>
      <w:r>
        <w:fldChar w:fldCharType="end"/>
      </w:r>
      <w:r>
        <w:t>) og tilskipun Evrópuþingsins og ráðsins (ESB) 2019/2034 (</w:t>
      </w:r>
      <w:r>
        <w:fldChar w:fldCharType="begin"/>
      </w:r>
      <w:r>
        <w:instrText xml:space="preserve"> REF NOTE_E0029 \h  \* MERGEFORMAT </w:instrText>
      </w:r>
      <w:r>
        <w:fldChar w:fldCharType="separate"/>
      </w:r>
      <w:r>
        <w:t>**</w:t>
      </w:r>
      <w:r>
        <w:fldChar w:fldCharType="end"/>
      </w:r>
      <w:r>
        <w:t>), lögbær yfirvöld eins og þau eru skilgreind í 5. lið 1. mgr. 3. gr. þeirrar tilskipunar.</w:t>
      </w:r>
    </w:p>
    <w:p w14:paraId="6235AE34" w14:textId="77777777" w:rsidR="001D6FFE" w:rsidRDefault="00E40155">
      <w:pPr>
        <w:pStyle w:val="QuoteFootnoteRule"/>
        <w:pBdr>
          <w:bottom w:val="none" w:sz="0" w:space="0" w:color="auto"/>
        </w:pBdr>
        <w:tabs>
          <w:tab w:val="left" w:pos="1416"/>
        </w:tabs>
        <w:ind w:left="300" w:right="0"/>
        <w:rPr>
          <w:u w:val="single"/>
        </w:rPr>
      </w:pPr>
      <w:r>
        <w:rPr>
          <w:u w:val="single"/>
        </w:rPr>
        <w:tab/>
      </w:r>
    </w:p>
    <w:p w14:paraId="4068F794" w14:textId="77777777" w:rsidR="001D6FFE" w:rsidRDefault="00E40155">
      <w:pPr>
        <w:pStyle w:val="NumberedText"/>
        <w:spacing w:after="0"/>
        <w:ind w:left="700" w:hanging="400"/>
      </w:pPr>
      <w:r>
        <w:t>(</w:t>
      </w:r>
      <w:bookmarkStart w:id="27" w:name="NOTE_E0028"/>
      <w:r>
        <w:t>*</w:t>
      </w:r>
      <w:bookmarkEnd w:id="27"/>
      <w:r>
        <w:t>)</w:t>
      </w:r>
      <w:r>
        <w:tab/>
        <w:t>Reglugerð Evrópuþingsins og ráðsins (ESB) 2019/2033 frá 27. nóvember 2019 um varfærniskröfur fyrir verðbréfafyrirtæki og breytingu á reglugerðum (ESB) nr. 1093/2010, (ESB) nr. 575/2013, (ESB) nr. 600/2014 og (ESB) nr. 806/2014 (Stjtíð. ESB L 314, 5.12.2019, bls. 1).</w:t>
      </w:r>
    </w:p>
    <w:p w14:paraId="15EEC348" w14:textId="77777777" w:rsidR="001D6FFE" w:rsidRDefault="00E40155">
      <w:pPr>
        <w:pStyle w:val="NumberedText"/>
        <w:spacing w:after="300"/>
        <w:ind w:left="700" w:hanging="400"/>
      </w:pPr>
      <w:r>
        <w:t>(</w:t>
      </w:r>
      <w:bookmarkStart w:id="28" w:name="NOTE_E0029"/>
      <w:r>
        <w:t>**</w:t>
      </w:r>
      <w:bookmarkEnd w:id="28"/>
      <w:r>
        <w:t>)</w:t>
      </w:r>
      <w:r>
        <w:tab/>
        <w:t>Tilskipun Evrópuþingsins og ráðsins (ESB) 2019/2034 frá 27. nóvember 2019 um varfærniseftirlit með verðbréfafyrirtækjum og breytingu á tilskipunum 2002/87/EB, 2009/65/EB, 2011/61/ESB, 2013/36/ESB, 2014/59/ESB og 2014/65/ESB (Stjtíð. ESB L 314, 5.12.2019, bls. 64).“</w:t>
      </w:r>
    </w:p>
    <w:p w14:paraId="03C664D2" w14:textId="77777777" w:rsidR="001D6FFE" w:rsidRDefault="00E40155">
      <w:pPr>
        <w:pStyle w:val="TIART"/>
        <w:spacing w:after="120"/>
      </w:pPr>
      <w:r>
        <w:t>62. gr.</w:t>
      </w:r>
    </w:p>
    <w:p w14:paraId="6D168096" w14:textId="77777777" w:rsidR="001D6FFE" w:rsidRDefault="00E40155">
      <w:pPr>
        <w:pStyle w:val="STIART"/>
        <w:spacing w:after="120"/>
      </w:pPr>
      <w:r>
        <w:t>Breytingar á reglugerð (ESB) nr. 575/2013</w:t>
      </w:r>
    </w:p>
    <w:p w14:paraId="134FF275" w14:textId="77777777" w:rsidR="001D6FFE" w:rsidRDefault="00E40155">
      <w:pPr>
        <w:pStyle w:val="Alinea"/>
        <w:spacing w:after="120"/>
      </w:pPr>
      <w:r>
        <w:t>Reglugerð (ESB) nr. 575/2013 er breytt sem hér segir:</w:t>
      </w:r>
    </w:p>
    <w:p w14:paraId="7D151EA2" w14:textId="77777777" w:rsidR="001D6FFE" w:rsidRDefault="00E40155">
      <w:pPr>
        <w:pStyle w:val="NumberedText"/>
        <w:spacing w:after="120"/>
        <w:ind w:left="400" w:hanging="400"/>
      </w:pPr>
      <w:r>
        <w:t>1)</w:t>
      </w:r>
      <w:r>
        <w:tab/>
        <w:t>Í stað titilsins kemur eftirfarandi:</w:t>
      </w:r>
    </w:p>
    <w:p w14:paraId="2E452C88" w14:textId="77777777" w:rsidR="001D6FFE" w:rsidRDefault="00E40155">
      <w:pPr>
        <w:pStyle w:val="Para"/>
        <w:spacing w:after="120"/>
        <w:ind w:left="400"/>
      </w:pPr>
      <w:r>
        <w:t>„Reglugerð Evrópuþingsins og ráðsins (ESB) nr. 575/2013 frá 26. júní 2013 um varfærniskröfur fyrir lánastofnanir og um breytingu á reglugerð (ESB) nr. 648/2012“.</w:t>
      </w:r>
    </w:p>
    <w:p w14:paraId="2ECA24AA" w14:textId="77777777" w:rsidR="001D6FFE" w:rsidRDefault="00E40155">
      <w:pPr>
        <w:pStyle w:val="NumberedText"/>
        <w:spacing w:after="120"/>
        <w:ind w:left="400" w:hanging="400"/>
      </w:pPr>
      <w:r>
        <w:t>2)</w:t>
      </w:r>
      <w:r>
        <w:tab/>
        <w:t>Í 2. gr. er eftirfarandi málsgrein bætt við:</w:t>
      </w:r>
    </w:p>
    <w:p w14:paraId="1BED5DA2" w14:textId="77777777" w:rsidR="001D6FFE" w:rsidRDefault="00E40155">
      <w:pPr>
        <w:pStyle w:val="AlineaWithParag"/>
        <w:tabs>
          <w:tab w:val="left" w:pos="783"/>
        </w:tabs>
        <w:spacing w:after="120"/>
        <w:ind w:left="400"/>
      </w:pPr>
      <w:r>
        <w:t>„5.</w:t>
      </w:r>
      <w:r>
        <w:tab/>
        <w:t>Við beitingu ákvæðanna sem mælt er fyrir um í 2. mgr. 1. gr. og 5. mgr. 1. gr. reglugerðar Evrópuþingsins og ráðsins (ESB) 2019/2033 (</w:t>
      </w:r>
      <w:r>
        <w:fldChar w:fldCharType="begin"/>
      </w:r>
      <w:r>
        <w:instrText xml:space="preserve"> REF NOTE_E0030 \h  \* MERGEFORMAT </w:instrText>
      </w:r>
      <w:r>
        <w:fldChar w:fldCharType="separate"/>
      </w:r>
      <w:r>
        <w:t>*</w:t>
      </w:r>
      <w:r>
        <w:fldChar w:fldCharType="end"/>
      </w:r>
      <w:r>
        <w:t>), að því er varðar verðbréfafyrirtæki sem um getur í þeim málsgreinum, skulu lögbær yfirvöld eins og þau eru skilgreind í 5. lið 1. mgr. 3. gr. tilskipunar Evrópuþingsins og ráðsins (ESB) 2019/2034 (</w:t>
      </w:r>
      <w:r>
        <w:fldChar w:fldCharType="begin"/>
      </w:r>
      <w:r>
        <w:instrText xml:space="preserve"> REF NOTE_E0031 \h  \* MERGEFORMAT </w:instrText>
      </w:r>
      <w:r>
        <w:fldChar w:fldCharType="separate"/>
      </w:r>
      <w:r>
        <w:t>**</w:t>
      </w:r>
      <w:r>
        <w:fldChar w:fldCharType="end"/>
      </w:r>
      <w:r>
        <w:t>), meðhöndla þau verðbréfafyrirtæki eins og þau væru „stofnanir“ samkvæmt þessari reglugerð.</w:t>
      </w:r>
    </w:p>
    <w:p w14:paraId="7C2DDB73" w14:textId="77777777" w:rsidR="001D6FFE" w:rsidRDefault="00E40155">
      <w:pPr>
        <w:pStyle w:val="QuoteFootnoteRule"/>
        <w:pBdr>
          <w:bottom w:val="none" w:sz="0" w:space="0" w:color="auto"/>
        </w:pBdr>
        <w:tabs>
          <w:tab w:val="left" w:pos="1452"/>
        </w:tabs>
        <w:ind w:left="400" w:right="0"/>
        <w:rPr>
          <w:u w:val="single"/>
        </w:rPr>
      </w:pPr>
      <w:r>
        <w:rPr>
          <w:u w:val="single"/>
        </w:rPr>
        <w:tab/>
      </w:r>
    </w:p>
    <w:p w14:paraId="0648D58C" w14:textId="77777777" w:rsidR="001D6FFE" w:rsidRDefault="00E40155">
      <w:pPr>
        <w:pStyle w:val="NumberedText"/>
        <w:tabs>
          <w:tab w:val="clear" w:pos="2047"/>
        </w:tabs>
        <w:spacing w:after="0"/>
        <w:ind w:left="760" w:hanging="360"/>
      </w:pPr>
      <w:r>
        <w:t>(</w:t>
      </w:r>
      <w:bookmarkStart w:id="29" w:name="NOTE_E0030"/>
      <w:r>
        <w:t>*</w:t>
      </w:r>
      <w:bookmarkEnd w:id="29"/>
      <w:r>
        <w:t>)</w:t>
      </w:r>
      <w:r>
        <w:tab/>
        <w:t>Reglugerð Evrópuþingsins og ráðsins (ESB) 2019/2033 frá 27. nóvember 2019 um varfærniskröfur fyrir verðbréfafyrirtæki og breytingu á reglugerðum (ESB) nr. 1093/2010, (ESB) nr. 575/2013, (ESB) nr. 600/2014 og (ESB) nr. 806/2014 (Stjtíð. ESB L 314, 5.12.2019, bls. 1).</w:t>
      </w:r>
    </w:p>
    <w:p w14:paraId="33351E9F" w14:textId="77777777" w:rsidR="001D6FFE" w:rsidRDefault="00E40155">
      <w:pPr>
        <w:pStyle w:val="NumberedText"/>
        <w:tabs>
          <w:tab w:val="clear" w:pos="2047"/>
        </w:tabs>
        <w:spacing w:after="160"/>
        <w:ind w:left="760" w:hanging="360"/>
      </w:pPr>
      <w:r>
        <w:t>(</w:t>
      </w:r>
      <w:bookmarkStart w:id="30" w:name="NOTE_E0031"/>
      <w:r>
        <w:t>**</w:t>
      </w:r>
      <w:bookmarkEnd w:id="30"/>
      <w:r>
        <w:t>)</w:t>
      </w:r>
      <w:r>
        <w:tab/>
      </w:r>
      <w:r>
        <w:t>Tilskipun Evrópuþingsins og ráðsins (ESB) 2019/2034 frá 27. nóvember 2019 um varfærniseftirlit með verðbréfafyrirtækjum og breytingu á tilskipunum 2002/87/EB, 2009/65/EB, 2011/61/ESB, 2013/36/ESB, 2014/59/ESB og 2014/65/ESB (Stjtíð. ESB L 314, 5.12.2019, bls. 64).“</w:t>
      </w:r>
    </w:p>
    <w:p w14:paraId="17E48D89" w14:textId="77777777" w:rsidR="001D6FFE" w:rsidRDefault="00E40155">
      <w:pPr>
        <w:pStyle w:val="NumberedText"/>
        <w:spacing w:after="160"/>
        <w:ind w:left="400" w:hanging="400"/>
      </w:pPr>
      <w:r>
        <w:t>3)</w:t>
      </w:r>
      <w:r>
        <w:tab/>
        <w:t>Ákvæðum 1. mgr. 4. gr. er breytt sem hér segir:</w:t>
      </w:r>
    </w:p>
    <w:p w14:paraId="36167718" w14:textId="77777777" w:rsidR="001D6FFE" w:rsidRDefault="00E40155">
      <w:pPr>
        <w:pStyle w:val="NumberedText"/>
        <w:spacing w:after="160"/>
        <w:ind w:left="700" w:hanging="300"/>
      </w:pPr>
      <w:r>
        <w:t>a)</w:t>
      </w:r>
      <w:r>
        <w:tab/>
        <w:t>Í stað 1. liðar kemur eftirfarandi:</w:t>
      </w:r>
    </w:p>
    <w:p w14:paraId="16E3A1A6" w14:textId="77777777" w:rsidR="001D6FFE" w:rsidRDefault="00E40155">
      <w:pPr>
        <w:pStyle w:val="NumberedText"/>
        <w:tabs>
          <w:tab w:val="clear" w:pos="2047"/>
        </w:tabs>
        <w:spacing w:after="160"/>
        <w:ind w:left="1100" w:hanging="400"/>
      </w:pPr>
      <w:r>
        <w:t>„1)</w:t>
      </w:r>
      <w:r>
        <w:tab/>
        <w:t>„lánastofnun“: fyrirtæki sem starfar við eitthvað af eftirtöldu:</w:t>
      </w:r>
    </w:p>
    <w:p w14:paraId="35BD0D2F" w14:textId="77777777" w:rsidR="001D6FFE" w:rsidRDefault="00E40155">
      <w:pPr>
        <w:pStyle w:val="NumberedText"/>
        <w:tabs>
          <w:tab w:val="clear" w:pos="2047"/>
        </w:tabs>
        <w:spacing w:after="160"/>
        <w:ind w:left="1400" w:hanging="300"/>
      </w:pPr>
      <w:r>
        <w:t>a)</w:t>
      </w:r>
      <w:r>
        <w:tab/>
        <w:t>að taka á móti innlánum eða öðrum endurgreiðanlegum fjármunum frá almenningi og veita lán fyrir eigin reikning,</w:t>
      </w:r>
    </w:p>
    <w:p w14:paraId="30AFA089" w14:textId="77777777" w:rsidR="001D6FFE" w:rsidRDefault="00E40155">
      <w:pPr>
        <w:pStyle w:val="NumberedText"/>
        <w:tabs>
          <w:tab w:val="clear" w:pos="2047"/>
        </w:tabs>
        <w:spacing w:after="160"/>
        <w:ind w:left="1400" w:hanging="300"/>
      </w:pPr>
      <w:r>
        <w:t>b)</w:t>
      </w:r>
      <w:r>
        <w:tab/>
        <w:t>einhverja þá starfsemi sem um getur í 3. og 6. lið þáttar A í I. viðauka við tilskipun Evrópuþingsins og ráðsins 2014/65/ESB (*) þar sem eitt af eftirtöldu á við, en fyrirtækið er ekki miðlari hrávöru og losunarheimilda, sjóður um sameiginlega fjárfestingu eða vátryggingafélag:</w:t>
      </w:r>
    </w:p>
    <w:p w14:paraId="5CAE8727" w14:textId="77777777" w:rsidR="001D6FFE" w:rsidRDefault="00E40155">
      <w:pPr>
        <w:pStyle w:val="NumberedText"/>
        <w:tabs>
          <w:tab w:val="clear" w:pos="2047"/>
        </w:tabs>
        <w:spacing w:after="160"/>
        <w:ind w:left="1760" w:hanging="360"/>
      </w:pPr>
      <w:r>
        <w:t>i.</w:t>
      </w:r>
      <w:r>
        <w:tab/>
        <w:t>heildarvirði samstæðueigna fyrirtækisins nemur 30 milljörðum evra eða meira,</w:t>
      </w:r>
    </w:p>
    <w:p w14:paraId="2E83C5C6" w14:textId="77777777" w:rsidR="001D6FFE" w:rsidRDefault="00E40155">
      <w:pPr>
        <w:pStyle w:val="NumberedText"/>
        <w:tabs>
          <w:tab w:val="clear" w:pos="2047"/>
        </w:tabs>
        <w:spacing w:after="160"/>
        <w:ind w:left="1760" w:hanging="360"/>
      </w:pPr>
      <w:r>
        <w:t>ii.</w:t>
      </w:r>
      <w:r>
        <w:tab/>
      </w:r>
      <w:r>
        <w:t>heildarvirði eigna fyrirtækisins er lægra en 30 milljarðar evra og fyrirtækið er hluti samstæðu þar sem heildarvirði samstæðueigna allra fyrirtækja í samstæðunni, sem hvert um sig á heildareignir að andvirði undir 30 milljörðum evra og sem stunda einhverja þá starfsemi sem um getur í 3. og 6. lið þáttar A í I. viðauka við tilskipun 2014/65/ESB, nemur 30 milljörðum evra eða meira, eða</w:t>
      </w:r>
      <w:r>
        <w:br w:type="page"/>
      </w:r>
    </w:p>
    <w:p w14:paraId="10471845" w14:textId="77777777" w:rsidR="001D6FFE" w:rsidRDefault="00E40155">
      <w:pPr>
        <w:pStyle w:val="NumberedText"/>
        <w:tabs>
          <w:tab w:val="right" w:pos="1595"/>
        </w:tabs>
        <w:spacing w:after="160"/>
        <w:ind w:left="1760" w:hanging="360"/>
      </w:pPr>
      <w:r>
        <w:tab/>
        <w:t>iii.</w:t>
      </w:r>
      <w:r>
        <w:tab/>
        <w:t>heildarvirði eigna fyrirtækisins er lægra en 30 milljarðar evra og fyrirtækið er hluti samstæðu þar sem heildarvirði samstæðueigna allra fyrirtækja í samstæðunni, sem stunda einhverja þá starfsemi sem um getur í 3. og 6. lið þáttar A í I. viðauka við tilskipun 2014/65/ESB, nemur 30 milljörðum evra eða meira, ef eftirlitsaðili á samstæðugrunni, í samráði við samstarfshóp eftirlitsaðila, ákveður svo, til þess að bregðast við mögulegri hættu á sniðgöngu og mögulegri áhættu fyrir fjármálastöðugleika í Sambandi</w:t>
      </w:r>
      <w:r>
        <w:t>nu.</w:t>
      </w:r>
    </w:p>
    <w:p w14:paraId="127AD2A8" w14:textId="77777777" w:rsidR="001D6FFE" w:rsidRDefault="00E40155">
      <w:pPr>
        <w:pStyle w:val="Para"/>
        <w:ind w:left="1400"/>
      </w:pPr>
      <w:r>
        <w:t>Að því er ii. lið b-liðar og iii. lið b-liðar varðar, ef fyrirtækið er hluti samstæðu þriðja lands skulu heildareignir hvers útibús í samstæðu þriðja lands með starfsleyfi í Sambandinu taldar með í samanlögðu heildarvirði eigna allra fyrirtækja í samstæðunni.</w:t>
      </w:r>
    </w:p>
    <w:p w14:paraId="0CF0245E" w14:textId="77777777" w:rsidR="001D6FFE" w:rsidRDefault="00E40155">
      <w:pPr>
        <w:pStyle w:val="QuoteFootnoteRule"/>
        <w:pBdr>
          <w:bottom w:val="none" w:sz="0" w:space="0" w:color="auto"/>
        </w:pBdr>
        <w:tabs>
          <w:tab w:val="left" w:pos="1776"/>
        </w:tabs>
        <w:ind w:left="678" w:right="0"/>
        <w:rPr>
          <w:u w:val="single"/>
        </w:rPr>
      </w:pPr>
      <w:r>
        <w:rPr>
          <w:u w:val="single"/>
        </w:rPr>
        <w:tab/>
      </w:r>
    </w:p>
    <w:p w14:paraId="73AFD980" w14:textId="77777777" w:rsidR="001D6FFE" w:rsidRDefault="00E40155">
      <w:pPr>
        <w:pStyle w:val="NumberedText"/>
        <w:tabs>
          <w:tab w:val="clear" w:pos="2047"/>
        </w:tabs>
        <w:ind w:left="1000" w:hanging="300"/>
      </w:pPr>
      <w:r>
        <w:t>(</w:t>
      </w:r>
      <w:bookmarkStart w:id="31" w:name="NOTE_E0032"/>
      <w:r>
        <w:t>*</w:t>
      </w:r>
      <w:bookmarkEnd w:id="31"/>
      <w:r>
        <w:t>)</w:t>
      </w:r>
      <w:r>
        <w:tab/>
        <w:t>Tilskipun Evrópuþingsins og ráðsins 2014/65/ESB frá 15. maí 2014 um markaði fyrir fjármálagerninga og um breytingu á tilskipun 2002/92/EB og tilskipun 2011/61/ESB (Stjtíð. ESB L 173, 12.6.2014, bls. 349).“</w:t>
      </w:r>
    </w:p>
    <w:p w14:paraId="3C37FBE9" w14:textId="77777777" w:rsidR="001D6FFE" w:rsidRDefault="00E40155">
      <w:pPr>
        <w:pStyle w:val="NumberedText"/>
        <w:ind w:left="700" w:hanging="300"/>
      </w:pPr>
      <w:r>
        <w:t>b)</w:t>
      </w:r>
      <w:r>
        <w:tab/>
        <w:t>Í stað 2. liðar kemur eftirfarandi:</w:t>
      </w:r>
    </w:p>
    <w:p w14:paraId="4AC7EF96" w14:textId="77777777" w:rsidR="001D6FFE" w:rsidRDefault="00E40155">
      <w:pPr>
        <w:pStyle w:val="NumberedText"/>
        <w:tabs>
          <w:tab w:val="clear" w:pos="2047"/>
        </w:tabs>
        <w:ind w:left="1100" w:hanging="400"/>
      </w:pPr>
      <w:r>
        <w:t>„2)</w:t>
      </w:r>
      <w:r>
        <w:tab/>
      </w:r>
      <w:r>
        <w:t>„verðbréfafyrirtæki“: verðbréfafyrirtæki eins og skilgreint er í 1. lið 1. mgr. 4. gr. tilskipunar 2014/65/ESB sem er með starfsleyfi samkvæmt þeirri tilskipun, en að undanskildum lánastofnunum,“.</w:t>
      </w:r>
    </w:p>
    <w:p w14:paraId="733F3471" w14:textId="77777777" w:rsidR="001D6FFE" w:rsidRDefault="00E40155">
      <w:pPr>
        <w:pStyle w:val="NumberedText"/>
        <w:ind w:left="700" w:hanging="300"/>
      </w:pPr>
      <w:r>
        <w:t>c)</w:t>
      </w:r>
      <w:r>
        <w:tab/>
        <w:t>Í stað 3. liðar kemur eftirfarandi:</w:t>
      </w:r>
    </w:p>
    <w:p w14:paraId="5ACBC2EB" w14:textId="77777777" w:rsidR="001D6FFE" w:rsidRDefault="00E40155">
      <w:pPr>
        <w:pStyle w:val="NumberedText"/>
        <w:tabs>
          <w:tab w:val="clear" w:pos="2047"/>
        </w:tabs>
        <w:ind w:left="1100" w:hanging="400"/>
      </w:pPr>
      <w:r>
        <w:t>„3)</w:t>
      </w:r>
      <w:r>
        <w:tab/>
        <w:t>„stofnun“: lánastofnun með starfsleyfi skv. 8. gr. tilskipunar 2013/36/ESB eða fyrirtæki eins og um getur í 3. mgr. 8. gr. a þeirrar tilskipunar,“.</w:t>
      </w:r>
    </w:p>
    <w:p w14:paraId="5601928D" w14:textId="77777777" w:rsidR="001D6FFE" w:rsidRDefault="00E40155">
      <w:pPr>
        <w:pStyle w:val="NumberedText"/>
        <w:ind w:left="700" w:hanging="300"/>
      </w:pPr>
      <w:r>
        <w:t>d)</w:t>
      </w:r>
      <w:r>
        <w:tab/>
        <w:t>Ákvæði 4. liðar falla brott.</w:t>
      </w:r>
    </w:p>
    <w:p w14:paraId="15601B9E" w14:textId="77777777" w:rsidR="001D6FFE" w:rsidRDefault="00E40155">
      <w:pPr>
        <w:pStyle w:val="NumberedText"/>
        <w:ind w:left="700" w:hanging="300"/>
      </w:pPr>
      <w:r>
        <w:t>e)</w:t>
      </w:r>
      <w:r>
        <w:tab/>
        <w:t>Í stað 26. liðar kemur eftirfarandi:</w:t>
      </w:r>
    </w:p>
    <w:p w14:paraId="2310418F" w14:textId="77777777" w:rsidR="001D6FFE" w:rsidRDefault="00E40155">
      <w:pPr>
        <w:pStyle w:val="NumberedText"/>
        <w:tabs>
          <w:tab w:val="clear" w:pos="2047"/>
        </w:tabs>
        <w:ind w:left="1200" w:hanging="500"/>
      </w:pPr>
      <w:r>
        <w:t>„26)</w:t>
      </w:r>
      <w:r>
        <w:tab/>
        <w:t>„fjármálastofnun“: fyrirtæki, annað en stofnun og annað en hreint iðnaðareignarhaldsfélag, sem hefur að meginstarfsemi að afla eignarhluta eða sinna einni eða fleiri tegundum starfsemi sem um getur í 2.–12. lið og 15. lið I. viðauka við tilskipun 2013/36/ESB, þar með talið verðbréfafyrirtæki, eignarhaldsfélag á fjármálasviði, blandað eignarhaldsfélag í fjármálastarfsemi, eignarhaldsfélag á verðbréfasviði, greiðslustofnun í skilningi tilskipunar Evrópuþingsins og ráðsins (ESB) 2015/2366 (*) og eignarstýring</w:t>
      </w:r>
      <w:r>
        <w:t>arfélag, en að undanskildum eignarhaldsfélögum á vátryggingasviði og blönduðum eignarhaldsfélögum í vátryggingastarfsemi eins og þau eru skilgreind í f- og g-lið 1. mgr. 212. gr. tilskipunar 2009/138/EB.</w:t>
      </w:r>
    </w:p>
    <w:p w14:paraId="41AFD787" w14:textId="77777777" w:rsidR="001D6FFE" w:rsidRDefault="00E40155">
      <w:pPr>
        <w:pStyle w:val="QuoteFootnoteRule"/>
        <w:pBdr>
          <w:bottom w:val="none" w:sz="0" w:space="0" w:color="auto"/>
        </w:pBdr>
        <w:tabs>
          <w:tab w:val="left" w:pos="1776"/>
        </w:tabs>
        <w:ind w:left="700" w:right="0"/>
        <w:rPr>
          <w:u w:val="single"/>
        </w:rPr>
      </w:pPr>
      <w:r>
        <w:rPr>
          <w:u w:val="single"/>
        </w:rPr>
        <w:tab/>
      </w:r>
    </w:p>
    <w:p w14:paraId="11EC21F3" w14:textId="77777777" w:rsidR="001D6FFE" w:rsidRDefault="00E40155">
      <w:pPr>
        <w:pStyle w:val="NumberedText"/>
        <w:tabs>
          <w:tab w:val="clear" w:pos="2047"/>
        </w:tabs>
        <w:ind w:left="1000" w:hanging="300"/>
      </w:pPr>
      <w:r>
        <w:t>(</w:t>
      </w:r>
      <w:bookmarkStart w:id="32" w:name="NOTE_E0033"/>
      <w:r>
        <w:t>*</w:t>
      </w:r>
      <w:bookmarkEnd w:id="32"/>
      <w:r>
        <w:t>)</w:t>
      </w:r>
      <w:r>
        <w:tab/>
        <w:t>Tilskipun Evrópuþingsins og ráðsins (ESB) 2015/2366 frá 25. nóvember 2015 um greiðsluþjónustu á innri markaðnum, um breytingu á tilskipunum 2002/65/EB, 2009/110/EB og 2013/36/ESB og á reglugerð (ESB) nr. 1093/2010 og niðurfellingu á tilskipun 2007/64/EB (Stjtíð. ESB L 337, 23.12.2015, bls. 35).“</w:t>
      </w:r>
    </w:p>
    <w:p w14:paraId="2ADF1AD4" w14:textId="77777777" w:rsidR="001D6FFE" w:rsidRDefault="00E40155">
      <w:pPr>
        <w:pStyle w:val="NumberedText"/>
        <w:ind w:left="700" w:hanging="300"/>
      </w:pPr>
      <w:r>
        <w:t>f)</w:t>
      </w:r>
      <w:r>
        <w:tab/>
        <w:t>Í stað 29. liðar a kemur eftirfarandi:</w:t>
      </w:r>
    </w:p>
    <w:p w14:paraId="4C150FA8" w14:textId="77777777" w:rsidR="001D6FFE" w:rsidRDefault="00E40155">
      <w:pPr>
        <w:pStyle w:val="NumberedText"/>
        <w:tabs>
          <w:tab w:val="clear" w:pos="2047"/>
        </w:tabs>
        <w:ind w:left="1300" w:hanging="600"/>
      </w:pPr>
      <w:r>
        <w:t>„29a)</w:t>
      </w:r>
      <w:r>
        <w:tab/>
        <w:t>„móðurverðbréfafyrirtæki í aðildarríki“: móðurfélag í aðildarríki sem er verðbréfafyrirtæki,“.</w:t>
      </w:r>
    </w:p>
    <w:p w14:paraId="5F06754C" w14:textId="77777777" w:rsidR="001D6FFE" w:rsidRDefault="00E40155">
      <w:pPr>
        <w:pStyle w:val="NumberedText"/>
        <w:ind w:left="700" w:hanging="300"/>
      </w:pPr>
      <w:r>
        <w:t>g)</w:t>
      </w:r>
      <w:r>
        <w:tab/>
        <w:t>Í stað 29. liðar b kemur eftirfarandi:</w:t>
      </w:r>
    </w:p>
    <w:p w14:paraId="15CED993" w14:textId="77777777" w:rsidR="001D6FFE" w:rsidRDefault="00E40155">
      <w:pPr>
        <w:pStyle w:val="NumberedText"/>
        <w:tabs>
          <w:tab w:val="clear" w:pos="2047"/>
        </w:tabs>
        <w:ind w:left="1300" w:hanging="600"/>
      </w:pPr>
      <w:r>
        <w:t>„29b)</w:t>
      </w:r>
      <w:r>
        <w:tab/>
        <w:t>„móðurverðbréfafyrirtæki í ESB“: móðurfélag í ESB sem er verðbréfafyrirtæki,“.</w:t>
      </w:r>
    </w:p>
    <w:p w14:paraId="3B7DA4A2" w14:textId="77777777" w:rsidR="001D6FFE" w:rsidRDefault="00E40155">
      <w:pPr>
        <w:pStyle w:val="NumberedText"/>
        <w:ind w:left="700" w:hanging="300"/>
      </w:pPr>
      <w:r>
        <w:t>h)</w:t>
      </w:r>
      <w:r>
        <w:tab/>
        <w:t>Í stað 51. liðar kemur eftirfarandi:</w:t>
      </w:r>
    </w:p>
    <w:p w14:paraId="5E21B896" w14:textId="77777777" w:rsidR="001D6FFE" w:rsidRDefault="00E40155">
      <w:pPr>
        <w:pStyle w:val="NumberedText"/>
        <w:tabs>
          <w:tab w:val="clear" w:pos="2047"/>
        </w:tabs>
        <w:ind w:left="1300" w:hanging="600"/>
      </w:pPr>
      <w:r>
        <w:t>„51)</w:t>
      </w:r>
      <w:r>
        <w:tab/>
        <w:t>„stofnfé“: fjárhæðir og gerðir eiginfjárgrunns sem tilgreindar eru í 12. gr. tilskipunar 2013/36/ESB,“.</w:t>
      </w:r>
    </w:p>
    <w:p w14:paraId="4EB3353F" w14:textId="77777777" w:rsidR="001D6FFE" w:rsidRDefault="00E40155">
      <w:pPr>
        <w:pStyle w:val="NumberedText"/>
        <w:ind w:left="700" w:hanging="300"/>
      </w:pPr>
      <w:r>
        <w:t>i)</w:t>
      </w:r>
      <w:r>
        <w:tab/>
        <w:t>Í stað 60. liðar kemur eftirfarandi:</w:t>
      </w:r>
    </w:p>
    <w:p w14:paraId="4C0E9B29" w14:textId="77777777" w:rsidR="001D6FFE" w:rsidRDefault="00E40155">
      <w:pPr>
        <w:pStyle w:val="NumberedText"/>
        <w:tabs>
          <w:tab w:val="clear" w:pos="2047"/>
        </w:tabs>
        <w:spacing w:after="0"/>
        <w:ind w:left="1300" w:hanging="600"/>
      </w:pPr>
      <w:r>
        <w:t>„60)</w:t>
      </w:r>
      <w:r>
        <w:tab/>
        <w:t>„reiðufjárígildisgerningur“: innlánsskírteini, skuldabréf, þar með talið sértryggt skuldabréf, eða annar gerningur sem ekki er víkjandi, sem stofnun eða verðbréfafyrirtæki hefur gefið út og stofnunin eða verðbréfafyrirtækið hefur þegar fengið greiddan að fullu og sem stofnunin eða verðbréfafyrirtækið skal endurgreiða án skilyrða á nafnverði,“.</w:t>
      </w:r>
      <w:r>
        <w:br w:type="page"/>
      </w:r>
    </w:p>
    <w:p w14:paraId="67635599" w14:textId="77777777" w:rsidR="001D6FFE" w:rsidRDefault="00E40155">
      <w:pPr>
        <w:pStyle w:val="NumberedText"/>
        <w:spacing w:after="160"/>
        <w:ind w:left="700" w:hanging="300"/>
      </w:pPr>
      <w:r>
        <w:t>j)</w:t>
      </w:r>
      <w:r>
        <w:tab/>
      </w:r>
      <w:r>
        <w:t>Í stað a-liðar í 72. lið kemur eftirfarandi:</w:t>
      </w:r>
    </w:p>
    <w:p w14:paraId="68D7C963" w14:textId="77777777" w:rsidR="001D6FFE" w:rsidRDefault="00E40155">
      <w:pPr>
        <w:pStyle w:val="NumberedText"/>
        <w:tabs>
          <w:tab w:val="clear" w:pos="2047"/>
        </w:tabs>
        <w:spacing w:after="160"/>
        <w:ind w:left="1100" w:hanging="400"/>
      </w:pPr>
      <w:r>
        <w:t>„a)</w:t>
      </w:r>
      <w:r>
        <w:tab/>
        <w:t>hún er skipulegur markaður eða markaður þriðja lands sem telst vera jafngildur skipulegum markaði í samræmi við verklagsregluna sem sett er fram í a-lið 4. mgr. 25. gr. tilskipunar 2014/65/ESB,“.</w:t>
      </w:r>
    </w:p>
    <w:p w14:paraId="3955D001" w14:textId="77777777" w:rsidR="001D6FFE" w:rsidRDefault="00E40155">
      <w:pPr>
        <w:pStyle w:val="NumberedText"/>
        <w:spacing w:after="160"/>
        <w:ind w:left="700" w:hanging="300"/>
      </w:pPr>
      <w:r>
        <w:t>k)</w:t>
      </w:r>
      <w:r>
        <w:tab/>
        <w:t>Eftirfarandi lið er bætt við:</w:t>
      </w:r>
    </w:p>
    <w:p w14:paraId="2C198590" w14:textId="77777777" w:rsidR="001D6FFE" w:rsidRDefault="00E40155">
      <w:pPr>
        <w:pStyle w:val="NumberedText"/>
        <w:tabs>
          <w:tab w:val="clear" w:pos="2047"/>
        </w:tabs>
        <w:spacing w:after="160"/>
        <w:ind w:left="1300" w:hanging="600"/>
      </w:pPr>
      <w:r>
        <w:t>„150)</w:t>
      </w:r>
      <w:r>
        <w:tab/>
        <w:t>„miðlari hrávöru og losunarheimilda“: fyrirtæki sem hefur að aðalstarfsemi eingöngu að veita fjárfestingaþjónustu eða sinna fjárfestingarstarfsemi í tengslum við hrávöruafleiður eða hrávöruafleiðusamninga sem um getur í 5., 6., 7., 9. og 10. lið, losunarheimildaafleiður sem um getur í 4. lið eða losunarheimildir sem um getur í 11. lið C-hluta I. viðauka við tilskipun 2014/65/ESB,“.</w:t>
      </w:r>
    </w:p>
    <w:p w14:paraId="6A25BEED" w14:textId="77777777" w:rsidR="001D6FFE" w:rsidRDefault="00E40155">
      <w:pPr>
        <w:pStyle w:val="NumberedText"/>
        <w:spacing w:after="160"/>
        <w:ind w:left="400" w:hanging="400"/>
      </w:pPr>
      <w:r>
        <w:t>4)</w:t>
      </w:r>
      <w:r>
        <w:tab/>
        <w:t>Ákvæðum 6. gr. er breytt sem hér segir:</w:t>
      </w:r>
    </w:p>
    <w:p w14:paraId="451A6D3A" w14:textId="77777777" w:rsidR="001D6FFE" w:rsidRDefault="00E40155">
      <w:pPr>
        <w:pStyle w:val="NumberedText"/>
        <w:spacing w:after="160"/>
        <w:ind w:left="700" w:hanging="300"/>
      </w:pPr>
      <w:r>
        <w:t>a)</w:t>
      </w:r>
      <w:r>
        <w:tab/>
        <w:t>Í stað 4. mgr. kemur eftirfarandi:</w:t>
      </w:r>
    </w:p>
    <w:p w14:paraId="21DD2FD3" w14:textId="77777777" w:rsidR="001D6FFE" w:rsidRDefault="00E40155">
      <w:pPr>
        <w:pStyle w:val="AlineaWithParag"/>
        <w:tabs>
          <w:tab w:val="left" w:pos="1077"/>
        </w:tabs>
        <w:spacing w:after="160"/>
        <w:ind w:left="700"/>
      </w:pPr>
      <w:r>
        <w:t>„4.</w:t>
      </w:r>
      <w:r>
        <w:tab/>
        <w:t>Stofnanir skulu uppfylla skyldurnar sem mælt er fyrir um í sjötta hluta og í d-lið 1. mgr. 430. gr. þessarar reglugerðar á einingargrunni.</w:t>
      </w:r>
    </w:p>
    <w:p w14:paraId="3D807EC1" w14:textId="77777777" w:rsidR="001D6FFE" w:rsidRDefault="00E40155">
      <w:pPr>
        <w:pStyle w:val="Alinea"/>
        <w:spacing w:after="160"/>
        <w:ind w:left="700"/>
      </w:pPr>
      <w:r>
        <w:t>Eftirtaldar stofnanir þurfa ekki að uppfylla 1. mgr. 413. gr. og tengdar skýrslugjafarkröfur um lausafjárstöðu sem mælt er fyrir um í sjöunda hluta A í þessari reglugerð:</w:t>
      </w:r>
    </w:p>
    <w:p w14:paraId="058B886F" w14:textId="77777777" w:rsidR="001D6FFE" w:rsidRDefault="00E40155">
      <w:pPr>
        <w:pStyle w:val="NumberedText"/>
        <w:tabs>
          <w:tab w:val="clear" w:pos="2047"/>
        </w:tabs>
        <w:spacing w:after="160"/>
        <w:ind w:left="1000" w:hanging="300"/>
      </w:pPr>
      <w:r>
        <w:t>a)</w:t>
      </w:r>
      <w:r>
        <w:tab/>
        <w:t>stofnanir sem einnig hafa starfsleyfi í samræmi við 14. gr. reglugerðar (ESB) nr. 648/2012,</w:t>
      </w:r>
    </w:p>
    <w:p w14:paraId="54FDC764" w14:textId="77777777" w:rsidR="001D6FFE" w:rsidRDefault="00E40155">
      <w:pPr>
        <w:pStyle w:val="NumberedText"/>
        <w:tabs>
          <w:tab w:val="clear" w:pos="2047"/>
        </w:tabs>
        <w:spacing w:after="160"/>
        <w:ind w:left="1000" w:hanging="300"/>
      </w:pPr>
      <w:r>
        <w:t>b)</w:t>
      </w:r>
      <w:r>
        <w:tab/>
        <w:t>stofnanir sem einnig hafa starfsleyfi í samræmi við 16. gr. og a-lið 2. mgr. 54. gr. reglugerðar Evrópuþingsins og ráðsins (ESB) nr. 909/2014 (*), að því tilskildu að þær geri engar verulegar breytingar á líftíma, og</w:t>
      </w:r>
    </w:p>
    <w:p w14:paraId="26D72298" w14:textId="77777777" w:rsidR="001D6FFE" w:rsidRDefault="00E40155">
      <w:pPr>
        <w:pStyle w:val="NumberedText"/>
        <w:tabs>
          <w:tab w:val="clear" w:pos="2047"/>
        </w:tabs>
        <w:spacing w:after="160"/>
        <w:ind w:left="1000" w:hanging="300"/>
      </w:pPr>
      <w:r>
        <w:t>c)</w:t>
      </w:r>
      <w:r>
        <w:tab/>
        <w:t>stofnanir sem eru tilnefndar í samræmi við b-lið 2. mgr. 54. gr. reglugerðar (ESB) 909/2014, að því tilskildu að:</w:t>
      </w:r>
    </w:p>
    <w:p w14:paraId="2656DDD6" w14:textId="77777777" w:rsidR="001D6FFE" w:rsidRDefault="00E40155">
      <w:pPr>
        <w:pStyle w:val="NumberedText"/>
        <w:tabs>
          <w:tab w:val="clear" w:pos="2047"/>
        </w:tabs>
        <w:spacing w:after="160"/>
        <w:ind w:left="1300" w:hanging="300"/>
      </w:pPr>
      <w:r>
        <w:t>i.</w:t>
      </w:r>
      <w:r>
        <w:tab/>
        <w:t>starfsemi þeirra takmarkist við að bjóða verðbréfamiðstöðvum með starfsleyfi í samræmi við 16. gr. þeirrar reglugerðar, bankaþjónustu eins og um getur í C-hluta viðauka við þá reglugerð, og</w:t>
      </w:r>
    </w:p>
    <w:p w14:paraId="6D89328E" w14:textId="77777777" w:rsidR="001D6FFE" w:rsidRDefault="00E40155">
      <w:pPr>
        <w:pStyle w:val="NumberedText"/>
        <w:tabs>
          <w:tab w:val="clear" w:pos="2047"/>
        </w:tabs>
        <w:ind w:left="1300" w:hanging="300"/>
      </w:pPr>
      <w:r>
        <w:t>ii.</w:t>
      </w:r>
      <w:r>
        <w:tab/>
        <w:t>þær geri engar verulegar breytingar á líftíma.</w:t>
      </w:r>
    </w:p>
    <w:p w14:paraId="43656D4B" w14:textId="77777777" w:rsidR="001D6FFE" w:rsidRDefault="00E40155">
      <w:pPr>
        <w:pStyle w:val="QuoteFootnoteRule"/>
        <w:pBdr>
          <w:bottom w:val="none" w:sz="0" w:space="0" w:color="auto"/>
        </w:pBdr>
        <w:tabs>
          <w:tab w:val="left" w:pos="1788"/>
        </w:tabs>
        <w:ind w:left="700" w:right="0"/>
        <w:rPr>
          <w:u w:val="single"/>
        </w:rPr>
      </w:pPr>
      <w:r>
        <w:rPr>
          <w:u w:val="single"/>
        </w:rPr>
        <w:tab/>
      </w:r>
    </w:p>
    <w:p w14:paraId="251EABE4" w14:textId="77777777" w:rsidR="001D6FFE" w:rsidRDefault="00E40155">
      <w:pPr>
        <w:pStyle w:val="NumberedText"/>
        <w:tabs>
          <w:tab w:val="clear" w:pos="2047"/>
        </w:tabs>
        <w:spacing w:after="160"/>
        <w:ind w:left="1000" w:hanging="300"/>
      </w:pPr>
      <w:r>
        <w:t>(</w:t>
      </w:r>
      <w:bookmarkStart w:id="33" w:name="NOTE_E0034"/>
      <w:r>
        <w:t>*</w:t>
      </w:r>
      <w:bookmarkEnd w:id="33"/>
      <w:r>
        <w:t>)</w:t>
      </w:r>
      <w:r>
        <w:tab/>
      </w:r>
      <w:r>
        <w:t>Reglugerð Evrópuþingsins og ráðsins (ESB) nr. 909/2014 frá 23. júlí 2014 um bætt verðbréfauppgjör í Evrópusambandinu og um verðbréfamiðstöðvar og um breytingu á tilskipunum 98/26/EB og 2014/65/ESB og reglugerð (ESB) nr. 236/2012 (Stjtíð. ESB L 257, 28.8.2014, bls. 1).“</w:t>
      </w:r>
    </w:p>
    <w:p w14:paraId="24B514E9" w14:textId="77777777" w:rsidR="001D6FFE" w:rsidRDefault="00E40155">
      <w:pPr>
        <w:pStyle w:val="NumberedText"/>
        <w:spacing w:after="160"/>
        <w:ind w:left="700" w:hanging="300"/>
      </w:pPr>
      <w:r>
        <w:t>b)</w:t>
      </w:r>
      <w:r>
        <w:tab/>
        <w:t>Í stað 5. mgr. kemur eftirfarandi:</w:t>
      </w:r>
    </w:p>
    <w:p w14:paraId="51EFE245" w14:textId="77777777" w:rsidR="001D6FFE" w:rsidRDefault="00E40155">
      <w:pPr>
        <w:pStyle w:val="AlineaWithParag"/>
        <w:tabs>
          <w:tab w:val="left" w:pos="1077"/>
        </w:tabs>
        <w:spacing w:after="160"/>
        <w:ind w:left="700"/>
      </w:pPr>
      <w:r>
        <w:t>„5.</w:t>
      </w:r>
      <w:r>
        <w:tab/>
        <w:t>Stofnanir sem lögbær yfirvöld hafa veitt undanþáguna sem tilgreind er í 1. eða 3. mgr. 7. gr. þessarar reglugerðar og stofnanir sem einnig hafa starfsleyfi í samræmi við 14. gr. reglugerðar (ESB) nr. 648/2012 skulu ekki þurfa að uppfylla skyldurnar sem mælt er fyrir um í sjöunda hluta og tengdar skýrslugjafarkröfur um vogunarhlutfall sem mælt er fyrir um í sjöunda hluta A þessarar reglugerðar á einingargrunni.“</w:t>
      </w:r>
    </w:p>
    <w:p w14:paraId="7AC850AC" w14:textId="77777777" w:rsidR="001D6FFE" w:rsidRDefault="00E40155">
      <w:pPr>
        <w:pStyle w:val="NumberedText"/>
        <w:spacing w:after="160"/>
        <w:ind w:left="400" w:hanging="400"/>
      </w:pPr>
      <w:r>
        <w:t>5)</w:t>
      </w:r>
      <w:r>
        <w:tab/>
        <w:t>Eftirfarandi grein er felld inn í 1. þátt 2. kafla II. bálk í fyrsta hluta:</w:t>
      </w:r>
    </w:p>
    <w:p w14:paraId="71CBCDFE" w14:textId="77777777" w:rsidR="001D6FFE" w:rsidRDefault="00E40155">
      <w:pPr>
        <w:pStyle w:val="TIARTquoted"/>
        <w:spacing w:after="160"/>
        <w:ind w:left="400"/>
      </w:pPr>
      <w:r>
        <w:t>„10. gr. a</w:t>
      </w:r>
    </w:p>
    <w:p w14:paraId="32AA7EB0" w14:textId="77777777" w:rsidR="001D6FFE" w:rsidRDefault="00E40155">
      <w:pPr>
        <w:pStyle w:val="STIARTquoted"/>
        <w:spacing w:after="160"/>
        <w:ind w:left="400"/>
      </w:pPr>
      <w:r>
        <w:t>Beiting varfærniskrafna á samstæðugrunni þar sem verðbréfafyrirtæki eru móðurfélög</w:t>
      </w:r>
    </w:p>
    <w:p w14:paraId="51CAF1B0" w14:textId="77777777" w:rsidR="001D6FFE" w:rsidRDefault="00E40155">
      <w:pPr>
        <w:pStyle w:val="Alinea"/>
        <w:spacing w:after="160"/>
        <w:ind w:left="400"/>
      </w:pPr>
      <w:r>
        <w:t>Að því er varðar beitingu þessa kafla skulu verðbréfafyrirtæki teljast móðureignarhaldsfélög á fjármálasviði í aðildarríki eða móðureignarhaldsfélag á fjármálasviði í Sambandinu ef slík verðbréfafyrirtæki eru móðurfélög stofnunar eða verðbréfafyrirtækis sem fellur undir þessa reglugerð, sem um getur í 2. eða 5. mgr. 1. gr. reglugerðar (ESB) 2019/2033.“</w:t>
      </w:r>
    </w:p>
    <w:p w14:paraId="71A6DF46" w14:textId="77777777" w:rsidR="001D6FFE" w:rsidRDefault="00E40155">
      <w:pPr>
        <w:pStyle w:val="NumberedText"/>
        <w:spacing w:after="160"/>
        <w:ind w:left="400" w:hanging="400"/>
      </w:pPr>
      <w:r>
        <w:t>6)</w:t>
      </w:r>
      <w:r>
        <w:tab/>
        <w:t>Í stað 4. mgr. 11. gr. kemur eftirfarandi:</w:t>
      </w:r>
    </w:p>
    <w:p w14:paraId="29D087AD" w14:textId="77777777" w:rsidR="001D6FFE" w:rsidRDefault="00E40155">
      <w:pPr>
        <w:pStyle w:val="AlineaWithParag"/>
        <w:tabs>
          <w:tab w:val="left" w:pos="783"/>
        </w:tabs>
        <w:spacing w:after="0"/>
        <w:ind w:left="400"/>
      </w:pPr>
      <w:r>
        <w:t>„4.</w:t>
      </w:r>
      <w:r>
        <w:tab/>
        <w:t>Móðurstofnanir í ESB skulu fara að sjötta hluta og d-lið 1. mgr. 430. gr. þessarar reglugerðar á grundvelli samstæðustöðu sinnar ef í samstæðunni er ein eða fleiri lánastofnanir eða verðbréfafyrirtæki sem hafa starfsleyfi til að sinna fjárfestingarþjónustu og -starfsemi sem talin er upp í 3. og 6. lið þáttar A í I. viðauka við tilskipun 2014/65/ESB.</w:t>
      </w:r>
      <w:r>
        <w:br w:type="page"/>
      </w:r>
    </w:p>
    <w:p w14:paraId="3FF1CC71" w14:textId="77777777" w:rsidR="001D6FFE" w:rsidRDefault="00E40155">
      <w:pPr>
        <w:pStyle w:val="Alinea"/>
        <w:spacing w:after="120"/>
        <w:ind w:left="400"/>
      </w:pPr>
      <w:r>
        <w:t>Ef veitt hefur verið undanþága skv. 1. til 5. mgr. 8. gr. skulu stofnanirnar og, ef við á, eignarhaldsfélögin á fjármálasviði eða blönduðu eignarhaldsfélögin í fjármálastarfsemi sem eru hluti lausafjárundirsamstæðu fara að sjötta hluta og d-lið 1. mgr. 430. gr. þessarar reglugerðar á samstæðugrunni eða á undirsamstæðugrunni lausafjárundirsamstæðunnar.“</w:t>
      </w:r>
    </w:p>
    <w:p w14:paraId="3A3CE7AA" w14:textId="77777777" w:rsidR="001D6FFE" w:rsidRDefault="00E40155">
      <w:pPr>
        <w:pStyle w:val="NumberedText"/>
        <w:spacing w:after="120"/>
        <w:ind w:left="400" w:hanging="400"/>
      </w:pPr>
      <w:r>
        <w:t>7)</w:t>
      </w:r>
      <w:r>
        <w:tab/>
        <w:t>Ákvæði 15., 16. og 17. gr. falla brott.</w:t>
      </w:r>
    </w:p>
    <w:p w14:paraId="4D902BB7" w14:textId="77777777" w:rsidR="001D6FFE" w:rsidRDefault="00E40155">
      <w:pPr>
        <w:pStyle w:val="NumberedText"/>
        <w:spacing w:after="120"/>
        <w:ind w:left="400" w:hanging="400"/>
      </w:pPr>
      <w:r>
        <w:t>8)</w:t>
      </w:r>
      <w:r>
        <w:tab/>
        <w:t>Í stað a-liðar 1. mgr. 81. gr. kemur eftirfarandi:</w:t>
      </w:r>
    </w:p>
    <w:p w14:paraId="2EE9E5D8" w14:textId="77777777" w:rsidR="001D6FFE" w:rsidRDefault="00E40155">
      <w:pPr>
        <w:pStyle w:val="NumberedText"/>
        <w:tabs>
          <w:tab w:val="clear" w:pos="2047"/>
        </w:tabs>
        <w:spacing w:after="120"/>
        <w:ind w:left="800" w:hanging="400"/>
      </w:pPr>
      <w:r>
        <w:t>„a)</w:t>
      </w:r>
      <w:r>
        <w:tab/>
        <w:t>dótturfélagið er eitt af eftirfarandi:</w:t>
      </w:r>
    </w:p>
    <w:p w14:paraId="5E236B8E" w14:textId="77777777" w:rsidR="001D6FFE" w:rsidRDefault="00E40155">
      <w:pPr>
        <w:pStyle w:val="NumberedText"/>
        <w:tabs>
          <w:tab w:val="clear" w:pos="2047"/>
        </w:tabs>
        <w:spacing w:after="120"/>
        <w:ind w:left="1160" w:hanging="360"/>
      </w:pPr>
      <w:r>
        <w:t>i.</w:t>
      </w:r>
      <w:r>
        <w:tab/>
        <w:t>stofnun,</w:t>
      </w:r>
    </w:p>
    <w:p w14:paraId="0FE2097F" w14:textId="77777777" w:rsidR="001D6FFE" w:rsidRDefault="00E40155">
      <w:pPr>
        <w:pStyle w:val="NumberedText"/>
        <w:tabs>
          <w:tab w:val="clear" w:pos="2047"/>
        </w:tabs>
        <w:spacing w:after="120"/>
        <w:ind w:left="1160" w:hanging="360"/>
      </w:pPr>
      <w:r>
        <w:t>ii.</w:t>
      </w:r>
      <w:r>
        <w:tab/>
      </w:r>
      <w:r>
        <w:t>fyrirtæki sem samkvæmt gildandi landslögum fellur undir kröfur þessarar reglugerðar og tilskipunar 2013/36/ESB,</w:t>
      </w:r>
    </w:p>
    <w:p w14:paraId="6D92F79E" w14:textId="77777777" w:rsidR="001D6FFE" w:rsidRDefault="00E40155">
      <w:pPr>
        <w:pStyle w:val="NumberedText"/>
        <w:tabs>
          <w:tab w:val="clear" w:pos="2047"/>
        </w:tabs>
        <w:spacing w:after="120"/>
        <w:ind w:left="1160" w:hanging="360"/>
      </w:pPr>
      <w:r>
        <w:t>iii.</w:t>
      </w:r>
      <w:r>
        <w:tab/>
        <w:t>eignarhaldsfélag á fjármálasviði í eigu annars félags eða blandað eignarhaldsfélag í fjármálastarfsemi sem er í eigu annars félags í samstæðunni sem fellur undir kröfur þessarar reglugerðar á undirsamstæðugrunni eða eignarhaldsfélag á verðbréfasviði í eigu annars félags í samstæðunni sem fellur undir kröfur reglugerðar (ESB) 2019/2033 á samstæðugrunni,</w:t>
      </w:r>
    </w:p>
    <w:p w14:paraId="3A32683A" w14:textId="77777777" w:rsidR="001D6FFE" w:rsidRDefault="00E40155">
      <w:pPr>
        <w:pStyle w:val="NumberedText"/>
        <w:tabs>
          <w:tab w:val="clear" w:pos="2047"/>
        </w:tabs>
        <w:spacing w:after="120"/>
        <w:ind w:left="1160" w:hanging="360"/>
      </w:pPr>
      <w:r>
        <w:t>iv.</w:t>
      </w:r>
      <w:r>
        <w:tab/>
        <w:t>verðbréfafyrirtæki,</w:t>
      </w:r>
    </w:p>
    <w:p w14:paraId="3AD54E6A" w14:textId="77777777" w:rsidR="001D6FFE" w:rsidRDefault="00E40155">
      <w:pPr>
        <w:pStyle w:val="NumberedText"/>
        <w:tabs>
          <w:tab w:val="clear" w:pos="2047"/>
        </w:tabs>
        <w:spacing w:after="120"/>
        <w:ind w:left="1160" w:hanging="360"/>
      </w:pPr>
      <w:r>
        <w:t>v.</w:t>
      </w:r>
      <w:r>
        <w:tab/>
        <w:t>eignarhaldsfélag á fjármálasviði í þriðja landi í eigu annars félags, að því tilskildu að það eignarhaldsfélag á fjármálasviði í eigu annars félags falli undir varfærniskröfur sem eru jafnstrangar og þær sem gilda um lánastofnanir þess þriðja lands og að því tilskildu að framkvæmdastjórnin hafi samþykkt ákvörðun í samræmi við 4. mgr. 107. gr. um að þessar varfærniskröfur séu a.m.k. jafngildar kröfunum í þessari reglugerð,“.</w:t>
      </w:r>
    </w:p>
    <w:p w14:paraId="242E0E14" w14:textId="77777777" w:rsidR="001D6FFE" w:rsidRDefault="00E40155">
      <w:pPr>
        <w:pStyle w:val="NumberedText"/>
        <w:spacing w:after="120"/>
        <w:ind w:left="400" w:hanging="400"/>
      </w:pPr>
      <w:r>
        <w:t>9)</w:t>
      </w:r>
      <w:r>
        <w:tab/>
        <w:t>Í stað a-liðar 82. gr. kemur eftirfarandi:</w:t>
      </w:r>
    </w:p>
    <w:p w14:paraId="15DED961" w14:textId="77777777" w:rsidR="001D6FFE" w:rsidRDefault="00E40155">
      <w:pPr>
        <w:pStyle w:val="NumberedText"/>
        <w:tabs>
          <w:tab w:val="clear" w:pos="2047"/>
        </w:tabs>
        <w:spacing w:after="120"/>
        <w:ind w:left="800" w:hanging="400"/>
      </w:pPr>
      <w:r>
        <w:t>„a)</w:t>
      </w:r>
      <w:r>
        <w:tab/>
        <w:t>dótturfélagið er eitt af eftirfarandi:</w:t>
      </w:r>
    </w:p>
    <w:p w14:paraId="214615FD" w14:textId="77777777" w:rsidR="001D6FFE" w:rsidRDefault="00E40155">
      <w:pPr>
        <w:pStyle w:val="NumberedText"/>
        <w:tabs>
          <w:tab w:val="clear" w:pos="2047"/>
        </w:tabs>
        <w:spacing w:after="120"/>
        <w:ind w:left="1160" w:hanging="360"/>
      </w:pPr>
      <w:r>
        <w:t>i.</w:t>
      </w:r>
      <w:r>
        <w:tab/>
        <w:t>stofnun,</w:t>
      </w:r>
    </w:p>
    <w:p w14:paraId="18C643C9" w14:textId="77777777" w:rsidR="001D6FFE" w:rsidRDefault="00E40155">
      <w:pPr>
        <w:pStyle w:val="NumberedText"/>
        <w:tabs>
          <w:tab w:val="clear" w:pos="2047"/>
        </w:tabs>
        <w:spacing w:after="120"/>
        <w:ind w:left="1160" w:hanging="360"/>
      </w:pPr>
      <w:r>
        <w:t>ii.</w:t>
      </w:r>
      <w:r>
        <w:tab/>
        <w:t>fyrirtæki sem samkvæmt gildandi landslögum fellur undir kröfur þessarar reglugerðar og tilskipunar 2013/36/ESB,</w:t>
      </w:r>
    </w:p>
    <w:p w14:paraId="09232454" w14:textId="77777777" w:rsidR="001D6FFE" w:rsidRDefault="00E40155">
      <w:pPr>
        <w:pStyle w:val="NumberedText"/>
        <w:tabs>
          <w:tab w:val="clear" w:pos="2047"/>
        </w:tabs>
        <w:spacing w:after="120"/>
        <w:ind w:left="1160" w:hanging="360"/>
      </w:pPr>
      <w:r>
        <w:t>iii.</w:t>
      </w:r>
      <w:r>
        <w:tab/>
        <w:t>eignarhaldsfélag á fjármálasviði í eigu annars félags eða blandað eignarhaldsfélag í fjármálastarfsemi sem er í eigu annars félags í samstæðunni sem fellur undir kröfur þessarar reglugerðar á undirsamstæðugrunni eða eignarhaldsfélag á verðbréfasviði í eigu annars félags í samstæðunni sem fellur undir kröfur reglugerðar (ESB) 2019/2033 á samstæðugrunni,</w:t>
      </w:r>
    </w:p>
    <w:p w14:paraId="243567BC" w14:textId="77777777" w:rsidR="001D6FFE" w:rsidRDefault="00E40155">
      <w:pPr>
        <w:pStyle w:val="NumberedText"/>
        <w:tabs>
          <w:tab w:val="clear" w:pos="2047"/>
        </w:tabs>
        <w:spacing w:after="120"/>
        <w:ind w:left="1160" w:hanging="360"/>
      </w:pPr>
      <w:r>
        <w:t>iv.</w:t>
      </w:r>
      <w:r>
        <w:tab/>
        <w:t>verðbréfafyrirtæki,</w:t>
      </w:r>
    </w:p>
    <w:p w14:paraId="2FD95A22" w14:textId="77777777" w:rsidR="001D6FFE" w:rsidRDefault="00E40155">
      <w:pPr>
        <w:pStyle w:val="NumberedText"/>
        <w:tabs>
          <w:tab w:val="clear" w:pos="2047"/>
        </w:tabs>
        <w:spacing w:after="120"/>
        <w:ind w:left="1160" w:hanging="360"/>
      </w:pPr>
      <w:r>
        <w:t>v.</w:t>
      </w:r>
      <w:r>
        <w:tab/>
        <w:t>eignarhaldsfélag á fjármálasviði í þriðja landi í eigu annars félags, að því tilskildu að það eignarhaldsfélag á fjármálasviði í eigu annars félags falli undir varfærniskröfur sem eru jafnstrangar og þær sem gilda um lánastofnanir þess þriðja lands og að því tilskildu að framkvæmdastjórnin hafi samþykkt ákvörðun í samræmi við 4. mgr. 107. gr. um að þessar varfærniskröfur séu a.m.k. jafngildar kröfunum í þessari reglugerð,“.</w:t>
      </w:r>
    </w:p>
    <w:p w14:paraId="4063A517" w14:textId="77777777" w:rsidR="001D6FFE" w:rsidRDefault="00E40155">
      <w:pPr>
        <w:pStyle w:val="NumberedText"/>
        <w:tabs>
          <w:tab w:val="right" w:pos="239"/>
        </w:tabs>
        <w:spacing w:after="120"/>
        <w:ind w:left="400" w:hanging="400"/>
      </w:pPr>
      <w:r>
        <w:tab/>
        <w:t>10)</w:t>
      </w:r>
      <w:r>
        <w:tab/>
        <w:t>Ákvæðum 84. gr. er breytt sem hér segir:</w:t>
      </w:r>
    </w:p>
    <w:p w14:paraId="49C13BEC" w14:textId="77777777" w:rsidR="001D6FFE" w:rsidRDefault="00E40155">
      <w:pPr>
        <w:pStyle w:val="NumberedText"/>
        <w:spacing w:after="120"/>
        <w:ind w:left="700" w:hanging="300"/>
      </w:pPr>
      <w:r>
        <w:t>a)</w:t>
      </w:r>
      <w:r>
        <w:tab/>
        <w:t>Í stað 1. mgr. kemur eftirfarandi:</w:t>
      </w:r>
    </w:p>
    <w:p w14:paraId="15249B0A" w14:textId="77777777" w:rsidR="001D6FFE" w:rsidRDefault="00E40155">
      <w:pPr>
        <w:pStyle w:val="AlineaWithParag"/>
        <w:tabs>
          <w:tab w:val="left" w:pos="1077"/>
        </w:tabs>
        <w:spacing w:after="120"/>
        <w:ind w:left="700"/>
      </w:pPr>
      <w:r>
        <w:t>„1.</w:t>
      </w:r>
      <w:r>
        <w:tab/>
        <w:t>Stofnanir skulu ákvarða þá fjárhæð hlutdeilda minnihluta hjá dótturfélagi sem tekin er með í samanlagt almennt eigið fé þáttar 1 hjá samstæðu með því að draga frá hlutdeildum minnihluta hjá því fyrirtæki niðurstöðuna af að margfalda fjárhæðina sem um getur í a-lið með hundraðshlutanum sem um getur í b-lið sem hér segir:</w:t>
      </w:r>
    </w:p>
    <w:p w14:paraId="385C7AFE" w14:textId="77777777" w:rsidR="001D6FFE" w:rsidRDefault="00E40155">
      <w:pPr>
        <w:pStyle w:val="NumberedText"/>
        <w:tabs>
          <w:tab w:val="clear" w:pos="2047"/>
        </w:tabs>
        <w:spacing w:after="120"/>
        <w:ind w:left="1000" w:hanging="300"/>
      </w:pPr>
      <w:r>
        <w:t>a)</w:t>
      </w:r>
      <w:r>
        <w:tab/>
        <w:t>almennt eigið fé þáttar 1 dótturfélagsins að frádregnu því sem lægra er af eftirfarandi:</w:t>
      </w:r>
    </w:p>
    <w:p w14:paraId="4EE72A21" w14:textId="77777777" w:rsidR="001D6FFE" w:rsidRDefault="00E40155">
      <w:pPr>
        <w:pStyle w:val="NumberedText"/>
        <w:tabs>
          <w:tab w:val="clear" w:pos="2047"/>
        </w:tabs>
        <w:spacing w:after="120"/>
        <w:ind w:left="1300" w:hanging="300"/>
      </w:pPr>
      <w:r>
        <w:t>i.</w:t>
      </w:r>
      <w:r>
        <w:tab/>
      </w:r>
      <w:r>
        <w:t>fjárhæðinni á almennu eigin fé þáttar 1 þess dótturfélags sem krafist er til að uppfylla eftirfarandi:</w:t>
      </w:r>
    </w:p>
    <w:p w14:paraId="15481540" w14:textId="77777777" w:rsidR="001D6FFE" w:rsidRDefault="00E40155">
      <w:pPr>
        <w:pStyle w:val="NumberedText"/>
        <w:spacing w:after="120"/>
        <w:ind w:left="1620" w:hanging="320"/>
      </w:pPr>
      <w:r>
        <w:t>—</w:t>
      </w:r>
      <w:r>
        <w:tab/>
        <w:t>samtölu kröfunnar sem mælt er fyrir um í a-lið 1. mgr. 92. gr. þessarar reglugerðar, krafnanna sem um getur í 458. og 459. gr. þessarar reglugerðar, sérstöku krafnanna um eiginfjárgrunn sem um getur í 104. gr. tilskipunar 2013/36/ESB, samanlögðu eiginfjáraukakröfunnar sem skilgreind er í 6. lið 128. gr. þeirrar tilskipunar, kröfunnar sem um getur í 500. gr. þessarar reglugerðar og allra annarra staðbundinna eftirlitsregluna í þriðju löndum, að því marki sem uppfylla á þessar kröfur með almennu eigin fé þát</w:t>
      </w:r>
      <w:r>
        <w:t>tar 1,</w:t>
      </w:r>
    </w:p>
    <w:p w14:paraId="0963E2E3" w14:textId="77777777" w:rsidR="001D6FFE" w:rsidRDefault="00E40155">
      <w:pPr>
        <w:pStyle w:val="NumberedText"/>
        <w:spacing w:after="0"/>
        <w:ind w:left="1620" w:hanging="320"/>
      </w:pPr>
      <w:r>
        <w:t>—</w:t>
      </w:r>
      <w:r>
        <w:tab/>
        <w:t>ef dótturfélagið er verðbréfafyrirtæki, samtölu kröfunnar sem mælt er fyrir um í 11. gr. reglugerðar (ESB) 2019/2033, sérstöku krafnanna um eiginfjárgrunn sem um getur í a-lið 2. mgr. 39. gr. tilskipunar (ESB) 2019/2034 og allra annarra staðbundinna eftirlitsreglna í þriðju löndum, að því marki sem uppfylla á þessar kröfur með almennu eigin fé þáttar 1,</w:t>
      </w:r>
      <w:r>
        <w:br w:type="page"/>
      </w:r>
    </w:p>
    <w:p w14:paraId="5803DF80" w14:textId="77777777" w:rsidR="001D6FFE" w:rsidRDefault="00E40155">
      <w:pPr>
        <w:pStyle w:val="NumberedText"/>
        <w:tabs>
          <w:tab w:val="right" w:pos="1131"/>
        </w:tabs>
        <w:spacing w:after="160"/>
        <w:ind w:left="1300" w:hanging="300"/>
      </w:pPr>
      <w:r>
        <w:tab/>
        <w:t>ii.</w:t>
      </w:r>
      <w:r>
        <w:tab/>
        <w:t>fjárhæðinni á almennu eigin fé þáttar 1 hjá samstæðu sem tengist því dótturfélagi sem krafist er að uppfylli á samstæðugrunni samtölu kröfunnar sem mælt er fyrir um í a-lið 1. mgr. 92. gr. þessarar reglugerðar, krafnanna sem um getur í 458. og 459. gr. þessarar reglugerðar, sérstöku krafnanna um eiginfjárgrunn sem um getur í 104. gr. tilskipunar 2013/36/ESB, samanlögðu eiginfjáraukakröfunnar sem skilgreind er í 6. lið 128. gr. þeirrar tilskipunar, kröfunnar sem um getur í 500. gr. þessarar reglugerðar og a</w:t>
      </w:r>
      <w:r>
        <w:t>llra annarra staðbundinna eftirlitsreglna í þriðju löndum, að því marki sem uppfylla á þessar kröfur með almennu eigin fé þáttar 1,</w:t>
      </w:r>
    </w:p>
    <w:p w14:paraId="27A224D1" w14:textId="77777777" w:rsidR="001D6FFE" w:rsidRDefault="00E40155">
      <w:pPr>
        <w:pStyle w:val="NumberedText"/>
        <w:tabs>
          <w:tab w:val="clear" w:pos="2047"/>
        </w:tabs>
        <w:spacing w:after="160"/>
        <w:ind w:left="1000" w:hanging="300"/>
      </w:pPr>
      <w:r>
        <w:t>b)</w:t>
      </w:r>
      <w:r>
        <w:tab/>
        <w:t>hlutdeildum minnihluta dótturfélagsins, gefnum upp sem hundraðshluti allra almennra eiginfjárgrunnsgerninga þáttar 1 hjá því fyrirtæki, að viðbættum tengdum yfirverðsreikningum hlutafjár, óráðstöfuðu eigin fé og öðrum varasjóðum.“</w:t>
      </w:r>
    </w:p>
    <w:p w14:paraId="126B2E4F" w14:textId="77777777" w:rsidR="001D6FFE" w:rsidRDefault="00E40155">
      <w:pPr>
        <w:pStyle w:val="NumberedText"/>
        <w:spacing w:after="160"/>
        <w:ind w:left="700" w:hanging="300"/>
      </w:pPr>
      <w:r>
        <w:t>b)</w:t>
      </w:r>
      <w:r>
        <w:tab/>
        <w:t>Í stað 3. mgr. kemur eftirfarandi:</w:t>
      </w:r>
    </w:p>
    <w:p w14:paraId="34DC5202" w14:textId="77777777" w:rsidR="001D6FFE" w:rsidRDefault="00E40155">
      <w:pPr>
        <w:pStyle w:val="AlineaWithParag"/>
        <w:tabs>
          <w:tab w:val="left" w:pos="1077"/>
        </w:tabs>
        <w:spacing w:after="160"/>
        <w:ind w:left="700"/>
      </w:pPr>
      <w:r>
        <w:t>„3.</w:t>
      </w:r>
      <w:r>
        <w:tab/>
        <w:t>Nýti lögbært yfirvald sér undanþáguna frá því að beita varfærniskröfum á einingargrunni, eins og um getur í 7. gr. þessarar reglugerðar eða, eftir því sem við á, eins og mælt er fyrir um í 6. gr. reglugerðar (ESB) 2019/2033, skal hlutdeild minnihluta hjá dótturfélögunum sem undanþágan gildir um ekki færð í eiginfjárgrunn á undirsamstæðu- eða samstæðustigi, eftir því sem við á.“</w:t>
      </w:r>
    </w:p>
    <w:p w14:paraId="0342F13E" w14:textId="77777777" w:rsidR="001D6FFE" w:rsidRDefault="00E40155">
      <w:pPr>
        <w:pStyle w:val="NumberedText"/>
        <w:tabs>
          <w:tab w:val="right" w:pos="239"/>
        </w:tabs>
        <w:spacing w:after="160"/>
        <w:ind w:left="400" w:hanging="400"/>
      </w:pPr>
      <w:r>
        <w:tab/>
        <w:t>11)</w:t>
      </w:r>
      <w:r>
        <w:tab/>
        <w:t>Ákvæðum 85. gr. er breytt sem hér segir:</w:t>
      </w:r>
    </w:p>
    <w:p w14:paraId="3A2D9B2F" w14:textId="77777777" w:rsidR="001D6FFE" w:rsidRDefault="00E40155">
      <w:pPr>
        <w:pStyle w:val="NumberedText"/>
        <w:spacing w:after="160"/>
        <w:ind w:left="700" w:hanging="300"/>
      </w:pPr>
      <w:r>
        <w:t>a)</w:t>
      </w:r>
      <w:r>
        <w:tab/>
        <w:t>Í stað 1. mgr. kemur eftirfarandi:</w:t>
      </w:r>
    </w:p>
    <w:p w14:paraId="02A734BE" w14:textId="77777777" w:rsidR="001D6FFE" w:rsidRDefault="00E40155">
      <w:pPr>
        <w:pStyle w:val="AlineaWithParag"/>
        <w:tabs>
          <w:tab w:val="left" w:pos="1077"/>
        </w:tabs>
        <w:spacing w:after="160"/>
        <w:ind w:left="700"/>
      </w:pPr>
      <w:r>
        <w:t>„1.</w:t>
      </w:r>
      <w:r>
        <w:tab/>
        <w:t>Stofnanir skulu ákvarða þá fjárhæð viðurkennds eiginfjárþáttar 1 hjá dótturfélagi sem tekin er með í eiginfjárgrunn á samstæðustigi með því að draga frá viðurkenndum eiginfjárþætti 1 hjá því fyrirtæki niðurstöðuna af því að margfalda fjárhæðina sem um getur í a-lið með hundraðshlutanum sem um getur í b-lið sem hér segir:</w:t>
      </w:r>
    </w:p>
    <w:p w14:paraId="639F1F42" w14:textId="77777777" w:rsidR="001D6FFE" w:rsidRDefault="00E40155">
      <w:pPr>
        <w:pStyle w:val="NumberedText"/>
        <w:tabs>
          <w:tab w:val="clear" w:pos="2047"/>
        </w:tabs>
        <w:spacing w:after="160"/>
        <w:ind w:left="1000" w:hanging="300"/>
      </w:pPr>
      <w:r>
        <w:t>a)</w:t>
      </w:r>
      <w:r>
        <w:tab/>
        <w:t>eiginfjárþáttur 1 dótturfélagins að frádregnu því sem lægra er af eftirfarandi:</w:t>
      </w:r>
    </w:p>
    <w:p w14:paraId="6A7F16B2" w14:textId="77777777" w:rsidR="001D6FFE" w:rsidRDefault="00E40155">
      <w:pPr>
        <w:pStyle w:val="NumberedText"/>
        <w:tabs>
          <w:tab w:val="clear" w:pos="2047"/>
        </w:tabs>
        <w:spacing w:after="160"/>
        <w:ind w:left="1300" w:hanging="300"/>
      </w:pPr>
      <w:r>
        <w:t>i.</w:t>
      </w:r>
      <w:r>
        <w:tab/>
        <w:t>þeirri fjárhæð eiginfjárþáttar 1 þess dótturfélags sem þarf til að uppfylla eftirfarandi:</w:t>
      </w:r>
    </w:p>
    <w:p w14:paraId="289694D7" w14:textId="77777777" w:rsidR="001D6FFE" w:rsidRDefault="00E40155">
      <w:pPr>
        <w:pStyle w:val="NumberedText"/>
        <w:spacing w:after="160"/>
        <w:ind w:left="1620" w:hanging="320"/>
      </w:pPr>
      <w:r>
        <w:t>—</w:t>
      </w:r>
      <w:r>
        <w:tab/>
        <w:t>samtölu kröfunnar sem mælt er fyrir um í b-lið 1. mgr. 92. gr. þessarar reglugerðar, krafnanna sem um getur í 458. og 459. gr. þessarar reglugerðar, sérstöku krafnanna um eiginfjárgrunn sem um getur í 104. gr. tilskipunar 2013/36/ESB, samanlögðu eiginfjáraukakröfunnar sem skilgreind er í 6. lið 128. gr. þeirrar tilskipunar, krafnanna sem um getur í 500. gr. þessarar reglugerðar og allra annarra staðbundinna eftirlitsreglna í þriðju löndum, að því marki sem uppfylla á þessar kröfur með eignfjárþætti 1,</w:t>
      </w:r>
    </w:p>
    <w:p w14:paraId="33D8BE58" w14:textId="77777777" w:rsidR="001D6FFE" w:rsidRDefault="00E40155">
      <w:pPr>
        <w:pStyle w:val="NumberedText"/>
        <w:spacing w:after="160"/>
        <w:ind w:left="1620" w:hanging="320"/>
      </w:pPr>
      <w:r>
        <w:t>—</w:t>
      </w:r>
      <w:r>
        <w:tab/>
      </w:r>
      <w:r>
        <w:t>ef dótturfélagið er verðbréfafyrirtæki, samtölu kröfunnar sem mælt er fyrir um í 11. gr. reglugerðar (ESB) 2019/2033, sérstöku kröfunnar um eiginfjárgrunn sem um getur í a-lið 2. mgr. 39. gr. tilskipunar (ESB) 2019/2034 og allra annarra staðbundinna eftirlitsreglna í þriðju löndum, að því marki sem uppfylla á þessar kröfur með eiginfjárþætti 1,</w:t>
      </w:r>
    </w:p>
    <w:p w14:paraId="1D0AFF53" w14:textId="77777777" w:rsidR="001D6FFE" w:rsidRDefault="00E40155">
      <w:pPr>
        <w:pStyle w:val="NumberedText"/>
        <w:tabs>
          <w:tab w:val="right" w:pos="1131"/>
        </w:tabs>
        <w:spacing w:after="160"/>
        <w:ind w:left="1300" w:hanging="300"/>
      </w:pPr>
      <w:r>
        <w:tab/>
        <w:t>ii.</w:t>
      </w:r>
      <w:r>
        <w:tab/>
        <w:t>þeirri fjárhæð eignfjárþáttar 1 hjá samstæðu sem tengist dótturfélaginu sem krafist er að uppfylli á samstæðugrunni samtölu kröfunnar sem mælt er fyrir um í b-lið 1. mgr. 92. gr. þessarar reglugerðar, krafnanna sem um getur í 458. og 459. gr. þessarar reglugerðar, sérstöku krafnanna um eiginfjárgrunn sem um getur í 104. gr. tilskipunar 2013/36/ESB, samanlögðu eiginfjáraukakröfunnar sem skilgreind er í 6. lið 128. gr. þeirrar tilskipunar, krafnanna sem um getur í 500. gr. þessarar reglugerðar og allra annar</w:t>
      </w:r>
      <w:r>
        <w:t>ra staðbundinna eftirlitsreglna í þriðju löndum, að því marki sem uppfylla á þessar kröfur með eiginfjárþætti 1,</w:t>
      </w:r>
    </w:p>
    <w:p w14:paraId="49F1E653" w14:textId="77777777" w:rsidR="001D6FFE" w:rsidRDefault="00E40155">
      <w:pPr>
        <w:pStyle w:val="NumberedText"/>
        <w:tabs>
          <w:tab w:val="clear" w:pos="2047"/>
        </w:tabs>
        <w:spacing w:after="160"/>
        <w:ind w:left="1000" w:hanging="300"/>
      </w:pPr>
      <w:r>
        <w:t>b)</w:t>
      </w:r>
      <w:r>
        <w:tab/>
        <w:t>viðurkenndum eiginfjárþætti 1 dótturfélagsins, gefnum upp sem hundraðshluti allra eiginfjárgerninga þáttar 1 þess fyrirtækis, að viðbættum tengdum yfirverðsreikningum hlutafjár, óráðstöfuðu eigin fé og öðrum varasjóðum.“</w:t>
      </w:r>
    </w:p>
    <w:p w14:paraId="601DC974" w14:textId="77777777" w:rsidR="001D6FFE" w:rsidRDefault="00E40155">
      <w:pPr>
        <w:pStyle w:val="NumberedText"/>
        <w:spacing w:after="160"/>
        <w:ind w:left="700" w:hanging="300"/>
      </w:pPr>
      <w:r>
        <w:t>b)</w:t>
      </w:r>
      <w:r>
        <w:tab/>
        <w:t>Í stað 3. mgr. kemur eftirfarandi:</w:t>
      </w:r>
    </w:p>
    <w:p w14:paraId="71C65608" w14:textId="77777777" w:rsidR="001D6FFE" w:rsidRDefault="00E40155">
      <w:pPr>
        <w:pStyle w:val="AlineaWithParag"/>
        <w:tabs>
          <w:tab w:val="left" w:pos="1077"/>
        </w:tabs>
        <w:spacing w:after="160"/>
        <w:ind w:left="700"/>
      </w:pPr>
      <w:r>
        <w:t>„3.</w:t>
      </w:r>
      <w:r>
        <w:tab/>
        <w:t>Nýti lögbært yfirvald sér undanþáguna frá því að beita varfærniskröfum á einingargrunni, eins og um getur í 7. gr. þessarar reglugerðar eða, ef við á, eins og mælt er fyrir um í 6. gr. reglugerðar (ESB) 2019/2033, skulu eiginfjárgerningar þáttar 1 hjá dótturfélögunum sem undanþágan gildir um ekki færðir sem eiginfjárgrunnur á undirsamstæðu- eða samstæðustigi, eftir því sem við á.“</w:t>
      </w:r>
    </w:p>
    <w:p w14:paraId="60DF6A83" w14:textId="77777777" w:rsidR="001D6FFE" w:rsidRDefault="00E40155">
      <w:pPr>
        <w:pStyle w:val="NumberedText"/>
        <w:tabs>
          <w:tab w:val="right" w:pos="239"/>
        </w:tabs>
        <w:spacing w:after="160"/>
        <w:ind w:left="400" w:hanging="400"/>
      </w:pPr>
      <w:r>
        <w:tab/>
        <w:t>12)</w:t>
      </w:r>
      <w:r>
        <w:tab/>
        <w:t>Ákvæðum 87. gr. er breytt sem hér segir:</w:t>
      </w:r>
    </w:p>
    <w:p w14:paraId="76061C4C" w14:textId="77777777" w:rsidR="001D6FFE" w:rsidRDefault="00E40155">
      <w:pPr>
        <w:pStyle w:val="NumberedText"/>
        <w:spacing w:after="160"/>
        <w:ind w:left="700" w:hanging="300"/>
      </w:pPr>
      <w:r>
        <w:t>a)</w:t>
      </w:r>
      <w:r>
        <w:tab/>
        <w:t>Í stað 1. mgr. kemur eftirfarandi:</w:t>
      </w:r>
    </w:p>
    <w:p w14:paraId="63788159" w14:textId="77777777" w:rsidR="001D6FFE" w:rsidRDefault="00E40155">
      <w:pPr>
        <w:pStyle w:val="AlineaWithParag"/>
        <w:tabs>
          <w:tab w:val="left" w:pos="1077"/>
        </w:tabs>
        <w:spacing w:after="0"/>
        <w:ind w:left="700"/>
      </w:pPr>
      <w:r>
        <w:t>„1.</w:t>
      </w:r>
      <w:r>
        <w:tab/>
        <w:t>Stofnanir skulu ákvarða þá fjárhæð viðurkennds eiginfjárgrunns hjá dótturfélagi sem tekin er með í eiginfjárgrunn á samstæðustigi með því að draga frá viðurkenndum eiginfjárgrunni hjá því fyrirtæki niðurstöðuna af að margfalda fjárhæðina sem um getur í a-lið með hundraðshlutanum sem um getur í b-lið sem hér segir:</w:t>
      </w:r>
      <w:r>
        <w:br w:type="page"/>
      </w:r>
    </w:p>
    <w:p w14:paraId="21072959" w14:textId="77777777" w:rsidR="001D6FFE" w:rsidRDefault="00E40155">
      <w:pPr>
        <w:pStyle w:val="NumberedText"/>
        <w:spacing w:after="120"/>
        <w:ind w:left="1000" w:hanging="300"/>
      </w:pPr>
      <w:r>
        <w:t>a)</w:t>
      </w:r>
      <w:r>
        <w:tab/>
        <w:t>eiginfjárgrunnur dótturfélagsins að frádregnu því sem lægra er af eftirfarandi:</w:t>
      </w:r>
    </w:p>
    <w:p w14:paraId="2AC9F208" w14:textId="77777777" w:rsidR="001D6FFE" w:rsidRDefault="00E40155">
      <w:pPr>
        <w:pStyle w:val="NumberedText"/>
        <w:tabs>
          <w:tab w:val="clear" w:pos="2047"/>
        </w:tabs>
        <w:spacing w:after="120"/>
        <w:ind w:left="1300" w:hanging="300"/>
      </w:pPr>
      <w:r>
        <w:t>i.</w:t>
      </w:r>
      <w:r>
        <w:tab/>
        <w:t>þeirri fjárhæð eiginfjárgrunns þess dótturfélags sem þarf til að uppfylla eftirfarandi:</w:t>
      </w:r>
    </w:p>
    <w:p w14:paraId="2056E750" w14:textId="77777777" w:rsidR="001D6FFE" w:rsidRDefault="00E40155">
      <w:pPr>
        <w:pStyle w:val="NumberedText"/>
        <w:spacing w:after="120"/>
        <w:ind w:left="1620" w:hanging="320"/>
      </w:pPr>
      <w:r>
        <w:t>—</w:t>
      </w:r>
      <w:r>
        <w:tab/>
        <w:t>samtölu kröfunnar sem mælt er fyrir um í c-lið 1. mgr. 92. gr. þessarar reglugerðar, krafnanna sem um getur í 458. og 459. gr. þessarar reglugerðar, sérstöku krafnanna um eiginfjárgrunn sem um getur í 104. gr. tilskipunar 2013/36/ESB, samanlögðu eiginfjáraukakröfunnar sem skilgreind er í 6. lið 128. gr. þeirrar tilskipunar, krafnanna sem um getur í 500. gr. þessarar reglugerðar og allra annarra staðbundinna eftirlitsreglna í þriðju löndum,</w:t>
      </w:r>
    </w:p>
    <w:p w14:paraId="40F4A9B3" w14:textId="77777777" w:rsidR="001D6FFE" w:rsidRDefault="00E40155">
      <w:pPr>
        <w:pStyle w:val="NumberedText"/>
        <w:spacing w:after="120"/>
        <w:ind w:left="1620" w:hanging="320"/>
      </w:pPr>
      <w:r>
        <w:t>—</w:t>
      </w:r>
      <w:r>
        <w:tab/>
        <w:t>ef dótturfélagið er verðbréfafyrirtæki, samtölu kröfunnar sem mælt er fyrir um í 11. gr. reglugerðar (ESB) 2019/2033, sérstöku kröfunnar um eiginfjárgrunn sem um getur í a-lið 2. mgr. 39. gr. tilskipunar (ESB) 2019/2034 og allra annarra staðbundinna eftirlitsreglna í þriðju löndum,</w:t>
      </w:r>
    </w:p>
    <w:p w14:paraId="051F165E" w14:textId="77777777" w:rsidR="001D6FFE" w:rsidRDefault="00E40155">
      <w:pPr>
        <w:pStyle w:val="NumberedText"/>
        <w:tabs>
          <w:tab w:val="right" w:pos="1131"/>
        </w:tabs>
        <w:spacing w:after="120"/>
        <w:ind w:left="1300" w:hanging="300"/>
      </w:pPr>
      <w:r>
        <w:tab/>
        <w:t>ii.</w:t>
      </w:r>
      <w:r>
        <w:tab/>
      </w:r>
      <w:r>
        <w:t>þeirri fjárhæð eiginfjárgrunns sem tengist dótturfélaginu sem krafist er að uppfylli á samstæðugrunni samtölu kröfunnar sem mælt er fyrir um í c-lið 1. mgr. 92. gr. þessarar reglugerðar á samstæðugrunni, krafnanna sem um getur í 458. og 459. gr. þessarar reglugerðar, sérstöku krafnanna um eiginfjárgrunn sem um getur í 104. gr. tilskipunar 2013/36/ESB, samanlögðu eiginfjáraukakröfunnar sem skilgreind er í 6. lið 128. gr. þeirrar tilskipunar, krafnanna sem um getur í 500. gr. þessarar reglugerðar og allra ann</w:t>
      </w:r>
      <w:r>
        <w:t>arra staðbundinna eftirlitsreglna í þriðju löndum,</w:t>
      </w:r>
    </w:p>
    <w:p w14:paraId="14A9BB90" w14:textId="77777777" w:rsidR="001D6FFE" w:rsidRDefault="00E40155">
      <w:pPr>
        <w:pStyle w:val="NumberedText"/>
        <w:spacing w:after="120"/>
        <w:ind w:left="1000" w:hanging="300"/>
      </w:pPr>
      <w:r>
        <w:t>b)</w:t>
      </w:r>
      <w:r>
        <w:tab/>
        <w:t>viðurkenndur eiginfjárgrunnur fyrirtækisins, tilgreindur sem hundraðshluti allra eiginfjárgrunnsgerninga dótturfélagsins sem teknir eru með í liði í almennu eigin fé þáttar 1, viðbótareiginfé þáttar 1 og þáttar 2, og tengdum yfirverðsreikningum hlutafjár, óráðstöfuðu eigin fé og öðrum varasjóðum.“</w:t>
      </w:r>
    </w:p>
    <w:p w14:paraId="4E8D4B9E" w14:textId="77777777" w:rsidR="001D6FFE" w:rsidRDefault="00E40155">
      <w:pPr>
        <w:pStyle w:val="NumberedText"/>
        <w:spacing w:after="120"/>
        <w:ind w:left="700" w:hanging="300"/>
      </w:pPr>
      <w:r>
        <w:t>b)</w:t>
      </w:r>
      <w:r>
        <w:tab/>
        <w:t>Í stað 3. mgr. kemur eftirfarandi:</w:t>
      </w:r>
    </w:p>
    <w:p w14:paraId="1D9AD11B" w14:textId="77777777" w:rsidR="001D6FFE" w:rsidRDefault="00E40155">
      <w:pPr>
        <w:pStyle w:val="AlineaWithParag"/>
        <w:tabs>
          <w:tab w:val="left" w:pos="1077"/>
        </w:tabs>
        <w:spacing w:after="120"/>
        <w:ind w:left="700"/>
      </w:pPr>
      <w:r>
        <w:t>„3.</w:t>
      </w:r>
      <w:r>
        <w:tab/>
        <w:t>Nýti lögbært yfirvald sér undanþáguna frá því að beita varfærniskröfum á einingargrunni, eins og um getur í 7. gr. þessarar reglugerðar eða ,eftir því sem við á, eins og mælt er fyrir um í 6. gr. reglugerðar (ESB) 2019/2033, skulu eiginfjárgrunnsgerningar hjá dótturfélögunum sem undanþágan gildir um ekki færðir sem eiginfjárgrunnur á undirsamstæðu- eða samstæðustigi, eftir því sem við á.“</w:t>
      </w:r>
    </w:p>
    <w:p w14:paraId="5754B114" w14:textId="77777777" w:rsidR="001D6FFE" w:rsidRDefault="00E40155">
      <w:pPr>
        <w:pStyle w:val="NumberedText"/>
        <w:tabs>
          <w:tab w:val="right" w:pos="239"/>
        </w:tabs>
        <w:spacing w:after="120"/>
        <w:ind w:left="400" w:hanging="400"/>
      </w:pPr>
      <w:r>
        <w:tab/>
        <w:t>13)</w:t>
      </w:r>
      <w:r>
        <w:tab/>
        <w:t>Ákvæðum 93. gr. er breytt sem hér segir:</w:t>
      </w:r>
    </w:p>
    <w:p w14:paraId="671A35EA" w14:textId="77777777" w:rsidR="001D6FFE" w:rsidRDefault="00E40155">
      <w:pPr>
        <w:pStyle w:val="NumberedText"/>
        <w:spacing w:after="120"/>
        <w:ind w:left="700" w:hanging="300"/>
      </w:pPr>
      <w:r>
        <w:t>a)</w:t>
      </w:r>
      <w:r>
        <w:tab/>
        <w:t>Ákvæði 3. mgr. falla brott,</w:t>
      </w:r>
    </w:p>
    <w:p w14:paraId="73933031" w14:textId="77777777" w:rsidR="001D6FFE" w:rsidRDefault="00E40155">
      <w:pPr>
        <w:pStyle w:val="NumberedText"/>
        <w:spacing w:after="120"/>
        <w:ind w:left="700" w:hanging="300"/>
      </w:pPr>
      <w:r>
        <w:t>b)</w:t>
      </w:r>
      <w:r>
        <w:tab/>
        <w:t>Í stað 4., 5. og 6. mgr. kemur eftirfarandi:</w:t>
      </w:r>
    </w:p>
    <w:p w14:paraId="70ACAE00" w14:textId="77777777" w:rsidR="001D6FFE" w:rsidRDefault="00E40155">
      <w:pPr>
        <w:pStyle w:val="AlineaWithParag"/>
        <w:tabs>
          <w:tab w:val="left" w:pos="1077"/>
        </w:tabs>
        <w:spacing w:after="120"/>
        <w:ind w:left="700"/>
      </w:pPr>
      <w:r>
        <w:t>„4.</w:t>
      </w:r>
      <w:r>
        <w:tab/>
        <w:t>Þegar einstaklingur eða lögaðili, annar en aðilinn sem hafði yfirráð yfir stofnuninni áður, öðlast yfirráð yfir stofnun sem fellur innan þess flokks sem um getur í 2. mgr. skal fjárhæðin á eiginfjárgrunni þeirrar stofnunar ná stofnfjárhæðinni sem krafist er.</w:t>
      </w:r>
    </w:p>
    <w:p w14:paraId="2B9C2CEA" w14:textId="77777777" w:rsidR="001D6FFE" w:rsidRDefault="00E40155">
      <w:pPr>
        <w:pStyle w:val="AlineaWithParag"/>
        <w:tabs>
          <w:tab w:val="left" w:pos="1077"/>
        </w:tabs>
        <w:spacing w:after="120"/>
        <w:ind w:left="700"/>
      </w:pPr>
      <w:r>
        <w:t>5.</w:t>
      </w:r>
      <w:r>
        <w:tab/>
      </w:r>
      <w:r>
        <w:t>Þegar um er að ræða samruna tveggja eða fleiri stofnana er falla innan þess flokks sem um getur í 2. mgr. skal fjárhæðin á eiginfjárgrunni stofnunarinnar sem leiðir af samrunanum ekki vera lægri en heildareiginfjárgrunnur stofnananna sem sameinast, þegar samruninn átti sér stað, svo fremi sem stofnfjárhæðinni sem krafist er hafi ekki verið náð.</w:t>
      </w:r>
    </w:p>
    <w:p w14:paraId="2173CAAD" w14:textId="77777777" w:rsidR="001D6FFE" w:rsidRDefault="00E40155">
      <w:pPr>
        <w:pStyle w:val="AlineaWithParag"/>
        <w:tabs>
          <w:tab w:val="left" w:pos="1077"/>
        </w:tabs>
        <w:spacing w:after="120"/>
        <w:ind w:left="700"/>
      </w:pPr>
      <w:r>
        <w:t>6.</w:t>
      </w:r>
      <w:r>
        <w:tab/>
        <w:t>Þegar lögbær yfirvöld telja nauðsynlegt að skilyrðið sem mælt er fyrir um í 1. mgr. sé uppfyllt til að gjaldfærni stofnunar sé tryggð gilda ákvæðin sem mælt er fyrir um í 2., 4. og 5. mgr. ekki.“</w:t>
      </w:r>
    </w:p>
    <w:p w14:paraId="72331521" w14:textId="77777777" w:rsidR="001D6FFE" w:rsidRDefault="00E40155">
      <w:pPr>
        <w:pStyle w:val="NumberedText"/>
        <w:tabs>
          <w:tab w:val="right" w:pos="239"/>
        </w:tabs>
        <w:spacing w:after="120"/>
        <w:ind w:left="400" w:hanging="400"/>
      </w:pPr>
      <w:r>
        <w:tab/>
        <w:t>14)</w:t>
      </w:r>
      <w:r>
        <w:tab/>
        <w:t>Í 1. kafla I. bálks þriðja hluta fellur 2. þáttur brott (95.–98. gr.) frá og með 26. júní 2026.</w:t>
      </w:r>
    </w:p>
    <w:p w14:paraId="2CBE7B5D" w14:textId="77777777" w:rsidR="001D6FFE" w:rsidRDefault="00E40155">
      <w:pPr>
        <w:pStyle w:val="NumberedText"/>
        <w:tabs>
          <w:tab w:val="right" w:pos="239"/>
        </w:tabs>
        <w:spacing w:after="120"/>
        <w:ind w:left="400" w:hanging="400"/>
      </w:pPr>
      <w:r>
        <w:tab/>
        <w:t>15)</w:t>
      </w:r>
      <w:r>
        <w:tab/>
        <w:t>Í stað 5. mgr. 119. gr. kemur eftirfarandi:</w:t>
      </w:r>
    </w:p>
    <w:p w14:paraId="228F79AD" w14:textId="77777777" w:rsidR="001D6FFE" w:rsidRDefault="00E40155">
      <w:pPr>
        <w:pStyle w:val="AlineaWithParag"/>
        <w:tabs>
          <w:tab w:val="left" w:pos="783"/>
        </w:tabs>
        <w:spacing w:after="120"/>
        <w:ind w:left="400"/>
      </w:pPr>
      <w:r>
        <w:t>„5.</w:t>
      </w:r>
      <w:r>
        <w:tab/>
        <w:t>Meðhöndla skal áhættuskuldbindingar vegna fjármálastofnana, sem lögbær yfirvöld hafa veitt starfsleyfi og hafa eftirlit með og falla undir varfærniskröfur sambærilegar þeim sem beitt er gagnvart stofnunum með tilliti til traustleika, á sama hátt og áhættuskuldbindingar vegna stofnana.</w:t>
      </w:r>
    </w:p>
    <w:p w14:paraId="753BA1FC" w14:textId="77777777" w:rsidR="001D6FFE" w:rsidRDefault="00E40155">
      <w:pPr>
        <w:pStyle w:val="Alinea"/>
        <w:spacing w:after="120"/>
        <w:ind w:left="400"/>
      </w:pPr>
      <w:r>
        <w:t>Að því er varðar þessa málsgrein skulu varfærniskröfurnar sem mælt er fyrir um í reglugerð (ESB) 2019/2033 teljast sambærilegar þeim sem gilda um stofnanir hvað traustleika varðar.“</w:t>
      </w:r>
    </w:p>
    <w:p w14:paraId="0BC22CF9" w14:textId="77777777" w:rsidR="001D6FFE" w:rsidRDefault="00E40155">
      <w:pPr>
        <w:pStyle w:val="NumberedText"/>
        <w:tabs>
          <w:tab w:val="right" w:pos="239"/>
        </w:tabs>
        <w:spacing w:after="120"/>
        <w:ind w:left="400" w:hanging="400"/>
      </w:pPr>
      <w:r>
        <w:tab/>
        <w:t>16)</w:t>
      </w:r>
      <w:r>
        <w:tab/>
        <w:t>Í stað a-liðar annarrar undirgreinar 3. mgr. 162. gr. kemur eftirfarandi:</w:t>
      </w:r>
    </w:p>
    <w:p w14:paraId="3343F9A4" w14:textId="77777777" w:rsidR="001D6FFE" w:rsidRDefault="00E40155">
      <w:pPr>
        <w:pStyle w:val="NumberedText"/>
        <w:spacing w:after="120"/>
        <w:ind w:left="800" w:hanging="400"/>
      </w:pPr>
      <w:r>
        <w:t>„a)</w:t>
      </w:r>
      <w:r>
        <w:tab/>
        <w:t>áhættuskuldbindinga vegna stofnana eða verðbréfafyrirtækja sem stafa af uppgjöri skuldbindinga í erlendum gjaldeyri,“.</w:t>
      </w:r>
    </w:p>
    <w:p w14:paraId="51CCD05C" w14:textId="77777777" w:rsidR="001D6FFE" w:rsidRDefault="00E40155">
      <w:pPr>
        <w:pStyle w:val="NumberedText"/>
        <w:tabs>
          <w:tab w:val="right" w:pos="239"/>
        </w:tabs>
        <w:spacing w:after="120"/>
        <w:ind w:left="400" w:hanging="400"/>
      </w:pPr>
      <w:r>
        <w:tab/>
        <w:t>17)</w:t>
      </w:r>
      <w:r>
        <w:tab/>
        <w:t>Ákvæðum 197. gr. er breytt sem hér segir:</w:t>
      </w:r>
    </w:p>
    <w:p w14:paraId="396233B6" w14:textId="77777777" w:rsidR="001D6FFE" w:rsidRDefault="00E40155">
      <w:pPr>
        <w:pStyle w:val="NumberedText"/>
        <w:spacing w:after="120"/>
        <w:ind w:left="700" w:hanging="300"/>
      </w:pPr>
      <w:r>
        <w:t>a)</w:t>
      </w:r>
      <w:r>
        <w:tab/>
        <w:t>Í stað c-liðar 1. mgr. kemur eftirfarandi:</w:t>
      </w:r>
    </w:p>
    <w:p w14:paraId="0766A23D" w14:textId="77777777" w:rsidR="001D6FFE" w:rsidRDefault="00E40155">
      <w:pPr>
        <w:pStyle w:val="NumberedText"/>
        <w:spacing w:after="0"/>
        <w:ind w:left="1100" w:hanging="400"/>
      </w:pPr>
      <w:r>
        <w:t>„c)</w:t>
      </w:r>
      <w:r>
        <w:tab/>
      </w:r>
      <w:r>
        <w:t>skuldabréf, gefin út af stofnunum eða verðbréfafyrirtækjum hverra verðbréf hafa lánshæfismat frá utanaðkomandi lánshæfismatsfyrirtæki sem Evrópska bankaeftirlitsstofnunin hefur ákvarðað að samsvari 3. lánshæfisþrepi eða hærra samkvæmt reglunum um áhættuvog áhættuskuldbindinga vegna stofnana skv. 2. kafla,“.</w:t>
      </w:r>
      <w:r>
        <w:br w:type="page"/>
      </w:r>
    </w:p>
    <w:p w14:paraId="076ABED4" w14:textId="77777777" w:rsidR="001D6FFE" w:rsidRDefault="00E40155">
      <w:pPr>
        <w:pStyle w:val="NumberedText"/>
        <w:spacing w:after="120"/>
        <w:ind w:left="700" w:hanging="300"/>
      </w:pPr>
      <w:r>
        <w:t>b)</w:t>
      </w:r>
      <w:r>
        <w:tab/>
        <w:t>Í stað inngangsorðanna í 4. mgr. kemur eftirfarandi:</w:t>
      </w:r>
    </w:p>
    <w:p w14:paraId="25277521" w14:textId="77777777" w:rsidR="001D6FFE" w:rsidRDefault="00E40155">
      <w:pPr>
        <w:pStyle w:val="AlineaWithParag"/>
        <w:tabs>
          <w:tab w:val="left" w:pos="1077"/>
        </w:tabs>
        <w:spacing w:after="120"/>
        <w:ind w:left="700"/>
      </w:pPr>
      <w:r>
        <w:t>„4.</w:t>
      </w:r>
      <w:r>
        <w:tab/>
        <w:t>Stofnun er heimilt að nota skuldabréf, sem gefin eru út af öðrum stofnunum eða verðbréfafyrirtækjum og hafa ekki lánshæfismat frá utanaðkomandi lánshæfismatsfyrirtæki sem hæfa tryggingu, ef skuldabréfin uppfylla allar eftirfarandi viðmiðanir:“</w:t>
      </w:r>
    </w:p>
    <w:p w14:paraId="75C5299C" w14:textId="77777777" w:rsidR="001D6FFE" w:rsidRDefault="00E40155">
      <w:pPr>
        <w:pStyle w:val="NumberedText"/>
        <w:tabs>
          <w:tab w:val="right" w:pos="239"/>
        </w:tabs>
        <w:spacing w:after="120"/>
        <w:ind w:left="400" w:hanging="400"/>
      </w:pPr>
      <w:r>
        <w:tab/>
        <w:t>18)</w:t>
      </w:r>
      <w:r>
        <w:tab/>
        <w:t>Í stað c-liðar 200. gr. kemur eftirfarandi:</w:t>
      </w:r>
    </w:p>
    <w:p w14:paraId="27DA2F79" w14:textId="77777777" w:rsidR="001D6FFE" w:rsidRDefault="00E40155">
      <w:pPr>
        <w:pStyle w:val="NumberedText"/>
        <w:spacing w:after="120"/>
        <w:ind w:left="800" w:hanging="400"/>
      </w:pPr>
      <w:r>
        <w:t>„c)</w:t>
      </w:r>
      <w:r>
        <w:tab/>
        <w:t>gerninga sem gefnir eru út af stofnun sem er þriðji aðili eða verðbréfafyrirtæki og sem verða endurkeyptir af þeirri stofnun eða verðbréfafyrirtæki samkvæmt beiðni.“</w:t>
      </w:r>
    </w:p>
    <w:p w14:paraId="785BFAB6" w14:textId="77777777" w:rsidR="001D6FFE" w:rsidRDefault="00E40155">
      <w:pPr>
        <w:pStyle w:val="NumberedText"/>
        <w:tabs>
          <w:tab w:val="right" w:pos="239"/>
        </w:tabs>
        <w:spacing w:after="120"/>
        <w:ind w:left="400" w:hanging="400"/>
      </w:pPr>
      <w:r>
        <w:tab/>
        <w:t>19)</w:t>
      </w:r>
      <w:r>
        <w:tab/>
        <w:t>Í stað inngangsorða 202. gr. kemur eftirfarandi:</w:t>
      </w:r>
    </w:p>
    <w:p w14:paraId="7BAE1C70" w14:textId="77777777" w:rsidR="001D6FFE" w:rsidRDefault="00E40155">
      <w:pPr>
        <w:pStyle w:val="Para"/>
        <w:spacing w:after="120"/>
        <w:ind w:left="400"/>
      </w:pPr>
      <w:r>
        <w:t>„Stofnun er heimilt að nota stofnanir, verðbréfafyrirtæki, vátrygginga- og endurtryggingafélög og útflutningslánastofnanir sem viðurkennda veitendur ófjármagnaðrar útlánavarnar, er telst hæf fyrir meðferðina sem er sett fram í 3. mgr. 153. gr. ef þau uppfylla öll eftirfarandi skilyrði:“.</w:t>
      </w:r>
    </w:p>
    <w:p w14:paraId="6185EC7F" w14:textId="77777777" w:rsidR="001D6FFE" w:rsidRDefault="00E40155">
      <w:pPr>
        <w:pStyle w:val="NumberedText"/>
        <w:tabs>
          <w:tab w:val="right" w:pos="239"/>
        </w:tabs>
        <w:spacing w:after="120"/>
        <w:ind w:left="400" w:hanging="400"/>
      </w:pPr>
      <w:r>
        <w:tab/>
        <w:t>20)</w:t>
      </w:r>
      <w:r>
        <w:tab/>
        <w:t>Í stað 6. mgr. 224. gr. kemur eftirfarandi:</w:t>
      </w:r>
    </w:p>
    <w:p w14:paraId="69CEAF0F" w14:textId="77777777" w:rsidR="001D6FFE" w:rsidRDefault="00E40155">
      <w:pPr>
        <w:pStyle w:val="AlineaWithParag"/>
        <w:tabs>
          <w:tab w:val="left" w:pos="783"/>
        </w:tabs>
        <w:spacing w:after="120"/>
        <w:ind w:left="400"/>
      </w:pPr>
      <w:r>
        <w:t>„6.</w:t>
      </w:r>
      <w:r>
        <w:tab/>
        <w:t>Fyrir skuldabréf án lánshæfismats sem gefin eru út af stofnunum, eða verðbréfafyrirtækjum og uppfylla hæfisviðmiðin í 4. mgr. 197. gr., er aðlögun vegna óstöðugleika sú sama og fyrir skuldabréf sem gefin eru út af stofnunum eða fyrirtækjum með utanaðkomandi lánshæfismat sem samsvarar 2. eða 3. lánshæfisþrepi.“</w:t>
      </w:r>
    </w:p>
    <w:p w14:paraId="391EB402" w14:textId="77777777" w:rsidR="001D6FFE" w:rsidRDefault="00E40155">
      <w:pPr>
        <w:pStyle w:val="NumberedText"/>
        <w:tabs>
          <w:tab w:val="right" w:pos="239"/>
        </w:tabs>
        <w:spacing w:after="120"/>
        <w:ind w:left="400" w:hanging="400"/>
      </w:pPr>
      <w:r>
        <w:tab/>
        <w:t>21)</w:t>
      </w:r>
      <w:r>
        <w:tab/>
        <w:t>Eftirfarandi liður bætist við í 3. mgr. 227. gr.:</w:t>
      </w:r>
    </w:p>
    <w:p w14:paraId="69EC773B" w14:textId="77777777" w:rsidR="001D6FFE" w:rsidRDefault="00E40155">
      <w:pPr>
        <w:pStyle w:val="NumberedText"/>
        <w:spacing w:after="120"/>
        <w:ind w:left="900" w:hanging="500"/>
      </w:pPr>
      <w:r>
        <w:t>„ba)</w:t>
      </w:r>
      <w:r>
        <w:tab/>
        <w:t>verðbréfafyrirtæki,“.</w:t>
      </w:r>
    </w:p>
    <w:p w14:paraId="2FA70FB7" w14:textId="77777777" w:rsidR="001D6FFE" w:rsidRDefault="00E40155">
      <w:pPr>
        <w:pStyle w:val="NumberedText"/>
        <w:tabs>
          <w:tab w:val="right" w:pos="239"/>
        </w:tabs>
        <w:spacing w:after="120"/>
        <w:ind w:left="400" w:hanging="400"/>
      </w:pPr>
      <w:r>
        <w:tab/>
        <w:t>22)</w:t>
      </w:r>
      <w:r>
        <w:tab/>
        <w:t>Í stað annarrar undirgreinar 1. mgr. 243. gr. kemur eftirfarandi:</w:t>
      </w:r>
    </w:p>
    <w:p w14:paraId="3712ADEE" w14:textId="77777777" w:rsidR="001D6FFE" w:rsidRDefault="00E40155">
      <w:pPr>
        <w:pStyle w:val="Para"/>
        <w:spacing w:after="120"/>
        <w:ind w:left="400"/>
      </w:pPr>
      <w:r>
        <w:t>„Þegar um er að ræða viðskiptakröfur gildir b-liður fyrstu undirgreinar ekki ef útlánaáhætta þessara viðskiptakrafna er að fullu tryggð með hæfri útlánavörn í samræmi við 4. kafla, að því tilskildu að veitandi varnarinnar sé stofnun, verðbréfafyrirtæki, vátryggingafélag eða endurtryggingafélag.“</w:t>
      </w:r>
    </w:p>
    <w:p w14:paraId="62A7641E" w14:textId="77777777" w:rsidR="001D6FFE" w:rsidRDefault="00E40155">
      <w:pPr>
        <w:pStyle w:val="NumberedText"/>
        <w:tabs>
          <w:tab w:val="right" w:pos="239"/>
        </w:tabs>
        <w:spacing w:after="120"/>
        <w:ind w:left="400" w:hanging="400"/>
      </w:pPr>
      <w:r>
        <w:tab/>
        <w:t>23)</w:t>
      </w:r>
      <w:r>
        <w:tab/>
        <w:t>Í stað b-liðar 4. mgr. 382. gr. kemur eftirfarandi:</w:t>
      </w:r>
    </w:p>
    <w:p w14:paraId="4AB8B8E0" w14:textId="77777777" w:rsidR="001D6FFE" w:rsidRDefault="00E40155">
      <w:pPr>
        <w:pStyle w:val="NumberedText"/>
        <w:spacing w:after="120"/>
        <w:ind w:left="800" w:hanging="400"/>
      </w:pPr>
      <w:r>
        <w:t>„b)</w:t>
      </w:r>
      <w:r>
        <w:tab/>
        <w:t>viðskipti innan samstæðu eins og kveðið er á um í 3. gr. reglugerðar (ESB) nr. 648/2012 nema aðildarríkin samþykki landslög sem krefjast skipulagslegs aðskilnaðar innan bankasamstæðu, en í þeim tilvikum mega lögbær yfirvöld krefjast þess að þau viðskipti innan samstæðu á milli skipulagslegra aðgreindra aðila séu felld inn í kröfur um eiginfjárgrunn,“.</w:t>
      </w:r>
    </w:p>
    <w:p w14:paraId="2B994B62" w14:textId="77777777" w:rsidR="001D6FFE" w:rsidRDefault="00E40155">
      <w:pPr>
        <w:pStyle w:val="NumberedText"/>
        <w:tabs>
          <w:tab w:val="right" w:pos="239"/>
        </w:tabs>
        <w:spacing w:after="120"/>
        <w:ind w:left="400" w:hanging="400"/>
      </w:pPr>
      <w:r>
        <w:tab/>
        <w:t>24)</w:t>
      </w:r>
      <w:r>
        <w:tab/>
        <w:t>Ákvæði 388. gr. falla brott.</w:t>
      </w:r>
    </w:p>
    <w:p w14:paraId="32EDB88F" w14:textId="77777777" w:rsidR="001D6FFE" w:rsidRDefault="00E40155">
      <w:pPr>
        <w:pStyle w:val="NumberedText"/>
        <w:tabs>
          <w:tab w:val="right" w:pos="239"/>
        </w:tabs>
        <w:spacing w:after="120"/>
        <w:ind w:left="400" w:hanging="400"/>
      </w:pPr>
      <w:r>
        <w:tab/>
        <w:t>25)</w:t>
      </w:r>
      <w:r>
        <w:tab/>
        <w:t>Í stað 1. mgr. 395. gr. kemur eftirfarandi:</w:t>
      </w:r>
    </w:p>
    <w:p w14:paraId="64CE0423" w14:textId="77777777" w:rsidR="001D6FFE" w:rsidRDefault="00E40155">
      <w:pPr>
        <w:pStyle w:val="AlineaWithParag"/>
        <w:tabs>
          <w:tab w:val="left" w:pos="783"/>
        </w:tabs>
        <w:spacing w:after="120"/>
        <w:ind w:left="400"/>
      </w:pPr>
      <w:r>
        <w:t>„1.</w:t>
      </w:r>
      <w:r>
        <w:tab/>
        <w:t>Stofnun skal ekki stofna til áhættuskuldbindingar vegna viðskiptavinar eða hóps tengdra viðskiptavina ef virði hennar er yfir 25% af eiginfjárþætti 1 stofnunarinnar, eftir að tillit hefur verið tekið til áhrifanna af mildun útlánaáhættu í samræmi við 399.–403. gr. Ef viðkomandi viðskiptavinur er stofnun eða verðbréfafyrirtæki, eða ef ein eða fleiri stofnanir eða verðbréfafyrirtæki eru innan hóps tengdra viðskiptavina, skal virðið ekki vera umfram 25% af eiginfjárþætti 1 stofnunarinnar eða 150 milljónir evr</w:t>
      </w:r>
      <w:r>
        <w:t>a, eftir því hvort er hærra, að því tilskildu að heildarvirði áhættuskuldbindinga, eftir að tekið hefur verið tillit til áhrifanna af mildun útlánaáhættu í samræmi við 399.–403. gr., vegna allra tengdra viðskiptavina sem ekki eru stofnanir, fari ekki yfir 25% af eiginfjárþætti 1 stofnunarinnar.“</w:t>
      </w:r>
    </w:p>
    <w:p w14:paraId="4E81A9C6" w14:textId="77777777" w:rsidR="001D6FFE" w:rsidRDefault="00E40155">
      <w:pPr>
        <w:pStyle w:val="NumberedText"/>
        <w:tabs>
          <w:tab w:val="right" w:pos="239"/>
        </w:tabs>
        <w:spacing w:after="120"/>
        <w:ind w:left="400" w:hanging="400"/>
      </w:pPr>
      <w:r>
        <w:tab/>
        <w:t>26)</w:t>
      </w:r>
      <w:r>
        <w:tab/>
      </w:r>
      <w:r>
        <w:t>Ákvæðum 3. mgr. 402. gr. er breytt sem hér segir:</w:t>
      </w:r>
    </w:p>
    <w:p w14:paraId="5F5B02D2" w14:textId="77777777" w:rsidR="001D6FFE" w:rsidRDefault="00E40155">
      <w:pPr>
        <w:pStyle w:val="NumberedText"/>
        <w:spacing w:after="120"/>
        <w:ind w:left="700" w:hanging="300"/>
      </w:pPr>
      <w:r>
        <w:t>a)</w:t>
      </w:r>
      <w:r>
        <w:tab/>
        <w:t>Í stað a-liðar kemur eftirfarandi:</w:t>
      </w:r>
    </w:p>
    <w:p w14:paraId="41880FBA" w14:textId="77777777" w:rsidR="001D6FFE" w:rsidRDefault="00E40155">
      <w:pPr>
        <w:pStyle w:val="NumberedText"/>
        <w:spacing w:after="120"/>
        <w:ind w:left="1100" w:hanging="400"/>
      </w:pPr>
      <w:r>
        <w:t>„a)</w:t>
      </w:r>
      <w:r>
        <w:tab/>
        <w:t>mótaðilinn sé stofnun eða verðbréfafyrirtæki,“</w:t>
      </w:r>
    </w:p>
    <w:p w14:paraId="1BD01974" w14:textId="77777777" w:rsidR="001D6FFE" w:rsidRDefault="00E40155">
      <w:pPr>
        <w:pStyle w:val="NumberedText"/>
        <w:spacing w:after="120"/>
        <w:ind w:left="700" w:hanging="300"/>
      </w:pPr>
      <w:r>
        <w:t>b)</w:t>
      </w:r>
      <w:r>
        <w:tab/>
        <w:t>Í stað e-liðar kemur eftirfarandi:</w:t>
      </w:r>
    </w:p>
    <w:p w14:paraId="196D4A8A" w14:textId="77777777" w:rsidR="001D6FFE" w:rsidRDefault="00E40155">
      <w:pPr>
        <w:pStyle w:val="NumberedText"/>
        <w:spacing w:after="120"/>
        <w:ind w:left="1100" w:hanging="400"/>
      </w:pPr>
      <w:r>
        <w:t>„e)</w:t>
      </w:r>
      <w:r>
        <w:tab/>
        <w:t>stofnunin tilkynni lögbærum yfirvöldum í samræmi við 394. gr. um heildarfjárhæð áhættuskuldbindinga vegna sérhverrar annarrar stofnunar eða verðbréfafyrirtækis sem meðhöndluð er í samræmi við þessa málsgrein.“</w:t>
      </w:r>
    </w:p>
    <w:p w14:paraId="10D149FB" w14:textId="77777777" w:rsidR="001D6FFE" w:rsidRDefault="00E40155">
      <w:pPr>
        <w:pStyle w:val="NumberedText"/>
        <w:tabs>
          <w:tab w:val="right" w:pos="239"/>
        </w:tabs>
        <w:spacing w:after="120"/>
        <w:ind w:left="400" w:hanging="400"/>
      </w:pPr>
      <w:r>
        <w:tab/>
        <w:t>27)</w:t>
      </w:r>
      <w:r>
        <w:tab/>
        <w:t>Í stað 4. mgr. a í 412. gr. kemur eftirfarandi:</w:t>
      </w:r>
    </w:p>
    <w:p w14:paraId="480FDE5A" w14:textId="77777777" w:rsidR="001D6FFE" w:rsidRDefault="00E40155">
      <w:pPr>
        <w:pStyle w:val="AlineaWithParag"/>
        <w:tabs>
          <w:tab w:val="left" w:pos="783"/>
        </w:tabs>
        <w:spacing w:after="120"/>
        <w:ind w:left="400"/>
      </w:pPr>
      <w:r>
        <w:t>„4a.</w:t>
      </w:r>
      <w:r>
        <w:tab/>
        <w:t>Framselda gerðin sem um getur í 1. mgr. 460. gr. skal gilda um stofnanir.“</w:t>
      </w:r>
    </w:p>
    <w:p w14:paraId="23D1F711" w14:textId="77777777" w:rsidR="001D6FFE" w:rsidRDefault="00E40155">
      <w:pPr>
        <w:pStyle w:val="NumberedText"/>
        <w:tabs>
          <w:tab w:val="right" w:pos="239"/>
        </w:tabs>
        <w:spacing w:after="120"/>
        <w:ind w:left="400" w:hanging="400"/>
      </w:pPr>
      <w:r>
        <w:tab/>
        <w:t>28)</w:t>
      </w:r>
      <w:r>
        <w:tab/>
        <w:t>Í stað i. liðar a-liðar 8. mgr. 422. gr. kemur eftirfarandi:</w:t>
      </w:r>
    </w:p>
    <w:p w14:paraId="49000EE2" w14:textId="77777777" w:rsidR="001D6FFE" w:rsidRDefault="00E40155">
      <w:pPr>
        <w:pStyle w:val="NumberedText"/>
        <w:spacing w:after="120"/>
        <w:ind w:left="773" w:hanging="373"/>
      </w:pPr>
      <w:r>
        <w:t>„i.</w:t>
      </w:r>
      <w:r>
        <w:tab/>
        <w:t>móður- eða dótturstofnun stofnunarinnar eða móður- eða dótturverðbréfafyrirtæki stofnunarinnar, eða annað dótturfélag sömu móðurstofnunar eða móðurverðbréfafyrirtækis,“.</w:t>
      </w:r>
    </w:p>
    <w:p w14:paraId="2247C76D" w14:textId="77777777" w:rsidR="001D6FFE" w:rsidRDefault="00E40155">
      <w:pPr>
        <w:pStyle w:val="NumberedText"/>
        <w:tabs>
          <w:tab w:val="right" w:pos="239"/>
        </w:tabs>
        <w:spacing w:after="0"/>
        <w:ind w:left="400" w:hanging="400"/>
      </w:pPr>
      <w:r>
        <w:tab/>
        <w:t>29)</w:t>
      </w:r>
      <w:r>
        <w:tab/>
        <w:t>Í 428. gr. a fellur d-liður brott.</w:t>
      </w:r>
      <w:r>
        <w:br w:type="page"/>
      </w:r>
    </w:p>
    <w:p w14:paraId="36BA537A" w14:textId="77777777" w:rsidR="001D6FFE" w:rsidRDefault="00E40155">
      <w:pPr>
        <w:pStyle w:val="NumberedText"/>
        <w:tabs>
          <w:tab w:val="right" w:pos="239"/>
        </w:tabs>
        <w:ind w:left="400" w:hanging="400"/>
      </w:pPr>
      <w:r>
        <w:tab/>
        <w:t>30)</w:t>
      </w:r>
      <w:r>
        <w:tab/>
        <w:t>Í stað 1. mgr. 430. gr. b kemur eftirfarandi:</w:t>
      </w:r>
    </w:p>
    <w:p w14:paraId="25212F9C" w14:textId="77777777" w:rsidR="001D6FFE" w:rsidRDefault="00E40155">
      <w:pPr>
        <w:pStyle w:val="AlineaWithParag"/>
        <w:tabs>
          <w:tab w:val="left" w:pos="783"/>
        </w:tabs>
        <w:ind w:left="400"/>
      </w:pPr>
      <w:r>
        <w:t>„1.</w:t>
      </w:r>
      <w:r>
        <w:tab/>
        <w:t>Frá gildistökudegi framseldu gerðarinnar sem um getur í 461. gr. a skulu lánastofnanir, sem hvorki uppfylla skilyrðin sem sett eru fram í 1. mgr. 94. gr. né skilyrðin sem sett eru fram í 1. mgr. 325. gr. a, tilkynna, að því er varðar allar veltubókarstöður sínar og allar stöður sínar utan veltubókar sem falla undir gjaldeyris- eða hrávöruáhættu, um niðurstöður útreikninganna sem byggja á óhefðbundnu staðalaðferðinni sem sett er fram í 1. kafla a IV. bálks þriðja hluta, á sama grundvelli og slíkar stofnanir</w:t>
      </w:r>
      <w:r>
        <w:t xml:space="preserve"> tilkynna skyldurnar sem mælt er fyrir um í i. lið b-liðar og c-lið 3. mgr. 92. gr.“</w:t>
      </w:r>
    </w:p>
    <w:p w14:paraId="052C47AC" w14:textId="77777777" w:rsidR="001D6FFE" w:rsidRDefault="00E40155">
      <w:pPr>
        <w:pStyle w:val="NumberedText"/>
        <w:tabs>
          <w:tab w:val="right" w:pos="239"/>
        </w:tabs>
        <w:ind w:left="400" w:hanging="400"/>
      </w:pPr>
      <w:r>
        <w:tab/>
        <w:t>31)</w:t>
      </w:r>
      <w:r>
        <w:tab/>
        <w:t>Í 1. mgr. 456. gr. falla f- og g-liður brott.</w:t>
      </w:r>
    </w:p>
    <w:p w14:paraId="0EC6365A" w14:textId="77777777" w:rsidR="001D6FFE" w:rsidRDefault="00E40155">
      <w:pPr>
        <w:pStyle w:val="NumberedText"/>
        <w:tabs>
          <w:tab w:val="right" w:pos="239"/>
        </w:tabs>
        <w:ind w:left="400" w:hanging="400"/>
      </w:pPr>
      <w:r>
        <w:tab/>
        <w:t>32)</w:t>
      </w:r>
      <w:r>
        <w:tab/>
        <w:t>Ákvæðum 493. gr. er breytt sem hér segir:</w:t>
      </w:r>
    </w:p>
    <w:p w14:paraId="651FDC41" w14:textId="77777777" w:rsidR="001D6FFE" w:rsidRDefault="00E40155">
      <w:pPr>
        <w:pStyle w:val="NumberedText"/>
        <w:ind w:left="700" w:hanging="300"/>
      </w:pPr>
      <w:r>
        <w:t>a)</w:t>
      </w:r>
      <w:r>
        <w:tab/>
        <w:t>Í stað 1. mgr. kemur eftirfarandi:</w:t>
      </w:r>
    </w:p>
    <w:p w14:paraId="1251A759" w14:textId="77777777" w:rsidR="001D6FFE" w:rsidRDefault="00E40155">
      <w:pPr>
        <w:pStyle w:val="Para"/>
        <w:ind w:left="700"/>
      </w:pPr>
      <w:r>
        <w:t>„Þar til 26. júní 2021 skulu þau ákvæði um stórar áhættuskuldbindingar sem mælt er fyrir um í 387.–403. gr. þessarar reglugerðar ekki gilda um verðbréfafyrirtæki sem hafa eingöngu að aðalstarfsemi að veita fjárfestingarþjónustu eða stunda starfsemi í tengslum við fjármálagerningana sem tilgreindir eru í 5., 6., 7., 9., 10. og 11. lið í C-þætti I. viðauka við tilskipun 2014/65/ESB og sem tilskipun Evrópuþingsins og ráðsins 2004/39/EB (</w:t>
      </w:r>
      <w:r>
        <w:fldChar w:fldCharType="begin"/>
      </w:r>
      <w:r>
        <w:instrText xml:space="preserve"> REF NOTE_E0035 \h  \* MERGEFORMAT </w:instrText>
      </w:r>
      <w:r>
        <w:fldChar w:fldCharType="separate"/>
      </w:r>
      <w:r>
        <w:t>*</w:t>
      </w:r>
      <w:r>
        <w:fldChar w:fldCharType="end"/>
      </w:r>
      <w:r>
        <w:t>) gilti ekki um 31. desember 2006.</w:t>
      </w:r>
    </w:p>
    <w:p w14:paraId="618DACDD" w14:textId="77777777" w:rsidR="001D6FFE" w:rsidRDefault="00E40155">
      <w:pPr>
        <w:pStyle w:val="QuoteFootnoteRule"/>
        <w:pBdr>
          <w:bottom w:val="none" w:sz="0" w:space="0" w:color="auto"/>
        </w:pBdr>
        <w:tabs>
          <w:tab w:val="left" w:pos="1740"/>
        </w:tabs>
        <w:ind w:left="700" w:right="0"/>
        <w:rPr>
          <w:u w:val="single"/>
        </w:rPr>
      </w:pPr>
      <w:r>
        <w:rPr>
          <w:u w:val="single"/>
        </w:rPr>
        <w:tab/>
      </w:r>
    </w:p>
    <w:p w14:paraId="132D8895" w14:textId="77777777" w:rsidR="001D6FFE" w:rsidRDefault="00E40155">
      <w:pPr>
        <w:pStyle w:val="NumberedText"/>
        <w:ind w:left="1000" w:hanging="300"/>
      </w:pPr>
      <w:r>
        <w:t>(</w:t>
      </w:r>
      <w:bookmarkStart w:id="34" w:name="NOTE_E0035"/>
      <w:r>
        <w:t>*</w:t>
      </w:r>
      <w:bookmarkEnd w:id="34"/>
      <w:r>
        <w:t>)</w:t>
      </w:r>
      <w:r>
        <w:tab/>
      </w:r>
      <w:r>
        <w:t>Tilskipun Evrópuþingsins og ráðsins 2004/39/EB frá 21. apríl 2004 um markaði fyrir fjármálagerninga og um breytingu á tilskipunum ráðsins 85/611/EBE og 93/6/EBE og tilskipun Evrópuþingsins og ráðsins 2000/12/EB og um niðurfellingu á tilskipun ráðsins 93/22/EBE (Stjtíð. ESB L 145, 30.4.2004, bls. 1).“</w:t>
      </w:r>
    </w:p>
    <w:p w14:paraId="54DD7DFD" w14:textId="77777777" w:rsidR="001D6FFE" w:rsidRDefault="00E40155">
      <w:pPr>
        <w:pStyle w:val="NumberedText"/>
        <w:ind w:left="700" w:hanging="300"/>
      </w:pPr>
      <w:r>
        <w:t>b)</w:t>
      </w:r>
      <w:r>
        <w:tab/>
        <w:t>Ákvæði 2. mgr. falla brott.</w:t>
      </w:r>
    </w:p>
    <w:p w14:paraId="50374626" w14:textId="77777777" w:rsidR="001D6FFE" w:rsidRDefault="00E40155">
      <w:pPr>
        <w:pStyle w:val="NumberedText"/>
        <w:tabs>
          <w:tab w:val="right" w:pos="239"/>
        </w:tabs>
        <w:ind w:left="400" w:hanging="400"/>
      </w:pPr>
      <w:r>
        <w:tab/>
        <w:t>33)</w:t>
      </w:r>
      <w:r>
        <w:tab/>
        <w:t>Í stað fyrstu undirgreinar 1. mgr. 498. gr. kemur eftirfarandi:</w:t>
      </w:r>
    </w:p>
    <w:p w14:paraId="738B0794" w14:textId="77777777" w:rsidR="001D6FFE" w:rsidRDefault="00E40155">
      <w:pPr>
        <w:pStyle w:val="Para"/>
        <w:ind w:left="400"/>
      </w:pPr>
      <w:r>
        <w:t>„Þar til 26. júní 2021 skulu þau ákvæði um kröfur um eiginfjárgrunn sem sett eru fram í þessari reglugerð ekki gilda um verðbréfafyrirtæki sem hafa eingöngu að aðalstarfsemi að veita fjárfestingarþjónustu eða stunda starfsemi í tengslum við fjármálagerningana sem tilgreindir eru í 5., 6., 7., 9., 10. og 11. lið í C-þætti I. viðauka við tilskipun 2014/65/ESB og sem tilskipun 2004/39/EB gilti ekki um 31. desember 2006.“</w:t>
      </w:r>
    </w:p>
    <w:p w14:paraId="37AEA88F" w14:textId="77777777" w:rsidR="001D6FFE" w:rsidRDefault="00E40155">
      <w:pPr>
        <w:pStyle w:val="NumberedText"/>
        <w:tabs>
          <w:tab w:val="right" w:pos="239"/>
        </w:tabs>
        <w:ind w:left="400" w:hanging="400"/>
      </w:pPr>
      <w:r>
        <w:tab/>
        <w:t>34)</w:t>
      </w:r>
      <w:r>
        <w:tab/>
        <w:t>Í 508. gr. falla 2. og 3. mgr. brott.</w:t>
      </w:r>
    </w:p>
    <w:p w14:paraId="42855017" w14:textId="77777777" w:rsidR="001D6FFE" w:rsidRDefault="00E40155">
      <w:pPr>
        <w:pStyle w:val="NumberedText"/>
        <w:tabs>
          <w:tab w:val="right" w:pos="239"/>
        </w:tabs>
        <w:ind w:left="400" w:hanging="400"/>
      </w:pPr>
      <w:r>
        <w:tab/>
        <w:t>35)</w:t>
      </w:r>
      <w:r>
        <w:tab/>
        <w:t>Í stað d-liðar í 1. lið I. viðauka kemur eftirfarandi:</w:t>
      </w:r>
    </w:p>
    <w:p w14:paraId="0F5E498A" w14:textId="77777777" w:rsidR="001D6FFE" w:rsidRDefault="00E40155">
      <w:pPr>
        <w:pStyle w:val="NumberedText"/>
        <w:ind w:left="800" w:hanging="400"/>
      </w:pPr>
      <w:r>
        <w:t>„d)</w:t>
      </w:r>
      <w:r>
        <w:tab/>
        <w:t>framsal á víxlum sem önnur stofnun eða verðbréfafyrirtæki hefur ekki áritað um ábyrgð,“.</w:t>
      </w:r>
    </w:p>
    <w:p w14:paraId="2F37FC0A" w14:textId="77777777" w:rsidR="001D6FFE" w:rsidRDefault="00E40155">
      <w:pPr>
        <w:pStyle w:val="NumberedText"/>
        <w:tabs>
          <w:tab w:val="right" w:pos="239"/>
        </w:tabs>
        <w:ind w:left="400" w:hanging="400"/>
      </w:pPr>
      <w:r>
        <w:tab/>
        <w:t>36)</w:t>
      </w:r>
      <w:r>
        <w:tab/>
        <w:t>Ákvæðum III. viðauka er breytt sem hér segir:</w:t>
      </w:r>
    </w:p>
    <w:p w14:paraId="11CCDB5C" w14:textId="77777777" w:rsidR="001D6FFE" w:rsidRDefault="00E40155">
      <w:pPr>
        <w:pStyle w:val="NumberedText"/>
        <w:ind w:left="700" w:hanging="300"/>
      </w:pPr>
      <w:r>
        <w:t>a)</w:t>
      </w:r>
      <w:r>
        <w:tab/>
        <w:t>Í stað b-liðar í 3. lið kemur eftirfarandi:</w:t>
      </w:r>
    </w:p>
    <w:p w14:paraId="7B081616" w14:textId="77777777" w:rsidR="001D6FFE" w:rsidRDefault="00E40155">
      <w:pPr>
        <w:pStyle w:val="NumberedText"/>
        <w:ind w:left="1100" w:hanging="400"/>
      </w:pPr>
      <w:r>
        <w:t>„b)</w:t>
      </w:r>
      <w:r>
        <w:tab/>
        <w:t>þau eru ekki skuldbinding af hálfu stofnunar, verðbréfafyrirtækis eða eignatengdra aðila þeirra.“</w:t>
      </w:r>
    </w:p>
    <w:p w14:paraId="004436A4" w14:textId="77777777" w:rsidR="001D6FFE" w:rsidRDefault="00E40155">
      <w:pPr>
        <w:pStyle w:val="NumberedText"/>
        <w:ind w:left="700" w:hanging="300"/>
      </w:pPr>
      <w:r>
        <w:t>b)</w:t>
      </w:r>
      <w:r>
        <w:tab/>
        <w:t>Í stað b-liðar í 5. lið kemur eftirfarandi:</w:t>
      </w:r>
    </w:p>
    <w:p w14:paraId="53F0F3BD" w14:textId="77777777" w:rsidR="001D6FFE" w:rsidRDefault="00E40155">
      <w:pPr>
        <w:pStyle w:val="NumberedText"/>
        <w:ind w:left="1100" w:hanging="400"/>
      </w:pPr>
      <w:r>
        <w:t>„b)</w:t>
      </w:r>
      <w:r>
        <w:tab/>
        <w:t>þau eru ekki skuldbinding af hálfu stofnunar, verðbréfafyrirtækis eða eignatengdra aðila þeirra.“</w:t>
      </w:r>
    </w:p>
    <w:p w14:paraId="5DC38269" w14:textId="77777777" w:rsidR="001D6FFE" w:rsidRDefault="00E40155">
      <w:pPr>
        <w:pStyle w:val="NumberedText"/>
        <w:ind w:left="700" w:hanging="300"/>
      </w:pPr>
      <w:r>
        <w:t>c)</w:t>
      </w:r>
      <w:r>
        <w:tab/>
        <w:t>Í stað a-liðar í 6. lið kemur eftirfarandi:</w:t>
      </w:r>
    </w:p>
    <w:p w14:paraId="306EDBD3" w14:textId="77777777" w:rsidR="001D6FFE" w:rsidRDefault="00E40155">
      <w:pPr>
        <w:pStyle w:val="NumberedText"/>
        <w:ind w:left="1100" w:hanging="400"/>
      </w:pPr>
      <w:r>
        <w:t>„a)</w:t>
      </w:r>
      <w:r>
        <w:tab/>
        <w:t>þau eru ekki hluti af kröfu á hendur sérstökum verðbréfunaraðila, stofnun, verðbréfafyrirtæki eða eignatengdum aðilum þeirra,“.</w:t>
      </w:r>
    </w:p>
    <w:p w14:paraId="27F3F3C9" w14:textId="77777777" w:rsidR="001D6FFE" w:rsidRDefault="00E40155">
      <w:pPr>
        <w:pStyle w:val="NumberedText"/>
        <w:ind w:left="700" w:hanging="300"/>
      </w:pPr>
      <w:r>
        <w:t>d)</w:t>
      </w:r>
      <w:r>
        <w:tab/>
        <w:t>Í stað 7. liðar kemur eftirfarandi:</w:t>
      </w:r>
    </w:p>
    <w:p w14:paraId="54DC4075" w14:textId="77777777" w:rsidR="001D6FFE" w:rsidRDefault="00E40155">
      <w:pPr>
        <w:pStyle w:val="NumberedText"/>
        <w:spacing w:after="0"/>
        <w:ind w:hanging="320"/>
      </w:pPr>
      <w:r>
        <w:t>„7.</w:t>
      </w:r>
      <w:r>
        <w:tab/>
        <w:t>Framseljanleg verðbréf, önnur en þau sem um getur í 3.–6. lið, sem eru metin með 50% áhættuvog eða hagstæðari áhættuvog skv. 2. kafla II. bálks þriðja hluta eða eru metin samkvæmt innra mati með jafngilt lánshæfi og fela ekki í sér kröfu á hendur sérstökum verðbréfunaraðila, stofnun, verðbréfafyrirtæki eða eignatengdum aðilum þeirra.</w:t>
      </w:r>
      <w:r>
        <w:br w:type="page"/>
      </w:r>
    </w:p>
    <w:p w14:paraId="20A1AB90" w14:textId="77777777" w:rsidR="001D6FFE" w:rsidRDefault="00E40155">
      <w:pPr>
        <w:pStyle w:val="NumberedText"/>
        <w:ind w:left="700" w:hanging="300"/>
      </w:pPr>
      <w:r>
        <w:t>e)</w:t>
      </w:r>
      <w:r>
        <w:tab/>
        <w:t>Í stað 11. liðar kemur eftirfarandi:</w:t>
      </w:r>
    </w:p>
    <w:p w14:paraId="753F6BBB" w14:textId="77777777" w:rsidR="001D6FFE" w:rsidRDefault="00E40155">
      <w:pPr>
        <w:pStyle w:val="NumberedText"/>
        <w:ind w:left="1100" w:hanging="400"/>
      </w:pPr>
      <w:r>
        <w:t>„11.</w:t>
      </w:r>
      <w:r>
        <w:tab/>
      </w:r>
      <w:r>
        <w:t>Miðlægt stöðustofnuð hlutabréf almenns eigin fjár, sem viðskipti eru með á viðskiptavettvangi og eru þáttur í stórri hlutabréfavísitölu, gefin upp í gjaldmiðli aðildarríkisins og ekki gefin út af stofnun, verðbréfafyrirtæki eða nokkru af hlutdeildarfélögum þeirra.“</w:t>
      </w:r>
    </w:p>
    <w:p w14:paraId="1D14DC86" w14:textId="77777777" w:rsidR="001D6FFE" w:rsidRDefault="00E40155">
      <w:pPr>
        <w:pStyle w:val="TIART"/>
      </w:pPr>
      <w:r>
        <w:t>63. gr.</w:t>
      </w:r>
    </w:p>
    <w:p w14:paraId="445CB042" w14:textId="77777777" w:rsidR="001D6FFE" w:rsidRDefault="00E40155">
      <w:pPr>
        <w:pStyle w:val="STIART"/>
      </w:pPr>
      <w:r>
        <w:t>Breytingar á reglugerð (ESB) nr. 600/2014</w:t>
      </w:r>
    </w:p>
    <w:p w14:paraId="32E2BAEE" w14:textId="77777777" w:rsidR="001D6FFE" w:rsidRDefault="00E40155">
      <w:pPr>
        <w:pStyle w:val="Alinea"/>
      </w:pPr>
      <w:r>
        <w:t>Reglugerð (ESB) nr. 600/2014 er breytt sem hér segir:</w:t>
      </w:r>
    </w:p>
    <w:p w14:paraId="3F2A05F7" w14:textId="77777777" w:rsidR="001D6FFE" w:rsidRDefault="00E40155">
      <w:pPr>
        <w:pStyle w:val="NumberedText"/>
        <w:tabs>
          <w:tab w:val="right" w:pos="149"/>
        </w:tabs>
        <w:ind w:left="300" w:hanging="300"/>
      </w:pPr>
      <w:r>
        <w:tab/>
        <w:t>1)</w:t>
      </w:r>
      <w:r>
        <w:tab/>
        <w:t>Í 1. gr. er eftirfarandi málsgrein bætt við:</w:t>
      </w:r>
    </w:p>
    <w:p w14:paraId="4A33B5D6" w14:textId="77777777" w:rsidR="001D6FFE" w:rsidRDefault="00E40155">
      <w:pPr>
        <w:pStyle w:val="AlineaWithParag"/>
        <w:tabs>
          <w:tab w:val="left" w:pos="693"/>
        </w:tabs>
        <w:ind w:left="300"/>
      </w:pPr>
      <w:r>
        <w:t>„4a.</w:t>
      </w:r>
      <w:r>
        <w:tab/>
        <w:t>Ákvæði 1. kafla VII. bálks þessarar reglugerðar gilda einnig um fyrirtæki þriðja lands sem veita fjárfestingarþjónustu eða stunda fjárfestingarstarfsemi í Sambandinu.“</w:t>
      </w:r>
    </w:p>
    <w:p w14:paraId="3CD3BC2B" w14:textId="77777777" w:rsidR="001D6FFE" w:rsidRDefault="00E40155">
      <w:pPr>
        <w:pStyle w:val="NumberedText"/>
        <w:tabs>
          <w:tab w:val="right" w:pos="149"/>
        </w:tabs>
        <w:ind w:left="300" w:hanging="300"/>
      </w:pPr>
      <w:r>
        <w:tab/>
        <w:t>2)</w:t>
      </w:r>
      <w:r>
        <w:tab/>
        <w:t>Í stað fyrirsagnar III. bálks kemur eftirfarandi:</w:t>
      </w:r>
    </w:p>
    <w:p w14:paraId="21E686E7" w14:textId="77777777" w:rsidR="001D6FFE" w:rsidRDefault="00E40155">
      <w:pPr>
        <w:pStyle w:val="Para"/>
        <w:spacing w:line="200" w:lineRule="exact"/>
        <w:ind w:left="300"/>
        <w:rPr>
          <w:sz w:val="16"/>
        </w:rPr>
      </w:pPr>
      <w:r>
        <w:rPr>
          <w:sz w:val="16"/>
        </w:rPr>
        <w:t>„</w:t>
      </w:r>
      <w:r>
        <w:rPr>
          <w:b/>
          <w:sz w:val="16"/>
        </w:rPr>
        <w:t>GAGNSÆI ER VARÐAR INNMIÐLARA OG VERÐBRÉFAFYRIRTÆKI SEM STUNDA OTC-VIÐSKIPTI OG KERFI VERÐSKREFA FYRIR INNMIÐLARA</w:t>
      </w:r>
      <w:r>
        <w:rPr>
          <w:sz w:val="16"/>
        </w:rPr>
        <w:t>“.</w:t>
      </w:r>
    </w:p>
    <w:p w14:paraId="23D2181F" w14:textId="77777777" w:rsidR="001D6FFE" w:rsidRDefault="00E40155">
      <w:pPr>
        <w:pStyle w:val="NumberedText"/>
        <w:tabs>
          <w:tab w:val="right" w:pos="149"/>
        </w:tabs>
        <w:ind w:left="300" w:hanging="300"/>
      </w:pPr>
      <w:r>
        <w:tab/>
        <w:t>3)</w:t>
      </w:r>
      <w:r>
        <w:tab/>
        <w:t>Eftirfarandi grein bætist við:</w:t>
      </w:r>
    </w:p>
    <w:p w14:paraId="4DF42CAF" w14:textId="77777777" w:rsidR="001D6FFE" w:rsidRDefault="00E40155">
      <w:pPr>
        <w:pStyle w:val="TIARTquoted"/>
        <w:ind w:left="300"/>
      </w:pPr>
      <w:r>
        <w:t>„17. gr. a</w:t>
      </w:r>
    </w:p>
    <w:p w14:paraId="2B632418" w14:textId="77777777" w:rsidR="001D6FFE" w:rsidRDefault="00E40155">
      <w:pPr>
        <w:pStyle w:val="STIARTquoted"/>
        <w:ind w:left="300"/>
      </w:pPr>
      <w:r>
        <w:t>Verðskref</w:t>
      </w:r>
    </w:p>
    <w:p w14:paraId="156C837D" w14:textId="77777777" w:rsidR="001D6FFE" w:rsidRDefault="00E40155">
      <w:pPr>
        <w:pStyle w:val="Alinea"/>
        <w:ind w:left="300"/>
      </w:pPr>
      <w:r>
        <w:t>Verðtilboð, betri verð á þeim tilboðum og fullnustuverð innmiðlara skulu fylgja verðskrefum sem sett eru í samræmi við 49. gr. tilskipunar 2014/65/ESB.</w:t>
      </w:r>
    </w:p>
    <w:p w14:paraId="7EFD12EB" w14:textId="77777777" w:rsidR="001D6FFE" w:rsidRDefault="00E40155">
      <w:pPr>
        <w:pStyle w:val="Alinea"/>
        <w:ind w:left="300"/>
      </w:pPr>
      <w:r>
        <w:t>Beiting verðskrefa skal ekki koma í veg fyrir að innmiðlarar pari umfangsmikil fyrirmæli á miðgildi innan gildandi kaup- og sölutilboða.“</w:t>
      </w:r>
    </w:p>
    <w:p w14:paraId="4DCBD0A2" w14:textId="77777777" w:rsidR="001D6FFE" w:rsidRDefault="00E40155">
      <w:pPr>
        <w:pStyle w:val="NumberedText"/>
        <w:tabs>
          <w:tab w:val="right" w:pos="149"/>
        </w:tabs>
        <w:ind w:left="300" w:hanging="300"/>
      </w:pPr>
      <w:r>
        <w:tab/>
        <w:t>4)</w:t>
      </w:r>
      <w:r>
        <w:tab/>
        <w:t>Ákvæðum 46. gr. er breytt sem hér segir:</w:t>
      </w:r>
    </w:p>
    <w:p w14:paraId="1F0FBC15" w14:textId="77777777" w:rsidR="001D6FFE" w:rsidRDefault="00E40155">
      <w:pPr>
        <w:pStyle w:val="NumberedText"/>
        <w:tabs>
          <w:tab w:val="clear" w:pos="2047"/>
        </w:tabs>
        <w:ind w:left="600" w:hanging="300"/>
      </w:pPr>
      <w:r>
        <w:t>a)</w:t>
      </w:r>
      <w:r>
        <w:tab/>
        <w:t>Eftirfarandi liður bætist við 2. mgr.:</w:t>
      </w:r>
    </w:p>
    <w:p w14:paraId="39AF3451" w14:textId="77777777" w:rsidR="001D6FFE" w:rsidRDefault="00E40155">
      <w:pPr>
        <w:pStyle w:val="NumberedText"/>
        <w:tabs>
          <w:tab w:val="clear" w:pos="2047"/>
        </w:tabs>
        <w:ind w:left="1000" w:hanging="400"/>
      </w:pPr>
      <w:r>
        <w:t>„d)</w:t>
      </w:r>
      <w:r>
        <w:tab/>
        <w:t>fyrirtækið hafi komið á nauðsynlegu fyrirkomulagi og verklagi við að tilkynna upplýsingarnar sem settar eru fram í 6. mgr. a.“</w:t>
      </w:r>
    </w:p>
    <w:p w14:paraId="1176D43B" w14:textId="77777777" w:rsidR="001D6FFE" w:rsidRDefault="00E40155">
      <w:pPr>
        <w:pStyle w:val="NumberedText"/>
        <w:tabs>
          <w:tab w:val="clear" w:pos="2047"/>
        </w:tabs>
        <w:ind w:left="600" w:hanging="300"/>
      </w:pPr>
      <w:r>
        <w:t>b)</w:t>
      </w:r>
      <w:r>
        <w:tab/>
        <w:t>Eftirfarandi komi í stað fimmtu undirgreinar 4. mgr.:</w:t>
      </w:r>
    </w:p>
    <w:p w14:paraId="16B895E1" w14:textId="77777777" w:rsidR="001D6FFE" w:rsidRDefault="00E40155">
      <w:pPr>
        <w:pStyle w:val="Para"/>
        <w:ind w:left="600"/>
      </w:pPr>
      <w:r>
        <w:t>„Aðildarríki geta heimilað fyrirtækjum í þriðja landi að veita viðurkenndum gagnaðilum og fagfjárfestum, í skilningi I. þáttar II. viðauka við tilskipun 2014/65/ESB, fjárfestingarþjónustu, eða leggja stund á fjárfestingarstarfsemi ásamt viðbótarþjónustu, á yfirráðasvæðum sínum í samræmi við landsreglur, hafi engin ákvörðun framkvæmdastjórnarinnar í samræmi við 1. mgr. 47. gr. verið samþykkt eða, hafi slík ákvörðun verið samþykkt, hún er annaðhvort ekki lengur í gildi eða nær ekki yfir þjónustuna eða starfse</w:t>
      </w:r>
      <w:r>
        <w:t>mina sem um er að ræða.“</w:t>
      </w:r>
    </w:p>
    <w:p w14:paraId="425AA64A" w14:textId="77777777" w:rsidR="001D6FFE" w:rsidRDefault="00E40155">
      <w:pPr>
        <w:pStyle w:val="NumberedText"/>
        <w:tabs>
          <w:tab w:val="clear" w:pos="2047"/>
        </w:tabs>
        <w:ind w:left="600" w:hanging="300"/>
      </w:pPr>
      <w:r>
        <w:t>c)</w:t>
      </w:r>
      <w:r>
        <w:tab/>
        <w:t>Í stað þriðju undirgreinar 5. mgr. kemur eftirfarandi:</w:t>
      </w:r>
    </w:p>
    <w:p w14:paraId="2AAA3EA6" w14:textId="77777777" w:rsidR="001D6FFE" w:rsidRDefault="00E40155">
      <w:pPr>
        <w:pStyle w:val="Para"/>
        <w:spacing w:after="0"/>
        <w:ind w:left="600"/>
      </w:pPr>
      <w:r>
        <w:t>„Aðildarríki skulu tryggja að ef viðurkenndur gagnaðili eða fagfjárfestir, í skilningi I. þáttar II. viðauka við tilskipun 2014/65/ESB, sem er með staðfestu eða staðsettur í Sambandinu hefur eingöngu að eigin frumkvæði forgöngu um að fyrirtæki í þriðja landi veiti fjárfestingarþjónustu eða stundi fjárfestingarstarfsemi, þá gildi þessi grein ekki um veitingu þeirrar þjónustu eða þá starfsemi þess fyrirtækis í þriðja landi til handa þeim aðila, þ.m.t. samband sem varðar sérstaklega veitingu þeirrar þjónustu e</w:t>
      </w:r>
      <w:r>
        <w:t>ða þá starfsemi. Ef fyrirtæki þriðja lands, þ.m.t. fyrir milligöngu einingar sem kemur fram fyrir hönd þess eða sem hefur náin tengsl við slíkt fyrirtæki þriðja lands eða annan aðila sem kemur fram fyrir hönd einingarinnar, falast eftir viðskiptavinum eða mögulegum viðskiptavinum í Sambandinu, skal það ekki teljast vera veitt þjónusta eingöngu að frumkvæði viðskiptavinarins, með fyrirvara um tengsl innan samstæðu. Frumkvæði slíkra viðskiptavina skal ekki veita fyrirtækinu í þriðja landi rétt til að markaðss</w:t>
      </w:r>
      <w:r>
        <w:t>etja nýja flokka fjárfestingarafurða eða fjárfestingarþjónustu til handa þeim hlutaðeigandi einstaklingi.“</w:t>
      </w:r>
      <w:r>
        <w:br w:type="page"/>
      </w:r>
    </w:p>
    <w:p w14:paraId="60323102" w14:textId="77777777" w:rsidR="001D6FFE" w:rsidRDefault="00E40155">
      <w:pPr>
        <w:pStyle w:val="NumberedText"/>
        <w:tabs>
          <w:tab w:val="clear" w:pos="2047"/>
        </w:tabs>
        <w:spacing w:after="120"/>
        <w:ind w:left="600" w:hanging="300"/>
      </w:pPr>
      <w:r>
        <w:t>d)</w:t>
      </w:r>
      <w:r>
        <w:tab/>
        <w:t>Eftirfarandi málsgreinar bætast við:</w:t>
      </w:r>
    </w:p>
    <w:p w14:paraId="008EF73E" w14:textId="77777777" w:rsidR="001D6FFE" w:rsidRDefault="00E40155">
      <w:pPr>
        <w:pStyle w:val="NumberedText"/>
        <w:tabs>
          <w:tab w:val="clear" w:pos="2047"/>
        </w:tabs>
        <w:spacing w:after="120"/>
        <w:ind w:left="1000" w:hanging="400"/>
      </w:pPr>
      <w:r>
        <w:t>„6a.</w:t>
      </w:r>
      <w:r>
        <w:tab/>
        <w:t>Fyrirtæki þriðja lands sem veita þjónustu eða stunda starfsemi í samræmi við þessa grein skulu árlega upplýsa Evrópsku verðbréfamarkaðseftirlitsstofnunina um eftirfarandi:</w:t>
      </w:r>
    </w:p>
    <w:p w14:paraId="07AFAD04" w14:textId="77777777" w:rsidR="001D6FFE" w:rsidRDefault="00E40155">
      <w:pPr>
        <w:pStyle w:val="NumberedText"/>
        <w:spacing w:after="120"/>
        <w:ind w:left="1293" w:hanging="293"/>
      </w:pPr>
      <w:r>
        <w:t>a)</w:t>
      </w:r>
      <w:r>
        <w:tab/>
        <w:t>umfang og svið þjónustu og starfsemi sem fyrirtækin stunda í Sambandinu, þ.m.t. landfræðilega dreifingu þeirra í aðildarríkjunum,</w:t>
      </w:r>
    </w:p>
    <w:p w14:paraId="798D1B5D" w14:textId="77777777" w:rsidR="001D6FFE" w:rsidRDefault="00E40155">
      <w:pPr>
        <w:pStyle w:val="NumberedText"/>
        <w:tabs>
          <w:tab w:val="clear" w:pos="2047"/>
        </w:tabs>
        <w:spacing w:after="120"/>
        <w:ind w:left="1300" w:hanging="300"/>
      </w:pPr>
      <w:r>
        <w:t>b)</w:t>
      </w:r>
      <w:r>
        <w:tab/>
        <w:t>að því er varðar fyrirtæki sem stunda starfsemina sem um getur í 3. lið þáttar A í I. viðauka tilskipunar 2014/65/ESB, mánaðarlega lágmarks-, meðal- og hámarksáhættuskuldbindingu gagnvart mótaðilum í Sambandinu,</w:t>
      </w:r>
    </w:p>
    <w:p w14:paraId="355FAADF" w14:textId="77777777" w:rsidR="001D6FFE" w:rsidRDefault="00E40155">
      <w:pPr>
        <w:pStyle w:val="NumberedText"/>
        <w:tabs>
          <w:tab w:val="clear" w:pos="2047"/>
        </w:tabs>
        <w:spacing w:after="120"/>
        <w:ind w:left="1300" w:hanging="300"/>
      </w:pPr>
      <w:r>
        <w:t>c)</w:t>
      </w:r>
      <w:r>
        <w:tab/>
        <w:t>að því er varðar fyrirtæki sem veita þjónustu sem um getur í 6. lið þáttar A í I. viðauka tilskipunar 2014/65/ESB, heildarverðmæti fjármálagerninga sem eiga uppruna hjá mótaðilum í ESB, sem sölutryggðir eru eða settir á markað á grundvelli fastrar skuldbindingar á undanförnum 12 mánuðum,</w:t>
      </w:r>
    </w:p>
    <w:p w14:paraId="322AF46B" w14:textId="77777777" w:rsidR="001D6FFE" w:rsidRDefault="00E40155">
      <w:pPr>
        <w:pStyle w:val="NumberedText"/>
        <w:tabs>
          <w:tab w:val="clear" w:pos="2047"/>
        </w:tabs>
        <w:spacing w:after="120"/>
        <w:ind w:left="1300" w:hanging="300"/>
      </w:pPr>
      <w:r>
        <w:t>d)</w:t>
      </w:r>
      <w:r>
        <w:tab/>
        <w:t>veltu og samanlagt virði eigna sem samsvara þjónustu og starfsemi sem um getur í a-lið,</w:t>
      </w:r>
    </w:p>
    <w:p w14:paraId="34EF8AAF" w14:textId="77777777" w:rsidR="001D6FFE" w:rsidRDefault="00E40155">
      <w:pPr>
        <w:pStyle w:val="NumberedText"/>
        <w:tabs>
          <w:tab w:val="clear" w:pos="2047"/>
        </w:tabs>
        <w:spacing w:after="120"/>
        <w:ind w:left="1300" w:hanging="300"/>
      </w:pPr>
      <w:r>
        <w:t>e)</w:t>
      </w:r>
      <w:r>
        <w:tab/>
        <w:t>hvort gerðar hafi verið ráðstafanir til fjárfestaverndar og nákvæma lýsingu á þeim,</w:t>
      </w:r>
    </w:p>
    <w:p w14:paraId="64A81EEF" w14:textId="77777777" w:rsidR="001D6FFE" w:rsidRDefault="00E40155">
      <w:pPr>
        <w:pStyle w:val="NumberedText"/>
        <w:tabs>
          <w:tab w:val="clear" w:pos="2047"/>
        </w:tabs>
        <w:spacing w:after="120"/>
        <w:ind w:left="1300" w:hanging="300"/>
      </w:pPr>
      <w:r>
        <w:t>f)</w:t>
      </w:r>
      <w:r>
        <w:tab/>
        <w:t>áhættustýringarstefnu og -fyrirkomulag sem fyrirtækið beitir að því er varðar þá þjónustu og starfsemi sem um getur í a-lið,</w:t>
      </w:r>
    </w:p>
    <w:p w14:paraId="20B79BFB" w14:textId="77777777" w:rsidR="001D6FFE" w:rsidRDefault="00E40155">
      <w:pPr>
        <w:pStyle w:val="NumberedText"/>
        <w:tabs>
          <w:tab w:val="clear" w:pos="2047"/>
        </w:tabs>
        <w:spacing w:after="120"/>
        <w:ind w:left="1300" w:hanging="300"/>
      </w:pPr>
      <w:r>
        <w:t>g)</w:t>
      </w:r>
      <w:r>
        <w:tab/>
        <w:t>fyrirkomulag stjórnarhátta, þ.m.t. um ábyrgðaraðila lykilstarfssviða í starfsemi fyrirtækisins í Sambandinu,</w:t>
      </w:r>
    </w:p>
    <w:p w14:paraId="3EE7A7E7" w14:textId="77777777" w:rsidR="001D6FFE" w:rsidRDefault="00E40155">
      <w:pPr>
        <w:pStyle w:val="NumberedText"/>
        <w:tabs>
          <w:tab w:val="clear" w:pos="2047"/>
        </w:tabs>
        <w:spacing w:after="120"/>
        <w:ind w:left="1300" w:hanging="300"/>
      </w:pPr>
      <w:r>
        <w:t>h)</w:t>
      </w:r>
      <w:r>
        <w:tab/>
      </w:r>
      <w:r>
        <w:t>allar aðrar upplýsingar sem nauðsynlegar eru til að gera Evrópsku verðbréfamarkaðseftirlitsstofnuninni eða lögbærum yfirvöldum kleift að sinna skyldum sínum í samræmi við þessa reglugerð.</w:t>
      </w:r>
    </w:p>
    <w:p w14:paraId="582119D7" w14:textId="77777777" w:rsidR="001D6FFE" w:rsidRDefault="00E40155">
      <w:pPr>
        <w:pStyle w:val="Para"/>
        <w:spacing w:after="120"/>
        <w:ind w:left="1000"/>
      </w:pPr>
      <w:r>
        <w:t>Evrópska verðbréfamarkaðseftirlitsstofnunin skal miðla upplýsingunum sem hún fær í samræmi við þessa málsgrein til lögbærra yfirvalda aðildarríkjanna þar sem fyrirtæki þriðja lands veitir fjárfestingarþjónustu eða stundar fjárfestingarstarfsemi í samræmi við þessa grein.</w:t>
      </w:r>
    </w:p>
    <w:p w14:paraId="08E92D8B" w14:textId="77777777" w:rsidR="001D6FFE" w:rsidRDefault="00E40155">
      <w:pPr>
        <w:pStyle w:val="Para"/>
        <w:spacing w:after="120"/>
        <w:ind w:left="1000"/>
      </w:pPr>
      <w:r>
        <w:t>Ef nauðsynlegt er til að Evrópska verðbréfamarkaðseftirlitsstofnunin eða lögbæru yfirvöldin geti sinnt verkefnum sínum í samræmi við þessa reglugerð, getur Evrópska verðbréfamarkaðseftirlitsstofnunin, m.a. að beiðni lögbæra yfirvaldsins í aðildarríkjunum þar sem fyrirtæki þriðja lands veitir fjárfestingarþjónustu eða stundar fjárfestingarstarfsemi í samræmi við þessa grein, óskað eftir að fyrirtæki þriðja lands sem veita þjónustu eða stunda starfsemi í samræmi við þessa grein veiti frekari upplýsingar um st</w:t>
      </w:r>
      <w:r>
        <w:t>arfsemi sína.</w:t>
      </w:r>
    </w:p>
    <w:p w14:paraId="7484D834" w14:textId="77777777" w:rsidR="001D6FFE" w:rsidRDefault="00E40155">
      <w:pPr>
        <w:pStyle w:val="NumberedText"/>
        <w:tabs>
          <w:tab w:val="clear" w:pos="2047"/>
        </w:tabs>
        <w:spacing w:after="120"/>
        <w:ind w:left="1000" w:hanging="400"/>
      </w:pPr>
      <w:r>
        <w:t>6b.</w:t>
      </w:r>
      <w:r>
        <w:tab/>
        <w:t>Ef fyrirtæki þriðja lands veitir þjónustu eða stundar starfsemi í samræmi við þessa grein skal það, yfir fimm ára tímabil, hafa aðgengileg fyrir Evrópsku verðbréfamarkaðseftirlitsstofnunina gögn er varða öll fyrirmæli og öll viðskipi með fjármálagerninga í Sambandinu sem það hefur framkvæmt, hvort sem er fyrir eigin reikning eða fyrir hönd viðskiptavinar.</w:t>
      </w:r>
    </w:p>
    <w:p w14:paraId="27673143" w14:textId="77777777" w:rsidR="001D6FFE" w:rsidRDefault="00E40155">
      <w:pPr>
        <w:pStyle w:val="Para"/>
        <w:spacing w:after="120"/>
        <w:ind w:left="1000"/>
      </w:pPr>
      <w:r>
        <w:t>Að beiðni lögbæra yfirvaldsins í aðildarríki þar sem fyrirtæki þriðja lands veitir fjárfestingarþjónustu eða stundar fjárfestingarstarfsemi í samræmi við þessa grein skal Evrópska verðbréfamarkaðseftirlitsstofnunin nota aðgang sinn að viðkomandi gögnum, sem henni eru aðgengileg í samræmi við fyrstu undirgrein, og gera þau gögn aðgengileg lögbæra yfirvaldinu sem leggur fram beiðnina.</w:t>
      </w:r>
    </w:p>
    <w:p w14:paraId="3CD9A03F" w14:textId="77777777" w:rsidR="001D6FFE" w:rsidRDefault="00E40155">
      <w:pPr>
        <w:pStyle w:val="NumberedText"/>
        <w:tabs>
          <w:tab w:val="clear" w:pos="2047"/>
        </w:tabs>
        <w:spacing w:after="120"/>
        <w:ind w:left="1000" w:hanging="400"/>
      </w:pPr>
      <w:r>
        <w:t>6c.</w:t>
      </w:r>
      <w:r>
        <w:tab/>
      </w:r>
      <w:r>
        <w:t>Ef fyrirtæki þriðja lands sýnir ekki samstarfsvilja við rannsókn eða vettvangsskoðun, sem gerð er í samræmi við 2. mgr. 47. gr. eða ef það verður ekki við beiðni Evrópsku verðbréfamarkaðseftirlitsstofnunarinnar í samræmi við 6. gr. a eða 6. gr. b þessarar greinar á tilskildum tíma og á tilhlýðilegan hátt, getur Evrópska verðbréfamarkaðseftirlitsstofnunin afturkallað skráningu sína eða tímabundið bannað eða takmarkað starfsemi þess í samræmi við 49. gr.“</w:t>
      </w:r>
    </w:p>
    <w:p w14:paraId="03E5609D" w14:textId="77777777" w:rsidR="001D6FFE" w:rsidRDefault="00E40155">
      <w:pPr>
        <w:pStyle w:val="NumberedText"/>
        <w:spacing w:after="120"/>
        <w:ind w:left="600" w:hanging="300"/>
      </w:pPr>
      <w:r>
        <w:t>e)</w:t>
      </w:r>
      <w:r>
        <w:tab/>
        <w:t>Í stað 7. mgr. kemur eftirfarandi:</w:t>
      </w:r>
    </w:p>
    <w:p w14:paraId="11B824B4" w14:textId="77777777" w:rsidR="001D6FFE" w:rsidRDefault="00E40155">
      <w:pPr>
        <w:pStyle w:val="AlineaWithParag"/>
        <w:tabs>
          <w:tab w:val="left" w:pos="987"/>
        </w:tabs>
        <w:spacing w:after="120"/>
        <w:ind w:left="600"/>
      </w:pPr>
      <w:r>
        <w:t>„7.</w:t>
      </w:r>
      <w:r>
        <w:tab/>
        <w:t>Evrópska verðbréfamarkaðseftirlitsstofnunin, í samráði við Evrópsku bankaeftirlitsstofnunina, skal semja drög að tæknilegum eftirlitsstöðlum sem tilgreina þær upplýsingar sem umsóknarfyrirtæki í þriðja landi ber að veita í umsókninni um skráningu sem um getur í 4. mgr. og þær upplýsingar sem tilgreina á í samræmi við 6. mgr. a.</w:t>
      </w:r>
    </w:p>
    <w:p w14:paraId="6064D3AC" w14:textId="77777777" w:rsidR="001D6FFE" w:rsidRDefault="00E40155">
      <w:pPr>
        <w:pStyle w:val="Alinea"/>
        <w:spacing w:after="120"/>
        <w:ind w:left="600"/>
      </w:pPr>
      <w:r>
        <w:t>Evrópska verðbréfamarkaðseftirlitsstofnunin skal leggja þessi drög að tæknilegum eftirlitsstöðlum fyrir framkvæmdastjórnina eigi síðar en 26. september 2020.</w:t>
      </w:r>
    </w:p>
    <w:p w14:paraId="171955DD" w14:textId="77777777" w:rsidR="001D6FFE" w:rsidRDefault="00E40155">
      <w:pPr>
        <w:pStyle w:val="Alinea"/>
        <w:spacing w:after="120"/>
        <w:ind w:left="600"/>
      </w:pPr>
      <w:r>
        <w:t>Framkvæmdastjórninni er falið vald til að bæta við þessa reglugerð með því að samþykkja tæknilegu eftirlitsstaðlana sem um getur í fyrstu undirgrein í samræmi við 10.–14. gr. reglugerðar (ESB) nr. 1095/2010.“</w:t>
      </w:r>
    </w:p>
    <w:p w14:paraId="41FFB3BC" w14:textId="77777777" w:rsidR="001D6FFE" w:rsidRDefault="00E40155">
      <w:pPr>
        <w:pStyle w:val="NumberedText"/>
        <w:spacing w:after="120"/>
        <w:ind w:left="600" w:hanging="300"/>
      </w:pPr>
      <w:r>
        <w:t>f)</w:t>
      </w:r>
      <w:r>
        <w:tab/>
        <w:t>Eftirfarandi málsgrein bætist við:</w:t>
      </w:r>
    </w:p>
    <w:p w14:paraId="099F12D6" w14:textId="77777777" w:rsidR="001D6FFE" w:rsidRDefault="00E40155">
      <w:pPr>
        <w:pStyle w:val="AlineaWithParag"/>
        <w:tabs>
          <w:tab w:val="left" w:pos="987"/>
        </w:tabs>
        <w:spacing w:after="0"/>
        <w:ind w:left="600"/>
      </w:pPr>
      <w:r>
        <w:t>„8.</w:t>
      </w:r>
      <w:r>
        <w:tab/>
        <w:t>Evrópska verðbréfamarkaðseftirlitsstofnunin skal semja drög að tæknilegum framkvæmdarstöðlum til að tilgreina sniðið sem umsókn um skráningu sem um getur í 4. mgr. skal lögð fram á og upplýsingarnar sem um getur í 6. mgr. a. skulu tilgreindar á.</w:t>
      </w:r>
      <w:r>
        <w:br w:type="page"/>
      </w:r>
    </w:p>
    <w:p w14:paraId="36A23F8F" w14:textId="77777777" w:rsidR="001D6FFE" w:rsidRDefault="00E40155">
      <w:pPr>
        <w:pStyle w:val="Alinea"/>
        <w:ind w:left="600"/>
      </w:pPr>
      <w:r>
        <w:t>Evrópska verðbréfamarkaðseftirlitsstofnunin skal leggja þessi drög að tæknilegum framkvæmdarstöðlum fyrir framkvæmdastjórnina eigi síðar en 26. september 2020.</w:t>
      </w:r>
    </w:p>
    <w:p w14:paraId="096D240C" w14:textId="77777777" w:rsidR="001D6FFE" w:rsidRDefault="00E40155">
      <w:pPr>
        <w:pStyle w:val="Alinea"/>
        <w:ind w:left="600"/>
      </w:pPr>
      <w:r>
        <w:t>Framkvæmdastjórninni er veitt vald til að bæta við þessa reglugerð með því að samþykkja tæknilegu framkvæmdarstaðlana sem um getur í fyrstu undirgrein í samræmi við 15. gr. reglugerðar (ESB) nr. 1095/2010.“</w:t>
      </w:r>
    </w:p>
    <w:p w14:paraId="3B0CA4B2" w14:textId="77777777" w:rsidR="001D6FFE" w:rsidRDefault="00E40155">
      <w:pPr>
        <w:pStyle w:val="NumberedText"/>
        <w:tabs>
          <w:tab w:val="right" w:pos="149"/>
        </w:tabs>
        <w:ind w:left="300" w:hanging="300"/>
      </w:pPr>
      <w:r>
        <w:tab/>
        <w:t>5)</w:t>
      </w:r>
      <w:r>
        <w:tab/>
        <w:t>Ákvæðum 47. gr. er breytt sem hér segir:</w:t>
      </w:r>
    </w:p>
    <w:p w14:paraId="6F170D50" w14:textId="77777777" w:rsidR="001D6FFE" w:rsidRDefault="00E40155">
      <w:pPr>
        <w:pStyle w:val="NumberedText"/>
        <w:tabs>
          <w:tab w:val="clear" w:pos="2047"/>
        </w:tabs>
        <w:ind w:left="600" w:hanging="300"/>
      </w:pPr>
      <w:r>
        <w:t>a)</w:t>
      </w:r>
      <w:r>
        <w:tab/>
        <w:t>Í stað 1. mgr. kemur eftirfarandi:</w:t>
      </w:r>
    </w:p>
    <w:p w14:paraId="6266AF4B" w14:textId="77777777" w:rsidR="001D6FFE" w:rsidRDefault="00E40155">
      <w:pPr>
        <w:pStyle w:val="AlineaWithParag"/>
        <w:tabs>
          <w:tab w:val="left" w:pos="987"/>
        </w:tabs>
        <w:ind w:left="600"/>
      </w:pPr>
      <w:r>
        <w:t>„1.</w:t>
      </w:r>
      <w:r>
        <w:tab/>
        <w:t>Framkvæmdastjórnin getur, í samræmi við rannsóknarmálsmeðferðina sem um getur í 2. mgr. 51. gr., samþykkt ákvörðun í tengslum við þriðja land þess efnis að laga- og eftirlitsfyrirkomulag þess þriðja lands tryggi allt eftirfarandi:</w:t>
      </w:r>
    </w:p>
    <w:p w14:paraId="185FCC8E" w14:textId="77777777" w:rsidR="001D6FFE" w:rsidRDefault="00E40155">
      <w:pPr>
        <w:pStyle w:val="NumberedText"/>
        <w:ind w:left="900" w:hanging="300"/>
      </w:pPr>
      <w:r>
        <w:t>a)</w:t>
      </w:r>
      <w:r>
        <w:tab/>
        <w:t>að fyrirtæki með starfsleyfi í því þriðja landi fari að lagalega bindandi varfærniskröfum, skipulagskröfum og kröfum um viðskiptahætti sem hafi jafngild áhrif og þær kröfur sem tilgreindar eru í þessari reglugerð, reglugerð (ESB) nr. 575/2013, reglugerð Evrópuþingsins og ráðsins (ESB) 2019/2033 (*), tilskipun 2013/36/ESB, tilskipun 2014/65/ESB og tilskipun Evrópuþingsins og ráðsins (ESB) 2019/2034 (**) og framkvæmdarráðstöfununum sem samþykktar eru samkvæmt þeim lagagerðum,</w:t>
      </w:r>
    </w:p>
    <w:p w14:paraId="2E37242D" w14:textId="77777777" w:rsidR="001D6FFE" w:rsidRDefault="00E40155">
      <w:pPr>
        <w:pStyle w:val="NumberedText"/>
        <w:ind w:left="900" w:hanging="300"/>
      </w:pPr>
      <w:r>
        <w:t>b)</w:t>
      </w:r>
      <w:r>
        <w:tab/>
        <w:t>að fyrirtæki með starfsleyfi í því þriðja landi falli undir skilvirkt eftirlit og framfylgd sem tryggir hlítingu við gildandi lagalega bindandi varfærniskröfur, skipulagskröfur og kröfur um viðskiptahætti og</w:t>
      </w:r>
    </w:p>
    <w:p w14:paraId="14739BDB" w14:textId="77777777" w:rsidR="001D6FFE" w:rsidRDefault="00E40155">
      <w:pPr>
        <w:pStyle w:val="NumberedText"/>
        <w:ind w:left="900" w:hanging="300"/>
      </w:pPr>
      <w:r>
        <w:t>c)</w:t>
      </w:r>
      <w:r>
        <w:tab/>
        <w:t>að lagarammi þriðja landsins kveði á um skilvirkt jafngilt kerfi fyrir viðurkenningu á verðbréfafyrirtækjum sem fengið hafa starfsleyfi samkvæmt lagareglum þriðja lands.</w:t>
      </w:r>
    </w:p>
    <w:p w14:paraId="322EDB4E" w14:textId="77777777" w:rsidR="001D6FFE" w:rsidRDefault="00E40155">
      <w:pPr>
        <w:pStyle w:val="Alinea"/>
        <w:ind w:left="600"/>
      </w:pPr>
      <w:r>
        <w:t>Ef umfang og svið þeirrar þjónustu og starfsemi sem fyrirtæki þriðja lands leggja stund á í Sambandinu, eftir að ákvörðunin sem um getur í fyrstu undirgrein hefur verið samþykkt, er líkleg til að vera kerfislega mikilvæg Sambandinu, geta hinar lagalega bindandi varfærniskröfur, skipulagskröfur og kröfur um viðskiptahætti sem um getur í fyrstu undirgrein eingöngu talist hafa jafngild áhrif og kröfurnar sem settar eru fram í þeim gerðum sem um getur í þeirri undirgrein eftir ítarlegt og nákvæmt mat. Í því sky</w:t>
      </w:r>
      <w:r>
        <w:t>ni skal framkvæmdastjórnin einnig meta og taka tillit til samleitni eftirlitsins í viðkomandi þriðja landi og Sambandinu.</w:t>
      </w:r>
    </w:p>
    <w:p w14:paraId="4AA00265" w14:textId="77777777" w:rsidR="001D6FFE" w:rsidRDefault="00E40155">
      <w:pPr>
        <w:pStyle w:val="AlineaWithParag"/>
        <w:tabs>
          <w:tab w:val="left" w:pos="987"/>
        </w:tabs>
        <w:ind w:left="600"/>
      </w:pPr>
      <w:r>
        <w:t>1a.</w:t>
      </w:r>
      <w:r>
        <w:tab/>
      </w:r>
      <w:r>
        <w:t>Framkvæmdastjórninni er falið vald til að samþykkja framseldar gerðir í samræmi við 50. gr., til að bæta við þessa reglugerð þar sem tilgreint er frekar við hvaða aðstæður umfang og svið þjónustunnar og starfseminnar sem fyrirtæki þriðja lands leggja stund á í Sambandinu, eftir að ákvörðun um jafngildi sem um getur í 1. mgr. hefur verið tekin, er líklegt til að vera kerfislega mikilvægt Sambandinu.</w:t>
      </w:r>
    </w:p>
    <w:p w14:paraId="7788CC55" w14:textId="77777777" w:rsidR="001D6FFE" w:rsidRDefault="00E40155">
      <w:pPr>
        <w:pStyle w:val="Alinea"/>
        <w:ind w:left="600"/>
      </w:pPr>
      <w:r>
        <w:t>Ef umfang og svið þjónustunnar og starfseminnar sem fyrirtæki þriðja lands leggja stund á er líklegt til að vera kerfislega mikilvægt Sambandinu, getur framkvæmdastjórnin bundið ákvarðanir um jafngildi sérstökum rekstrarskilyrðum til að tryggja að Evrópska verðbréfamarkaðseftirlitsstofnunin og lögbær landsyfirvöld hafi nauðsynleg tæki til að koma í veg fyrir eftirlitshögnun og vakta starfsemi verðbréfafyrirtækja þriðja lands sem skráð eru í samræmi við 2. mgr. 46. gr., að því er varðar þjónustu sem veitt er</w:t>
      </w:r>
      <w:r>
        <w:t xml:space="preserve"> og starfsemi sem stunduð er í Sambandinu, með því að tryggja að þessi fyrirtæki hlíti:</w:t>
      </w:r>
    </w:p>
    <w:p w14:paraId="5613CB71" w14:textId="77777777" w:rsidR="001D6FFE" w:rsidRDefault="00E40155">
      <w:pPr>
        <w:pStyle w:val="NumberedText"/>
        <w:ind w:left="900" w:hanging="300"/>
      </w:pPr>
      <w:r>
        <w:t>a)</w:t>
      </w:r>
      <w:r>
        <w:tab/>
        <w:t>kröfum sem hafa jafngild áhrif og kröfurnar sem um getur í 20. og 21. gr.,</w:t>
      </w:r>
    </w:p>
    <w:p w14:paraId="5070A3EA" w14:textId="77777777" w:rsidR="001D6FFE" w:rsidRDefault="00E40155">
      <w:pPr>
        <w:pStyle w:val="NumberedText"/>
        <w:ind w:left="900" w:hanging="300"/>
      </w:pPr>
      <w:r>
        <w:t>b)</w:t>
      </w:r>
      <w:r>
        <w:tab/>
        <w:t>skýrslugjafarkröfum sem hafa jafngild áhrif og kröfurnar sem um getur í 26. gr., þegar ekki er hægt að fá slíkar upplýsingar beint og á viðvarandi grundvelli með samkomulagi við lögbæra yfirvaldið í þriðja landi,</w:t>
      </w:r>
    </w:p>
    <w:p w14:paraId="0C4D1723" w14:textId="77777777" w:rsidR="001D6FFE" w:rsidRDefault="00E40155">
      <w:pPr>
        <w:pStyle w:val="NumberedText"/>
        <w:ind w:left="900" w:hanging="300"/>
      </w:pPr>
      <w:r>
        <w:t>c)</w:t>
      </w:r>
      <w:r>
        <w:tab/>
        <w:t>kröfum sem hafa jafngild áhrif og viðskiptaskyldan sem um getur í 23. og 28. gr., eftir atvikum.</w:t>
      </w:r>
    </w:p>
    <w:p w14:paraId="047D4600" w14:textId="77777777" w:rsidR="001D6FFE" w:rsidRDefault="00E40155">
      <w:pPr>
        <w:pStyle w:val="Alinea"/>
        <w:ind w:left="600"/>
      </w:pPr>
      <w:r>
        <w:t>Þegar framkvæmdastjórnin tekur ákvörðunina sem um getur í 1. mgr. þessarar greinar skal hún taka tillit til þess hvort þriðja landið er auðkennt sem ósamvinnuþýð lögsaga í skattalegu tilliti samkvæmt viðkomandi stefnu Sambandsins eða sem þriðja land með mikla áhættu skv. 2. mgr. 9. gr. tilskipunar (ESB) 2015/849.</w:t>
      </w:r>
    </w:p>
    <w:p w14:paraId="54F32EE3" w14:textId="77777777" w:rsidR="001D6FFE" w:rsidRDefault="00E40155">
      <w:pPr>
        <w:pStyle w:val="AlineaWithParag"/>
        <w:tabs>
          <w:tab w:val="left" w:pos="987"/>
        </w:tabs>
        <w:ind w:left="600"/>
      </w:pPr>
      <w:r>
        <w:t>1b.</w:t>
      </w:r>
      <w:r>
        <w:tab/>
        <w:t>Lagarammi þriðja lands er varðar varfærniskröfur, skipulagskröfur og viðskiptahætti getur talist hafa jafngild áhrif ef hann uppfyllir öll eftirfarandi skilyrði:</w:t>
      </w:r>
    </w:p>
    <w:p w14:paraId="105A9FD9" w14:textId="77777777" w:rsidR="001D6FFE" w:rsidRDefault="00E40155">
      <w:pPr>
        <w:pStyle w:val="NumberedText"/>
        <w:spacing w:after="0"/>
        <w:ind w:left="900" w:hanging="300"/>
      </w:pPr>
      <w:r>
        <w:t>a)</w:t>
      </w:r>
      <w:r>
        <w:tab/>
        <w:t>fyrirtæki sem veita fjárfestingarþjónustu eða stunda fjárfestingarstarfsemi í því þriðja landi eru starfsleyfisskyld og falla undir skilvirkt eftirliti og framfylgd á viðvarandi grundvelli,</w:t>
      </w:r>
      <w:r>
        <w:br w:type="page"/>
      </w:r>
    </w:p>
    <w:p w14:paraId="7FB2F217" w14:textId="77777777" w:rsidR="001D6FFE" w:rsidRDefault="00E40155">
      <w:pPr>
        <w:pStyle w:val="NumberedText"/>
        <w:spacing w:after="120"/>
        <w:ind w:left="900" w:hanging="300"/>
      </w:pPr>
      <w:r>
        <w:t>b)</w:t>
      </w:r>
      <w:r>
        <w:tab/>
        <w:t>fyrirtæki sem veita fjárfestingarþjónustu eða stunda fjárfestingarstarfsemi í því þriðja landi falla undir fullnægjandi eiginfjárkröfur og, einkum, falla fyrirtæki sem veita þjónustu eða stunda starfsemi sem um getur í 3. eða 6. lið þáttar A í I. viðauka við tilskipun 2014/65/ESB, undir sambærilegar eiginfjárkröfur og þær sem beitt væri ef þau væru með staðfestu í Sambandinu,</w:t>
      </w:r>
    </w:p>
    <w:p w14:paraId="0EFE4748" w14:textId="77777777" w:rsidR="001D6FFE" w:rsidRDefault="00E40155">
      <w:pPr>
        <w:pStyle w:val="NumberedText"/>
        <w:spacing w:after="120"/>
        <w:ind w:left="900" w:hanging="300"/>
      </w:pPr>
      <w:r>
        <w:t>c)</w:t>
      </w:r>
      <w:r>
        <w:tab/>
        <w:t>fyrirtæki sem veita fjárfestingarþjónustu eða stunda fjárfestingarstarfsemi í því þriðja landi falla undir viðeigandi kröfur sem gilda um hluthafa og aðila í stjórn og/eða framkvæmdastjórn þeirra,</w:t>
      </w:r>
    </w:p>
    <w:p w14:paraId="4C01506D" w14:textId="77777777" w:rsidR="001D6FFE" w:rsidRDefault="00E40155">
      <w:pPr>
        <w:pStyle w:val="NumberedText"/>
        <w:spacing w:after="120"/>
        <w:ind w:left="900" w:hanging="300"/>
      </w:pPr>
      <w:r>
        <w:t>d)</w:t>
      </w:r>
      <w:r>
        <w:tab/>
        <w:t>fyrirtæki sem veita fjárfestingarþjónustu eða stunda fjárfestingarstarfsemi falla undir fullnægjandi kröfur um viðskiptahætti og skipulag,</w:t>
      </w:r>
    </w:p>
    <w:p w14:paraId="69773312" w14:textId="77777777" w:rsidR="001D6FFE" w:rsidRDefault="00E40155">
      <w:pPr>
        <w:pStyle w:val="NumberedText"/>
        <w:spacing w:after="120"/>
        <w:ind w:left="900" w:hanging="300"/>
      </w:pPr>
      <w:r>
        <w:t>e)</w:t>
      </w:r>
      <w:r>
        <w:tab/>
        <w:t>gagnsæi á markaði og heilleiki eru tryggð með því að koma í veg fyrir markaðssvik í formi innherjasvika og markaðsmisnotkunar.</w:t>
      </w:r>
    </w:p>
    <w:p w14:paraId="1CEF32B3" w14:textId="77777777" w:rsidR="001D6FFE" w:rsidRDefault="00E40155">
      <w:pPr>
        <w:pStyle w:val="Alinea"/>
        <w:spacing w:after="120"/>
        <w:ind w:left="600"/>
      </w:pPr>
      <w:r>
        <w:t>Að því er varðar 1. mgr. a þessarar greinar skal framkvæmdastjórnin, við mat á jafngildi reglna þriðja lands að því er varðar viðskiptaskylduna sem sett er fram í 23. og 28. gr., einnig meta hvort í lagaramma þriðja landsins séu viðmið fyrir tilnefningu á viðskiptavettvöngum sem hæfum til að uppfylla viðskiptaskylduna, sem hafa svipuð áhrif og þau sem sett eru samkvæmt þessari reglugerð eða tilskipun 2014/65/ESB.</w:t>
      </w:r>
    </w:p>
    <w:p w14:paraId="1F78CBDB" w14:textId="77777777" w:rsidR="001D6FFE" w:rsidRDefault="00E40155">
      <w:pPr>
        <w:pStyle w:val="QuoteFootnoteRule"/>
        <w:pBdr>
          <w:bottom w:val="none" w:sz="0" w:space="0" w:color="auto"/>
        </w:pBdr>
        <w:tabs>
          <w:tab w:val="left" w:pos="1668"/>
        </w:tabs>
        <w:ind w:left="600" w:right="0"/>
        <w:rPr>
          <w:u w:val="single"/>
        </w:rPr>
      </w:pPr>
      <w:r>
        <w:rPr>
          <w:u w:val="single"/>
        </w:rPr>
        <w:tab/>
      </w:r>
    </w:p>
    <w:p w14:paraId="78314754" w14:textId="77777777" w:rsidR="001D6FFE" w:rsidRDefault="00E40155">
      <w:pPr>
        <w:pStyle w:val="NumberedText"/>
        <w:spacing w:after="0"/>
        <w:ind w:left="960" w:hanging="360"/>
      </w:pPr>
      <w:r>
        <w:t>(</w:t>
      </w:r>
      <w:bookmarkStart w:id="35" w:name="NOTE_E0036"/>
      <w:r>
        <w:t>*</w:t>
      </w:r>
      <w:bookmarkEnd w:id="35"/>
      <w:r>
        <w:t>)</w:t>
      </w:r>
      <w:r>
        <w:tab/>
        <w:t>Reglugerð Evrópuþingsins og ráðsins (ESB) 2019/2033 frá 27. nóvember 2019 um varfærniskröfur fyrir verðbréfafyrirtæki og breytingu á reglugerðum (ESB) nr. 1093/2010, (ESB) nr. 575/2013, (ESB) nr. 600/2014 og (ESB) nr. 806/2014 (Stjtíð. ESB L 314, 5.12.2019, bls. 1).</w:t>
      </w:r>
    </w:p>
    <w:p w14:paraId="158A5941" w14:textId="77777777" w:rsidR="001D6FFE" w:rsidRDefault="00E40155">
      <w:pPr>
        <w:pStyle w:val="NumberedText"/>
        <w:spacing w:after="120"/>
        <w:ind w:left="960" w:hanging="360"/>
      </w:pPr>
      <w:r>
        <w:t>(</w:t>
      </w:r>
      <w:bookmarkStart w:id="36" w:name="NOTE_E0037"/>
      <w:r>
        <w:t>**</w:t>
      </w:r>
      <w:bookmarkEnd w:id="36"/>
      <w:r>
        <w:t>)</w:t>
      </w:r>
      <w:r>
        <w:tab/>
        <w:t>Tilskipun Evrópuþingsins og ráðsins (ESB) 2019/2034 frá 27. nóvember 2019 um varfærniseftirlit með verðbréfafyrirtækjum og breytingu á tilskipunum 2002/87/EB, 2009/65/EB, 2011/61/ESB, 2013/36/ESB, 2014/59/ESB og 2014/65/ESB (Stjtíð. ESB L 314, 5.12.2019, bls. 64).“</w:t>
      </w:r>
    </w:p>
    <w:p w14:paraId="778ED047" w14:textId="77777777" w:rsidR="001D6FFE" w:rsidRDefault="00E40155">
      <w:pPr>
        <w:pStyle w:val="NumberedText"/>
        <w:tabs>
          <w:tab w:val="clear" w:pos="2047"/>
        </w:tabs>
        <w:spacing w:after="120"/>
        <w:ind w:left="600" w:hanging="300"/>
      </w:pPr>
      <w:r>
        <w:t>b)</w:t>
      </w:r>
      <w:r>
        <w:tab/>
        <w:t>Ákvæðum 2. mgr. er breytt sem hér segir:</w:t>
      </w:r>
    </w:p>
    <w:p w14:paraId="3CD92071" w14:textId="77777777" w:rsidR="001D6FFE" w:rsidRDefault="00E40155">
      <w:pPr>
        <w:pStyle w:val="NumberedText"/>
        <w:tabs>
          <w:tab w:val="right" w:pos="797"/>
        </w:tabs>
        <w:spacing w:after="120"/>
        <w:ind w:left="960" w:hanging="360"/>
      </w:pPr>
      <w:r>
        <w:tab/>
        <w:t>i.</w:t>
      </w:r>
      <w:r>
        <w:tab/>
        <w:t>Í stað a-liðar kemur eftirfarandi:</w:t>
      </w:r>
    </w:p>
    <w:p w14:paraId="70BE5136" w14:textId="77777777" w:rsidR="001D6FFE" w:rsidRDefault="00E40155">
      <w:pPr>
        <w:pStyle w:val="NumberedText"/>
        <w:spacing w:after="120"/>
        <w:ind w:left="1360" w:hanging="400"/>
      </w:pPr>
      <w:r>
        <w:t>„a)</w:t>
      </w:r>
      <w:r>
        <w:tab/>
      </w:r>
      <w:r>
        <w:t>kerfi til upplýsingaskipta á milli Evrópsku verðbréfamarkaðseftirlitsstofnunarinnar og lögbærra yfirvalda hlutaðeigandi þriðju landa, þ.m.t. aðgang að öllum upplýsingum um fyrirtæki utan Sambandsins með starfsleyfi í þriðju löndum sem Evrópska verðbréfamarkaðseftirlitsstofnunin fer fram á og, ef við á, fyrirkomulag fyrir Evrópsku verðbréfamarkaðseftirlitsstofnunina að deila slíkum upplýsingum áfram til lögbærra yfirvalda aðildarríkjanna,“.</w:t>
      </w:r>
    </w:p>
    <w:p w14:paraId="503E6D5E" w14:textId="77777777" w:rsidR="001D6FFE" w:rsidRDefault="00E40155">
      <w:pPr>
        <w:pStyle w:val="NumberedText"/>
        <w:tabs>
          <w:tab w:val="right" w:pos="797"/>
        </w:tabs>
        <w:spacing w:after="120"/>
        <w:ind w:left="960" w:hanging="360"/>
      </w:pPr>
      <w:r>
        <w:tab/>
        <w:t>ii.</w:t>
      </w:r>
      <w:r>
        <w:tab/>
        <w:t>Í stað c-liðar kemur eftirfarandi:</w:t>
      </w:r>
    </w:p>
    <w:p w14:paraId="05F68698" w14:textId="77777777" w:rsidR="001D6FFE" w:rsidRDefault="00E40155">
      <w:pPr>
        <w:pStyle w:val="NumberedText"/>
        <w:spacing w:after="120"/>
        <w:ind w:left="1360" w:hanging="400"/>
      </w:pPr>
      <w:r>
        <w:t>„c)</w:t>
      </w:r>
      <w:r>
        <w:tab/>
        <w:t xml:space="preserve">verklagsreglurnar að því er varðar samræmingu á eftirlitsstarfsemi, þ.m.t. rannsóknum og vettvangsskoðunum sem Evrópska verðbréfamarkaðseftirlitsstofnunin getur gert í samstarfi við lögbær yfirvöld í aðildarríkjum þar sem fyrirtæki þriðja lands veitir fjárfestingarþjónustu eða stundar fjárfestingarstarfsemi í samræmi við 46. gr., ef það er nauðsynlegt til að Evrópska verðbréfamarkaðseftirlitsstofnunin eða lögbær yfirvöld geti sinnt skyldum sínum í samræmi við þessa reglugerð, eftir að hafa upplýst lögbært </w:t>
      </w:r>
      <w:r>
        <w:t>yfirvald þriðja landsins á tilhlýðilegan hátt um það.“</w:t>
      </w:r>
    </w:p>
    <w:p w14:paraId="5D9627B8" w14:textId="77777777" w:rsidR="001D6FFE" w:rsidRDefault="00E40155">
      <w:pPr>
        <w:pStyle w:val="NumberedText"/>
        <w:tabs>
          <w:tab w:val="right" w:pos="797"/>
        </w:tabs>
        <w:spacing w:after="120"/>
        <w:ind w:left="960" w:hanging="360"/>
      </w:pPr>
      <w:r>
        <w:tab/>
        <w:t>iii.</w:t>
      </w:r>
      <w:r>
        <w:tab/>
        <w:t>Eftirfarandi lið er bætt við:</w:t>
      </w:r>
    </w:p>
    <w:p w14:paraId="647EA804" w14:textId="77777777" w:rsidR="001D6FFE" w:rsidRDefault="00E40155">
      <w:pPr>
        <w:pStyle w:val="NumberedText"/>
        <w:spacing w:after="120"/>
        <w:ind w:left="1360" w:hanging="400"/>
      </w:pPr>
      <w:r>
        <w:t>„d)</w:t>
      </w:r>
      <w:r>
        <w:tab/>
        <w:t>verklagsreglurnar að því er varðar beiðni um upplýsingar skv. 6. mgr. a og 6. mgr. b 46. gr. sem Evrópska verðbréfamarkaðseftirlitsstofnunin getur lagt fram til fyrirtækis þriðja lands sem skráð er í samræmi við 2. mgr. 46. gr.“</w:t>
      </w:r>
    </w:p>
    <w:p w14:paraId="6A008A0D" w14:textId="77777777" w:rsidR="001D6FFE" w:rsidRDefault="00E40155">
      <w:pPr>
        <w:pStyle w:val="NumberedText"/>
        <w:tabs>
          <w:tab w:val="clear" w:pos="2047"/>
        </w:tabs>
        <w:spacing w:after="120"/>
        <w:ind w:left="600" w:hanging="300"/>
      </w:pPr>
      <w:r>
        <w:t>c)</w:t>
      </w:r>
      <w:r>
        <w:tab/>
        <w:t>Eftirfarandi málsgreinar bætast við:</w:t>
      </w:r>
    </w:p>
    <w:p w14:paraId="31BD0471" w14:textId="77777777" w:rsidR="001D6FFE" w:rsidRDefault="00E40155">
      <w:pPr>
        <w:pStyle w:val="AlineaWithParag"/>
        <w:tabs>
          <w:tab w:val="left" w:pos="987"/>
        </w:tabs>
        <w:spacing w:after="120"/>
        <w:ind w:left="600"/>
      </w:pPr>
      <w:r>
        <w:t>„5.</w:t>
      </w:r>
      <w:r>
        <w:tab/>
        <w:t>Evrópska verðbréfamarkaðseftirlitsstofnunin skal vakta þróun á sviði reglusetningar og eftirlits, framfylgdarvenjur og aðra viðkomandi markaðsþróun í þriðju löndum sem framkvæmdastjórnin hefur samþykkt ákvarðanir um jafngildi um skv. 1. mgr., til að sannreyna að skilyrðin sem þær ákvarðanir byggjast á séu enn uppfyllt. Evrópska verðbréfamarkaðseftirlitsstofnunin skal árlega leggja fyrir framkvæmdastjórnina trúnaðarskýrslu um niðurstöður sínar. Ef Evrópska verðbréfamarkaðseftirlitsstofnunin telur það viðeig</w:t>
      </w:r>
      <w:r>
        <w:t>andi getur hún haft samráð við Evrópsku bankaeftirlitsstofnunina um skýrsluna.</w:t>
      </w:r>
    </w:p>
    <w:p w14:paraId="3B603639" w14:textId="77777777" w:rsidR="001D6FFE" w:rsidRDefault="00E40155">
      <w:pPr>
        <w:pStyle w:val="Alinea"/>
        <w:spacing w:after="120"/>
        <w:ind w:left="600"/>
      </w:pPr>
      <w:r>
        <w:t>Skýrslan skal einnig endurspegla þróun sem greina má af gögnum sem safnað er skv. 6. mgr. a 46. gr., einkum að því er varðar fyrirtæki sem veita þjónustu eða stunda starfsemi sem um getur í 3. og 6. lið þáttar A í I. viðauka tilskipunar 2014/65/ESB.</w:t>
      </w:r>
    </w:p>
    <w:p w14:paraId="750CF402" w14:textId="77777777" w:rsidR="001D6FFE" w:rsidRDefault="00E40155">
      <w:pPr>
        <w:pStyle w:val="AlineaWithParag"/>
        <w:tabs>
          <w:tab w:val="left" w:pos="987"/>
        </w:tabs>
        <w:spacing w:after="0"/>
        <w:ind w:left="600"/>
      </w:pPr>
      <w:r>
        <w:t>6.</w:t>
      </w:r>
      <w:r>
        <w:tab/>
        <w:t>A.m.k. árlega skal framkvæmdastjórnin, á grundvelli skýrslunnar sem um getur í 5. mgr., leggja skýrslu fyrir Evrópuþingið og ráðið. Skýrslan skal hafa að geyma lista yfir ákvarðanir um jafngildi sem framkvæmdastjórnin hefur tekið eða afturkallað á skýrsluárinu, sem og hvers konar ráðstafanir sem Evrópska verðbréfamarkaðseftirlitsstofnunin hefur gripið til skv. 49. gr. og tilgreina rökin fyrir þeim ákvörðunum og ráðstöfunum.</w:t>
      </w:r>
      <w:r>
        <w:br w:type="page"/>
      </w:r>
    </w:p>
    <w:p w14:paraId="0CF9DFA0" w14:textId="77777777" w:rsidR="001D6FFE" w:rsidRDefault="00E40155">
      <w:pPr>
        <w:pStyle w:val="Alinea"/>
        <w:ind w:left="600"/>
      </w:pPr>
      <w:r>
        <w:t>Skýrsla framkvæmdastjórnarinnar skal hafa að geyma upplýsingar um vöktun þróunar á sviði reglusetningar og eftirlits, framfylgdarvenjur og aðra viðkomandi markaðsþróun í þriðju löndum sem ákvarðanir um jafngildi hafa verið samþykktar um. Í henni skal einnig vera úttekt á hvernig fjárfestingarþjónusta fyrirtækja þriðju landa yfir landamæri hefur þróast almennt, einkum að því er varðar þjónustuna og starfsemina sem um getur í 3. og 6. lið þáttar A í I. viðauka við tilskipun 2014/65/ESB. Þegar þar að kemur ska</w:t>
      </w:r>
      <w:r>
        <w:t>l skýrslan einnig hafa að geyma upplýsingar um yfirstandandi jafngildismat á þriðja landi sem framkvæmdastjórnin hefur ráðist í.“</w:t>
      </w:r>
    </w:p>
    <w:p w14:paraId="6904AA01" w14:textId="77777777" w:rsidR="001D6FFE" w:rsidRDefault="00E40155">
      <w:pPr>
        <w:pStyle w:val="NumberedText"/>
        <w:tabs>
          <w:tab w:val="right" w:pos="149"/>
        </w:tabs>
        <w:ind w:left="300" w:hanging="300"/>
      </w:pPr>
      <w:r>
        <w:tab/>
        <w:t>6)</w:t>
      </w:r>
      <w:r>
        <w:tab/>
      </w:r>
      <w:r>
        <w:t>Í stað 49. gr. kemur eftirfarandi:</w:t>
      </w:r>
    </w:p>
    <w:p w14:paraId="72FAE0FF" w14:textId="77777777" w:rsidR="001D6FFE" w:rsidRDefault="00E40155">
      <w:pPr>
        <w:pStyle w:val="TIARTquoted"/>
        <w:ind w:left="300"/>
      </w:pPr>
      <w:r>
        <w:t>„49. gr.</w:t>
      </w:r>
    </w:p>
    <w:p w14:paraId="1D968169" w14:textId="77777777" w:rsidR="001D6FFE" w:rsidRDefault="00E40155">
      <w:pPr>
        <w:pStyle w:val="STIARTquoted"/>
        <w:ind w:left="300"/>
      </w:pPr>
      <w:r>
        <w:t>Ráðstafanir sem Evrópska verðbréfamarkaðseftirlitsstofnunin skal grípa til</w:t>
      </w:r>
    </w:p>
    <w:p w14:paraId="31EF6CD7" w14:textId="77777777" w:rsidR="001D6FFE" w:rsidRDefault="00E40155">
      <w:pPr>
        <w:pStyle w:val="AlineaWithParag"/>
        <w:tabs>
          <w:tab w:val="left" w:pos="693"/>
        </w:tabs>
        <w:ind w:left="300"/>
      </w:pPr>
      <w:r>
        <w:t>1.</w:t>
      </w:r>
      <w:r>
        <w:tab/>
        <w:t>Evrópska verðbréfamarkaðseftirlitsstofnunin getur tímabundið bannað eða takmarkað að fyrirtæki þriðja lands veiti fjárfestingarþjónustu eða leggi stund á fjárfestingarstarfsemi með eða án viðbótarþjónustu í samræmi við 1. mgr. 46. gr., ef fyrirtæki þriðja lands hefur ekki farið að banni eða takmörkun sem Evrópska verðbréfamarkaðseftirlitsstofnunin eða Evrópska bankaeftirlitsstofnunin hefur lagt á í samræmi við 40. og 41. gr. eða lögbært yfirvald í samræmi við 42. gr., hefur ekki orðið við beiðni Evrópsku v</w:t>
      </w:r>
      <w:r>
        <w:t>erðbréfamarkaðseftirlitsstofnunarinnar í samræmi við 6. mgr. a eða 6. mgr. b 46. gr. á tilskildum tíma og á tilhlýðilegan hátt, eða ef fyrirtæki þriðja lands sýnir ekki samstarfsvilja við rannsókn eða vettvangsskoðun sem gerð er í samræmi við 2. mgr. 47. gr.</w:t>
      </w:r>
    </w:p>
    <w:p w14:paraId="492F49D3" w14:textId="77777777" w:rsidR="001D6FFE" w:rsidRDefault="00E40155">
      <w:pPr>
        <w:pStyle w:val="AlineaWithParag"/>
        <w:tabs>
          <w:tab w:val="left" w:pos="693"/>
        </w:tabs>
        <w:ind w:left="300"/>
      </w:pPr>
      <w:r>
        <w:t>2.</w:t>
      </w:r>
      <w:r>
        <w:tab/>
      </w:r>
      <w:r>
        <w:t>Án þess að hafa áhrif á 1. mgr. skal Evrópska verðbréfamarkaðseftirlitsstofnunin afturkalla skráningu fyrirtækis þriðja lands í skránni sem komið er á í samræmi við 48. gr., þegar Evrópska verðbréfamarkaðseftirlitsstofnunin hefur vísað málinu til lögbærs yfirvalds þriðja lands og það lögbæra yfirvald hefur ekki gert viðeigandi ráðstafanir sem nauðsynlegar eru til að vernda fjárfesta eða eðlilega starfsemi markaðanna í Sambandinu, eða hefur ekki tekist að sýna fram á að hlutaðeigandi fyrirtæki þriðja lands f</w:t>
      </w:r>
      <w:r>
        <w:t>ari að kröfunum sem eiga við um það í því þriðja landi eða þeim skilyrðum sem samþykkt ákvörðunar í samræmi við 1. mgr. 47. gr. byggðist á, og eitt af eftirtöldu á við:</w:t>
      </w:r>
    </w:p>
    <w:p w14:paraId="362FF5B3" w14:textId="77777777" w:rsidR="001D6FFE" w:rsidRDefault="00E40155">
      <w:pPr>
        <w:pStyle w:val="NumberedText"/>
        <w:ind w:left="600" w:hanging="300"/>
      </w:pPr>
      <w:r>
        <w:t>a)</w:t>
      </w:r>
      <w:r>
        <w:tab/>
        <w:t>Evrópska verðbréfamarkaðseftirlitsstofnunin hefur rökstuddar ástæður til að ætla, á grundvelli skriflegra sönnunargagna, þ.m.t. en ekki einvörðungu árlegu upplýsinganna sem veittar eru skv. 6. mgr. a 46. gr., að fyrirtækið í þriðja landi hafi í tengslum við veitingu á fjárfestingarþjónustu og í fjárfestingarstarfsemi í Sambandinu komið fram með hætti sem er augljóslega skaðvænlegur hagsmunum fjárfesta eða eðlilegri virkni markaða,</w:t>
      </w:r>
    </w:p>
    <w:p w14:paraId="68F1A9E5" w14:textId="77777777" w:rsidR="001D6FFE" w:rsidRDefault="00E40155">
      <w:pPr>
        <w:pStyle w:val="NumberedText"/>
        <w:ind w:left="600" w:hanging="300"/>
      </w:pPr>
      <w:r>
        <w:t>b)</w:t>
      </w:r>
      <w:r>
        <w:tab/>
        <w:t>Evrópska verðbréfamarkaðseftirlitsstofnunin hefur rökstuddar ástæður til að ætla, á grundvelli skriflegra sönnunargagna, þ.m.t. en ekki einvörðungu árlegu upplýsinganna sem veittar eru skv. 6. mgr. a 46. gr., að fyrirtækið í þriðja landi hafi í tengslum við veitingu á fjárfestingarþjónustu og í fjárfestingarstarfsemi í Sambandinu brotið með alvarlegum hætti gegn ákvæðunum sem gilda um það í því þriðja landi og á þeim grundvelli sem samþykkt ákvörðunar framkvæmdastjórnarinnar byggðist á í samræmi við 1. mgr</w:t>
      </w:r>
      <w:r>
        <w:t>.47. gr.</w:t>
      </w:r>
    </w:p>
    <w:p w14:paraId="1A0F962D" w14:textId="77777777" w:rsidR="001D6FFE" w:rsidRDefault="00E40155">
      <w:pPr>
        <w:pStyle w:val="AlineaWithParag"/>
        <w:tabs>
          <w:tab w:val="left" w:pos="693"/>
        </w:tabs>
        <w:ind w:left="300"/>
      </w:pPr>
      <w:r>
        <w:t>3.</w:t>
      </w:r>
      <w:r>
        <w:tab/>
        <w:t>Evrópska verðbréfamarkaðseftirlitsstofnunin skal upplýsa lögbært yfirvald þriðja landsins um að hún hyggist grípa til aðgerða skv. 1. eða 2. mgr. þegar þar að kemur.</w:t>
      </w:r>
    </w:p>
    <w:p w14:paraId="630109F9" w14:textId="77777777" w:rsidR="001D6FFE" w:rsidRDefault="00E40155">
      <w:pPr>
        <w:pStyle w:val="Alinea"/>
        <w:ind w:left="300"/>
      </w:pPr>
      <w:r>
        <w:t>Við ákvörðun um hvaða aðgerðir er viðeigandi að taka samkvæmt þessari grein skal Evrópska verðbréfamarkaðseftirlitsstofnunin taka tillit til eðlis og alvarleika þeirrar áhættu sem steðjar að fjárfestum og eðlilegri starfsemi markaða í Sambandinu, með hliðsjón af eftirfarandi viðmiðum:</w:t>
      </w:r>
    </w:p>
    <w:p w14:paraId="39E87631" w14:textId="77777777" w:rsidR="001D6FFE" w:rsidRDefault="00E40155">
      <w:pPr>
        <w:pStyle w:val="NumberedText"/>
        <w:ind w:left="600" w:hanging="300"/>
      </w:pPr>
      <w:r>
        <w:t>a)</w:t>
      </w:r>
      <w:r>
        <w:tab/>
        <w:t>varanleika og tíðni áhættunnar sem skapast,</w:t>
      </w:r>
    </w:p>
    <w:p w14:paraId="260AFC63" w14:textId="77777777" w:rsidR="001D6FFE" w:rsidRDefault="00E40155">
      <w:pPr>
        <w:pStyle w:val="NumberedText"/>
        <w:ind w:left="600" w:hanging="300"/>
      </w:pPr>
      <w:r>
        <w:t>b)</w:t>
      </w:r>
      <w:r>
        <w:tab/>
        <w:t>hvort áhættan hafi leitt í ljós alvarlega eða kerfistengda veikleika í verklagsreglum fyrirtækis þriðja landsins,</w:t>
      </w:r>
    </w:p>
    <w:p w14:paraId="0E81197D" w14:textId="77777777" w:rsidR="001D6FFE" w:rsidRDefault="00E40155">
      <w:pPr>
        <w:pStyle w:val="NumberedText"/>
        <w:ind w:left="600" w:hanging="300"/>
      </w:pPr>
      <w:r>
        <w:t>c)</w:t>
      </w:r>
      <w:r>
        <w:tab/>
        <w:t>hvort áhættan hafi gefið tilefni til, auðveldað eða með öðrum hætti orsakað fjármálabrot,</w:t>
      </w:r>
    </w:p>
    <w:p w14:paraId="09BB9ABE" w14:textId="77777777" w:rsidR="001D6FFE" w:rsidRDefault="00E40155">
      <w:pPr>
        <w:pStyle w:val="NumberedText"/>
        <w:ind w:left="600" w:hanging="300"/>
      </w:pPr>
      <w:r>
        <w:t>d)</w:t>
      </w:r>
      <w:r>
        <w:tab/>
        <w:t>hvort áhættan hafi skapast af ásetningi eða gáleysi.</w:t>
      </w:r>
    </w:p>
    <w:p w14:paraId="7D2C25B0" w14:textId="77777777" w:rsidR="001D6FFE" w:rsidRDefault="00E40155">
      <w:pPr>
        <w:pStyle w:val="Alinea"/>
        <w:ind w:left="300"/>
      </w:pPr>
      <w:r>
        <w:t>Evrópska verðbréfamarkaðseftirlitsstofnunin skal án tafar upplýsa framkvæmdastjórnina og hlutaðeigandi fyrirtæki þriðja lands um hverja þá ráðstöfun sem samþykkt er í samræmi við 1. eða 2. mgr. og birta ákvörðun sína á vefsetri sínu.</w:t>
      </w:r>
    </w:p>
    <w:p w14:paraId="21AED9C2" w14:textId="77777777" w:rsidR="001D6FFE" w:rsidRDefault="00E40155">
      <w:pPr>
        <w:pStyle w:val="Alinea"/>
        <w:spacing w:after="0"/>
        <w:ind w:left="300"/>
      </w:pPr>
      <w:r>
        <w:t>Framkvæmdastjórnin skal meta hvort aðstæðurnar sem voru grundvöllur samþykktar ákvörðunar í samræmi við 1. mgr. 47. gr. haldi áfram að vera fyrir hendi að því er varðar hlutaðeigandi þriðja land.“</w:t>
      </w:r>
      <w:r>
        <w:br w:type="page"/>
      </w:r>
    </w:p>
    <w:p w14:paraId="4BE4B507" w14:textId="77777777" w:rsidR="001D6FFE" w:rsidRDefault="00E40155">
      <w:pPr>
        <w:pStyle w:val="NumberedText"/>
        <w:tabs>
          <w:tab w:val="right" w:pos="149"/>
        </w:tabs>
        <w:ind w:left="300" w:hanging="300"/>
      </w:pPr>
      <w:r>
        <w:tab/>
        <w:t>7)</w:t>
      </w:r>
      <w:r>
        <w:tab/>
        <w:t>Í 52. gr. er eftirfarandi málsgrein bætt við:</w:t>
      </w:r>
    </w:p>
    <w:p w14:paraId="2001A74F" w14:textId="77777777" w:rsidR="001D6FFE" w:rsidRDefault="00E40155">
      <w:pPr>
        <w:pStyle w:val="AlineaWithParag"/>
        <w:tabs>
          <w:tab w:val="left" w:pos="693"/>
        </w:tabs>
        <w:ind w:left="300"/>
      </w:pPr>
      <w:r>
        <w:t>„13.</w:t>
      </w:r>
      <w:r>
        <w:tab/>
        <w:t>Evrópska verðbréfamarkaðseftirlitsstofnunin skal, eigi síðar en 31. desember 2020, meta þarfir fyrir starfslið og tilföng, sem framkvæmd valdheimilda og skyldna hennar í samræmi við 64. gr. reglugerðar (ESB) 2019/2033 útheimtir, og leggja skýrslu um matið fyrir Evrópuþingið, ráðið og framkvæmdastjórnina.“</w:t>
      </w:r>
    </w:p>
    <w:p w14:paraId="7A7C4C66" w14:textId="77777777" w:rsidR="001D6FFE" w:rsidRDefault="00E40155">
      <w:pPr>
        <w:pStyle w:val="NumberedText"/>
        <w:tabs>
          <w:tab w:val="right" w:pos="149"/>
        </w:tabs>
        <w:ind w:left="300" w:hanging="300"/>
      </w:pPr>
      <w:r>
        <w:tab/>
        <w:t>8)</w:t>
      </w:r>
      <w:r>
        <w:tab/>
        <w:t>Í stað 1. mgr. 54. gr. kemur eftirfarandi:</w:t>
      </w:r>
    </w:p>
    <w:p w14:paraId="0D8BE8EF" w14:textId="77777777" w:rsidR="001D6FFE" w:rsidRDefault="00E40155">
      <w:pPr>
        <w:pStyle w:val="AlineaWithParag"/>
        <w:tabs>
          <w:tab w:val="left" w:pos="693"/>
        </w:tabs>
        <w:ind w:left="300"/>
      </w:pPr>
      <w:r>
        <w:t>„1.</w:t>
      </w:r>
      <w:r>
        <w:tab/>
        <w:t>Fyrirtæki í þriðju löndum geta haldið áfram að veita þjónustu og stunda starfsemi í aðildarríkjum í samræmi við landsreglur þar til þremur árum eftir að framkvæmdastjórnin tekur ákvörðun um viðkomandi þriðja land í samræmi við 47. gr. Áfram má veita þjónustu og leggja stund á starfsemi sem ekki fellur undir slíka ákvörðun í samræmi við landsreglur.“</w:t>
      </w:r>
    </w:p>
    <w:p w14:paraId="4B73C050" w14:textId="77777777" w:rsidR="001D6FFE" w:rsidRDefault="00E40155">
      <w:pPr>
        <w:pStyle w:val="TIART"/>
      </w:pPr>
      <w:r>
        <w:t>64. gr.</w:t>
      </w:r>
    </w:p>
    <w:p w14:paraId="32A58C56" w14:textId="77777777" w:rsidR="001D6FFE" w:rsidRDefault="00E40155">
      <w:pPr>
        <w:pStyle w:val="STIART"/>
      </w:pPr>
      <w:r>
        <w:t>Breyting á reglugerð (ESB) nr. 806/2014</w:t>
      </w:r>
    </w:p>
    <w:p w14:paraId="14059FD4" w14:textId="77777777" w:rsidR="001D6FFE" w:rsidRDefault="00E40155">
      <w:pPr>
        <w:pStyle w:val="Alinea"/>
      </w:pPr>
      <w:r>
        <w:t>Í 12. gr. a í reglugerð Evrópuþingsins og ráðsins (EB) nr. 806/2014 (</w:t>
      </w:r>
      <w:bookmarkStart w:id="37" w:name="NOTE_38"/>
      <w:r>
        <w:rPr>
          <w:rStyle w:val="FootnoteReference"/>
          <w:sz w:val="18"/>
        </w:rPr>
        <w:footnoteReference w:id="29"/>
      </w:r>
      <w:bookmarkEnd w:id="37"/>
      <w:r>
        <w:t>) bætist við eftirfarandi málsgrein:</w:t>
      </w:r>
    </w:p>
    <w:p w14:paraId="36D140AA" w14:textId="77777777" w:rsidR="001D6FFE" w:rsidRDefault="00E40155">
      <w:pPr>
        <w:pStyle w:val="AlineaWithParag"/>
        <w:ind w:left="300"/>
      </w:pPr>
      <w:r>
        <w:t>„3.</w:t>
      </w:r>
      <w:r>
        <w:tab/>
        <w:t>Í samræmi við 65. gr. reglugerðar Evrópuþingsins og ráðsins (ESB) 2019/2033 (</w:t>
      </w:r>
      <w:r>
        <w:fldChar w:fldCharType="begin"/>
      </w:r>
      <w:r>
        <w:instrText xml:space="preserve"> REF NOTE_E0039 \h  \* MERGEFORMAT </w:instrText>
      </w:r>
      <w:r>
        <w:fldChar w:fldCharType="separate"/>
      </w:r>
      <w:r>
        <w:t>*</w:t>
      </w:r>
      <w:r>
        <w:fldChar w:fldCharType="end"/>
      </w:r>
      <w:r>
        <w:t>), skal túlka tilvísanir til 92. gr. reglugerðar (ESB) nr. 575/2013 í þessari reglugerð að því er varðar eiginfjárkröfurnar á einingargrunni verðbréfafyrirtækja sem um getur í c-lið 2. gr. þessarar reglugerðar, og sem ekki eru verðbréfafyrirtæki sem vísað er til í 2. eða 5. mgr. 1. gr. reglugerðar (ESB) 2019/2033, sem hér segir:</w:t>
      </w:r>
    </w:p>
    <w:p w14:paraId="14AA7986" w14:textId="77777777" w:rsidR="001D6FFE" w:rsidRDefault="00E40155">
      <w:pPr>
        <w:pStyle w:val="NumberedText"/>
        <w:ind w:left="300" w:hanging="300"/>
      </w:pPr>
      <w:r>
        <w:t>a)</w:t>
      </w:r>
      <w:r>
        <w:tab/>
        <w:t>tilvísanir til c-liðar 1. mgr. 92. gr. reglugerðar (ESB) nr. 575/2013 að því er varðar kröfuna um heildareiginfjárhlutfall í þessari reglugerð skulu vísa til 1. mgr. 11. gr. reglugerðar (ESB) 2019/2033,</w:t>
      </w:r>
    </w:p>
    <w:p w14:paraId="6B04D342" w14:textId="77777777" w:rsidR="001D6FFE" w:rsidRDefault="00E40155">
      <w:pPr>
        <w:pStyle w:val="NumberedText"/>
        <w:ind w:left="300" w:hanging="300"/>
      </w:pPr>
      <w:r>
        <w:t>b)</w:t>
      </w:r>
      <w:r>
        <w:tab/>
      </w:r>
      <w:r>
        <w:t>tilvísanir til 3. mgr. 92. gr. reglugerðar (ESB) nr. 575/2013 að því er varðar heildarfjárhæð áhættugrunns í þessari reglugerð skulu vísa til gildandi kröfu í 1. mgr. 11. gr. reglugerðar (ESB) 2019/2033, margfaldaða með 12,5.</w:t>
      </w:r>
    </w:p>
    <w:p w14:paraId="3329730E" w14:textId="77777777" w:rsidR="001D6FFE" w:rsidRDefault="00E40155">
      <w:pPr>
        <w:pStyle w:val="Alinea"/>
      </w:pPr>
      <w:r>
        <w:t>Í samræmi við 65. gr. tilskipunar Evrópuþingsins og ráðsins (ESB) 2019/2034 (</w:t>
      </w:r>
      <w:r>
        <w:fldChar w:fldCharType="begin"/>
      </w:r>
      <w:r>
        <w:instrText xml:space="preserve"> REF NOTE_E0040 \h  \* MERGEFORMAT </w:instrText>
      </w:r>
      <w:r>
        <w:fldChar w:fldCharType="separate"/>
      </w:r>
      <w:r>
        <w:t>**</w:t>
      </w:r>
      <w:r>
        <w:fldChar w:fldCharType="end"/>
      </w:r>
      <w:r>
        <w:t>) skal túlka tilvísanir til 104. gr. a tilskipunar 2013/36/ESB í þessari reglugerð að því er varðar viðbótareiginfjárgrunnskröfur verðbréfafyrirtækja sem um getur í c-lið 2. gr. þessarar reglugerðar og sem ekki eru verðbréfafyrirtæki sem vísað er til í 2. eða 5. mgr. 1. gr. reglugerðar (ESB) 2019/2033, þannig að eigi við um 40. gr. tilskipunar (ESB) 2019/2034.</w:t>
      </w:r>
    </w:p>
    <w:p w14:paraId="582F9F19" w14:textId="77777777" w:rsidR="001D6FFE" w:rsidRDefault="00E40155">
      <w:pPr>
        <w:pStyle w:val="QuoteFootnoteRule"/>
        <w:pBdr>
          <w:bottom w:val="none" w:sz="0" w:space="0" w:color="auto"/>
        </w:pBdr>
        <w:tabs>
          <w:tab w:val="left" w:pos="1080"/>
        </w:tabs>
        <w:ind w:right="0"/>
        <w:rPr>
          <w:u w:val="single"/>
        </w:rPr>
      </w:pPr>
      <w:r>
        <w:rPr>
          <w:u w:val="single"/>
        </w:rPr>
        <w:tab/>
      </w:r>
    </w:p>
    <w:p w14:paraId="35F77912" w14:textId="77777777" w:rsidR="001D6FFE" w:rsidRDefault="00E40155">
      <w:pPr>
        <w:pStyle w:val="NumberedText"/>
        <w:tabs>
          <w:tab w:val="clear" w:pos="2047"/>
        </w:tabs>
        <w:spacing w:after="0"/>
        <w:ind w:left="300" w:hanging="300"/>
      </w:pPr>
      <w:r>
        <w:t>(</w:t>
      </w:r>
      <w:bookmarkStart w:id="38" w:name="NOTE_E0039"/>
      <w:r>
        <w:t>*</w:t>
      </w:r>
      <w:bookmarkEnd w:id="38"/>
      <w:r>
        <w:t>)</w:t>
      </w:r>
      <w:r>
        <w:tab/>
        <w:t>Reglugerð Evrópuþingsins og ráðsins (ESB) 2019/2033 frá 27. nóvember 2019 um varfærniskröfur fyrir verðbréfafyrirtæki og breytingu á reglugerðum (ESB) nr. 1093/2010, (ESB) nr. 575/2013, (ESB) nr. 600/2014 og (ESB) nr. 806/2014 (Stjtíð. ESB L 314, 5.12.2019, bls. 1).</w:t>
      </w:r>
    </w:p>
    <w:p w14:paraId="71EC6C19" w14:textId="77777777" w:rsidR="001D6FFE" w:rsidRDefault="00E40155">
      <w:pPr>
        <w:pStyle w:val="NumberedText"/>
        <w:ind w:left="359" w:hanging="359"/>
      </w:pPr>
      <w:r>
        <w:t>(</w:t>
      </w:r>
      <w:bookmarkStart w:id="39" w:name="NOTE_E0040"/>
      <w:r>
        <w:rPr>
          <w:vertAlign w:val="superscript"/>
        </w:rPr>
        <w:t>**</w:t>
      </w:r>
      <w:bookmarkEnd w:id="39"/>
      <w:r>
        <w:t>)</w:t>
      </w:r>
      <w:r>
        <w:tab/>
        <w:t>Tilskipun Evrópuþingsins og ráðsins (ESB) 2019/2034 frá 27. nóvember 2019 um varfærniseftirlit með verðbréfafyrirtækjum og breytingu á tilskipunum 2002/87/EB, 2009/65/EB, 2011/61/ESB, 2013/36/ESB, 2014/59/ESB og 2014/65/ESB (Stjtíð. ESB L 314, 5.12.2019, bls. 64).“</w:t>
      </w:r>
    </w:p>
    <w:p w14:paraId="15FBDCA4" w14:textId="77777777" w:rsidR="001D6FFE" w:rsidRDefault="00E40155">
      <w:pPr>
        <w:pStyle w:val="DivisionTI1"/>
        <w:spacing w:after="120" w:line="200" w:lineRule="exact"/>
        <w:rPr>
          <w:szCs w:val="16"/>
        </w:rPr>
      </w:pPr>
      <w:r>
        <w:t>TÍUNDI HLUTI</w:t>
      </w:r>
    </w:p>
    <w:p w14:paraId="7A4C463B" w14:textId="77777777" w:rsidR="001D6FFE" w:rsidRDefault="00E40155">
      <w:pPr>
        <w:pStyle w:val="DivisionSTI1"/>
        <w:spacing w:line="200" w:lineRule="exact"/>
        <w:rPr>
          <w:sz w:val="16"/>
          <w:szCs w:val="16"/>
        </w:rPr>
      </w:pPr>
      <w:r>
        <w:rPr>
          <w:b/>
          <w:sz w:val="16"/>
        </w:rPr>
        <w:t>LOKAÁKVÆÐI</w:t>
      </w:r>
    </w:p>
    <w:p w14:paraId="5B2F50A6" w14:textId="77777777" w:rsidR="001D6FFE" w:rsidRDefault="00E40155">
      <w:pPr>
        <w:pStyle w:val="TIART"/>
      </w:pPr>
      <w:r>
        <w:t>65. gr.</w:t>
      </w:r>
    </w:p>
    <w:p w14:paraId="4135DD07" w14:textId="77777777" w:rsidR="001D6FFE" w:rsidRDefault="00E40155">
      <w:pPr>
        <w:pStyle w:val="STIART"/>
      </w:pPr>
      <w:r>
        <w:t>Tilvísanir til reglugerðar (ESB) 2013/575 í öðrum réttargerðum Sambandsins</w:t>
      </w:r>
    </w:p>
    <w:p w14:paraId="4A6D1E86" w14:textId="77777777" w:rsidR="001D6FFE" w:rsidRDefault="00E40155">
      <w:pPr>
        <w:pStyle w:val="Alinea"/>
        <w:spacing w:after="0"/>
      </w:pPr>
      <w:r>
        <w:t>Að því er varðar varfærniskröfur fyrir verðbréfafyrirtæki skal líta á tilvísanir til reglugerðar (ESB) 575/2013 í öðrum lagagerðum Sambandsins sem tilvísanir til þessarar reglugerðar.</w:t>
      </w:r>
    </w:p>
    <w:p w14:paraId="5738D15F" w14:textId="77777777" w:rsidR="001D6FFE" w:rsidRDefault="001D6FFE">
      <w:pPr>
        <w:pStyle w:val="TIART"/>
        <w:sectPr w:rsidR="001D6FFE">
          <w:footnotePr>
            <w:pos w:val="beneathText"/>
          </w:footnotePr>
          <w:pgSz w:w="11906" w:h="16838" w:code="9"/>
          <w:pgMar w:top="1680" w:right="1333" w:bottom="840" w:left="1333" w:header="920" w:footer="280" w:gutter="0"/>
          <w:cols w:space="708"/>
          <w:vAlign w:val="both"/>
          <w:docGrid w:linePitch="360"/>
        </w:sectPr>
      </w:pPr>
    </w:p>
    <w:p w14:paraId="39C5096C" w14:textId="77777777" w:rsidR="001D6FFE" w:rsidRDefault="00E40155">
      <w:pPr>
        <w:pStyle w:val="TIART"/>
      </w:pPr>
      <w:r>
        <w:t>66. gr.</w:t>
      </w:r>
    </w:p>
    <w:p w14:paraId="57073AE4" w14:textId="77777777" w:rsidR="001D6FFE" w:rsidRDefault="00E40155">
      <w:pPr>
        <w:pStyle w:val="STIART"/>
      </w:pPr>
      <w:r>
        <w:t>Gildistaka og dagurinn þegar reglugerðin kemur til framkvæmda</w:t>
      </w:r>
    </w:p>
    <w:p w14:paraId="4B6B21AE" w14:textId="77777777" w:rsidR="001D6FFE" w:rsidRDefault="00E40155">
      <w:pPr>
        <w:pStyle w:val="AlineaWithParag"/>
        <w:spacing w:after="120"/>
      </w:pPr>
      <w:r>
        <w:t>1.</w:t>
      </w:r>
      <w:r>
        <w:tab/>
      </w:r>
      <w:r>
        <w:t>Reglugerð þessi öðlast gildi á tuttugasta degi eftir að hún birtist í Stjórnartíðindum Evrópusambandsins.</w:t>
      </w:r>
    </w:p>
    <w:p w14:paraId="67F7FCC8" w14:textId="77777777" w:rsidR="001D6FFE" w:rsidRDefault="00E40155">
      <w:pPr>
        <w:pStyle w:val="AlineaWithParag"/>
        <w:spacing w:after="120"/>
      </w:pPr>
      <w:r>
        <w:t>2.</w:t>
      </w:r>
      <w:r>
        <w:tab/>
        <w:t>Hún kemur til framkvæmda frá og með 26. júní 2021.</w:t>
      </w:r>
    </w:p>
    <w:p w14:paraId="2FA96610" w14:textId="77777777" w:rsidR="001D6FFE" w:rsidRDefault="00E40155">
      <w:pPr>
        <w:pStyle w:val="AlineaWithParag"/>
        <w:spacing w:after="120"/>
      </w:pPr>
      <w:r>
        <w:t>3.</w:t>
      </w:r>
      <w:r>
        <w:tab/>
        <w:t>Þrátt fyrir 2. mgr.:</w:t>
      </w:r>
    </w:p>
    <w:p w14:paraId="10BD52C0" w14:textId="77777777" w:rsidR="001D6FFE" w:rsidRDefault="00E40155">
      <w:pPr>
        <w:pStyle w:val="NumberedText"/>
        <w:spacing w:after="120"/>
        <w:ind w:left="300" w:hanging="300"/>
      </w:pPr>
      <w:r>
        <w:t>a)</w:t>
      </w:r>
      <w:r>
        <w:tab/>
        <w:t>koma ákvæði 2. og 3. liðar 63. gr. til framkvæmda frá og með 26. mars 2020,</w:t>
      </w:r>
    </w:p>
    <w:p w14:paraId="4A1C488C" w14:textId="77777777" w:rsidR="001D6FFE" w:rsidRDefault="00E40155">
      <w:pPr>
        <w:pStyle w:val="NumberedText"/>
        <w:spacing w:after="600"/>
        <w:ind w:left="300" w:hanging="300"/>
      </w:pPr>
      <w:r>
        <w:t>b)</w:t>
      </w:r>
      <w:r>
        <w:tab/>
        <w:t>koma ákvæði 30. liðar 62. gr. til framkvæmda frá og með 25. desember 2019.</w:t>
      </w:r>
    </w:p>
    <w:p w14:paraId="3A17F090" w14:textId="77777777" w:rsidR="001D6FFE" w:rsidRDefault="00E40155">
      <w:pPr>
        <w:pStyle w:val="Final"/>
        <w:spacing w:after="300"/>
        <w:ind w:left="1060"/>
      </w:pPr>
      <w:r>
        <w:t>Reglugerð þessi er bindandi í heild sinni og gildir í öllum aðildarríkjunum án frekari lögfestingar.</w:t>
      </w:r>
    </w:p>
    <w:p w14:paraId="437485A6" w14:textId="77777777" w:rsidR="001D6FFE" w:rsidRDefault="00E40155">
      <w:pPr>
        <w:pStyle w:val="Final"/>
        <w:ind w:left="1060"/>
      </w:pPr>
      <w:r>
        <w:t>Gjört í Strassborg 27. nóvember 2019.</w:t>
      </w:r>
    </w:p>
    <w:tbl>
      <w:tblPr>
        <w:tblW w:w="7908" w:type="dxa"/>
        <w:tblInd w:w="670" w:type="dxa"/>
        <w:tblLook w:val="04A0" w:firstRow="1" w:lastRow="0" w:firstColumn="1" w:lastColumn="0" w:noHBand="0" w:noVBand="1"/>
      </w:tblPr>
      <w:tblGrid>
        <w:gridCol w:w="3954"/>
        <w:gridCol w:w="3954"/>
      </w:tblGrid>
      <w:tr w:rsidR="001D6FFE" w14:paraId="50C94DC0" w14:textId="77777777">
        <w:trPr>
          <w:trHeight w:val="360"/>
        </w:trPr>
        <w:tc>
          <w:tcPr>
            <w:tcW w:w="3954" w:type="dxa"/>
            <w:vMerge w:val="restart"/>
          </w:tcPr>
          <w:p w14:paraId="68381A21" w14:textId="77777777" w:rsidR="001D6FFE" w:rsidRDefault="00E40155">
            <w:pPr>
              <w:pStyle w:val="Signatory"/>
              <w:spacing w:after="120"/>
            </w:pPr>
            <w:r>
              <w:rPr>
                <w:i/>
              </w:rPr>
              <w:t>Fyrir hönd Evrópuþingsins,</w:t>
            </w:r>
          </w:p>
          <w:p w14:paraId="4B4F423F" w14:textId="77777777" w:rsidR="001D6FFE" w:rsidRDefault="00E40155">
            <w:pPr>
              <w:pStyle w:val="SignatorySmall"/>
              <w:spacing w:after="120"/>
            </w:pPr>
            <w:r>
              <w:t>D. M. SASSOLI</w:t>
            </w:r>
          </w:p>
          <w:p w14:paraId="3AAD580F" w14:textId="77777777" w:rsidR="001D6FFE" w:rsidRDefault="00E40155">
            <w:pPr>
              <w:pStyle w:val="Signatory"/>
              <w:spacing w:after="120"/>
            </w:pPr>
            <w:r>
              <w:rPr>
                <w:i/>
              </w:rPr>
              <w:t>forseti.</w:t>
            </w:r>
          </w:p>
        </w:tc>
        <w:tc>
          <w:tcPr>
            <w:tcW w:w="3954" w:type="dxa"/>
            <w:vMerge w:val="restart"/>
          </w:tcPr>
          <w:p w14:paraId="271803E1" w14:textId="77777777" w:rsidR="001D6FFE" w:rsidRDefault="00E40155">
            <w:pPr>
              <w:pStyle w:val="Signatory"/>
              <w:spacing w:after="120"/>
            </w:pPr>
            <w:r>
              <w:rPr>
                <w:i/>
              </w:rPr>
              <w:t>Fyrir hönd ráðsins,</w:t>
            </w:r>
          </w:p>
          <w:p w14:paraId="5F598CB4" w14:textId="77777777" w:rsidR="001D6FFE" w:rsidRDefault="00E40155">
            <w:pPr>
              <w:pStyle w:val="SignatorySmall"/>
              <w:spacing w:after="120"/>
            </w:pPr>
            <w:r>
              <w:t>T. TUPPURAINEN</w:t>
            </w:r>
          </w:p>
          <w:p w14:paraId="0977B78D" w14:textId="77777777" w:rsidR="001D6FFE" w:rsidRDefault="00E40155">
            <w:pPr>
              <w:pStyle w:val="Signatory"/>
              <w:spacing w:after="120"/>
            </w:pPr>
            <w:r>
              <w:rPr>
                <w:i/>
              </w:rPr>
              <w:t>forseti.</w:t>
            </w:r>
          </w:p>
        </w:tc>
      </w:tr>
    </w:tbl>
    <w:p w14:paraId="55B89B10" w14:textId="77777777" w:rsidR="001D6FFE" w:rsidRDefault="00E40155">
      <w:pPr>
        <w:pStyle w:val="line4"/>
        <w:pBdr>
          <w:bottom w:val="none" w:sz="0" w:space="0" w:color="auto"/>
        </w:pBdr>
        <w:tabs>
          <w:tab w:val="left" w:leader="underscore" w:pos="1020"/>
        </w:tabs>
        <w:spacing w:before="300"/>
        <w:ind w:left="0" w:right="0"/>
      </w:pPr>
      <w:r>
        <w:tab/>
      </w:r>
    </w:p>
    <w:sectPr w:rsidR="001D6FFE">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FBCC" w14:textId="77777777" w:rsidR="001D6FFE" w:rsidRDefault="00E40155">
      <w:pPr>
        <w:spacing w:after="0" w:line="240" w:lineRule="auto"/>
      </w:pPr>
      <w:r>
        <w:separator/>
      </w:r>
    </w:p>
  </w:endnote>
  <w:endnote w:type="continuationSeparator" w:id="0">
    <w:p w14:paraId="6D888D3E" w14:textId="77777777" w:rsidR="001D6FFE" w:rsidRDefault="00E4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663A" w14:textId="77777777" w:rsidR="001D6FFE" w:rsidRDefault="00E40155">
      <w:pPr>
        <w:pStyle w:val="FooterRule"/>
        <w:rPr>
          <w:lang w:val="de-DE"/>
        </w:rPr>
      </w:pPr>
      <w:r>
        <w:rPr>
          <w:lang w:val="de-DE"/>
        </w:rPr>
        <w:tab/>
      </w:r>
    </w:p>
  </w:footnote>
  <w:footnote w:type="continuationSeparator" w:id="0">
    <w:p w14:paraId="6D3DADD9" w14:textId="77777777" w:rsidR="001D6FFE" w:rsidRDefault="00E40155">
      <w:pPr>
        <w:spacing w:after="0" w:line="240" w:lineRule="auto"/>
      </w:pPr>
      <w:r>
        <w:continuationSeparator/>
      </w:r>
    </w:p>
  </w:footnote>
  <w:footnote w:type="continuationNotice" w:id="1">
    <w:p w14:paraId="1B47EA5E" w14:textId="77777777" w:rsidR="001D6FFE" w:rsidRDefault="001D6FFE">
      <w:pPr>
        <w:spacing w:after="0" w:line="240" w:lineRule="auto"/>
      </w:pPr>
    </w:p>
  </w:footnote>
  <w:footnote w:id="2">
    <w:p w14:paraId="26506BBC" w14:textId="77777777" w:rsidR="001D6FFE" w:rsidRDefault="00E40155">
      <w:pPr>
        <w:pStyle w:val="FootnoteText"/>
        <w:rPr>
          <w:szCs w:val="16"/>
        </w:rPr>
      </w:pPr>
      <w:r>
        <w:t>(</w:t>
      </w:r>
      <w:r>
        <w:rPr>
          <w:rStyle w:val="FootnoteReference"/>
          <w:szCs w:val="16"/>
        </w:rPr>
        <w:footnoteRef/>
      </w:r>
      <w:r>
        <w:t>)</w:t>
      </w:r>
      <w:r>
        <w:tab/>
      </w:r>
      <w:r>
        <w:t>Stjtíð. ESB C 378, 19.10.2018, bls. 5.</w:t>
      </w:r>
    </w:p>
  </w:footnote>
  <w:footnote w:id="3">
    <w:p w14:paraId="7641C729" w14:textId="77777777" w:rsidR="001D6FFE" w:rsidRDefault="00E40155">
      <w:pPr>
        <w:pStyle w:val="FootnoteText"/>
        <w:rPr>
          <w:szCs w:val="16"/>
        </w:rPr>
      </w:pPr>
      <w:r>
        <w:t>(</w:t>
      </w:r>
      <w:r>
        <w:rPr>
          <w:rStyle w:val="FootnoteReference"/>
          <w:szCs w:val="16"/>
        </w:rPr>
        <w:footnoteRef/>
      </w:r>
      <w:r>
        <w:t>)</w:t>
      </w:r>
      <w:r>
        <w:tab/>
        <w:t>Stjtíð. ESB C 262, 25.7.2018, bls. 35.</w:t>
      </w:r>
    </w:p>
  </w:footnote>
  <w:footnote w:id="4">
    <w:p w14:paraId="5482751E" w14:textId="77777777" w:rsidR="001D6FFE" w:rsidRDefault="00E40155">
      <w:pPr>
        <w:pStyle w:val="FootnoteText"/>
        <w:rPr>
          <w:szCs w:val="16"/>
        </w:rPr>
      </w:pPr>
      <w:r>
        <w:t>(</w:t>
      </w:r>
      <w:r>
        <w:rPr>
          <w:rStyle w:val="FootnoteReference"/>
          <w:szCs w:val="16"/>
        </w:rPr>
        <w:footnoteRef/>
      </w:r>
      <w:r>
        <w:t>)</w:t>
      </w:r>
      <w:r>
        <w:tab/>
        <w:t>Afstaða Evrópuþingsins frá 16. apríl 2019 (hefur enn ekki verið birt í Stjórnartíðindunum) og ákvörðun ráðsins frá 8. nóvember 2019.</w:t>
      </w:r>
    </w:p>
  </w:footnote>
  <w:footnote w:id="5">
    <w:p w14:paraId="2BD3D83E" w14:textId="77777777" w:rsidR="001D6FFE" w:rsidRDefault="00E40155">
      <w:pPr>
        <w:pStyle w:val="FootnoteText"/>
        <w:rPr>
          <w:szCs w:val="16"/>
        </w:rPr>
      </w:pPr>
      <w:r>
        <w:t>(</w:t>
      </w:r>
      <w:r>
        <w:rPr>
          <w:rStyle w:val="FootnoteReference"/>
          <w:szCs w:val="16"/>
        </w:rPr>
        <w:footnoteRef/>
      </w:r>
      <w:r>
        <w:t>)</w:t>
      </w:r>
      <w:r>
        <w:tab/>
        <w:t>Reglugerð Evrópuþingsins og ráðsins (ESB) nr. 575/2013 frá 26. júní 2013 um varfærniskröfur að því er varðar lánastofnanir og verðbréfafyrirtæki og um breytingu á reglugerð (ESB) nr. 648/2012 (Stjtíð. ESB L 176, 27.6.2013, bls. 1).</w:t>
      </w:r>
    </w:p>
  </w:footnote>
  <w:footnote w:id="6">
    <w:p w14:paraId="791B7BEA" w14:textId="77777777" w:rsidR="001D6FFE" w:rsidRDefault="00E40155">
      <w:pPr>
        <w:pStyle w:val="FootnoteText"/>
        <w:rPr>
          <w:szCs w:val="16"/>
        </w:rPr>
      </w:pPr>
      <w:r>
        <w:t>(</w:t>
      </w:r>
      <w:r>
        <w:rPr>
          <w:rStyle w:val="FootnoteReference"/>
          <w:szCs w:val="16"/>
        </w:rPr>
        <w:footnoteRef/>
      </w:r>
      <w:r>
        <w:t>)</w:t>
      </w:r>
      <w:r>
        <w:tab/>
        <w:t>Tilskipun Evrópuþingsins og ráðsins 2013/36/ESB frá 26. júní 2013 um aðgang að starfsemi lánastofnana og varfærniseftirlit með lánastofnunum og verðbréfafyrirtækjum, um breytingu á tilskipun 2002/87/EB og um niðurfellingu á tilskipunum 2006/48/EB og 2006/49/EB (Stjtíð. ESB L 176, 27.6.2013, bls. 338).</w:t>
      </w:r>
    </w:p>
  </w:footnote>
  <w:footnote w:id="7">
    <w:p w14:paraId="2E6DC575" w14:textId="77777777" w:rsidR="001D6FFE" w:rsidRDefault="00E40155">
      <w:pPr>
        <w:pStyle w:val="FootnoteText"/>
        <w:rPr>
          <w:szCs w:val="16"/>
        </w:rPr>
      </w:pPr>
      <w:r>
        <w:t>(</w:t>
      </w:r>
      <w:r>
        <w:rPr>
          <w:rStyle w:val="FootnoteReference"/>
          <w:szCs w:val="16"/>
        </w:rPr>
        <w:footnoteRef/>
      </w:r>
      <w:r>
        <w:t>)</w:t>
      </w:r>
      <w:r>
        <w:tab/>
        <w:t>Tilskipun Evrópuþingsins og ráðsins 2014/65/ESB frá 15. maí 2014 um markaði fyrir fjármálagerninga og um breytingu á tilskipun 2002/92/EB og tilskipun 2011/61/ESB (Stjtíð. ESB L 173, 12.6.2014, bls. 349).</w:t>
      </w:r>
    </w:p>
  </w:footnote>
  <w:footnote w:id="8">
    <w:p w14:paraId="443CE050" w14:textId="77777777" w:rsidR="001D6FFE" w:rsidRDefault="00E40155">
      <w:pPr>
        <w:pStyle w:val="FootnoteText"/>
        <w:rPr>
          <w:szCs w:val="16"/>
        </w:rPr>
      </w:pPr>
      <w:r>
        <w:t>(</w:t>
      </w:r>
      <w:r>
        <w:rPr>
          <w:rStyle w:val="FootnoteReference"/>
          <w:szCs w:val="16"/>
        </w:rPr>
        <w:footnoteRef/>
      </w:r>
      <w:r>
        <w:t>)</w:t>
      </w:r>
      <w:r>
        <w:tab/>
        <w:t>Tilskipun Evrópuþingsins og ráðsins (ESB) 2019/2034 frá 27. nóvember 2019 um varfærniseftirlit með verðbréfafyrirtækjum og breytingu á tilskipunum 2002/87/EB, 2009/65/EB, 2011/61/ESB, 2013/36/ESB, 2014/59/ESB og 2014/65/ESB (Stjtíð. ESB L 314, 5.12.2019, bls. 64).</w:t>
      </w:r>
    </w:p>
  </w:footnote>
  <w:footnote w:id="9">
    <w:p w14:paraId="6E76297D" w14:textId="77777777" w:rsidR="001D6FFE" w:rsidRDefault="00E40155">
      <w:pPr>
        <w:pStyle w:val="FootnoteText"/>
        <w:rPr>
          <w:szCs w:val="16"/>
        </w:rPr>
      </w:pPr>
      <w:r>
        <w:t>(</w:t>
      </w:r>
      <w:r>
        <w:rPr>
          <w:rStyle w:val="FootnoteReference"/>
          <w:szCs w:val="16"/>
        </w:rPr>
        <w:footnoteRef/>
      </w:r>
      <w:r>
        <w:t>)</w:t>
      </w:r>
      <w:r>
        <w:tab/>
        <w:t xml:space="preserve">Reglugerð Evrópuþingsins og ráðsins (ESB) 2019/876 frá 20. maí 2019 um breytingu á reglugerð (ESB) nr. 575/2013 að því er varðar vogunarhlutfall, hlutfall stöðugrar nettófjármögnunar, kröfur um eiginfjárgrunn og hæfar skuldbindingar, útlánaáhættu mótaðila, markaðsáhættu, áhættuskuldbindingar gagnvart miðlægum mótaðilum, áhættuskuldbindingar gagnvart sjóðum um sameiginlega fjárfestingu, stórar áhættuskuldbindingar, skýrslugjafarskyldu og birtingarkröfur og reglugerð (ESB) nr. 648/2012 (Stjtíð. ESB L 150, </w:t>
      </w:r>
      <w:r>
        <w:t>7.6.2019, bls. 1).</w:t>
      </w:r>
    </w:p>
  </w:footnote>
  <w:footnote w:id="10">
    <w:p w14:paraId="462284BD" w14:textId="77777777" w:rsidR="001D6FFE" w:rsidRDefault="00E40155">
      <w:pPr>
        <w:pStyle w:val="FootnoteText"/>
        <w:rPr>
          <w:szCs w:val="16"/>
        </w:rPr>
      </w:pPr>
      <w:r>
        <w:t>(</w:t>
      </w:r>
      <w:r>
        <w:rPr>
          <w:rStyle w:val="FootnoteReference"/>
          <w:szCs w:val="16"/>
        </w:rPr>
        <w:footnoteRef/>
      </w:r>
      <w:r>
        <w:t>)</w:t>
      </w:r>
      <w:r>
        <w:tab/>
        <w:t>Framseld reglugerð framkvæmdastjórnarinnar (ESB) 2015/61 frá 10. október 2014 um viðbætur við reglugerð Evrópuþingsins og ráðsins (ESB) nr. 575/2013 að því er varðar lausafjárþekjukröfu fyrir lánastofnanir (Stjtíð ESB L 11, 17.1.2015, bls. 1).</w:t>
      </w:r>
    </w:p>
  </w:footnote>
  <w:footnote w:id="11">
    <w:p w14:paraId="354B28E4" w14:textId="77777777" w:rsidR="001D6FFE" w:rsidRDefault="00E40155">
      <w:pPr>
        <w:pStyle w:val="FootnoteText"/>
        <w:rPr>
          <w:szCs w:val="16"/>
        </w:rPr>
      </w:pPr>
      <w:r>
        <w:t>(</w:t>
      </w:r>
      <w:r>
        <w:rPr>
          <w:rStyle w:val="FootnoteReference"/>
          <w:szCs w:val="16"/>
        </w:rPr>
        <w:footnoteRef/>
      </w:r>
      <w:r>
        <w:t>)</w:t>
      </w:r>
      <w:r>
        <w:tab/>
        <w:t>Reglugerð Evrópuþingsins og ráðsins (ESB) nr. 1093/2010 frá 24. nóvember 2010 um að koma á fót evrópskri eftirlitsstofnun (Evrópska bankaeftirlitsstofnunin), um breytingu á ákvörðun nr. 716/2009/EB og niðurfellingu ákvörðunar framkvæmdastjórnarinnar 2009/78/EB (Stjtíð. ESB L 331, 15.12.2010, bls. 12).</w:t>
      </w:r>
    </w:p>
  </w:footnote>
  <w:footnote w:id="12">
    <w:p w14:paraId="1F6C91B1" w14:textId="77777777" w:rsidR="001D6FFE" w:rsidRDefault="00E40155">
      <w:pPr>
        <w:pStyle w:val="FootnoteText"/>
        <w:rPr>
          <w:szCs w:val="16"/>
        </w:rPr>
      </w:pPr>
      <w:r>
        <w:t>(</w:t>
      </w:r>
      <w:r>
        <w:rPr>
          <w:rStyle w:val="FootnoteReference"/>
          <w:szCs w:val="16"/>
        </w:rPr>
        <w:footnoteRef/>
      </w:r>
      <w:r>
        <w:t>)</w:t>
      </w:r>
      <w:r>
        <w:tab/>
        <w:t>Reglugerð Evrópuþingsins og ráðsins (ESB) 2019/630 frá 17. apríl 2019 um breytingu á reglugerð (ESB) nr. 575/2013 að því er varðar lágmarkstryggingavernd fyrir tapi vegna vanefndra áhættuskuldbindinga (Stjtíð. ESB L 111, 25.4.2019, bls. 4).</w:t>
      </w:r>
    </w:p>
  </w:footnote>
  <w:footnote w:id="13">
    <w:p w14:paraId="231DE521" w14:textId="77777777" w:rsidR="001D6FFE" w:rsidRDefault="00E40155">
      <w:pPr>
        <w:pStyle w:val="FootnoteText"/>
        <w:rPr>
          <w:szCs w:val="16"/>
        </w:rPr>
      </w:pPr>
      <w:r>
        <w:t>(</w:t>
      </w:r>
      <w:r>
        <w:rPr>
          <w:rStyle w:val="FootnoteReference"/>
          <w:szCs w:val="16"/>
        </w:rPr>
        <w:footnoteRef/>
      </w:r>
      <w:r>
        <w:t>)</w:t>
      </w:r>
      <w:r>
        <w:tab/>
        <w:t>Tilskipun Evrópuþingsins og ráðsins (ESB) 2019/878 frá 20. maí 2019 um breytingu á tilskipun 2013/36/ESB að því er varðar aðila sem njóta undanþágu, eignarhaldsfélög á fjármálasviði, blönduð eignarhaldsfélög í fjármálastarfsemi, starfskjör, eftirlitsráðstafanir og -heimildir og ráðstafanir til að varðveita eigið fé (Stjtíð. ESB L 150, 7.6.2019, bls. 253).</w:t>
      </w:r>
    </w:p>
  </w:footnote>
  <w:footnote w:id="14">
    <w:p w14:paraId="4CEBF4CF" w14:textId="77777777" w:rsidR="001D6FFE" w:rsidRDefault="00E40155">
      <w:pPr>
        <w:pStyle w:val="FootnoteText"/>
        <w:rPr>
          <w:szCs w:val="16"/>
        </w:rPr>
      </w:pPr>
      <w:r>
        <w:t>(</w:t>
      </w:r>
      <w:r>
        <w:rPr>
          <w:rStyle w:val="FootnoteReference"/>
          <w:szCs w:val="16"/>
        </w:rPr>
        <w:footnoteRef/>
      </w:r>
      <w:r>
        <w:t>)</w:t>
      </w:r>
      <w:r>
        <w:tab/>
        <w:t>Reglugerð Evrópuþingsins og ráðsins (ESB) nr. 600/2014 frá 15. maí 2014 um markaði fyrir fjármálagerninga og um breytingu á reglugerð ráðsins (ESB) nr. 648/2012 (Stjtíð. ESB L 173, 12.6.2014, bls. 84).</w:t>
      </w:r>
    </w:p>
  </w:footnote>
  <w:footnote w:id="15">
    <w:p w14:paraId="131B9087" w14:textId="77777777" w:rsidR="001D6FFE" w:rsidRDefault="00E40155">
      <w:pPr>
        <w:pStyle w:val="FootnoteText"/>
        <w:rPr>
          <w:szCs w:val="16"/>
        </w:rPr>
      </w:pPr>
      <w:r>
        <w:t>(</w:t>
      </w:r>
      <w:r>
        <w:rPr>
          <w:rStyle w:val="FootnoteReference"/>
          <w:szCs w:val="16"/>
        </w:rPr>
        <w:footnoteRef/>
      </w:r>
      <w:r>
        <w:t>)</w:t>
      </w:r>
      <w:r>
        <w:tab/>
      </w:r>
      <w:r>
        <w:t>Reglugerð Evrópuþingsins og ráðsins (ESB) nr. 1095/2010 frá 24. nóvember 2010 um að koma á fót evrópskri eftirlitsstofnun (Evrópska verðbréfamarkaðseftirlitsstofnunin), um breytingu á ákvörðun nr. 716/2009/EB og um niðurfellingu á ákvörðun framkvæmdastjórnarinnar 2009/77/EB (Stjtíð. ESB L 331, 15.12.2010, bls. 84).</w:t>
      </w:r>
    </w:p>
  </w:footnote>
  <w:footnote w:id="16">
    <w:p w14:paraId="23845107" w14:textId="77777777" w:rsidR="001D6FFE" w:rsidRDefault="00E40155">
      <w:pPr>
        <w:pStyle w:val="FootnoteText"/>
        <w:rPr>
          <w:szCs w:val="16"/>
        </w:rPr>
      </w:pPr>
      <w:r>
        <w:t>(</w:t>
      </w:r>
      <w:r>
        <w:rPr>
          <w:rStyle w:val="FootnoteReference"/>
          <w:szCs w:val="16"/>
        </w:rPr>
        <w:footnoteRef/>
      </w:r>
      <w:r>
        <w:t>)</w:t>
      </w:r>
      <w:r>
        <w:tab/>
        <w:t>Tilskipun Evrópuþingsins og ráðsins (ESB) 2015/849 frá 20. maí 2015 um ráðstafanir gegn því að fjármálakerfið sé notað til peningaþvættis eða til fjármögnunar hryðjuverkastarfsemi, um breytingu á reglugerð Evrópuþingsins og ráðsins ESB nr. 648/2012, og um niðurfellingu á tilskipun Evrópuþingsins og ráðsins 2005/60/EB og tilskipun framkvæmdastjórnarinnar 2006/70/EB (Stjtíð. ESB L 141, 5.6.2015, bls. 73).</w:t>
      </w:r>
    </w:p>
  </w:footnote>
  <w:footnote w:id="17">
    <w:p w14:paraId="2625460C" w14:textId="77777777" w:rsidR="001D6FFE" w:rsidRDefault="00E40155">
      <w:pPr>
        <w:pStyle w:val="FootnoteText"/>
        <w:rPr>
          <w:szCs w:val="16"/>
        </w:rPr>
      </w:pPr>
      <w:r>
        <w:t>(</w:t>
      </w:r>
      <w:r>
        <w:rPr>
          <w:rStyle w:val="FootnoteReference"/>
          <w:szCs w:val="16"/>
        </w:rPr>
        <w:footnoteRef/>
      </w:r>
      <w:r>
        <w:t>)</w:t>
      </w:r>
      <w:r>
        <w:tab/>
        <w:t>Stjtíð. ESB L 123, 12.5.2016, bls. 1.</w:t>
      </w:r>
    </w:p>
  </w:footnote>
  <w:footnote w:id="18">
    <w:p w14:paraId="7EFCFF4A" w14:textId="77777777" w:rsidR="001D6FFE" w:rsidRDefault="00E40155">
      <w:pPr>
        <w:pStyle w:val="FootnoteText"/>
        <w:rPr>
          <w:szCs w:val="16"/>
        </w:rPr>
      </w:pPr>
      <w:r>
        <w:t>(</w:t>
      </w:r>
      <w:r>
        <w:rPr>
          <w:rStyle w:val="FootnoteReference"/>
          <w:szCs w:val="16"/>
        </w:rPr>
        <w:footnoteRef/>
      </w:r>
      <w:r>
        <w:t>)</w:t>
      </w:r>
      <w:r>
        <w:tab/>
        <w:t>Reglugerð Evrópuþingsins og ráðsins (ESB) nr. 648/2012 frá 4. júlí 2012 um OTC-afleiður, miðlæga mótaðila og afleiðuviðskiptaskrár (Stjtíð. ESB L 201, 27.7.2012, bls. 1).</w:t>
      </w:r>
    </w:p>
  </w:footnote>
  <w:footnote w:id="19">
    <w:p w14:paraId="4ADABE48" w14:textId="77777777" w:rsidR="001D6FFE" w:rsidRDefault="00E40155">
      <w:pPr>
        <w:pStyle w:val="FootnoteText"/>
        <w:rPr>
          <w:szCs w:val="16"/>
        </w:rPr>
      </w:pPr>
      <w:r>
        <w:t>(</w:t>
      </w:r>
      <w:r>
        <w:rPr>
          <w:rStyle w:val="FootnoteReference"/>
          <w:szCs w:val="16"/>
        </w:rPr>
        <w:footnoteRef/>
      </w:r>
      <w:r>
        <w:t>)</w:t>
      </w:r>
      <w:r>
        <w:tab/>
        <w:t>Tilskipun Evrópuþingsins og ráðsins (ESB) 2015/2366 frá 25. nóvember 2015 um greiðsluþjónustu á innri markaðnum, um breytingu á tilskipunum 2002/65/EB, 2009/110/EB og 2013/36/ESB og á reglugerð (ESB) nr. 1093/2010 og niðurfellingu á tilskipun 2007/64/EB (Stjtíð. ESB L 337, 23.12.2015, bls. 35).</w:t>
      </w:r>
    </w:p>
  </w:footnote>
  <w:footnote w:id="20">
    <w:p w14:paraId="44C2A87F" w14:textId="77777777" w:rsidR="001D6FFE" w:rsidRDefault="00E40155">
      <w:pPr>
        <w:pStyle w:val="FootnoteText"/>
        <w:rPr>
          <w:szCs w:val="16"/>
        </w:rPr>
      </w:pPr>
      <w:r>
        <w:t>(</w:t>
      </w:r>
      <w:r>
        <w:rPr>
          <w:rStyle w:val="FootnoteReference"/>
          <w:szCs w:val="16"/>
        </w:rPr>
        <w:footnoteRef/>
      </w:r>
      <w:r>
        <w:t>)</w:t>
      </w:r>
      <w:r>
        <w:tab/>
        <w:t>Tilskipun Evrópuþingsins og ráðsins 2009/138/EB frá 25. nóvember 2009 um stofnun og rekstur fyrirtækja á sviði vátrygginga og endurtrygginga (Gjaldþolsáætlun II) (Stjtíð. ESB L 335, 17.12.2009, bls. 1).</w:t>
      </w:r>
    </w:p>
  </w:footnote>
  <w:footnote w:id="21">
    <w:p w14:paraId="7AC6EFE4" w14:textId="77777777" w:rsidR="001D6FFE" w:rsidRDefault="00E40155">
      <w:pPr>
        <w:pStyle w:val="FootnoteText"/>
        <w:rPr>
          <w:szCs w:val="16"/>
        </w:rPr>
      </w:pPr>
      <w:r>
        <w:t>(</w:t>
      </w:r>
      <w:r>
        <w:rPr>
          <w:rStyle w:val="FootnoteReference"/>
          <w:szCs w:val="16"/>
        </w:rPr>
        <w:footnoteRef/>
      </w:r>
      <w:r>
        <w:t>)</w:t>
      </w:r>
      <w:r>
        <w:tab/>
        <w:t>Tilskipun Evrópuþingsins og ráðsins 2013/34/ESB frá 26. júní 2013 um árleg reikningsskil, samstæðureikningsskil og tilheyrandi skýrslur tiltekinna tegunda fyrirtækja, um breytingu á tilskipun Evrópuþingsins og ráðsins 2006/43/EB og niðurfellingu tilskipana ráðsins 78/660/EBE og 83/349/EBE (Stjtíð. ESB L 182, 29.6.2013, bls. 19).</w:t>
      </w:r>
    </w:p>
  </w:footnote>
  <w:footnote w:id="22">
    <w:p w14:paraId="3CEE0347" w14:textId="77777777" w:rsidR="001D6FFE" w:rsidRDefault="00E40155">
      <w:pPr>
        <w:pStyle w:val="FootnoteText"/>
        <w:rPr>
          <w:szCs w:val="16"/>
        </w:rPr>
      </w:pPr>
      <w:r>
        <w:t>(</w:t>
      </w:r>
      <w:r>
        <w:rPr>
          <w:rStyle w:val="FootnoteReference"/>
          <w:szCs w:val="16"/>
        </w:rPr>
        <w:footnoteRef/>
      </w:r>
      <w:r>
        <w:t>)</w:t>
      </w:r>
      <w:r>
        <w:tab/>
        <w:t>Reglugerð Evrópuþingsins og ráðsins (ESB) 2015/2365 frá 25. nóvember 2015 um gagnsæi í fjármögnunarviðskiptum með verðbréf og um endurnotkun og breytingu á reglugerð (ESB) nr. 648/2012 (Stjtíð. ESB L 337, 23.12.2015, bls. 1).</w:t>
      </w:r>
    </w:p>
  </w:footnote>
  <w:footnote w:id="23">
    <w:p w14:paraId="1200819A" w14:textId="77777777" w:rsidR="001D6FFE" w:rsidRDefault="00E40155">
      <w:pPr>
        <w:pStyle w:val="FootnoteText"/>
        <w:rPr>
          <w:szCs w:val="16"/>
        </w:rPr>
      </w:pPr>
      <w:r>
        <w:t>(</w:t>
      </w:r>
      <w:r>
        <w:rPr>
          <w:rStyle w:val="FootnoteReference"/>
          <w:szCs w:val="16"/>
        </w:rPr>
        <w:footnoteRef/>
      </w:r>
      <w:r>
        <w:t>)</w:t>
      </w:r>
      <w:r>
        <w:tab/>
        <w:t>Tilskipun Evrópuþingsins og ráðsins 2002/87/EB frá 16. desember 2002 um viðbótareftirlit með lánastofnunum, vátryggingafélögum og verðbréfafyrirtækjum sem eru hluti af fjármálasamsteypu og um breytingu á tilskipunum ráðsins 73/239/EBE, 79/267/EBE, 92/49/EBE, 92/96/EBE, 93/6/EBE og 93/22/EBE og á tilskipunum Evrópuþingsins og ráðsins 98/78/EB og 2000/12/EB (Stjtíð. ESB L 35, 11.2.2003, bls. 1).</w:t>
      </w:r>
    </w:p>
  </w:footnote>
  <w:footnote w:id="24">
    <w:p w14:paraId="3878BD5F" w14:textId="77777777" w:rsidR="001D6FFE" w:rsidRDefault="00E40155">
      <w:pPr>
        <w:pStyle w:val="FootnoteText"/>
        <w:rPr>
          <w:szCs w:val="16"/>
        </w:rPr>
      </w:pPr>
      <w:r>
        <w:t>(</w:t>
      </w:r>
      <w:r>
        <w:rPr>
          <w:rStyle w:val="FootnoteReference"/>
          <w:szCs w:val="16"/>
        </w:rPr>
        <w:footnoteRef/>
      </w:r>
      <w:r>
        <w:t>)</w:t>
      </w:r>
      <w:r>
        <w:tab/>
        <w:t>Framseld tilskipun framkvæmdastjórnarinnar (ESB) 2017/593 frá 7. apríl 2016 um viðbætur við tilskipun Evrópuþingsins og ráðsins 2014/65/ESB að því er varðar að vernda fjármálagerninga og fjármuni í eigu viðskiptavina, afurðastýringarskyldur og reglurnar sem gilda um veitingu eða móttöku þóknana, umboðslauna eða hvers konar peningalegs eða ópeningalegs ávinnings (Stjtíð. ESB. L 87, 31.3.2017, bls. 500).</w:t>
      </w:r>
    </w:p>
  </w:footnote>
  <w:footnote w:id="25">
    <w:p w14:paraId="0B05C9D8" w14:textId="77777777" w:rsidR="001D6FFE" w:rsidRDefault="00E40155">
      <w:pPr>
        <w:pStyle w:val="FootnoteText"/>
        <w:rPr>
          <w:szCs w:val="16"/>
        </w:rPr>
      </w:pPr>
      <w:r>
        <w:t>(</w:t>
      </w:r>
      <w:r>
        <w:rPr>
          <w:rStyle w:val="FootnoteReference"/>
          <w:szCs w:val="16"/>
        </w:rPr>
        <w:footnoteRef/>
      </w:r>
      <w:r>
        <w:t>)</w:t>
      </w:r>
      <w:r>
        <w:tab/>
        <w:t>Tilskipun ráðsins 86/635/EBE frá 8. desember 1986 um ársreikninga og samstæðureikninga banka og annarra fjármálastofnana (Stjtíð. EB L 372, 31.12.1986, bls. 1).</w:t>
      </w:r>
    </w:p>
  </w:footnote>
  <w:footnote w:id="26">
    <w:p w14:paraId="781D1F42" w14:textId="77777777" w:rsidR="001D6FFE" w:rsidRDefault="00E40155">
      <w:pPr>
        <w:pStyle w:val="FootnoteText"/>
        <w:rPr>
          <w:szCs w:val="16"/>
        </w:rPr>
      </w:pPr>
      <w:r>
        <w:t>(</w:t>
      </w:r>
      <w:r>
        <w:rPr>
          <w:rStyle w:val="FootnoteReference"/>
          <w:szCs w:val="16"/>
        </w:rPr>
        <w:footnoteRef/>
      </w:r>
      <w:r>
        <w:t>)</w:t>
      </w:r>
      <w:r>
        <w:tab/>
        <w:t>Framseld reglugerð framkvæmdastjórnarinnar (ESB) 2017/578 frá 13. júní 2016 um viðbætur við tilskipun Evrópuþingsins og ráðsins 2014/65/ESB um markaði fyrir fjármálagerninga að því er varðar tæknilega eftirlitsstaðla sem tilgreina kröfurnar um viðskiptavaktarsamninga og viðskiptavaktarkerfi (Stjtíð. ESB L 87, 31.3.2017, bls. 183)</w:t>
      </w:r>
    </w:p>
  </w:footnote>
  <w:footnote w:id="27">
    <w:p w14:paraId="1045253C" w14:textId="77777777" w:rsidR="001D6FFE" w:rsidRDefault="00E40155">
      <w:pPr>
        <w:pStyle w:val="FootnoteText"/>
        <w:rPr>
          <w:szCs w:val="16"/>
        </w:rPr>
      </w:pPr>
      <w:r>
        <w:t>(</w:t>
      </w:r>
      <w:r>
        <w:rPr>
          <w:rStyle w:val="FootnoteReference"/>
          <w:szCs w:val="16"/>
        </w:rPr>
        <w:footnoteRef/>
      </w:r>
      <w:r>
        <w:t>)</w:t>
      </w:r>
      <w:r>
        <w:tab/>
        <w:t>Framseld reglugerð framkvæmdastjórnarinnar (ESB) 2017/567 frá 18. maí 2016 um viðbætur við reglugerð Evrópuþingsins og ráðsins (ESB) nr. 600/2014 að því er varðar skilgreiningar, gagnsæi, samþjöppun eignasafns og eftirlitsráðstafanir hvað varðar afurðaíhlutun og stöður (Stjtíð. ESB L 87, 31.3.2017, bls. 90).</w:t>
      </w:r>
    </w:p>
  </w:footnote>
  <w:footnote w:id="28">
    <w:p w14:paraId="47B224D2" w14:textId="77777777" w:rsidR="001D6FFE" w:rsidRDefault="00E40155">
      <w:pPr>
        <w:pStyle w:val="FootnoteText"/>
        <w:rPr>
          <w:szCs w:val="16"/>
        </w:rPr>
      </w:pPr>
      <w:r>
        <w:t>(</w:t>
      </w:r>
      <w:r>
        <w:rPr>
          <w:rStyle w:val="FootnoteReference"/>
          <w:szCs w:val="16"/>
        </w:rPr>
        <w:footnoteRef/>
      </w:r>
      <w:r>
        <w:t>)</w:t>
      </w:r>
      <w:r>
        <w:tab/>
      </w:r>
      <w:r>
        <w:t>Reglugerð Evrópuþingsins og ráðsins (ESB) 2016/679 frá 27. apríl 2016 um vernd einstaklinga í tengslum við vinnslu persónuupplýsinga og um frjálsa miðlun slíkra upplýsinga og niðurfellingu tilskipunar 95/46/EB (almenna persónuverndarreglugerðin) (Stjtíð. ESB L 119, 4.5.2016, bls. 1).</w:t>
      </w:r>
    </w:p>
  </w:footnote>
  <w:footnote w:id="29">
    <w:p w14:paraId="183B64B5" w14:textId="77777777" w:rsidR="001D6FFE" w:rsidRDefault="00E40155">
      <w:pPr>
        <w:pStyle w:val="FootnoteText"/>
        <w:rPr>
          <w:szCs w:val="16"/>
        </w:rPr>
      </w:pPr>
      <w:r>
        <w:t>(</w:t>
      </w:r>
      <w:r>
        <w:rPr>
          <w:rStyle w:val="FootnoteReference"/>
          <w:szCs w:val="16"/>
        </w:rPr>
        <w:footnoteRef/>
      </w:r>
      <w:r>
        <w:t>)</w:t>
      </w:r>
      <w:r>
        <w:tab/>
        <w:t>Reglugerð Evrópuþingsins og ráðsins (ESB) nr. 806/2014 frá 15. júlí 2014 um að koma á samræmdum reglum og samræmdri málsmeðferð fyrir skilameðferð lánastofnana og tiltekinna verðbréfafyrirtækja innan ramma sameiginlegs skilameðferðarkerfis og sameiginlegs skilasjóðs og um breytingu á reglugerð (ESB) nr. 1093/2010 (Stjtíð. ESB. L 225, 30.7.2014, bls.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33771"/>
      <w:docPartObj>
        <w:docPartGallery w:val="Page Numbers (Top of Page)"/>
        <w:docPartUnique/>
      </w:docPartObj>
    </w:sdtPr>
    <w:sdtEndPr>
      <w:rPr>
        <w:noProof/>
      </w:rPr>
    </w:sdtEndPr>
    <w:sdtContent>
      <w:p w14:paraId="447657BD" w14:textId="77777777" w:rsidR="001D6FFE" w:rsidRDefault="00E40155">
        <w:pPr>
          <w:pStyle w:val="Header"/>
          <w:jc w:val="right"/>
        </w:pPr>
        <w:r>
          <w:fldChar w:fldCharType="begin"/>
        </w:r>
        <w:r>
          <w:instrText xml:space="preserve"> PAGE   \* MERGEFORMAT </w:instrText>
        </w:r>
        <w:r>
          <w:fldChar w:fldCharType="separate"/>
        </w:r>
        <w:r>
          <w:t>63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626202">
    <w:abstractNumId w:val="2"/>
  </w:num>
  <w:num w:numId="2" w16cid:durableId="1701122840">
    <w:abstractNumId w:val="0"/>
  </w:num>
  <w:num w:numId="3" w16cid:durableId="30685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onsecutiveHyphenLimit w:val="2"/>
  <w:hyphenationZone w:val="357"/>
  <w:doNotHyphenateCaps/>
  <w:defaultTableStyle w:val="EFTATable"/>
  <w:characterSpacingControl w:val="doNotCompress"/>
  <w:hdrShapeDefaults>
    <o:shapedefaults v:ext="edit" spidmax="8193"/>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FE"/>
    <w:rsid w:val="001D6FFE"/>
    <w:rsid w:val="008C3990"/>
    <w:rsid w:val="00E401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90E65"/>
  <w15:docId w15:val="{54F300DD-4A3F-450C-8849-F21E9D15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Header">
    <w:name w:val="header"/>
    <w:basedOn w:val="Para"/>
    <w:link w:val="HeaderChar"/>
    <w:uiPriority w:val="99"/>
    <w:unhideWhenUsed/>
    <w:pPr>
      <w:spacing w:after="100" w:line="200" w:lineRule="exact"/>
    </w:pPr>
  </w:style>
  <w:style w:type="character" w:customStyle="1" w:styleId="HeaderChar">
    <w:name w:val="Header Char"/>
    <w:basedOn w:val="DefaultParagraphFont"/>
    <w:link w:val="Header"/>
    <w:uiPriority w:val="99"/>
    <w:rPr>
      <w:rFonts w:ascii="Times New Roman" w:hAnsi="Times New Roman"/>
      <w:sz w:val="18"/>
      <w14:ligatures w14:val="standard"/>
    </w:rPr>
  </w:style>
  <w:style w:type="paragraph" w:styleId="Footer">
    <w:name w:val="footer"/>
    <w:basedOn w:val="Para"/>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18"/>
      <w14:ligatures w14:val="standar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otnoteText">
    <w:name w:val="footnote text"/>
    <w:basedOn w:val="ParaSmall"/>
    <w:link w:val="FootnoteTextChar"/>
    <w:uiPriority w:val="99"/>
    <w:semiHidden/>
    <w:unhideWhenUsed/>
    <w:pPr>
      <w:spacing w:after="0"/>
      <w:ind w:left="300" w:hanging="300"/>
    </w:pPr>
    <w:rPr>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14:ligatures w14:val="standard"/>
    </w:rPr>
  </w:style>
  <w:style w:type="character" w:styleId="FootnoteReference">
    <w:name w:val="footnote reference"/>
    <w:basedOn w:val="DefaultParagraphFon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otnoteTex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4"/>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6"/>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4"/>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link">
    <w:name w:val="Hyperlink"/>
    <w:basedOn w:val="DefaultParagraphFon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TableNorma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style>
  <w:style w:type="paragraph" w:customStyle="1" w:styleId="AnnexTableGrAnnotations">
    <w:name w:val="AnnexTableGrAnnotations"/>
    <w:basedOn w:val="AnnexTableGrNotes"/>
    <w:qFormat/>
    <w:pPr>
      <w:ind w:left="0" w:firstLine="0"/>
    </w:pPr>
    <w:rPr>
      <w:sz w:val="16"/>
    </w:r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Quote">
    <w:name w:val="Quote"/>
    <w:basedOn w:val="Para"/>
    <w:next w:val="Para"/>
    <w:link w:val="QuoteChar"/>
    <w:uiPriority w:val="29"/>
    <w:qFormat/>
    <w:rPr>
      <w:i/>
      <w:iCs/>
      <w:color w:val="000000" w:themeColor="text1"/>
    </w:rPr>
  </w:style>
  <w:style w:type="character" w:customStyle="1" w:styleId="QuoteChar">
    <w:name w:val="Quote Char"/>
    <w:basedOn w:val="DefaultParagraphFont"/>
    <w:link w:val="Quote"/>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Header"/>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ollowedHyperlink">
    <w:name w:val="FollowedHyperlink"/>
    <w:basedOn w:val="DefaultParagraphFont"/>
    <w:uiPriority w:val="99"/>
    <w:semiHidden/>
    <w:unhideWhenUsed/>
    <w:rPr>
      <w:color w:val="0000FF"/>
      <w:u w:val="none"/>
    </w:rPr>
  </w:style>
  <w:style w:type="character" w:customStyle="1" w:styleId="Footnote8pt">
    <w:name w:val="Footnote8pt"/>
    <w:basedOn w:val="DefaultParagraphFont"/>
    <w:uiPriority w:val="1"/>
    <w:qFormat/>
    <w:rPr>
      <w:rFonts w:ascii="Times New Roman" w:hAnsi="Times New Roman"/>
      <w:color w:val="auto"/>
      <w:sz w:val="16"/>
      <w:lang w:val="is-IS"/>
    </w:rPr>
  </w:style>
  <w:style w:type="character" w:customStyle="1" w:styleId="Footnote7pt">
    <w:name w:val="Footnote7pt"/>
    <w:basedOn w:val="DefaultParagraphFont"/>
    <w:uiPriority w:val="1"/>
    <w:qFormat/>
    <w:rPr>
      <w:rFonts w:ascii="Times New Roman" w:hAnsi="Times New Roman"/>
      <w:color w:val="auto"/>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629A6-25D8-45FE-A635-D3124FAC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33622</Words>
  <Characters>191646</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amplexor</Company>
  <LinksUpToDate>false</LinksUpToDate>
  <CharactersWithSpaces>224819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Kári Örlygsson</cp:lastModifiedBy>
  <cp:revision>2</cp:revision>
  <cp:lastPrinted>2017-02-23T13:37:00Z</cp:lastPrinted>
  <dcterms:created xsi:type="dcterms:W3CDTF">2026-01-19T09:53:00Z</dcterms:created>
  <dcterms:modified xsi:type="dcterms:W3CDTF">2026-01-19T09:53:00Z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y fmtid="{D5CDD505-2E9C-101B-9397-08002B2CF9AE}" pid="7" name="MSIP_Label_4d8b67f9-f4c8-4356-80b8-97d601b9597d_Enabled">
    <vt:lpwstr>true</vt:lpwstr>
  </property>
  <property fmtid="{D5CDD505-2E9C-101B-9397-08002B2CF9AE}" pid="8" name="MSIP_Label_4d8b67f9-f4c8-4356-80b8-97d601b9597d_SetDate">
    <vt:lpwstr>2026-01-19T09:53:23Z</vt:lpwstr>
  </property>
  <property fmtid="{D5CDD505-2E9C-101B-9397-08002B2CF9AE}" pid="9" name="MSIP_Label_4d8b67f9-f4c8-4356-80b8-97d601b9597d_Method">
    <vt:lpwstr>Standard</vt:lpwstr>
  </property>
  <property fmtid="{D5CDD505-2E9C-101B-9397-08002B2CF9AE}" pid="10" name="MSIP_Label_4d8b67f9-f4c8-4356-80b8-97d601b9597d_Name">
    <vt:lpwstr>Varin</vt:lpwstr>
  </property>
  <property fmtid="{D5CDD505-2E9C-101B-9397-08002B2CF9AE}" pid="11" name="MSIP_Label_4d8b67f9-f4c8-4356-80b8-97d601b9597d_SiteId">
    <vt:lpwstr>bc14a44e-e0fb-4e0b-a535-100579d41b65</vt:lpwstr>
  </property>
  <property fmtid="{D5CDD505-2E9C-101B-9397-08002B2CF9AE}" pid="12" name="MSIP_Label_4d8b67f9-f4c8-4356-80b8-97d601b9597d_ActionId">
    <vt:lpwstr>6bf57e34-1e85-4750-a50c-f5031e9827fc</vt:lpwstr>
  </property>
  <property fmtid="{D5CDD505-2E9C-101B-9397-08002B2CF9AE}" pid="13" name="MSIP_Label_4d8b67f9-f4c8-4356-80b8-97d601b9597d_ContentBits">
    <vt:lpwstr>0</vt:lpwstr>
  </property>
  <property fmtid="{D5CDD505-2E9C-101B-9397-08002B2CF9AE}" pid="14" name="MSIP_Label_4d8b67f9-f4c8-4356-80b8-97d601b9597d_Tag">
    <vt:lpwstr>10, 3, 0, 1</vt:lpwstr>
  </property>
</Properties>
</file>